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FE05" w14:textId="77777777" w:rsidR="00124364" w:rsidRDefault="00000000">
      <w:pPr>
        <w:pStyle w:val="MediumGrid21"/>
        <w:jc w:val="center"/>
        <w:rPr>
          <w:rFonts w:ascii="Times New Roman" w:hAnsi="Times New Roman"/>
          <w:b/>
          <w:sz w:val="24"/>
          <w:szCs w:val="24"/>
        </w:rPr>
      </w:pPr>
      <w:r>
        <w:rPr>
          <w:rFonts w:ascii="Times New Roman" w:hAnsi="Times New Roman"/>
          <w:b/>
          <w:sz w:val="24"/>
          <w:szCs w:val="24"/>
        </w:rPr>
        <w:t>TABEL DE CONCORDANȚĂ</w:t>
      </w:r>
    </w:p>
    <w:p w14:paraId="550200FF" w14:textId="77777777" w:rsidR="00124364" w:rsidRDefault="00124364">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1276"/>
        <w:gridCol w:w="1275"/>
        <w:gridCol w:w="1701"/>
        <w:gridCol w:w="1464"/>
      </w:tblGrid>
      <w:tr w:rsidR="00124364" w14:paraId="6911441C" w14:textId="77777777">
        <w:trPr>
          <w:trHeight w:val="215"/>
        </w:trPr>
        <w:tc>
          <w:tcPr>
            <w:tcW w:w="15067" w:type="dxa"/>
            <w:gridSpan w:val="6"/>
            <w:shd w:val="clear" w:color="auto" w:fill="auto"/>
          </w:tcPr>
          <w:p w14:paraId="48ED2827" w14:textId="77777777" w:rsidR="00124364" w:rsidRDefault="00000000">
            <w:pPr>
              <w:pStyle w:val="ColorfulList-Accent11"/>
              <w:numPr>
                <w:ilvl w:val="0"/>
                <w:numId w:val="1"/>
              </w:numPr>
              <w:spacing w:after="0" w:line="240" w:lineRule="auto"/>
              <w:jc w:val="both"/>
              <w:rPr>
                <w:rFonts w:ascii="Times New Roman" w:hAnsi="Times New Roman"/>
                <w:b/>
                <w:bCs/>
                <w:sz w:val="20"/>
                <w:szCs w:val="20"/>
                <w:lang w:val="ro-RO"/>
              </w:rPr>
            </w:pPr>
            <w:r>
              <w:rPr>
                <w:rFonts w:ascii="Times New Roman" w:hAnsi="Times New Roman"/>
                <w:b/>
                <w:bCs/>
                <w:sz w:val="20"/>
                <w:szCs w:val="20"/>
                <w:lang w:val="ro-RO"/>
              </w:rPr>
              <w:t>Titlul actului Uniunii Europene, inclusiv cele mai recente amendamente incluse</w:t>
            </w:r>
          </w:p>
          <w:p w14:paraId="4D2A4120" w14:textId="77777777" w:rsidR="00124364" w:rsidRDefault="00000000">
            <w:pPr>
              <w:spacing w:after="0"/>
              <w:rPr>
                <w:rFonts w:ascii="Times New Roman" w:hAnsi="Times New Roman"/>
                <w:b/>
                <w:bCs/>
                <w:color w:val="000000" w:themeColor="text1"/>
                <w:sz w:val="20"/>
                <w:szCs w:val="20"/>
                <w:shd w:val="clear" w:color="auto" w:fill="FFFFFF"/>
                <w:lang w:val="fr-FR"/>
              </w:rPr>
            </w:pPr>
            <w:bookmarkStart w:id="0" w:name="_Hlk139899716"/>
            <w:proofErr w:type="spellStart"/>
            <w:r>
              <w:rPr>
                <w:rFonts w:ascii="Times New Roman" w:hAnsi="Times New Roman"/>
                <w:b/>
                <w:bCs/>
                <w:color w:val="000000" w:themeColor="text1"/>
                <w:sz w:val="20"/>
                <w:szCs w:val="20"/>
                <w:shd w:val="clear" w:color="auto" w:fill="FFFFFF"/>
              </w:rPr>
              <w:t>Directiva</w:t>
            </w:r>
            <w:proofErr w:type="spellEnd"/>
            <w:r>
              <w:rPr>
                <w:rFonts w:ascii="Times New Roman" w:hAnsi="Times New Roman"/>
                <w:b/>
                <w:bCs/>
                <w:color w:val="000000" w:themeColor="text1"/>
                <w:sz w:val="20"/>
                <w:szCs w:val="20"/>
                <w:shd w:val="clear" w:color="auto" w:fill="FFFFFF"/>
              </w:rPr>
              <w:t xml:space="preserve"> 2003/87/CE a </w:t>
            </w:r>
            <w:proofErr w:type="spellStart"/>
            <w:r>
              <w:rPr>
                <w:rFonts w:ascii="Times New Roman" w:hAnsi="Times New Roman"/>
                <w:b/>
                <w:bCs/>
                <w:color w:val="000000" w:themeColor="text1"/>
                <w:sz w:val="20"/>
                <w:szCs w:val="20"/>
                <w:shd w:val="clear" w:color="auto" w:fill="FFFFFF"/>
              </w:rPr>
              <w:t>Parlamentului</w:t>
            </w:r>
            <w:proofErr w:type="spellEnd"/>
            <w:r>
              <w:rPr>
                <w:rFonts w:ascii="Times New Roman" w:hAnsi="Times New Roman"/>
                <w:b/>
                <w:bCs/>
                <w:color w:val="000000" w:themeColor="text1"/>
                <w:sz w:val="20"/>
                <w:szCs w:val="20"/>
                <w:shd w:val="clear" w:color="auto" w:fill="FFFFFF"/>
              </w:rPr>
              <w:t xml:space="preserve"> European și a </w:t>
            </w:r>
            <w:proofErr w:type="spellStart"/>
            <w:r>
              <w:rPr>
                <w:rFonts w:ascii="Times New Roman" w:hAnsi="Times New Roman"/>
                <w:b/>
                <w:bCs/>
                <w:color w:val="000000" w:themeColor="text1"/>
                <w:sz w:val="20"/>
                <w:szCs w:val="20"/>
                <w:shd w:val="clear" w:color="auto" w:fill="FFFFFF"/>
              </w:rPr>
              <w:t>Consiliului</w:t>
            </w:r>
            <w:proofErr w:type="spellEnd"/>
            <w:r>
              <w:rPr>
                <w:rFonts w:ascii="Times New Roman" w:hAnsi="Times New Roman"/>
                <w:b/>
                <w:bCs/>
                <w:color w:val="000000" w:themeColor="text1"/>
                <w:sz w:val="20"/>
                <w:szCs w:val="20"/>
                <w:shd w:val="clear" w:color="auto" w:fill="FFFFFF"/>
              </w:rPr>
              <w:t xml:space="preserve"> din 13 </w:t>
            </w:r>
            <w:proofErr w:type="spellStart"/>
            <w:r>
              <w:rPr>
                <w:rFonts w:ascii="Times New Roman" w:hAnsi="Times New Roman"/>
                <w:b/>
                <w:bCs/>
                <w:color w:val="000000" w:themeColor="text1"/>
                <w:sz w:val="20"/>
                <w:szCs w:val="20"/>
                <w:shd w:val="clear" w:color="auto" w:fill="FFFFFF"/>
              </w:rPr>
              <w:t>octombrie</w:t>
            </w:r>
            <w:proofErr w:type="spellEnd"/>
            <w:r>
              <w:rPr>
                <w:rFonts w:ascii="Times New Roman" w:hAnsi="Times New Roman"/>
                <w:b/>
                <w:bCs/>
                <w:color w:val="000000" w:themeColor="text1"/>
                <w:sz w:val="20"/>
                <w:szCs w:val="20"/>
                <w:shd w:val="clear" w:color="auto" w:fill="FFFFFF"/>
              </w:rPr>
              <w:t xml:space="preserve"> 2003 de </w:t>
            </w:r>
            <w:proofErr w:type="spellStart"/>
            <w:r>
              <w:rPr>
                <w:rFonts w:ascii="Times New Roman" w:hAnsi="Times New Roman"/>
                <w:b/>
                <w:bCs/>
                <w:color w:val="000000" w:themeColor="text1"/>
                <w:sz w:val="20"/>
                <w:szCs w:val="20"/>
                <w:shd w:val="clear" w:color="auto" w:fill="FFFFFF"/>
              </w:rPr>
              <w:t>stabilire</w:t>
            </w:r>
            <w:proofErr w:type="spellEnd"/>
            <w:r>
              <w:rPr>
                <w:rFonts w:ascii="Times New Roman" w:hAnsi="Times New Roman"/>
                <w:b/>
                <w:bCs/>
                <w:color w:val="000000" w:themeColor="text1"/>
                <w:sz w:val="20"/>
                <w:szCs w:val="20"/>
                <w:shd w:val="clear" w:color="auto" w:fill="FFFFFF"/>
              </w:rPr>
              <w:t xml:space="preserve"> a </w:t>
            </w:r>
            <w:proofErr w:type="spellStart"/>
            <w:r>
              <w:rPr>
                <w:rFonts w:ascii="Times New Roman" w:hAnsi="Times New Roman"/>
                <w:b/>
                <w:bCs/>
                <w:color w:val="000000" w:themeColor="text1"/>
                <w:sz w:val="20"/>
                <w:szCs w:val="20"/>
                <w:shd w:val="clear" w:color="auto" w:fill="FFFFFF"/>
              </w:rPr>
              <w:t>unui</w:t>
            </w:r>
            <w:proofErr w:type="spellEnd"/>
            <w:r>
              <w:rPr>
                <w:rFonts w:ascii="Times New Roman" w:hAnsi="Times New Roman"/>
                <w:b/>
                <w:bCs/>
                <w:color w:val="000000" w:themeColor="text1"/>
                <w:sz w:val="20"/>
                <w:szCs w:val="20"/>
                <w:shd w:val="clear" w:color="auto" w:fill="FFFFFF"/>
              </w:rPr>
              <w:t xml:space="preserve"> </w:t>
            </w:r>
            <w:proofErr w:type="spellStart"/>
            <w:r>
              <w:rPr>
                <w:rFonts w:ascii="Times New Roman" w:hAnsi="Times New Roman"/>
                <w:b/>
                <w:bCs/>
                <w:color w:val="000000" w:themeColor="text1"/>
                <w:sz w:val="20"/>
                <w:szCs w:val="20"/>
                <w:shd w:val="clear" w:color="auto" w:fill="FFFFFF"/>
              </w:rPr>
              <w:t>sistem</w:t>
            </w:r>
            <w:proofErr w:type="spellEnd"/>
            <w:r>
              <w:rPr>
                <w:rFonts w:ascii="Times New Roman" w:hAnsi="Times New Roman"/>
                <w:b/>
                <w:bCs/>
                <w:color w:val="000000" w:themeColor="text1"/>
                <w:sz w:val="20"/>
                <w:szCs w:val="20"/>
                <w:shd w:val="clear" w:color="auto" w:fill="FFFFFF"/>
              </w:rPr>
              <w:t xml:space="preserve"> de </w:t>
            </w:r>
            <w:proofErr w:type="spellStart"/>
            <w:r>
              <w:rPr>
                <w:rFonts w:ascii="Times New Roman" w:hAnsi="Times New Roman"/>
                <w:b/>
                <w:bCs/>
                <w:color w:val="000000" w:themeColor="text1"/>
                <w:sz w:val="20"/>
                <w:szCs w:val="20"/>
                <w:shd w:val="clear" w:color="auto" w:fill="FFFFFF"/>
              </w:rPr>
              <w:t>comercializare</w:t>
            </w:r>
            <w:proofErr w:type="spellEnd"/>
            <w:r>
              <w:rPr>
                <w:rFonts w:ascii="Times New Roman" w:hAnsi="Times New Roman"/>
                <w:b/>
                <w:bCs/>
                <w:color w:val="000000" w:themeColor="text1"/>
                <w:sz w:val="20"/>
                <w:szCs w:val="20"/>
                <w:shd w:val="clear" w:color="auto" w:fill="FFFFFF"/>
              </w:rPr>
              <w:t xml:space="preserve"> a </w:t>
            </w:r>
            <w:proofErr w:type="spellStart"/>
            <w:r>
              <w:rPr>
                <w:rFonts w:ascii="Times New Roman" w:hAnsi="Times New Roman"/>
                <w:b/>
                <w:bCs/>
                <w:color w:val="000000" w:themeColor="text1"/>
                <w:sz w:val="20"/>
                <w:szCs w:val="20"/>
                <w:shd w:val="clear" w:color="auto" w:fill="FFFFFF"/>
              </w:rPr>
              <w:t>cotelor</w:t>
            </w:r>
            <w:proofErr w:type="spellEnd"/>
            <w:r>
              <w:rPr>
                <w:rFonts w:ascii="Times New Roman" w:hAnsi="Times New Roman"/>
                <w:b/>
                <w:bCs/>
                <w:color w:val="000000" w:themeColor="text1"/>
                <w:sz w:val="20"/>
                <w:szCs w:val="20"/>
                <w:shd w:val="clear" w:color="auto" w:fill="FFFFFF"/>
              </w:rPr>
              <w:t xml:space="preserve"> de </w:t>
            </w:r>
            <w:proofErr w:type="spellStart"/>
            <w:r>
              <w:rPr>
                <w:rFonts w:ascii="Times New Roman" w:hAnsi="Times New Roman"/>
                <w:b/>
                <w:bCs/>
                <w:color w:val="000000" w:themeColor="text1"/>
                <w:sz w:val="20"/>
                <w:szCs w:val="20"/>
                <w:shd w:val="clear" w:color="auto" w:fill="FFFFFF"/>
              </w:rPr>
              <w:t>emisie</w:t>
            </w:r>
            <w:proofErr w:type="spellEnd"/>
            <w:r>
              <w:rPr>
                <w:rFonts w:ascii="Times New Roman" w:hAnsi="Times New Roman"/>
                <w:b/>
                <w:bCs/>
                <w:color w:val="000000" w:themeColor="text1"/>
                <w:sz w:val="20"/>
                <w:szCs w:val="20"/>
                <w:shd w:val="clear" w:color="auto" w:fill="FFFFFF"/>
              </w:rPr>
              <w:t xml:space="preserve"> de gaze cu </w:t>
            </w:r>
            <w:proofErr w:type="spellStart"/>
            <w:r>
              <w:rPr>
                <w:rFonts w:ascii="Times New Roman" w:hAnsi="Times New Roman"/>
                <w:b/>
                <w:bCs/>
                <w:color w:val="000000" w:themeColor="text1"/>
                <w:sz w:val="20"/>
                <w:szCs w:val="20"/>
                <w:shd w:val="clear" w:color="auto" w:fill="FFFFFF"/>
              </w:rPr>
              <w:t>efect</w:t>
            </w:r>
            <w:proofErr w:type="spellEnd"/>
            <w:r>
              <w:rPr>
                <w:rFonts w:ascii="Times New Roman" w:hAnsi="Times New Roman"/>
                <w:b/>
                <w:bCs/>
                <w:color w:val="000000" w:themeColor="text1"/>
                <w:sz w:val="20"/>
                <w:szCs w:val="20"/>
                <w:shd w:val="clear" w:color="auto" w:fill="FFFFFF"/>
              </w:rPr>
              <w:t xml:space="preserve"> de </w:t>
            </w:r>
            <w:proofErr w:type="spellStart"/>
            <w:r>
              <w:rPr>
                <w:rFonts w:ascii="Times New Roman" w:hAnsi="Times New Roman"/>
                <w:b/>
                <w:bCs/>
                <w:color w:val="000000" w:themeColor="text1"/>
                <w:sz w:val="20"/>
                <w:szCs w:val="20"/>
                <w:shd w:val="clear" w:color="auto" w:fill="FFFFFF"/>
              </w:rPr>
              <w:t>seră</w:t>
            </w:r>
            <w:proofErr w:type="spellEnd"/>
            <w:r>
              <w:rPr>
                <w:rFonts w:ascii="Times New Roman" w:hAnsi="Times New Roman"/>
                <w:b/>
                <w:bCs/>
                <w:color w:val="000000" w:themeColor="text1"/>
                <w:sz w:val="20"/>
                <w:szCs w:val="20"/>
                <w:shd w:val="clear" w:color="auto" w:fill="FFFFFF"/>
              </w:rPr>
              <w:t xml:space="preserve"> în </w:t>
            </w:r>
            <w:proofErr w:type="spellStart"/>
            <w:r>
              <w:rPr>
                <w:rFonts w:ascii="Times New Roman" w:hAnsi="Times New Roman"/>
                <w:b/>
                <w:bCs/>
                <w:color w:val="000000" w:themeColor="text1"/>
                <w:sz w:val="20"/>
                <w:szCs w:val="20"/>
                <w:shd w:val="clear" w:color="auto" w:fill="FFFFFF"/>
              </w:rPr>
              <w:t>cadrul</w:t>
            </w:r>
            <w:proofErr w:type="spellEnd"/>
            <w:r>
              <w:rPr>
                <w:rFonts w:ascii="Times New Roman" w:hAnsi="Times New Roman"/>
                <w:b/>
                <w:bCs/>
                <w:color w:val="000000" w:themeColor="text1"/>
                <w:sz w:val="20"/>
                <w:szCs w:val="20"/>
                <w:shd w:val="clear" w:color="auto" w:fill="FFFFFF"/>
              </w:rPr>
              <w:t xml:space="preserve"> </w:t>
            </w:r>
            <w:proofErr w:type="spellStart"/>
            <w:r>
              <w:rPr>
                <w:rFonts w:ascii="Times New Roman" w:hAnsi="Times New Roman"/>
                <w:b/>
                <w:bCs/>
                <w:color w:val="000000" w:themeColor="text1"/>
                <w:sz w:val="20"/>
                <w:szCs w:val="20"/>
                <w:shd w:val="clear" w:color="auto" w:fill="FFFFFF"/>
              </w:rPr>
              <w:t>Comunității</w:t>
            </w:r>
            <w:proofErr w:type="spellEnd"/>
            <w:r>
              <w:rPr>
                <w:rFonts w:ascii="Times New Roman" w:hAnsi="Times New Roman"/>
                <w:b/>
                <w:bCs/>
                <w:color w:val="000000" w:themeColor="text1"/>
                <w:sz w:val="20"/>
                <w:szCs w:val="20"/>
                <w:shd w:val="clear" w:color="auto" w:fill="FFFFFF"/>
              </w:rPr>
              <w:t xml:space="preserve"> și de </w:t>
            </w:r>
            <w:proofErr w:type="spellStart"/>
            <w:r>
              <w:rPr>
                <w:rFonts w:ascii="Times New Roman" w:hAnsi="Times New Roman"/>
                <w:b/>
                <w:bCs/>
                <w:color w:val="000000" w:themeColor="text1"/>
                <w:sz w:val="20"/>
                <w:szCs w:val="20"/>
                <w:shd w:val="clear" w:color="auto" w:fill="FFFFFF"/>
              </w:rPr>
              <w:t>modificare</w:t>
            </w:r>
            <w:proofErr w:type="spellEnd"/>
            <w:r>
              <w:rPr>
                <w:rFonts w:ascii="Times New Roman" w:hAnsi="Times New Roman"/>
                <w:b/>
                <w:bCs/>
                <w:color w:val="000000" w:themeColor="text1"/>
                <w:sz w:val="20"/>
                <w:szCs w:val="20"/>
                <w:shd w:val="clear" w:color="auto" w:fill="FFFFFF"/>
              </w:rPr>
              <w:t xml:space="preserve"> a </w:t>
            </w:r>
            <w:proofErr w:type="spellStart"/>
            <w:r>
              <w:rPr>
                <w:rFonts w:ascii="Times New Roman" w:hAnsi="Times New Roman"/>
                <w:b/>
                <w:bCs/>
                <w:color w:val="000000" w:themeColor="text1"/>
                <w:sz w:val="20"/>
                <w:szCs w:val="20"/>
                <w:shd w:val="clear" w:color="auto" w:fill="FFFFFF"/>
              </w:rPr>
              <w:t>Directivei</w:t>
            </w:r>
            <w:proofErr w:type="spellEnd"/>
            <w:r>
              <w:rPr>
                <w:rFonts w:ascii="Times New Roman" w:hAnsi="Times New Roman"/>
                <w:b/>
                <w:bCs/>
                <w:color w:val="000000" w:themeColor="text1"/>
                <w:sz w:val="20"/>
                <w:szCs w:val="20"/>
                <w:shd w:val="clear" w:color="auto" w:fill="FFFFFF"/>
              </w:rPr>
              <w:t xml:space="preserve"> 96/61/CE a </w:t>
            </w:r>
            <w:proofErr w:type="spellStart"/>
            <w:r>
              <w:rPr>
                <w:rFonts w:ascii="Times New Roman" w:hAnsi="Times New Roman"/>
                <w:b/>
                <w:bCs/>
                <w:color w:val="000000" w:themeColor="text1"/>
                <w:sz w:val="20"/>
                <w:szCs w:val="20"/>
                <w:shd w:val="clear" w:color="auto" w:fill="FFFFFF"/>
              </w:rPr>
              <w:t>ConsiliuluiText</w:t>
            </w:r>
            <w:proofErr w:type="spellEnd"/>
            <w:r>
              <w:rPr>
                <w:rFonts w:ascii="Times New Roman" w:hAnsi="Times New Roman"/>
                <w:b/>
                <w:bCs/>
                <w:color w:val="000000" w:themeColor="text1"/>
                <w:sz w:val="20"/>
                <w:szCs w:val="20"/>
                <w:shd w:val="clear" w:color="auto" w:fill="FFFFFF"/>
              </w:rPr>
              <w:t xml:space="preserve"> cu </w:t>
            </w:r>
            <w:proofErr w:type="spellStart"/>
            <w:r>
              <w:rPr>
                <w:rFonts w:ascii="Times New Roman" w:hAnsi="Times New Roman"/>
                <w:b/>
                <w:bCs/>
                <w:color w:val="000000" w:themeColor="text1"/>
                <w:sz w:val="20"/>
                <w:szCs w:val="20"/>
                <w:shd w:val="clear" w:color="auto" w:fill="FFFFFF"/>
              </w:rPr>
              <w:t>relevanță</w:t>
            </w:r>
            <w:proofErr w:type="spellEnd"/>
            <w:r>
              <w:rPr>
                <w:rFonts w:ascii="Times New Roman" w:hAnsi="Times New Roman"/>
                <w:b/>
                <w:bCs/>
                <w:color w:val="000000" w:themeColor="text1"/>
                <w:sz w:val="20"/>
                <w:szCs w:val="20"/>
                <w:shd w:val="clear" w:color="auto" w:fill="FFFFFF"/>
              </w:rPr>
              <w:t xml:space="preserve"> </w:t>
            </w:r>
            <w:proofErr w:type="spellStart"/>
            <w:r>
              <w:rPr>
                <w:rFonts w:ascii="Times New Roman" w:hAnsi="Times New Roman"/>
                <w:b/>
                <w:bCs/>
                <w:color w:val="000000" w:themeColor="text1"/>
                <w:sz w:val="20"/>
                <w:szCs w:val="20"/>
                <w:shd w:val="clear" w:color="auto" w:fill="FFFFFF"/>
              </w:rPr>
              <w:t>pentru</w:t>
            </w:r>
            <w:proofErr w:type="spellEnd"/>
            <w:r>
              <w:rPr>
                <w:rFonts w:ascii="Times New Roman" w:hAnsi="Times New Roman"/>
                <w:b/>
                <w:bCs/>
                <w:color w:val="000000" w:themeColor="text1"/>
                <w:sz w:val="20"/>
                <w:szCs w:val="20"/>
                <w:shd w:val="clear" w:color="auto" w:fill="FFFFFF"/>
              </w:rPr>
              <w:t xml:space="preserve"> SEE, </w:t>
            </w:r>
            <w:proofErr w:type="spellStart"/>
            <w:r>
              <w:rPr>
                <w:rFonts w:ascii="Times New Roman" w:hAnsi="Times New Roman"/>
                <w:b/>
                <w:sz w:val="20"/>
                <w:szCs w:val="20"/>
                <w:lang w:val="fr-FR"/>
              </w:rPr>
              <w:t>publicat</w:t>
            </w:r>
            <w:proofErr w:type="spellEnd"/>
            <w:r>
              <w:rPr>
                <w:rFonts w:ascii="Times New Roman" w:hAnsi="Times New Roman"/>
                <w:b/>
                <w:sz w:val="20"/>
                <w:szCs w:val="20"/>
                <w:lang w:val="fr-FR"/>
              </w:rPr>
              <w:t xml:space="preserve"> în </w:t>
            </w:r>
            <w:proofErr w:type="spellStart"/>
            <w:r>
              <w:rPr>
                <w:rFonts w:ascii="Times New Roman" w:hAnsi="Times New Roman"/>
                <w:b/>
                <w:sz w:val="20"/>
                <w:szCs w:val="20"/>
                <w:shd w:val="clear" w:color="auto" w:fill="FFFFFF"/>
                <w:lang w:val="fr-FR"/>
              </w:rPr>
              <w:t>J</w:t>
            </w:r>
            <w:r>
              <w:rPr>
                <w:rStyle w:val="italic"/>
                <w:rFonts w:ascii="Times New Roman" w:hAnsi="Times New Roman"/>
                <w:b/>
                <w:iCs/>
                <w:sz w:val="20"/>
                <w:szCs w:val="20"/>
                <w:shd w:val="clear" w:color="auto" w:fill="FFFFFF"/>
                <w:lang w:val="fr-FR"/>
              </w:rPr>
              <w:t>urnalul</w:t>
            </w:r>
            <w:proofErr w:type="spellEnd"/>
            <w:r>
              <w:rPr>
                <w:rStyle w:val="italic"/>
                <w:rFonts w:ascii="Times New Roman" w:hAnsi="Times New Roman"/>
                <w:b/>
                <w:iCs/>
                <w:sz w:val="20"/>
                <w:szCs w:val="20"/>
                <w:shd w:val="clear" w:color="auto" w:fill="FFFFFF"/>
                <w:lang w:val="fr-FR"/>
              </w:rPr>
              <w:t xml:space="preserve"> </w:t>
            </w:r>
            <w:proofErr w:type="spellStart"/>
            <w:r>
              <w:rPr>
                <w:rStyle w:val="italic"/>
                <w:rFonts w:ascii="Times New Roman" w:hAnsi="Times New Roman"/>
                <w:b/>
                <w:iCs/>
                <w:sz w:val="20"/>
                <w:szCs w:val="20"/>
                <w:shd w:val="clear" w:color="auto" w:fill="FFFFFF"/>
                <w:lang w:val="fr-FR"/>
              </w:rPr>
              <w:t>Oficial</w:t>
            </w:r>
            <w:proofErr w:type="spellEnd"/>
            <w:r>
              <w:rPr>
                <w:rStyle w:val="italic"/>
                <w:rFonts w:ascii="Times New Roman" w:hAnsi="Times New Roman"/>
                <w:b/>
                <w:iCs/>
                <w:sz w:val="20"/>
                <w:szCs w:val="20"/>
                <w:shd w:val="clear" w:color="auto" w:fill="FFFFFF"/>
                <w:lang w:val="fr-FR"/>
              </w:rPr>
              <w:t xml:space="preserve"> al </w:t>
            </w:r>
            <w:proofErr w:type="spellStart"/>
            <w:r>
              <w:rPr>
                <w:rStyle w:val="italic"/>
                <w:rFonts w:ascii="Times New Roman" w:hAnsi="Times New Roman"/>
                <w:b/>
                <w:iCs/>
                <w:sz w:val="20"/>
                <w:szCs w:val="20"/>
                <w:shd w:val="clear" w:color="auto" w:fill="FFFFFF"/>
                <w:lang w:val="fr-FR"/>
              </w:rPr>
              <w:t>Uniunii</w:t>
            </w:r>
            <w:proofErr w:type="spellEnd"/>
            <w:r>
              <w:rPr>
                <w:rStyle w:val="italic"/>
                <w:rFonts w:ascii="Times New Roman" w:hAnsi="Times New Roman"/>
                <w:b/>
                <w:iCs/>
                <w:sz w:val="20"/>
                <w:szCs w:val="20"/>
                <w:shd w:val="clear" w:color="auto" w:fill="FFFFFF"/>
                <w:lang w:val="fr-FR"/>
              </w:rPr>
              <w:t xml:space="preserve"> </w:t>
            </w:r>
            <w:proofErr w:type="spellStart"/>
            <w:r>
              <w:rPr>
                <w:rStyle w:val="italic"/>
                <w:rFonts w:ascii="Times New Roman" w:hAnsi="Times New Roman"/>
                <w:b/>
                <w:iCs/>
                <w:sz w:val="20"/>
                <w:szCs w:val="20"/>
                <w:shd w:val="clear" w:color="auto" w:fill="FFFFFF"/>
                <w:lang w:val="fr-FR"/>
              </w:rPr>
              <w:t>Europene</w:t>
            </w:r>
            <w:proofErr w:type="spellEnd"/>
            <w:r>
              <w:rPr>
                <w:rFonts w:ascii="Times New Roman" w:hAnsi="Times New Roman"/>
                <w:b/>
                <w:iCs/>
                <w:sz w:val="20"/>
                <w:szCs w:val="20"/>
                <w:shd w:val="clear" w:color="auto" w:fill="FFFFFF"/>
                <w:lang w:val="fr-FR"/>
              </w:rPr>
              <w:t xml:space="preserve"> nr L 275 </w:t>
            </w:r>
            <w:proofErr w:type="spellStart"/>
            <w:r>
              <w:rPr>
                <w:rFonts w:ascii="Times New Roman" w:hAnsi="Times New Roman"/>
                <w:b/>
                <w:iCs/>
                <w:sz w:val="20"/>
                <w:szCs w:val="20"/>
                <w:shd w:val="clear" w:color="auto" w:fill="FFFFFF"/>
                <w:lang w:val="fr-FR"/>
              </w:rPr>
              <w:t>din</w:t>
            </w:r>
            <w:proofErr w:type="spellEnd"/>
            <w:r>
              <w:rPr>
                <w:rFonts w:ascii="Times New Roman" w:hAnsi="Times New Roman"/>
                <w:b/>
                <w:iCs/>
                <w:sz w:val="20"/>
                <w:szCs w:val="20"/>
                <w:shd w:val="clear" w:color="auto" w:fill="FFFFFF"/>
                <w:lang w:val="fr-FR"/>
              </w:rPr>
              <w:t xml:space="preserve"> 25 </w:t>
            </w:r>
            <w:proofErr w:type="spellStart"/>
            <w:r>
              <w:rPr>
                <w:rFonts w:ascii="Times New Roman" w:hAnsi="Times New Roman"/>
                <w:b/>
                <w:iCs/>
                <w:sz w:val="20"/>
                <w:szCs w:val="20"/>
                <w:shd w:val="clear" w:color="auto" w:fill="FFFFFF"/>
                <w:lang w:val="fr-FR"/>
              </w:rPr>
              <w:t>octombrie</w:t>
            </w:r>
            <w:proofErr w:type="spellEnd"/>
            <w:r>
              <w:rPr>
                <w:rFonts w:ascii="Times New Roman" w:hAnsi="Times New Roman"/>
                <w:b/>
                <w:iCs/>
                <w:sz w:val="20"/>
                <w:szCs w:val="20"/>
                <w:shd w:val="clear" w:color="auto" w:fill="FFFFFF"/>
                <w:lang w:val="fr-FR"/>
              </w:rPr>
              <w:t xml:space="preserve"> 20</w:t>
            </w:r>
            <w:bookmarkEnd w:id="0"/>
            <w:r>
              <w:rPr>
                <w:rFonts w:ascii="Times New Roman" w:hAnsi="Times New Roman"/>
                <w:b/>
                <w:iCs/>
                <w:sz w:val="20"/>
                <w:szCs w:val="20"/>
                <w:shd w:val="clear" w:color="auto" w:fill="FFFFFF"/>
                <w:lang w:val="fr-FR"/>
              </w:rPr>
              <w:t>03 (</w:t>
            </w:r>
            <w:proofErr w:type="spellStart"/>
            <w:r>
              <w:rPr>
                <w:rFonts w:ascii="Times New Roman" w:hAnsi="Times New Roman"/>
                <w:b/>
                <w:iCs/>
                <w:sz w:val="20"/>
                <w:szCs w:val="20"/>
                <w:shd w:val="clear" w:color="auto" w:fill="FFFFFF"/>
                <w:lang w:val="fr-FR"/>
              </w:rPr>
              <w:t>versiunea</w:t>
            </w:r>
            <w:proofErr w:type="spellEnd"/>
            <w:r>
              <w:rPr>
                <w:rFonts w:ascii="Times New Roman" w:hAnsi="Times New Roman"/>
                <w:b/>
                <w:iCs/>
                <w:sz w:val="20"/>
                <w:szCs w:val="20"/>
                <w:shd w:val="clear" w:color="auto" w:fill="FFFFFF"/>
                <w:lang w:val="fr-FR"/>
              </w:rPr>
              <w:t xml:space="preserve"> </w:t>
            </w:r>
            <w:proofErr w:type="spellStart"/>
            <w:r>
              <w:rPr>
                <w:rFonts w:ascii="Times New Roman" w:hAnsi="Times New Roman"/>
                <w:b/>
                <w:iCs/>
                <w:sz w:val="20"/>
                <w:szCs w:val="20"/>
                <w:shd w:val="clear" w:color="auto" w:fill="FFFFFF"/>
                <w:lang w:val="fr-FR"/>
              </w:rPr>
              <w:t>consolidat</w:t>
            </w:r>
            <w:proofErr w:type="spellEnd"/>
            <w:r>
              <w:rPr>
                <w:rFonts w:ascii="Times New Roman" w:hAnsi="Times New Roman"/>
                <w:b/>
                <w:iCs/>
                <w:sz w:val="20"/>
                <w:szCs w:val="20"/>
                <w:shd w:val="clear" w:color="auto" w:fill="FFFFFF"/>
                <w:lang w:val="zh-CN"/>
              </w:rPr>
              <w:t>ă din 05.06.2023)</w:t>
            </w:r>
          </w:p>
        </w:tc>
      </w:tr>
      <w:tr w:rsidR="00124364" w14:paraId="7649B0E6" w14:textId="77777777">
        <w:trPr>
          <w:trHeight w:val="554"/>
        </w:trPr>
        <w:tc>
          <w:tcPr>
            <w:tcW w:w="15067" w:type="dxa"/>
            <w:gridSpan w:val="6"/>
            <w:shd w:val="clear" w:color="auto" w:fill="auto"/>
          </w:tcPr>
          <w:p w14:paraId="566EDE0E" w14:textId="63BB3128" w:rsidR="00124364" w:rsidRDefault="00000000">
            <w:pPr>
              <w:pStyle w:val="af8"/>
              <w:numPr>
                <w:ilvl w:val="0"/>
                <w:numId w:val="1"/>
              </w:numPr>
              <w:rPr>
                <w:rFonts w:ascii="Times New Roman" w:hAnsi="Times New Roman"/>
                <w:b/>
                <w:bCs/>
                <w:sz w:val="20"/>
                <w:szCs w:val="20"/>
                <w:lang w:val="ro-RO"/>
              </w:rPr>
            </w:pPr>
            <w:r>
              <w:rPr>
                <w:rFonts w:ascii="Times New Roman" w:hAnsi="Times New Roman"/>
                <w:b/>
                <w:bCs/>
                <w:sz w:val="20"/>
                <w:szCs w:val="20"/>
                <w:lang w:val="ro-RO"/>
              </w:rPr>
              <w:t xml:space="preserve">Titlul actului normativ </w:t>
            </w:r>
            <w:proofErr w:type="spellStart"/>
            <w:r>
              <w:rPr>
                <w:rFonts w:ascii="Times New Roman" w:hAnsi="Times New Roman"/>
                <w:b/>
                <w:bCs/>
                <w:sz w:val="20"/>
                <w:szCs w:val="20"/>
                <w:lang w:val="ro-RO"/>
              </w:rPr>
              <w:t>naţional</w:t>
            </w:r>
            <w:proofErr w:type="spellEnd"/>
            <w:r>
              <w:rPr>
                <w:rFonts w:ascii="Times New Roman" w:hAnsi="Times New Roman"/>
                <w:b/>
                <w:bCs/>
                <w:sz w:val="20"/>
                <w:szCs w:val="20"/>
                <w:lang w:val="ro-RO"/>
              </w:rPr>
              <w:t>:</w:t>
            </w:r>
            <w:r w:rsidR="00E34C2B" w:rsidRPr="0038373C">
              <w:rPr>
                <w:rFonts w:ascii="Times New Roman" w:hAnsi="Times New Roman"/>
                <w:b/>
                <w:bCs/>
                <w:sz w:val="20"/>
                <w:szCs w:val="20"/>
                <w:lang w:val="ro-RO"/>
              </w:rPr>
              <w:t xml:space="preserve"> </w:t>
            </w:r>
            <w:r w:rsidR="00E34C2B" w:rsidRPr="0038373C">
              <w:rPr>
                <w:rFonts w:ascii="Times New Roman" w:hAnsi="Times New Roman"/>
                <w:b/>
                <w:bCs/>
                <w:sz w:val="20"/>
                <w:szCs w:val="20"/>
                <w:lang w:val="ro-RO"/>
              </w:rPr>
              <w:t>proiectul Legii privind acțiunile climatice</w:t>
            </w:r>
          </w:p>
        </w:tc>
      </w:tr>
      <w:tr w:rsidR="00124364" w14:paraId="1D5BF4F8" w14:textId="77777777">
        <w:trPr>
          <w:trHeight w:val="215"/>
        </w:trPr>
        <w:tc>
          <w:tcPr>
            <w:tcW w:w="15067" w:type="dxa"/>
            <w:gridSpan w:val="6"/>
            <w:shd w:val="clear" w:color="auto" w:fill="auto"/>
          </w:tcPr>
          <w:p w14:paraId="04146464" w14:textId="77777777" w:rsidR="00124364" w:rsidRDefault="00000000">
            <w:pPr>
              <w:pStyle w:val="ColorfulList-Accent11"/>
              <w:numPr>
                <w:ilvl w:val="0"/>
                <w:numId w:val="1"/>
              </w:numPr>
              <w:spacing w:after="0" w:line="240" w:lineRule="auto"/>
              <w:ind w:left="270" w:hanging="270"/>
              <w:jc w:val="both"/>
              <w:rPr>
                <w:rFonts w:ascii="Times New Roman" w:hAnsi="Times New Roman"/>
                <w:b/>
                <w:bCs/>
                <w:sz w:val="20"/>
                <w:szCs w:val="20"/>
                <w:lang w:val="ro-RO"/>
              </w:rPr>
            </w:pPr>
            <w:r>
              <w:rPr>
                <w:rFonts w:ascii="Times New Roman" w:hAnsi="Times New Roman"/>
                <w:b/>
                <w:bCs/>
                <w:sz w:val="20"/>
                <w:szCs w:val="20"/>
                <w:lang w:val="ro-RO"/>
              </w:rPr>
              <w:t xml:space="preserve">Gradul de compatibilitate: parțial compatibil </w:t>
            </w:r>
          </w:p>
        </w:tc>
      </w:tr>
      <w:tr w:rsidR="00124364" w14:paraId="3CA63A09" w14:textId="77777777">
        <w:trPr>
          <w:trHeight w:val="1046"/>
        </w:trPr>
        <w:tc>
          <w:tcPr>
            <w:tcW w:w="4957" w:type="dxa"/>
            <w:shd w:val="clear" w:color="auto" w:fill="auto"/>
            <w:vAlign w:val="center"/>
          </w:tcPr>
          <w:p w14:paraId="6BD1A11D" w14:textId="77777777" w:rsidR="00124364" w:rsidRDefault="00124364">
            <w:pPr>
              <w:autoSpaceDE w:val="0"/>
              <w:spacing w:after="0" w:line="240" w:lineRule="auto"/>
              <w:jc w:val="center"/>
              <w:rPr>
                <w:rFonts w:ascii="Times New Roman" w:hAnsi="Times New Roman"/>
                <w:b/>
                <w:bCs/>
                <w:sz w:val="20"/>
                <w:szCs w:val="20"/>
                <w:lang w:val="ro-RO"/>
              </w:rPr>
            </w:pPr>
          </w:p>
          <w:p w14:paraId="641EB943" w14:textId="77777777" w:rsidR="00124364" w:rsidRDefault="00000000">
            <w:pPr>
              <w:autoSpaceDE w:val="0"/>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 xml:space="preserve">Actul Uniunii Europene </w:t>
            </w:r>
          </w:p>
        </w:tc>
        <w:tc>
          <w:tcPr>
            <w:tcW w:w="4394" w:type="dxa"/>
            <w:shd w:val="clear" w:color="auto" w:fill="auto"/>
            <w:vAlign w:val="center"/>
          </w:tcPr>
          <w:p w14:paraId="09B6368E" w14:textId="77777777" w:rsidR="00124364" w:rsidRDefault="00000000">
            <w:pPr>
              <w:autoSpaceDE w:val="0"/>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Proiectul de act normativ național</w:t>
            </w:r>
          </w:p>
        </w:tc>
        <w:tc>
          <w:tcPr>
            <w:tcW w:w="1276" w:type="dxa"/>
            <w:shd w:val="clear" w:color="auto" w:fill="auto"/>
            <w:vAlign w:val="center"/>
          </w:tcPr>
          <w:p w14:paraId="2E5798B0" w14:textId="77777777" w:rsidR="00124364"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bCs/>
                <w:sz w:val="20"/>
                <w:szCs w:val="20"/>
                <w:lang w:val="ro-RO"/>
              </w:rPr>
              <w:t>Gradul de compatibilitate</w:t>
            </w:r>
          </w:p>
        </w:tc>
        <w:tc>
          <w:tcPr>
            <w:tcW w:w="1275" w:type="dxa"/>
            <w:shd w:val="clear" w:color="auto" w:fill="auto"/>
            <w:vAlign w:val="center"/>
          </w:tcPr>
          <w:p w14:paraId="71896D21" w14:textId="77777777" w:rsidR="00124364" w:rsidRDefault="00000000">
            <w:pPr>
              <w:autoSpaceDE w:val="0"/>
              <w:spacing w:after="0" w:line="240" w:lineRule="auto"/>
              <w:jc w:val="center"/>
              <w:rPr>
                <w:rFonts w:ascii="Times New Roman" w:hAnsi="Times New Roman"/>
                <w:b/>
                <w:bCs/>
                <w:sz w:val="20"/>
                <w:szCs w:val="20"/>
                <w:lang w:val="ro-RO"/>
              </w:rPr>
            </w:pPr>
            <w:proofErr w:type="spellStart"/>
            <w:r>
              <w:rPr>
                <w:rFonts w:ascii="Times New Roman" w:hAnsi="Times New Roman"/>
                <w:b/>
                <w:bCs/>
                <w:sz w:val="20"/>
                <w:szCs w:val="20"/>
                <w:lang w:val="ro-RO"/>
              </w:rPr>
              <w:t>Diferenţele</w:t>
            </w:r>
            <w:proofErr w:type="spellEnd"/>
          </w:p>
          <w:p w14:paraId="402C78FC" w14:textId="77777777" w:rsidR="00124364" w:rsidRDefault="00124364">
            <w:pPr>
              <w:pStyle w:val="ColorfulList-Accent11"/>
              <w:spacing w:after="0" w:line="240" w:lineRule="auto"/>
              <w:ind w:left="0"/>
              <w:jc w:val="center"/>
              <w:rPr>
                <w:rFonts w:ascii="Times New Roman" w:hAnsi="Times New Roman"/>
                <w:b/>
                <w:bCs/>
                <w:sz w:val="20"/>
                <w:szCs w:val="20"/>
                <w:lang w:val="ro-RO"/>
              </w:rPr>
            </w:pPr>
          </w:p>
        </w:tc>
        <w:tc>
          <w:tcPr>
            <w:tcW w:w="1701" w:type="dxa"/>
            <w:shd w:val="clear" w:color="auto" w:fill="auto"/>
            <w:vAlign w:val="center"/>
          </w:tcPr>
          <w:p w14:paraId="052A27E7" w14:textId="77777777" w:rsidR="00124364"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sz w:val="20"/>
                <w:szCs w:val="20"/>
                <w:lang w:val="ro-RO"/>
              </w:rPr>
              <w:t>Observațiile</w:t>
            </w:r>
          </w:p>
        </w:tc>
        <w:tc>
          <w:tcPr>
            <w:tcW w:w="1464" w:type="dxa"/>
            <w:shd w:val="clear" w:color="auto" w:fill="auto"/>
            <w:vAlign w:val="center"/>
          </w:tcPr>
          <w:p w14:paraId="3D497FEA" w14:textId="77777777" w:rsidR="00124364" w:rsidRDefault="00000000">
            <w:pPr>
              <w:spacing w:after="0"/>
              <w:jc w:val="center"/>
              <w:rPr>
                <w:rFonts w:ascii="Times New Roman" w:hAnsi="Times New Roman"/>
                <w:b/>
                <w:sz w:val="20"/>
                <w:szCs w:val="20"/>
                <w:lang w:val="ro-RO"/>
              </w:rPr>
            </w:pPr>
            <w:r>
              <w:rPr>
                <w:rFonts w:ascii="Times New Roman" w:hAnsi="Times New Roman"/>
                <w:b/>
                <w:sz w:val="20"/>
                <w:szCs w:val="20"/>
                <w:lang w:val="ro-RO"/>
              </w:rPr>
              <w:t>Autoritatea/</w:t>
            </w:r>
          </w:p>
          <w:p w14:paraId="47BD1A49" w14:textId="77777777" w:rsidR="00124364"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sz w:val="20"/>
                <w:szCs w:val="20"/>
                <w:lang w:val="ro-RO"/>
              </w:rPr>
              <w:t>persoana responsabilă</w:t>
            </w:r>
          </w:p>
        </w:tc>
      </w:tr>
      <w:tr w:rsidR="00124364" w14:paraId="734D9455" w14:textId="77777777">
        <w:trPr>
          <w:trHeight w:val="570"/>
        </w:trPr>
        <w:tc>
          <w:tcPr>
            <w:tcW w:w="4957" w:type="dxa"/>
            <w:shd w:val="clear" w:color="auto" w:fill="auto"/>
            <w:vAlign w:val="center"/>
          </w:tcPr>
          <w:p w14:paraId="500D4B1A" w14:textId="77777777" w:rsidR="00124364"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4.</w:t>
            </w:r>
          </w:p>
        </w:tc>
        <w:tc>
          <w:tcPr>
            <w:tcW w:w="4394" w:type="dxa"/>
            <w:shd w:val="clear" w:color="auto" w:fill="auto"/>
            <w:vAlign w:val="center"/>
          </w:tcPr>
          <w:p w14:paraId="29070A80" w14:textId="77777777" w:rsidR="00124364"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5.</w:t>
            </w:r>
          </w:p>
        </w:tc>
        <w:tc>
          <w:tcPr>
            <w:tcW w:w="1276" w:type="dxa"/>
            <w:shd w:val="clear" w:color="auto" w:fill="auto"/>
            <w:vAlign w:val="center"/>
          </w:tcPr>
          <w:p w14:paraId="0E2A931D" w14:textId="77777777" w:rsidR="00124364" w:rsidRDefault="00000000">
            <w:pPr>
              <w:pStyle w:val="ColorfulList-Accent11"/>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6.</w:t>
            </w:r>
          </w:p>
        </w:tc>
        <w:tc>
          <w:tcPr>
            <w:tcW w:w="1275" w:type="dxa"/>
            <w:shd w:val="clear" w:color="auto" w:fill="auto"/>
            <w:vAlign w:val="center"/>
          </w:tcPr>
          <w:p w14:paraId="125A855F" w14:textId="77777777" w:rsidR="00124364"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7.</w:t>
            </w:r>
          </w:p>
        </w:tc>
        <w:tc>
          <w:tcPr>
            <w:tcW w:w="1701" w:type="dxa"/>
            <w:shd w:val="clear" w:color="auto" w:fill="auto"/>
            <w:vAlign w:val="center"/>
          </w:tcPr>
          <w:p w14:paraId="35BB4C14" w14:textId="77777777" w:rsidR="00124364"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8.</w:t>
            </w:r>
          </w:p>
        </w:tc>
        <w:tc>
          <w:tcPr>
            <w:tcW w:w="1464" w:type="dxa"/>
            <w:shd w:val="clear" w:color="auto" w:fill="auto"/>
            <w:vAlign w:val="center"/>
          </w:tcPr>
          <w:p w14:paraId="6D626870" w14:textId="77777777" w:rsidR="00124364"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9.</w:t>
            </w:r>
          </w:p>
        </w:tc>
      </w:tr>
      <w:tr w:rsidR="00124364" w14:paraId="1F7204BC" w14:textId="77777777">
        <w:trPr>
          <w:trHeight w:val="58"/>
        </w:trPr>
        <w:tc>
          <w:tcPr>
            <w:tcW w:w="4957" w:type="dxa"/>
            <w:shd w:val="clear" w:color="auto" w:fill="auto"/>
          </w:tcPr>
          <w:p w14:paraId="024086A1" w14:textId="77777777" w:rsidR="00124364" w:rsidRDefault="00000000">
            <w:pPr>
              <w:spacing w:after="0" w:line="240" w:lineRule="auto"/>
              <w:jc w:val="both"/>
              <w:rPr>
                <w:rStyle w:val="af3"/>
                <w:rFonts w:ascii="Times New Roman" w:eastAsia="Arial Unicode MS" w:hAnsi="Times New Roman"/>
                <w:b/>
                <w:bCs/>
                <w:color w:val="23527C"/>
                <w:sz w:val="20"/>
                <w:szCs w:val="20"/>
                <w:shd w:val="clear" w:color="auto" w:fill="FFFFFF"/>
              </w:rPr>
            </w:pPr>
            <w:hyperlink r:id="rId8" w:tooltip="32021R1119: REPLACED" w:history="1">
              <w:r>
                <w:rPr>
                  <w:rStyle w:val="af3"/>
                  <w:rFonts w:ascii="Times New Roman" w:eastAsia="Arial Unicode MS" w:hAnsi="Times New Roman"/>
                  <w:b/>
                  <w:bCs/>
                  <w:color w:val="23527C"/>
                  <w:sz w:val="20"/>
                  <w:szCs w:val="20"/>
                  <w:shd w:val="clear" w:color="auto" w:fill="FFFFFF"/>
                </w:rPr>
                <w:t>▼B</w:t>
              </w:r>
            </w:hyperlink>
          </w:p>
          <w:p w14:paraId="00798ACF" w14:textId="77777777" w:rsidR="00124364" w:rsidRPr="00E34C2B" w:rsidRDefault="00124364">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
          <w:p w14:paraId="51CEE325" w14:textId="77777777" w:rsidR="00124364" w:rsidRPr="00E34C2B" w:rsidRDefault="00000000">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E34C2B">
              <w:rPr>
                <w:rFonts w:ascii="Times New Roman" w:eastAsia="Arial Unicode MS" w:hAnsi="Times New Roman"/>
                <w:i/>
                <w:iCs/>
                <w:color w:val="000000" w:themeColor="text1"/>
                <w:sz w:val="20"/>
                <w:szCs w:val="20"/>
                <w:shd w:val="clear" w:color="auto" w:fill="FFFFFF"/>
              </w:rPr>
              <w:t>Articolul</w:t>
            </w:r>
            <w:proofErr w:type="spellEnd"/>
            <w:r w:rsidRPr="00E34C2B">
              <w:rPr>
                <w:rFonts w:ascii="Times New Roman" w:eastAsia="Arial Unicode MS" w:hAnsi="Times New Roman"/>
                <w:i/>
                <w:iCs/>
                <w:color w:val="000000" w:themeColor="text1"/>
                <w:sz w:val="20"/>
                <w:szCs w:val="20"/>
                <w:shd w:val="clear" w:color="auto" w:fill="FFFFFF"/>
              </w:rPr>
              <w:t xml:space="preserve"> 1</w:t>
            </w:r>
          </w:p>
          <w:p w14:paraId="08ECD8E8" w14:textId="77777777" w:rsidR="00124364" w:rsidRPr="00E34C2B" w:rsidRDefault="00000000">
            <w:pPr>
              <w:shd w:val="clear" w:color="auto" w:fill="FFFFFF"/>
              <w:spacing w:after="0" w:line="240" w:lineRule="auto"/>
              <w:jc w:val="center"/>
              <w:rPr>
                <w:rFonts w:ascii="Times New Roman" w:eastAsia="Arial Unicode MS" w:hAnsi="Times New Roman"/>
                <w:b/>
                <w:bCs/>
                <w:color w:val="000000" w:themeColor="text1"/>
                <w:sz w:val="20"/>
                <w:szCs w:val="20"/>
                <w:shd w:val="clear" w:color="auto" w:fill="FFFFFF"/>
              </w:rPr>
            </w:pPr>
            <w:proofErr w:type="spellStart"/>
            <w:r w:rsidRPr="00E34C2B">
              <w:rPr>
                <w:rFonts w:ascii="Times New Roman" w:eastAsia="Arial Unicode MS" w:hAnsi="Times New Roman"/>
                <w:b/>
                <w:bCs/>
                <w:color w:val="000000" w:themeColor="text1"/>
                <w:sz w:val="20"/>
                <w:szCs w:val="20"/>
                <w:shd w:val="clear" w:color="auto" w:fill="FFFFFF"/>
              </w:rPr>
              <w:t>Obiectul</w:t>
            </w:r>
            <w:proofErr w:type="spellEnd"/>
            <w:r w:rsidRPr="00E34C2B">
              <w:rPr>
                <w:rFonts w:ascii="Times New Roman" w:eastAsia="Arial Unicode MS" w:hAnsi="Times New Roman"/>
                <w:b/>
                <w:bCs/>
                <w:color w:val="000000" w:themeColor="text1"/>
                <w:sz w:val="20"/>
                <w:szCs w:val="20"/>
                <w:shd w:val="clear" w:color="auto" w:fill="FFFFFF"/>
              </w:rPr>
              <w:t xml:space="preserve"> </w:t>
            </w:r>
          </w:p>
          <w:p w14:paraId="0149F42F" w14:textId="77777777" w:rsidR="00124364" w:rsidRDefault="00000000">
            <w:pPr>
              <w:shd w:val="clear" w:color="auto" w:fill="FFFFFF"/>
              <w:spacing w:after="0" w:line="240" w:lineRule="auto"/>
              <w:rPr>
                <w:rFonts w:ascii="Times New Roman" w:hAnsi="Times New Roman"/>
                <w:sz w:val="20"/>
                <w:szCs w:val="20"/>
              </w:rPr>
            </w:pPr>
            <w:hyperlink r:id="rId9" w:tooltip="32003L0087R(06): REPLACED" w:history="1">
              <w:r>
                <w:rPr>
                  <w:rStyle w:val="af3"/>
                  <w:rFonts w:ascii="Times New Roman" w:eastAsia="Arial Unicode MS" w:hAnsi="Times New Roman"/>
                  <w:b/>
                  <w:bCs/>
                  <w:color w:val="23527C"/>
                  <w:sz w:val="20"/>
                  <w:szCs w:val="20"/>
                  <w:shd w:val="clear" w:color="auto" w:fill="FFFFFF"/>
                </w:rPr>
                <w:t>▼C2</w:t>
              </w:r>
            </w:hyperlink>
          </w:p>
          <w:p w14:paraId="0D294F86" w14:textId="77777777" w:rsidR="00124364" w:rsidRDefault="00000000">
            <w:pPr>
              <w:shd w:val="clear" w:color="auto" w:fill="FFFFFF"/>
              <w:spacing w:after="0" w:line="240" w:lineRule="auto"/>
              <w:jc w:val="both"/>
              <w:rPr>
                <w:rFonts w:ascii="Times New Roman" w:hAnsi="Times New Roman"/>
                <w:color w:val="000000" w:themeColor="text1"/>
                <w:sz w:val="20"/>
                <w:szCs w:val="20"/>
              </w:rPr>
            </w:pPr>
            <w:proofErr w:type="spellStart"/>
            <w:r>
              <w:rPr>
                <w:rFonts w:ascii="Times New Roman" w:eastAsia="Arial Unicode MS" w:hAnsi="Times New Roman"/>
                <w:color w:val="000000" w:themeColor="text1"/>
                <w:sz w:val="20"/>
                <w:szCs w:val="20"/>
                <w:shd w:val="clear" w:color="auto" w:fill="FFFFFF"/>
              </w:rPr>
              <w:t>Prin</w:t>
            </w:r>
            <w:proofErr w:type="spellEnd"/>
            <w:r>
              <w:rPr>
                <w:rFonts w:ascii="Times New Roman" w:eastAsia="Arial Unicode MS" w:hAnsi="Times New Roman"/>
                <w:color w:val="000000" w:themeColor="text1"/>
                <w:sz w:val="20"/>
                <w:szCs w:val="20"/>
                <w:shd w:val="clear" w:color="auto" w:fill="FFFFFF"/>
              </w:rPr>
              <w:t xml:space="preserve"> prezenta </w:t>
            </w:r>
            <w:proofErr w:type="spellStart"/>
            <w:r>
              <w:rPr>
                <w:rFonts w:ascii="Times New Roman" w:eastAsia="Arial Unicode MS" w:hAnsi="Times New Roman"/>
                <w:color w:val="000000" w:themeColor="text1"/>
                <w:sz w:val="20"/>
                <w:szCs w:val="20"/>
                <w:shd w:val="clear" w:color="auto" w:fill="FFFFFF"/>
              </w:rPr>
              <w:t>directivă</w:t>
            </w:r>
            <w:proofErr w:type="spellEnd"/>
            <w:r>
              <w:rPr>
                <w:rFonts w:ascii="Times New Roman" w:eastAsia="Arial Unicode MS" w:hAnsi="Times New Roman"/>
                <w:color w:val="000000" w:themeColor="text1"/>
                <w:sz w:val="20"/>
                <w:szCs w:val="20"/>
                <w:shd w:val="clear" w:color="auto" w:fill="FFFFFF"/>
              </w:rPr>
              <w:t xml:space="preserve"> se </w:t>
            </w:r>
            <w:proofErr w:type="spellStart"/>
            <w:r>
              <w:rPr>
                <w:rFonts w:ascii="Times New Roman" w:eastAsia="Arial Unicode MS" w:hAnsi="Times New Roman"/>
                <w:color w:val="000000" w:themeColor="text1"/>
                <w:sz w:val="20"/>
                <w:szCs w:val="20"/>
                <w:shd w:val="clear" w:color="auto" w:fill="FFFFFF"/>
              </w:rPr>
              <w:t>stabilește</w:t>
            </w:r>
            <w:proofErr w:type="spellEnd"/>
            <w:r>
              <w:rPr>
                <w:rFonts w:ascii="Times New Roman" w:eastAsia="Arial Unicode MS" w:hAnsi="Times New Roman"/>
                <w:color w:val="000000" w:themeColor="text1"/>
                <w:sz w:val="20"/>
                <w:szCs w:val="20"/>
                <w:shd w:val="clear" w:color="auto" w:fill="FFFFFF"/>
              </w:rPr>
              <w:t xml:space="preserve"> o </w:t>
            </w:r>
            <w:proofErr w:type="spellStart"/>
            <w:r>
              <w:rPr>
                <w:rFonts w:ascii="Times New Roman" w:eastAsia="Arial Unicode MS" w:hAnsi="Times New Roman"/>
                <w:color w:val="000000" w:themeColor="text1"/>
                <w:sz w:val="20"/>
                <w:szCs w:val="20"/>
                <w:shd w:val="clear" w:color="auto" w:fill="FFFFFF"/>
              </w:rPr>
              <w:t>schemă</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comercializare</w:t>
            </w:r>
            <w:proofErr w:type="spellEnd"/>
            <w:r>
              <w:rPr>
                <w:rFonts w:ascii="Times New Roman" w:eastAsia="Arial Unicode MS" w:hAnsi="Times New Roman"/>
                <w:color w:val="000000" w:themeColor="text1"/>
                <w:sz w:val="20"/>
                <w:szCs w:val="20"/>
                <w:shd w:val="clear" w:color="auto" w:fill="FFFFFF"/>
              </w:rPr>
              <w:t xml:space="preserve"> a </w:t>
            </w:r>
            <w:proofErr w:type="spellStart"/>
            <w:r>
              <w:rPr>
                <w:rFonts w:ascii="Times New Roman" w:eastAsia="Arial Unicode MS" w:hAnsi="Times New Roman"/>
                <w:color w:val="000000" w:themeColor="text1"/>
                <w:sz w:val="20"/>
                <w:szCs w:val="20"/>
                <w:shd w:val="clear" w:color="auto" w:fill="FFFFFF"/>
              </w:rPr>
              <w:t>certificatelor</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emisii</w:t>
            </w:r>
            <w:proofErr w:type="spellEnd"/>
            <w:r>
              <w:rPr>
                <w:rFonts w:ascii="Times New Roman" w:eastAsia="Arial Unicode MS" w:hAnsi="Times New Roman"/>
                <w:color w:val="000000" w:themeColor="text1"/>
                <w:sz w:val="20"/>
                <w:szCs w:val="20"/>
                <w:shd w:val="clear" w:color="auto" w:fill="FFFFFF"/>
              </w:rPr>
              <w:t xml:space="preserve"> de gaze cu </w:t>
            </w:r>
            <w:proofErr w:type="spellStart"/>
            <w:r>
              <w:rPr>
                <w:rFonts w:ascii="Times New Roman" w:eastAsia="Arial Unicode MS" w:hAnsi="Times New Roman"/>
                <w:color w:val="000000" w:themeColor="text1"/>
                <w:sz w:val="20"/>
                <w:szCs w:val="20"/>
                <w:shd w:val="clear" w:color="auto" w:fill="FFFFFF"/>
              </w:rPr>
              <w:t>efect</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seră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denumită</w:t>
            </w:r>
            <w:proofErr w:type="spellEnd"/>
            <w:r>
              <w:rPr>
                <w:rFonts w:ascii="Times New Roman" w:eastAsia="Arial Unicode MS" w:hAnsi="Times New Roman"/>
                <w:color w:val="000000" w:themeColor="text1"/>
                <w:sz w:val="20"/>
                <w:szCs w:val="20"/>
                <w:shd w:val="clear" w:color="auto" w:fill="FFFFFF"/>
              </w:rPr>
              <w:t xml:space="preserve"> în </w:t>
            </w:r>
            <w:proofErr w:type="spellStart"/>
            <w:r>
              <w:rPr>
                <w:rFonts w:ascii="Times New Roman" w:eastAsia="Arial Unicode MS" w:hAnsi="Times New Roman"/>
                <w:color w:val="000000" w:themeColor="text1"/>
                <w:sz w:val="20"/>
                <w:szCs w:val="20"/>
                <w:shd w:val="clear" w:color="auto" w:fill="FFFFFF"/>
              </w:rPr>
              <w:t>continuare</w:t>
            </w:r>
            <w:proofErr w:type="spellEnd"/>
            <w:r>
              <w:rPr>
                <w:rFonts w:ascii="Times New Roman" w:eastAsia="Arial Unicode MS" w:hAnsi="Times New Roman"/>
                <w:color w:val="000000" w:themeColor="text1"/>
                <w:sz w:val="20"/>
                <w:szCs w:val="20"/>
                <w:shd w:val="clear" w:color="auto" w:fill="FFFFFF"/>
              </w:rPr>
              <w:t xml:space="preserve"> „</w:t>
            </w:r>
            <w:hyperlink r:id="rId10" w:tooltip="32018L0410: REPLACED" w:history="1">
              <w:r>
                <w:rPr>
                  <w:rStyle w:val="boldface"/>
                  <w:rFonts w:ascii="Times New Roman" w:eastAsia="Arial Unicode MS" w:hAnsi="Times New Roman"/>
                  <w:b/>
                  <w:bCs/>
                  <w:color w:val="000000" w:themeColor="text1"/>
                  <w:sz w:val="20"/>
                  <w:szCs w:val="20"/>
                </w:rPr>
                <w:t>►M9</w:t>
              </w:r>
            </w:hyperlink>
            <w:r>
              <w:rPr>
                <w:rFonts w:ascii="Times New Roman" w:eastAsia="Arial Unicode MS" w:hAnsi="Times New Roman"/>
                <w:color w:val="000000" w:themeColor="text1"/>
                <w:sz w:val="20"/>
                <w:szCs w:val="20"/>
                <w:shd w:val="clear" w:color="auto" w:fill="FFFFFF"/>
              </w:rPr>
              <w:t xml:space="preserve"> EU ETS</w:t>
            </w:r>
            <w:r>
              <w:rPr>
                <w:rStyle w:val="boldface"/>
                <w:rFonts w:ascii="Times New Roman" w:eastAsia="Arial Unicode MS" w:hAnsi="Times New Roman"/>
                <w:b/>
                <w:bCs/>
                <w:color w:val="000000" w:themeColor="text1"/>
                <w:sz w:val="20"/>
                <w:szCs w:val="20"/>
                <w:shd w:val="clear" w:color="auto" w:fill="FFFFFF"/>
              </w:rPr>
              <w:t>◄</w:t>
            </w:r>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pentru</w:t>
            </w:r>
            <w:proofErr w:type="spellEnd"/>
            <w:r>
              <w:rPr>
                <w:rFonts w:ascii="Times New Roman" w:eastAsia="Arial Unicode MS" w:hAnsi="Times New Roman"/>
                <w:color w:val="000000" w:themeColor="text1"/>
                <w:sz w:val="20"/>
                <w:szCs w:val="20"/>
                <w:shd w:val="clear" w:color="auto" w:fill="FFFFFF"/>
              </w:rPr>
              <w:t xml:space="preserve"> a </w:t>
            </w:r>
            <w:proofErr w:type="spellStart"/>
            <w:r>
              <w:rPr>
                <w:rFonts w:ascii="Times New Roman" w:eastAsia="Arial Unicode MS" w:hAnsi="Times New Roman"/>
                <w:color w:val="000000" w:themeColor="text1"/>
                <w:sz w:val="20"/>
                <w:szCs w:val="20"/>
                <w:shd w:val="clear" w:color="auto" w:fill="FFFFFF"/>
              </w:rPr>
              <w:t>promova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reducerea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emisiilor</w:t>
            </w:r>
            <w:proofErr w:type="spellEnd"/>
            <w:r>
              <w:rPr>
                <w:rFonts w:ascii="Times New Roman" w:eastAsia="Arial Unicode MS" w:hAnsi="Times New Roman"/>
                <w:color w:val="000000" w:themeColor="text1"/>
                <w:sz w:val="20"/>
                <w:szCs w:val="20"/>
                <w:shd w:val="clear" w:color="auto" w:fill="FFFFFF"/>
              </w:rPr>
              <w:t xml:space="preserve"> de gaze cu </w:t>
            </w:r>
            <w:proofErr w:type="spellStart"/>
            <w:r>
              <w:rPr>
                <w:rFonts w:ascii="Times New Roman" w:eastAsia="Arial Unicode MS" w:hAnsi="Times New Roman"/>
                <w:color w:val="000000" w:themeColor="text1"/>
                <w:sz w:val="20"/>
                <w:szCs w:val="20"/>
                <w:shd w:val="clear" w:color="auto" w:fill="FFFFFF"/>
              </w:rPr>
              <w:t>efect</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seră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într</w:t>
            </w:r>
            <w:proofErr w:type="spellEnd"/>
            <w:r>
              <w:rPr>
                <w:rFonts w:ascii="Times New Roman" w:eastAsia="Arial Unicode MS" w:hAnsi="Times New Roman"/>
                <w:color w:val="000000" w:themeColor="text1"/>
                <w:sz w:val="20"/>
                <w:szCs w:val="20"/>
                <w:shd w:val="clear" w:color="auto" w:fill="FFFFFF"/>
              </w:rPr>
              <w:t xml:space="preserve">-un mod </w:t>
            </w:r>
            <w:proofErr w:type="spellStart"/>
            <w:r>
              <w:rPr>
                <w:rFonts w:ascii="Times New Roman" w:eastAsia="Arial Unicode MS" w:hAnsi="Times New Roman"/>
                <w:color w:val="000000" w:themeColor="text1"/>
                <w:sz w:val="20"/>
                <w:szCs w:val="20"/>
                <w:shd w:val="clear" w:color="auto" w:fill="FFFFFF"/>
              </w:rPr>
              <w:t>rentabil</w:t>
            </w:r>
            <w:proofErr w:type="spellEnd"/>
            <w:r>
              <w:rPr>
                <w:rFonts w:ascii="Times New Roman" w:eastAsia="Arial Unicode MS" w:hAnsi="Times New Roman"/>
                <w:color w:val="000000" w:themeColor="text1"/>
                <w:sz w:val="20"/>
                <w:szCs w:val="20"/>
                <w:shd w:val="clear" w:color="auto" w:fill="FFFFFF"/>
              </w:rPr>
              <w:t xml:space="preserve"> și </w:t>
            </w:r>
            <w:proofErr w:type="spellStart"/>
            <w:r>
              <w:rPr>
                <w:rFonts w:ascii="Times New Roman" w:eastAsia="Arial Unicode MS" w:hAnsi="Times New Roman"/>
                <w:color w:val="000000" w:themeColor="text1"/>
                <w:sz w:val="20"/>
                <w:szCs w:val="20"/>
                <w:shd w:val="clear" w:color="auto" w:fill="FFFFFF"/>
              </w:rPr>
              <w:t>eficient</w:t>
            </w:r>
            <w:proofErr w:type="spellEnd"/>
            <w:r>
              <w:rPr>
                <w:rFonts w:ascii="Times New Roman" w:eastAsia="Arial Unicode MS" w:hAnsi="Times New Roman"/>
                <w:color w:val="000000" w:themeColor="text1"/>
                <w:sz w:val="20"/>
                <w:szCs w:val="20"/>
                <w:shd w:val="clear" w:color="auto" w:fill="FFFFFF"/>
              </w:rPr>
              <w:t xml:space="preserve"> din </w:t>
            </w:r>
            <w:proofErr w:type="spellStart"/>
            <w:r>
              <w:rPr>
                <w:rFonts w:ascii="Times New Roman" w:eastAsia="Arial Unicode MS" w:hAnsi="Times New Roman"/>
                <w:color w:val="000000" w:themeColor="text1"/>
                <w:sz w:val="20"/>
                <w:szCs w:val="20"/>
                <w:shd w:val="clear" w:color="auto" w:fill="FFFFFF"/>
              </w:rPr>
              <w:t>punct</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vedere</w:t>
            </w:r>
            <w:proofErr w:type="spellEnd"/>
            <w:r>
              <w:rPr>
                <w:rFonts w:ascii="Times New Roman" w:eastAsia="Arial Unicode MS" w:hAnsi="Times New Roman"/>
                <w:color w:val="000000" w:themeColor="text1"/>
                <w:sz w:val="20"/>
                <w:szCs w:val="20"/>
                <w:shd w:val="clear" w:color="auto" w:fill="FFFFFF"/>
              </w:rPr>
              <w:t xml:space="preserve"> economic.</w:t>
            </w:r>
          </w:p>
          <w:p w14:paraId="04DC6DC0" w14:textId="77777777" w:rsidR="00124364" w:rsidRDefault="00000000">
            <w:pPr>
              <w:shd w:val="clear" w:color="auto" w:fill="FFFFFF"/>
              <w:spacing w:after="0" w:line="240" w:lineRule="auto"/>
              <w:rPr>
                <w:rFonts w:ascii="Times New Roman" w:eastAsia="Arial Unicode MS" w:hAnsi="Times New Roman"/>
                <w:b/>
                <w:bCs/>
                <w:color w:val="333333"/>
                <w:sz w:val="20"/>
                <w:szCs w:val="20"/>
                <w:shd w:val="clear" w:color="auto" w:fill="FFFFFF"/>
              </w:rPr>
            </w:pPr>
            <w:hyperlink r:id="rId11" w:tooltip="32023L0959: REPLACED" w:history="1">
              <w:r>
                <w:rPr>
                  <w:rStyle w:val="af3"/>
                  <w:rFonts w:ascii="Times New Roman" w:eastAsia="Arial Unicode MS" w:hAnsi="Times New Roman"/>
                  <w:b/>
                  <w:bCs/>
                  <w:color w:val="23527C"/>
                  <w:sz w:val="20"/>
                  <w:szCs w:val="20"/>
                  <w:shd w:val="clear" w:color="auto" w:fill="FFFFFF"/>
                </w:rPr>
                <w:t>▼M15</w:t>
              </w:r>
            </w:hyperlink>
          </w:p>
          <w:p w14:paraId="176B01DB" w14:textId="77777777" w:rsidR="00124364" w:rsidRDefault="0000000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 xml:space="preserve">Prezenta </w:t>
            </w:r>
            <w:proofErr w:type="spellStart"/>
            <w:r>
              <w:rPr>
                <w:rFonts w:ascii="Times New Roman" w:eastAsia="Arial Unicode MS" w:hAnsi="Times New Roman"/>
                <w:color w:val="000000" w:themeColor="text1"/>
                <w:sz w:val="20"/>
                <w:szCs w:val="20"/>
                <w:shd w:val="clear" w:color="auto" w:fill="FFFFFF"/>
              </w:rPr>
              <w:t>directivă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prevede</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asemenea</w:t>
            </w:r>
            <w:proofErr w:type="spellEnd"/>
            <w:r>
              <w:rPr>
                <w:rFonts w:ascii="Times New Roman" w:eastAsia="Arial Unicode MS" w:hAnsi="Times New Roman"/>
                <w:color w:val="000000" w:themeColor="text1"/>
                <w:sz w:val="20"/>
                <w:szCs w:val="20"/>
                <w:shd w:val="clear" w:color="auto" w:fill="FFFFFF"/>
              </w:rPr>
              <w:t xml:space="preserve">, o </w:t>
            </w:r>
            <w:proofErr w:type="spellStart"/>
            <w:r>
              <w:rPr>
                <w:rFonts w:ascii="Times New Roman" w:eastAsia="Arial Unicode MS" w:hAnsi="Times New Roman"/>
                <w:color w:val="000000" w:themeColor="text1"/>
                <w:sz w:val="20"/>
                <w:szCs w:val="20"/>
                <w:shd w:val="clear" w:color="auto" w:fill="FFFFFF"/>
              </w:rPr>
              <w:t>reducere</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mai</w:t>
            </w:r>
            <w:proofErr w:type="spellEnd"/>
            <w:r>
              <w:rPr>
                <w:rFonts w:ascii="Times New Roman" w:eastAsia="Arial Unicode MS" w:hAnsi="Times New Roman"/>
                <w:color w:val="000000" w:themeColor="text1"/>
                <w:sz w:val="20"/>
                <w:szCs w:val="20"/>
                <w:shd w:val="clear" w:color="auto" w:fill="FFFFFF"/>
              </w:rPr>
              <w:t xml:space="preserve"> mare </w:t>
            </w:r>
            <w:proofErr w:type="gramStart"/>
            <w:r>
              <w:rPr>
                <w:rFonts w:ascii="Times New Roman" w:eastAsia="Arial Unicode MS" w:hAnsi="Times New Roman"/>
                <w:color w:val="000000" w:themeColor="text1"/>
                <w:sz w:val="20"/>
                <w:szCs w:val="20"/>
                <w:shd w:val="clear" w:color="auto" w:fill="FFFFFF"/>
              </w:rPr>
              <w:t>a</w:t>
            </w:r>
            <w:proofErr w:type="gram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emisiilor</w:t>
            </w:r>
            <w:proofErr w:type="spellEnd"/>
            <w:r>
              <w:rPr>
                <w:rFonts w:ascii="Times New Roman" w:eastAsia="Arial Unicode MS" w:hAnsi="Times New Roman"/>
                <w:color w:val="000000" w:themeColor="text1"/>
                <w:sz w:val="20"/>
                <w:szCs w:val="20"/>
                <w:shd w:val="clear" w:color="auto" w:fill="FFFFFF"/>
              </w:rPr>
              <w:t xml:space="preserve"> de gaze cu </w:t>
            </w:r>
            <w:proofErr w:type="spellStart"/>
            <w:r>
              <w:rPr>
                <w:rFonts w:ascii="Times New Roman" w:eastAsia="Arial Unicode MS" w:hAnsi="Times New Roman"/>
                <w:color w:val="000000" w:themeColor="text1"/>
                <w:sz w:val="20"/>
                <w:szCs w:val="20"/>
                <w:shd w:val="clear" w:color="auto" w:fill="FFFFFF"/>
              </w:rPr>
              <w:t>efect</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seră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astfel</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încât</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aceasta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să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contribuie</w:t>
            </w:r>
            <w:proofErr w:type="spellEnd"/>
            <w:r>
              <w:rPr>
                <w:rFonts w:ascii="Times New Roman" w:eastAsia="Arial Unicode MS" w:hAnsi="Times New Roman"/>
                <w:color w:val="000000" w:themeColor="text1"/>
                <w:sz w:val="20"/>
                <w:szCs w:val="20"/>
                <w:shd w:val="clear" w:color="auto" w:fill="FFFFFF"/>
              </w:rPr>
              <w:t xml:space="preserve"> la </w:t>
            </w:r>
            <w:proofErr w:type="spellStart"/>
            <w:r>
              <w:rPr>
                <w:rFonts w:ascii="Times New Roman" w:eastAsia="Arial Unicode MS" w:hAnsi="Times New Roman"/>
                <w:color w:val="000000" w:themeColor="text1"/>
                <w:sz w:val="20"/>
                <w:szCs w:val="20"/>
                <w:shd w:val="clear" w:color="auto" w:fill="FFFFFF"/>
              </w:rPr>
              <w:t>obținerea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unor</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niveluri</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reducere</w:t>
            </w:r>
            <w:proofErr w:type="spellEnd"/>
            <w:r>
              <w:rPr>
                <w:rFonts w:ascii="Times New Roman" w:eastAsia="Arial Unicode MS" w:hAnsi="Times New Roman"/>
                <w:color w:val="000000" w:themeColor="text1"/>
                <w:sz w:val="20"/>
                <w:szCs w:val="20"/>
                <w:shd w:val="clear" w:color="auto" w:fill="FFFFFF"/>
              </w:rPr>
              <w:t xml:space="preserve"> care sunt considerate </w:t>
            </w:r>
            <w:proofErr w:type="spellStart"/>
            <w:r>
              <w:rPr>
                <w:rFonts w:ascii="Times New Roman" w:eastAsia="Arial Unicode MS" w:hAnsi="Times New Roman"/>
                <w:color w:val="000000" w:themeColor="text1"/>
                <w:sz w:val="20"/>
                <w:szCs w:val="20"/>
                <w:shd w:val="clear" w:color="auto" w:fill="FFFFFF"/>
              </w:rPr>
              <w:t>necesare</w:t>
            </w:r>
            <w:proofErr w:type="spellEnd"/>
            <w:r>
              <w:rPr>
                <w:rFonts w:ascii="Times New Roman" w:eastAsia="Arial Unicode MS" w:hAnsi="Times New Roman"/>
                <w:color w:val="000000" w:themeColor="text1"/>
                <w:sz w:val="20"/>
                <w:szCs w:val="20"/>
                <w:shd w:val="clear" w:color="auto" w:fill="FFFFFF"/>
              </w:rPr>
              <w:t xml:space="preserve"> din </w:t>
            </w:r>
            <w:proofErr w:type="spellStart"/>
            <w:r>
              <w:rPr>
                <w:rFonts w:ascii="Times New Roman" w:eastAsia="Arial Unicode MS" w:hAnsi="Times New Roman"/>
                <w:color w:val="000000" w:themeColor="text1"/>
                <w:sz w:val="20"/>
                <w:szCs w:val="20"/>
                <w:shd w:val="clear" w:color="auto" w:fill="FFFFFF"/>
              </w:rPr>
              <w:t>punct</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vedere</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științific</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pentru</w:t>
            </w:r>
            <w:proofErr w:type="spellEnd"/>
            <w:r>
              <w:rPr>
                <w:rFonts w:ascii="Times New Roman" w:eastAsia="Arial Unicode MS" w:hAnsi="Times New Roman"/>
                <w:color w:val="000000" w:themeColor="text1"/>
                <w:sz w:val="20"/>
                <w:szCs w:val="20"/>
                <w:shd w:val="clear" w:color="auto" w:fill="FFFFFF"/>
              </w:rPr>
              <w:t xml:space="preserve"> a se </w:t>
            </w:r>
            <w:proofErr w:type="spellStart"/>
            <w:r>
              <w:rPr>
                <w:rFonts w:ascii="Times New Roman" w:eastAsia="Arial Unicode MS" w:hAnsi="Times New Roman"/>
                <w:color w:val="000000" w:themeColor="text1"/>
                <w:sz w:val="20"/>
                <w:szCs w:val="20"/>
                <w:shd w:val="clear" w:color="auto" w:fill="FFFFFF"/>
              </w:rPr>
              <w:t>evita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schimbări</w:t>
            </w:r>
            <w:proofErr w:type="spellEnd"/>
            <w:r>
              <w:rPr>
                <w:rFonts w:ascii="Times New Roman" w:eastAsia="Arial Unicode MS" w:hAnsi="Times New Roman"/>
                <w:color w:val="000000" w:themeColor="text1"/>
                <w:sz w:val="20"/>
                <w:szCs w:val="20"/>
                <w:shd w:val="clear" w:color="auto" w:fill="FFFFFF"/>
              </w:rPr>
              <w:t xml:space="preserve"> climatice </w:t>
            </w:r>
            <w:proofErr w:type="spellStart"/>
            <w:r>
              <w:rPr>
                <w:rFonts w:ascii="Times New Roman" w:eastAsia="Arial Unicode MS" w:hAnsi="Times New Roman"/>
                <w:color w:val="000000" w:themeColor="text1"/>
                <w:sz w:val="20"/>
                <w:szCs w:val="20"/>
                <w:shd w:val="clear" w:color="auto" w:fill="FFFFFF"/>
              </w:rPr>
              <w:t>periculoase</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Aceasta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contribuie</w:t>
            </w:r>
            <w:proofErr w:type="spellEnd"/>
            <w:r>
              <w:rPr>
                <w:rFonts w:ascii="Times New Roman" w:eastAsia="Arial Unicode MS" w:hAnsi="Times New Roman"/>
                <w:color w:val="000000" w:themeColor="text1"/>
                <w:sz w:val="20"/>
                <w:szCs w:val="20"/>
                <w:shd w:val="clear" w:color="auto" w:fill="FFFFFF"/>
              </w:rPr>
              <w:t xml:space="preserve"> la </w:t>
            </w:r>
            <w:proofErr w:type="spellStart"/>
            <w:r>
              <w:rPr>
                <w:rFonts w:ascii="Times New Roman" w:eastAsia="Arial Unicode MS" w:hAnsi="Times New Roman"/>
                <w:color w:val="000000" w:themeColor="text1"/>
                <w:sz w:val="20"/>
                <w:szCs w:val="20"/>
                <w:shd w:val="clear" w:color="auto" w:fill="FFFFFF"/>
              </w:rPr>
              <w:t>realizarea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obiectivului</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Uniunii</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privind</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neutralitatea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climatică</w:t>
            </w:r>
            <w:proofErr w:type="spellEnd"/>
            <w:r>
              <w:rPr>
                <w:rFonts w:ascii="Times New Roman" w:eastAsia="Arial Unicode MS" w:hAnsi="Times New Roman"/>
                <w:color w:val="000000" w:themeColor="text1"/>
                <w:sz w:val="20"/>
                <w:szCs w:val="20"/>
                <w:shd w:val="clear" w:color="auto" w:fill="FFFFFF"/>
              </w:rPr>
              <w:t xml:space="preserve"> și a </w:t>
            </w:r>
            <w:proofErr w:type="spellStart"/>
            <w:r>
              <w:rPr>
                <w:rFonts w:ascii="Times New Roman" w:eastAsia="Arial Unicode MS" w:hAnsi="Times New Roman"/>
                <w:color w:val="000000" w:themeColor="text1"/>
                <w:sz w:val="20"/>
                <w:szCs w:val="20"/>
                <w:shd w:val="clear" w:color="auto" w:fill="FFFFFF"/>
              </w:rPr>
              <w:t>obiectivelor</w:t>
            </w:r>
            <w:proofErr w:type="spellEnd"/>
            <w:r>
              <w:rPr>
                <w:rFonts w:ascii="Times New Roman" w:eastAsia="Arial Unicode MS" w:hAnsi="Times New Roman"/>
                <w:color w:val="000000" w:themeColor="text1"/>
                <w:sz w:val="20"/>
                <w:szCs w:val="20"/>
                <w:shd w:val="clear" w:color="auto" w:fill="FFFFFF"/>
              </w:rPr>
              <w:t xml:space="preserve"> sale climatice, </w:t>
            </w:r>
            <w:proofErr w:type="spellStart"/>
            <w:r>
              <w:rPr>
                <w:rFonts w:ascii="Times New Roman" w:eastAsia="Arial Unicode MS" w:hAnsi="Times New Roman"/>
                <w:color w:val="000000" w:themeColor="text1"/>
                <w:sz w:val="20"/>
                <w:szCs w:val="20"/>
                <w:shd w:val="clear" w:color="auto" w:fill="FFFFFF"/>
              </w:rPr>
              <w:t>prevăzute</w:t>
            </w:r>
            <w:proofErr w:type="spellEnd"/>
            <w:r>
              <w:rPr>
                <w:rFonts w:ascii="Times New Roman" w:eastAsia="Arial Unicode MS" w:hAnsi="Times New Roman"/>
                <w:color w:val="000000" w:themeColor="text1"/>
                <w:sz w:val="20"/>
                <w:szCs w:val="20"/>
                <w:shd w:val="clear" w:color="auto" w:fill="FFFFFF"/>
              </w:rPr>
              <w:t xml:space="preserve"> în </w:t>
            </w:r>
            <w:proofErr w:type="spellStart"/>
            <w:r>
              <w:rPr>
                <w:rFonts w:ascii="Times New Roman" w:eastAsia="Arial Unicode MS" w:hAnsi="Times New Roman"/>
                <w:color w:val="000000" w:themeColor="text1"/>
                <w:sz w:val="20"/>
                <w:szCs w:val="20"/>
                <w:shd w:val="clear" w:color="auto" w:fill="FFFFFF"/>
              </w:rPr>
              <w:t>Regulamentul</w:t>
            </w:r>
            <w:proofErr w:type="spellEnd"/>
            <w:r>
              <w:rPr>
                <w:rFonts w:ascii="Times New Roman" w:eastAsia="Arial Unicode MS" w:hAnsi="Times New Roman"/>
                <w:color w:val="000000" w:themeColor="text1"/>
                <w:sz w:val="20"/>
                <w:szCs w:val="20"/>
                <w:shd w:val="clear" w:color="auto" w:fill="FFFFFF"/>
              </w:rPr>
              <w:t xml:space="preserve"> (UE) 2021/1119 al </w:t>
            </w:r>
            <w:proofErr w:type="spellStart"/>
            <w:r>
              <w:rPr>
                <w:rFonts w:ascii="Times New Roman" w:eastAsia="Arial Unicode MS" w:hAnsi="Times New Roman"/>
                <w:color w:val="000000" w:themeColor="text1"/>
                <w:sz w:val="20"/>
                <w:szCs w:val="20"/>
                <w:shd w:val="clear" w:color="auto" w:fill="FFFFFF"/>
              </w:rPr>
              <w:t>Parlamentului</w:t>
            </w:r>
            <w:proofErr w:type="spellEnd"/>
            <w:r>
              <w:rPr>
                <w:rFonts w:ascii="Times New Roman" w:eastAsia="Arial Unicode MS" w:hAnsi="Times New Roman"/>
                <w:color w:val="000000" w:themeColor="text1"/>
                <w:sz w:val="20"/>
                <w:szCs w:val="20"/>
                <w:shd w:val="clear" w:color="auto" w:fill="FFFFFF"/>
              </w:rPr>
              <w:t xml:space="preserve"> European și al </w:t>
            </w:r>
            <w:proofErr w:type="spellStart"/>
            <w:r>
              <w:rPr>
                <w:rFonts w:ascii="Times New Roman" w:eastAsia="Arial Unicode MS" w:hAnsi="Times New Roman"/>
                <w:color w:val="000000" w:themeColor="text1"/>
                <w:sz w:val="20"/>
                <w:szCs w:val="20"/>
                <w:shd w:val="clear" w:color="auto" w:fill="FFFFFF"/>
              </w:rPr>
              <w:t>Consiliului</w:t>
            </w:r>
            <w:proofErr w:type="spellEnd"/>
            <w:r>
              <w:rPr>
                <w:rFonts w:ascii="Times New Roman" w:eastAsia="Arial Unicode MS" w:hAnsi="Times New Roman"/>
                <w:color w:val="000000" w:themeColor="text1"/>
                <w:sz w:val="20"/>
                <w:szCs w:val="20"/>
                <w:shd w:val="clear" w:color="auto" w:fill="FFFFFF"/>
              </w:rPr>
              <w:t xml:space="preserve"> (</w:t>
            </w:r>
            <w:hyperlink r:id="rId12" w:anchor="E0001" w:history="1">
              <w:r>
                <w:rPr>
                  <w:rStyle w:val="superscript"/>
                  <w:rFonts w:ascii="Times New Roman" w:eastAsia="Arial Unicode MS" w:hAnsi="Times New Roman"/>
                  <w:color w:val="000000" w:themeColor="text1"/>
                  <w:sz w:val="20"/>
                  <w:szCs w:val="20"/>
                  <w:shd w:val="clear" w:color="auto" w:fill="FFFFFF"/>
                  <w:vertAlign w:val="superscript"/>
                </w:rPr>
                <w:t>1</w:t>
              </w:r>
            </w:hyperlink>
            <w:r>
              <w:rPr>
                <w:rFonts w:ascii="Times New Roman" w:eastAsia="Arial Unicode MS" w:hAnsi="Times New Roman"/>
                <w:color w:val="000000" w:themeColor="text1"/>
                <w:sz w:val="20"/>
                <w:szCs w:val="20"/>
                <w:shd w:val="clear" w:color="auto" w:fill="FFFFFF"/>
              </w:rPr>
              <w:t xml:space="preserve">), și, </w:t>
            </w:r>
            <w:proofErr w:type="spellStart"/>
            <w:r>
              <w:rPr>
                <w:rFonts w:ascii="Times New Roman" w:eastAsia="Arial Unicode MS" w:hAnsi="Times New Roman"/>
                <w:color w:val="000000" w:themeColor="text1"/>
                <w:sz w:val="20"/>
                <w:szCs w:val="20"/>
                <w:shd w:val="clear" w:color="auto" w:fill="FFFFFF"/>
              </w:rPr>
              <w:t>prin</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urmare</w:t>
            </w:r>
            <w:proofErr w:type="spellEnd"/>
            <w:r>
              <w:rPr>
                <w:rFonts w:ascii="Times New Roman" w:eastAsia="Arial Unicode MS" w:hAnsi="Times New Roman"/>
                <w:color w:val="000000" w:themeColor="text1"/>
                <w:sz w:val="20"/>
                <w:szCs w:val="20"/>
                <w:shd w:val="clear" w:color="auto" w:fill="FFFFFF"/>
              </w:rPr>
              <w:t xml:space="preserve">, la </w:t>
            </w:r>
            <w:proofErr w:type="spellStart"/>
            <w:r>
              <w:rPr>
                <w:rFonts w:ascii="Times New Roman" w:eastAsia="Arial Unicode MS" w:hAnsi="Times New Roman"/>
                <w:color w:val="000000" w:themeColor="text1"/>
                <w:sz w:val="20"/>
                <w:szCs w:val="20"/>
                <w:shd w:val="clear" w:color="auto" w:fill="FFFFFF"/>
              </w:rPr>
              <w:t>îndeplinirea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obiectivelor</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Acordului</w:t>
            </w:r>
            <w:proofErr w:type="spellEnd"/>
            <w:r>
              <w:rPr>
                <w:rFonts w:ascii="Times New Roman" w:eastAsia="Arial Unicode MS" w:hAnsi="Times New Roman"/>
                <w:color w:val="000000" w:themeColor="text1"/>
                <w:sz w:val="20"/>
                <w:szCs w:val="20"/>
                <w:shd w:val="clear" w:color="auto" w:fill="FFFFFF"/>
              </w:rPr>
              <w:t xml:space="preserve"> de la Paris (</w:t>
            </w:r>
            <w:hyperlink r:id="rId13" w:anchor="E0002" w:history="1">
              <w:r>
                <w:rPr>
                  <w:rStyle w:val="superscript"/>
                  <w:rFonts w:ascii="Times New Roman" w:eastAsia="Arial Unicode MS" w:hAnsi="Times New Roman"/>
                  <w:color w:val="000000" w:themeColor="text1"/>
                  <w:sz w:val="20"/>
                  <w:szCs w:val="20"/>
                  <w:shd w:val="clear" w:color="auto" w:fill="FFFFFF"/>
                  <w:vertAlign w:val="superscript"/>
                </w:rPr>
                <w:t>2</w:t>
              </w:r>
            </w:hyperlink>
            <w:r>
              <w:rPr>
                <w:rFonts w:ascii="Times New Roman" w:eastAsia="Arial Unicode MS" w:hAnsi="Times New Roman"/>
                <w:color w:val="000000" w:themeColor="text1"/>
                <w:sz w:val="20"/>
                <w:szCs w:val="20"/>
                <w:shd w:val="clear" w:color="auto" w:fill="FFFFFF"/>
              </w:rPr>
              <w:t>).</w:t>
            </w:r>
          </w:p>
          <w:p w14:paraId="7F32F8FF" w14:textId="77777777" w:rsidR="00124364" w:rsidRDefault="00000000">
            <w:pPr>
              <w:suppressAutoHyphens w:val="0"/>
              <w:autoSpaceDN/>
              <w:spacing w:after="0" w:line="240" w:lineRule="auto"/>
              <w:jc w:val="both"/>
              <w:textAlignment w:val="auto"/>
              <w:rPr>
                <w:rFonts w:ascii="Times New Roman" w:hAnsi="Times New Roman"/>
                <w:sz w:val="20"/>
                <w:szCs w:val="20"/>
              </w:rPr>
            </w:pPr>
            <w:hyperlink r:id="rId14" w:tooltip="32009L0029: INSERTED" w:history="1">
              <w:r>
                <w:rPr>
                  <w:rStyle w:val="af3"/>
                  <w:rFonts w:ascii="Times New Roman" w:eastAsia="Arial Unicode MS" w:hAnsi="Times New Roman"/>
                  <w:b/>
                  <w:bCs/>
                  <w:color w:val="23527C"/>
                  <w:sz w:val="20"/>
                  <w:szCs w:val="20"/>
                  <w:shd w:val="clear" w:color="auto" w:fill="FFFFFF"/>
                </w:rPr>
                <w:t>▼M4</w:t>
              </w:r>
            </w:hyperlink>
          </w:p>
          <w:p w14:paraId="61874D4D" w14:textId="77777777" w:rsidR="00124364" w:rsidRDefault="00000000">
            <w:pPr>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r>
              <w:rPr>
                <w:rFonts w:ascii="Times New Roman" w:eastAsia="Arial Unicode MS" w:hAnsi="Times New Roman"/>
                <w:color w:val="000000" w:themeColor="text1"/>
                <w:sz w:val="20"/>
                <w:szCs w:val="20"/>
                <w:shd w:val="clear" w:color="auto" w:fill="FFFFFF"/>
              </w:rPr>
              <w:t xml:space="preserve">Prezenta </w:t>
            </w:r>
            <w:proofErr w:type="spellStart"/>
            <w:r>
              <w:rPr>
                <w:rFonts w:ascii="Times New Roman" w:eastAsia="Arial Unicode MS" w:hAnsi="Times New Roman"/>
                <w:color w:val="000000" w:themeColor="text1"/>
                <w:sz w:val="20"/>
                <w:szCs w:val="20"/>
                <w:shd w:val="clear" w:color="auto" w:fill="FFFFFF"/>
              </w:rPr>
              <w:t>directivă</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stabilește</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asemenea</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dispoziții</w:t>
            </w:r>
            <w:proofErr w:type="spellEnd"/>
            <w:r>
              <w:rPr>
                <w:rFonts w:ascii="Times New Roman" w:eastAsia="Arial Unicode MS" w:hAnsi="Times New Roman"/>
                <w:color w:val="000000" w:themeColor="text1"/>
                <w:sz w:val="20"/>
                <w:szCs w:val="20"/>
                <w:shd w:val="clear" w:color="auto" w:fill="FFFFFF"/>
              </w:rPr>
              <w:t xml:space="preserve"> de </w:t>
            </w:r>
            <w:proofErr w:type="spellStart"/>
            <w:r>
              <w:rPr>
                <w:rFonts w:ascii="Times New Roman" w:eastAsia="Arial Unicode MS" w:hAnsi="Times New Roman"/>
                <w:color w:val="000000" w:themeColor="text1"/>
                <w:sz w:val="20"/>
                <w:szCs w:val="20"/>
                <w:shd w:val="clear" w:color="auto" w:fill="FFFFFF"/>
              </w:rPr>
              <w:t>evaluare</w:t>
            </w:r>
            <w:proofErr w:type="spellEnd"/>
            <w:r>
              <w:rPr>
                <w:rFonts w:ascii="Times New Roman" w:eastAsia="Arial Unicode MS" w:hAnsi="Times New Roman"/>
                <w:color w:val="000000" w:themeColor="text1"/>
                <w:sz w:val="20"/>
                <w:szCs w:val="20"/>
                <w:shd w:val="clear" w:color="auto" w:fill="FFFFFF"/>
              </w:rPr>
              <w:t xml:space="preserve"> și </w:t>
            </w:r>
            <w:proofErr w:type="spellStart"/>
            <w:r>
              <w:rPr>
                <w:rFonts w:ascii="Times New Roman" w:eastAsia="Arial Unicode MS" w:hAnsi="Times New Roman"/>
                <w:color w:val="000000" w:themeColor="text1"/>
                <w:sz w:val="20"/>
                <w:szCs w:val="20"/>
                <w:shd w:val="clear" w:color="auto" w:fill="FFFFFF"/>
              </w:rPr>
              <w:t>implementare</w:t>
            </w:r>
            <w:proofErr w:type="spellEnd"/>
            <w:r>
              <w:rPr>
                <w:rFonts w:ascii="Times New Roman" w:eastAsia="Arial Unicode MS" w:hAnsi="Times New Roman"/>
                <w:color w:val="000000" w:themeColor="text1"/>
                <w:sz w:val="20"/>
                <w:szCs w:val="20"/>
                <w:shd w:val="clear" w:color="auto" w:fill="FFFFFF"/>
              </w:rPr>
              <w:t xml:space="preserve"> a </w:t>
            </w:r>
            <w:proofErr w:type="spellStart"/>
            <w:r>
              <w:rPr>
                <w:rFonts w:ascii="Times New Roman" w:eastAsia="Arial Unicode MS" w:hAnsi="Times New Roman"/>
                <w:color w:val="000000" w:themeColor="text1"/>
                <w:sz w:val="20"/>
                <w:szCs w:val="20"/>
                <w:shd w:val="clear" w:color="auto" w:fill="FFFFFF"/>
              </w:rPr>
              <w:t>unui</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angajament</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mai</w:t>
            </w:r>
            <w:proofErr w:type="spellEnd"/>
            <w:r>
              <w:rPr>
                <w:rFonts w:ascii="Times New Roman" w:eastAsia="Arial Unicode MS" w:hAnsi="Times New Roman"/>
                <w:color w:val="000000" w:themeColor="text1"/>
                <w:sz w:val="20"/>
                <w:szCs w:val="20"/>
                <w:shd w:val="clear" w:color="auto" w:fill="FFFFFF"/>
              </w:rPr>
              <w:t xml:space="preserve"> strict al</w:t>
            </w:r>
            <w:hyperlink r:id="rId15" w:tooltip="32018L0410: REPLACED" w:history="1">
              <w:r>
                <w:rPr>
                  <w:rStyle w:val="boldface"/>
                  <w:rFonts w:ascii="Times New Roman" w:eastAsia="Arial Unicode MS" w:hAnsi="Times New Roman"/>
                  <w:b/>
                  <w:bCs/>
                  <w:color w:val="337AB7"/>
                  <w:sz w:val="20"/>
                  <w:szCs w:val="20"/>
                </w:rPr>
                <w:t>►M9</w:t>
              </w:r>
            </w:hyperlink>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Uniunii</w:t>
            </w:r>
            <w:proofErr w:type="spellEnd"/>
            <w:r>
              <w:rPr>
                <w:rStyle w:val="boldface"/>
                <w:rFonts w:ascii="Times New Roman" w:eastAsia="Arial Unicode MS" w:hAnsi="Times New Roman"/>
                <w:b/>
                <w:bCs/>
                <w:color w:val="333333"/>
                <w:sz w:val="20"/>
                <w:szCs w:val="20"/>
                <w:shd w:val="clear" w:color="auto" w:fill="FFFFFF"/>
              </w:rPr>
              <w:t xml:space="preserve"> ◄</w:t>
            </w:r>
            <w:r>
              <w:rPr>
                <w:rFonts w:ascii="Times New Roman" w:eastAsia="Arial Unicode MS" w:hAnsi="Times New Roman"/>
                <w:color w:val="333333"/>
                <w:sz w:val="20"/>
                <w:szCs w:val="20"/>
                <w:shd w:val="clear" w:color="auto" w:fill="FFFFFF"/>
              </w:rPr>
              <w:t xml:space="preserve">de </w:t>
            </w:r>
            <w:proofErr w:type="spellStart"/>
            <w:r>
              <w:rPr>
                <w:rFonts w:ascii="Times New Roman" w:eastAsia="Arial Unicode MS" w:hAnsi="Times New Roman"/>
                <w:color w:val="333333"/>
                <w:sz w:val="20"/>
                <w:szCs w:val="20"/>
                <w:shd w:val="clear" w:color="auto" w:fill="FFFFFF"/>
              </w:rPr>
              <w:t>reducere</w:t>
            </w:r>
            <w:proofErr w:type="spellEnd"/>
            <w:r>
              <w:rPr>
                <w:rFonts w:ascii="Times New Roman" w:eastAsia="Arial Unicode MS" w:hAnsi="Times New Roman"/>
                <w:color w:val="333333"/>
                <w:sz w:val="20"/>
                <w:szCs w:val="20"/>
                <w:shd w:val="clear" w:color="auto" w:fill="FFFFFF"/>
              </w:rPr>
              <w:t xml:space="preserve"> a </w:t>
            </w:r>
            <w:proofErr w:type="spellStart"/>
            <w:r>
              <w:rPr>
                <w:rFonts w:ascii="Times New Roman" w:eastAsia="Arial Unicode MS" w:hAnsi="Times New Roman"/>
                <w:color w:val="333333"/>
                <w:sz w:val="20"/>
                <w:szCs w:val="20"/>
                <w:shd w:val="clear" w:color="auto" w:fill="FFFFFF"/>
              </w:rPr>
              <w:t>emisiilor</w:t>
            </w:r>
            <w:proofErr w:type="spellEnd"/>
            <w:r>
              <w:rPr>
                <w:rFonts w:ascii="Times New Roman" w:eastAsia="Arial Unicode MS" w:hAnsi="Times New Roman"/>
                <w:color w:val="333333"/>
                <w:sz w:val="20"/>
                <w:szCs w:val="20"/>
                <w:shd w:val="clear" w:color="auto" w:fill="FFFFFF"/>
              </w:rPr>
              <w:t xml:space="preserve"> cu </w:t>
            </w:r>
            <w:proofErr w:type="spellStart"/>
            <w:r>
              <w:rPr>
                <w:rFonts w:ascii="Times New Roman" w:eastAsia="Arial Unicode MS" w:hAnsi="Times New Roman"/>
                <w:color w:val="333333"/>
                <w:sz w:val="20"/>
                <w:szCs w:val="20"/>
                <w:shd w:val="clear" w:color="auto" w:fill="FFFFFF"/>
              </w:rPr>
              <w:t>peste</w:t>
            </w:r>
            <w:proofErr w:type="spellEnd"/>
            <w:r>
              <w:rPr>
                <w:rFonts w:ascii="Times New Roman" w:eastAsia="Arial Unicode MS" w:hAnsi="Times New Roman"/>
                <w:color w:val="333333"/>
                <w:sz w:val="20"/>
                <w:szCs w:val="20"/>
                <w:shd w:val="clear" w:color="auto" w:fill="FFFFFF"/>
              </w:rPr>
              <w:t xml:space="preserve"> 20%, care </w:t>
            </w:r>
            <w:proofErr w:type="spellStart"/>
            <w:r>
              <w:rPr>
                <w:rFonts w:ascii="Times New Roman" w:eastAsia="Arial Unicode MS" w:hAnsi="Times New Roman"/>
                <w:color w:val="333333"/>
                <w:sz w:val="20"/>
                <w:szCs w:val="20"/>
                <w:shd w:val="clear" w:color="auto" w:fill="FFFFFF"/>
              </w:rPr>
              <w:t>urmează</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să</w:t>
            </w:r>
            <w:proofErr w:type="spellEnd"/>
            <w:r>
              <w:rPr>
                <w:rFonts w:ascii="Times New Roman" w:eastAsia="Arial Unicode MS" w:hAnsi="Times New Roman"/>
                <w:color w:val="333333"/>
                <w:sz w:val="20"/>
                <w:szCs w:val="20"/>
                <w:shd w:val="clear" w:color="auto" w:fill="FFFFFF"/>
              </w:rPr>
              <w:t xml:space="preserve"> fie </w:t>
            </w:r>
            <w:proofErr w:type="spellStart"/>
            <w:r>
              <w:rPr>
                <w:rFonts w:ascii="Times New Roman" w:eastAsia="Arial Unicode MS" w:hAnsi="Times New Roman"/>
                <w:color w:val="333333"/>
                <w:sz w:val="20"/>
                <w:szCs w:val="20"/>
                <w:shd w:val="clear" w:color="auto" w:fill="FFFFFF"/>
              </w:rPr>
              <w:t>aplicat</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odată</w:t>
            </w:r>
            <w:proofErr w:type="spellEnd"/>
            <w:r>
              <w:rPr>
                <w:rFonts w:ascii="Times New Roman" w:eastAsia="Arial Unicode MS" w:hAnsi="Times New Roman"/>
                <w:color w:val="333333"/>
                <w:sz w:val="20"/>
                <w:szCs w:val="20"/>
                <w:shd w:val="clear" w:color="auto" w:fill="FFFFFF"/>
              </w:rPr>
              <w:t xml:space="preserve"> cu </w:t>
            </w:r>
            <w:proofErr w:type="spellStart"/>
            <w:r>
              <w:rPr>
                <w:rFonts w:ascii="Times New Roman" w:eastAsia="Arial Unicode MS" w:hAnsi="Times New Roman"/>
                <w:color w:val="333333"/>
                <w:sz w:val="20"/>
                <w:szCs w:val="20"/>
                <w:shd w:val="clear" w:color="auto" w:fill="FFFFFF"/>
              </w:rPr>
              <w:t>aprobarea</w:t>
            </w:r>
            <w:proofErr w:type="spellEnd"/>
            <w:r>
              <w:rPr>
                <w:rFonts w:ascii="Times New Roman" w:eastAsia="Arial Unicode MS" w:hAnsi="Times New Roman"/>
                <w:color w:val="333333"/>
                <w:sz w:val="20"/>
                <w:szCs w:val="20"/>
                <w:shd w:val="clear" w:color="auto" w:fill="FFFFFF"/>
              </w:rPr>
              <w:t xml:space="preserve"> de către</w:t>
            </w:r>
            <w:hyperlink r:id="rId16" w:tooltip="32018L0410: REPLACED" w:history="1">
              <w:r>
                <w:rPr>
                  <w:rStyle w:val="boldface"/>
                  <w:rFonts w:ascii="Times New Roman" w:eastAsia="Arial Unicode MS" w:hAnsi="Times New Roman"/>
                  <w:b/>
                  <w:bCs/>
                  <w:color w:val="337AB7"/>
                  <w:sz w:val="20"/>
                  <w:szCs w:val="20"/>
                </w:rPr>
                <w:t>►M9</w:t>
              </w:r>
            </w:hyperlink>
            <w:r>
              <w:rPr>
                <w:rFonts w:ascii="Times New Roman" w:eastAsia="Arial Unicode MS" w:hAnsi="Times New Roman"/>
                <w:color w:val="333333"/>
                <w:sz w:val="20"/>
                <w:szCs w:val="20"/>
                <w:shd w:val="clear" w:color="auto" w:fill="FFFFFF"/>
              </w:rPr>
              <w:t>Uniune</w:t>
            </w:r>
            <w:r>
              <w:rPr>
                <w:rStyle w:val="boldface"/>
                <w:rFonts w:ascii="Times New Roman" w:eastAsia="Arial Unicode MS" w:hAnsi="Times New Roman"/>
                <w:b/>
                <w:bCs/>
                <w:color w:val="333333"/>
                <w:sz w:val="20"/>
                <w:szCs w:val="20"/>
                <w:shd w:val="clear" w:color="auto" w:fill="FFFFFF"/>
              </w:rPr>
              <w:t>◄</w:t>
            </w:r>
            <w:r>
              <w:rPr>
                <w:rFonts w:ascii="Times New Roman" w:eastAsia="Arial Unicode MS" w:hAnsi="Times New Roman"/>
                <w:color w:val="333333"/>
                <w:sz w:val="20"/>
                <w:szCs w:val="20"/>
                <w:shd w:val="clear" w:color="auto" w:fill="FFFFFF"/>
              </w:rPr>
              <w:t xml:space="preserve">a </w:t>
            </w:r>
            <w:proofErr w:type="spellStart"/>
            <w:r>
              <w:rPr>
                <w:rFonts w:ascii="Times New Roman" w:eastAsia="Arial Unicode MS" w:hAnsi="Times New Roman"/>
                <w:color w:val="333333"/>
                <w:sz w:val="20"/>
                <w:szCs w:val="20"/>
                <w:shd w:val="clear" w:color="auto" w:fill="FFFFFF"/>
              </w:rPr>
              <w:t>unui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acord</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internațional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privind</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schimbările</w:t>
            </w:r>
            <w:proofErr w:type="spellEnd"/>
            <w:r>
              <w:rPr>
                <w:rFonts w:ascii="Times New Roman" w:eastAsia="Arial Unicode MS" w:hAnsi="Times New Roman"/>
                <w:color w:val="333333"/>
                <w:sz w:val="20"/>
                <w:szCs w:val="20"/>
                <w:shd w:val="clear" w:color="auto" w:fill="FFFFFF"/>
              </w:rPr>
              <w:t xml:space="preserve"> climatice care </w:t>
            </w:r>
            <w:proofErr w:type="spellStart"/>
            <w:r>
              <w:rPr>
                <w:rFonts w:ascii="Times New Roman" w:eastAsia="Arial Unicode MS" w:hAnsi="Times New Roman"/>
                <w:color w:val="333333"/>
                <w:sz w:val="20"/>
                <w:szCs w:val="20"/>
                <w:shd w:val="clear" w:color="auto" w:fill="FFFFFF"/>
              </w:rPr>
              <w:t>să</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conducă</w:t>
            </w:r>
            <w:proofErr w:type="spellEnd"/>
            <w:r>
              <w:rPr>
                <w:rFonts w:ascii="Times New Roman" w:eastAsia="Arial Unicode MS" w:hAnsi="Times New Roman"/>
                <w:color w:val="333333"/>
                <w:sz w:val="20"/>
                <w:szCs w:val="20"/>
                <w:shd w:val="clear" w:color="auto" w:fill="FFFFFF"/>
              </w:rPr>
              <w:t xml:space="preserve"> la </w:t>
            </w:r>
            <w:proofErr w:type="spellStart"/>
            <w:r>
              <w:rPr>
                <w:rFonts w:ascii="Times New Roman" w:eastAsia="Arial Unicode MS" w:hAnsi="Times New Roman"/>
                <w:color w:val="333333"/>
                <w:sz w:val="20"/>
                <w:szCs w:val="20"/>
                <w:shd w:val="clear" w:color="auto" w:fill="FFFFFF"/>
              </w:rPr>
              <w:t>reduceri</w:t>
            </w:r>
            <w:proofErr w:type="spellEnd"/>
            <w:r>
              <w:rPr>
                <w:rFonts w:ascii="Times New Roman" w:eastAsia="Arial Unicode MS" w:hAnsi="Times New Roman"/>
                <w:color w:val="333333"/>
                <w:sz w:val="20"/>
                <w:szCs w:val="20"/>
                <w:shd w:val="clear" w:color="auto" w:fill="FFFFFF"/>
              </w:rPr>
              <w:t xml:space="preserve"> ale </w:t>
            </w:r>
            <w:proofErr w:type="spellStart"/>
            <w:r>
              <w:rPr>
                <w:rFonts w:ascii="Times New Roman" w:eastAsia="Arial Unicode MS" w:hAnsi="Times New Roman"/>
                <w:color w:val="333333"/>
                <w:sz w:val="20"/>
                <w:szCs w:val="20"/>
                <w:shd w:val="clear" w:color="auto" w:fill="FFFFFF"/>
              </w:rPr>
              <w:t>emisiilor</w:t>
            </w:r>
            <w:proofErr w:type="spellEnd"/>
            <w:r>
              <w:rPr>
                <w:rFonts w:ascii="Times New Roman" w:eastAsia="Arial Unicode MS" w:hAnsi="Times New Roman"/>
                <w:color w:val="333333"/>
                <w:sz w:val="20"/>
                <w:szCs w:val="20"/>
                <w:shd w:val="clear" w:color="auto" w:fill="FFFFFF"/>
              </w:rPr>
              <w:t xml:space="preserve"> de gaze cu </w:t>
            </w:r>
            <w:proofErr w:type="spellStart"/>
            <w:r>
              <w:rPr>
                <w:rFonts w:ascii="Times New Roman" w:eastAsia="Arial Unicode MS" w:hAnsi="Times New Roman"/>
                <w:color w:val="333333"/>
                <w:sz w:val="20"/>
                <w:szCs w:val="20"/>
                <w:shd w:val="clear" w:color="auto" w:fill="FFFFFF"/>
              </w:rPr>
              <w:t>efect</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seră</w:t>
            </w:r>
            <w:proofErr w:type="spellEnd"/>
            <w:r>
              <w:rPr>
                <w:rFonts w:ascii="Times New Roman" w:eastAsia="Arial Unicode MS" w:hAnsi="Times New Roman"/>
                <w:color w:val="333333"/>
                <w:sz w:val="20"/>
                <w:szCs w:val="20"/>
                <w:shd w:val="clear" w:color="auto" w:fill="FFFFFF"/>
              </w:rPr>
              <w:t xml:space="preserve"> care </w:t>
            </w:r>
            <w:proofErr w:type="spellStart"/>
            <w:r>
              <w:rPr>
                <w:rFonts w:ascii="Times New Roman" w:eastAsia="Arial Unicode MS" w:hAnsi="Times New Roman"/>
                <w:color w:val="333333"/>
                <w:sz w:val="20"/>
                <w:szCs w:val="20"/>
                <w:shd w:val="clear" w:color="auto" w:fill="FFFFFF"/>
              </w:rPr>
              <w:t>depășesc</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nivelurile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prevăzute</w:t>
            </w:r>
            <w:proofErr w:type="spellEnd"/>
            <w:r>
              <w:rPr>
                <w:rFonts w:ascii="Times New Roman" w:eastAsia="Arial Unicode MS" w:hAnsi="Times New Roman"/>
                <w:color w:val="333333"/>
                <w:sz w:val="20"/>
                <w:szCs w:val="20"/>
                <w:shd w:val="clear" w:color="auto" w:fill="FFFFFF"/>
              </w:rPr>
              <w:t xml:space="preserve"> la </w:t>
            </w:r>
            <w:proofErr w:type="spellStart"/>
            <w:r>
              <w:rPr>
                <w:rFonts w:ascii="Times New Roman" w:eastAsia="Arial Unicode MS" w:hAnsi="Times New Roman"/>
                <w:color w:val="333333"/>
                <w:sz w:val="20"/>
                <w:szCs w:val="20"/>
                <w:shd w:val="clear" w:color="auto" w:fill="FFFFFF"/>
              </w:rPr>
              <w:t>articolul</w:t>
            </w:r>
            <w:proofErr w:type="spellEnd"/>
            <w:r>
              <w:rPr>
                <w:rFonts w:ascii="Times New Roman" w:eastAsia="Arial Unicode MS" w:hAnsi="Times New Roman"/>
                <w:color w:val="333333"/>
                <w:sz w:val="20"/>
                <w:szCs w:val="20"/>
                <w:shd w:val="clear" w:color="auto" w:fill="FFFFFF"/>
              </w:rPr>
              <w:t xml:space="preserve"> 9, </w:t>
            </w:r>
            <w:proofErr w:type="spellStart"/>
            <w:r>
              <w:rPr>
                <w:rFonts w:ascii="Times New Roman" w:eastAsia="Arial Unicode MS" w:hAnsi="Times New Roman"/>
                <w:color w:val="333333"/>
                <w:sz w:val="20"/>
                <w:szCs w:val="20"/>
                <w:shd w:val="clear" w:color="auto" w:fill="FFFFFF"/>
              </w:rPr>
              <w:t>astfel</w:t>
            </w:r>
            <w:proofErr w:type="spellEnd"/>
            <w:r>
              <w:rPr>
                <w:rFonts w:ascii="Times New Roman" w:eastAsia="Arial Unicode MS" w:hAnsi="Times New Roman"/>
                <w:color w:val="333333"/>
                <w:sz w:val="20"/>
                <w:szCs w:val="20"/>
                <w:shd w:val="clear" w:color="auto" w:fill="FFFFFF"/>
              </w:rPr>
              <w:t xml:space="preserve"> cum </w:t>
            </w:r>
            <w:proofErr w:type="spellStart"/>
            <w:r>
              <w:rPr>
                <w:rFonts w:ascii="Times New Roman" w:eastAsia="Arial Unicode MS" w:hAnsi="Times New Roman"/>
                <w:color w:val="333333"/>
                <w:sz w:val="20"/>
                <w:szCs w:val="20"/>
                <w:shd w:val="clear" w:color="auto" w:fill="FFFFFF"/>
              </w:rPr>
              <w:t>rezultă</w:t>
            </w:r>
            <w:proofErr w:type="spellEnd"/>
            <w:r>
              <w:rPr>
                <w:rFonts w:ascii="Times New Roman" w:eastAsia="Arial Unicode MS" w:hAnsi="Times New Roman"/>
                <w:color w:val="333333"/>
                <w:sz w:val="20"/>
                <w:szCs w:val="20"/>
                <w:shd w:val="clear" w:color="auto" w:fill="FFFFFF"/>
              </w:rPr>
              <w:t xml:space="preserve"> din </w:t>
            </w:r>
            <w:proofErr w:type="spellStart"/>
            <w:r>
              <w:rPr>
                <w:rFonts w:ascii="Times New Roman" w:eastAsia="Arial Unicode MS" w:hAnsi="Times New Roman"/>
                <w:color w:val="333333"/>
                <w:sz w:val="20"/>
                <w:szCs w:val="20"/>
                <w:shd w:val="clear" w:color="auto" w:fill="FFFFFF"/>
              </w:rPr>
              <w:t>angajamentul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lastRenderedPageBreak/>
              <w:t>privind</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atingerea</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obiectivului</w:t>
            </w:r>
            <w:proofErr w:type="spellEnd"/>
            <w:r>
              <w:rPr>
                <w:rFonts w:ascii="Times New Roman" w:eastAsia="Arial Unicode MS" w:hAnsi="Times New Roman"/>
                <w:color w:val="333333"/>
                <w:sz w:val="20"/>
                <w:szCs w:val="20"/>
                <w:shd w:val="clear" w:color="auto" w:fill="FFFFFF"/>
              </w:rPr>
              <w:t xml:space="preserve"> de 30% </w:t>
            </w:r>
            <w:proofErr w:type="spellStart"/>
            <w:r>
              <w:rPr>
                <w:rFonts w:ascii="Times New Roman" w:eastAsia="Arial Unicode MS" w:hAnsi="Times New Roman"/>
                <w:color w:val="333333"/>
                <w:sz w:val="20"/>
                <w:szCs w:val="20"/>
                <w:shd w:val="clear" w:color="auto" w:fill="FFFFFF"/>
              </w:rPr>
              <w:t>aprobat</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Consiliul</w:t>
            </w:r>
            <w:proofErr w:type="spellEnd"/>
            <w:r>
              <w:rPr>
                <w:rFonts w:ascii="Times New Roman" w:eastAsia="Arial Unicode MS" w:hAnsi="Times New Roman"/>
                <w:color w:val="333333"/>
                <w:sz w:val="20"/>
                <w:szCs w:val="20"/>
                <w:shd w:val="clear" w:color="auto" w:fill="FFFFFF"/>
              </w:rPr>
              <w:t xml:space="preserve"> European din </w:t>
            </w:r>
            <w:proofErr w:type="spellStart"/>
            <w:r>
              <w:rPr>
                <w:rFonts w:ascii="Times New Roman" w:eastAsia="Arial Unicode MS" w:hAnsi="Times New Roman"/>
                <w:color w:val="333333"/>
                <w:sz w:val="20"/>
                <w:szCs w:val="20"/>
                <w:shd w:val="clear" w:color="auto" w:fill="FFFFFF"/>
              </w:rPr>
              <w:t>martie</w:t>
            </w:r>
            <w:proofErr w:type="spellEnd"/>
            <w:r>
              <w:rPr>
                <w:rFonts w:ascii="Times New Roman" w:eastAsia="Arial Unicode MS" w:hAnsi="Times New Roman"/>
                <w:color w:val="333333"/>
                <w:sz w:val="20"/>
                <w:szCs w:val="20"/>
                <w:shd w:val="clear" w:color="auto" w:fill="FFFFFF"/>
              </w:rPr>
              <w:t xml:space="preserve"> 2007.</w:t>
            </w:r>
          </w:p>
          <w:p w14:paraId="1EAD7265" w14:textId="77777777" w:rsidR="00124364" w:rsidRDefault="00000000">
            <w:pPr>
              <w:suppressAutoHyphens w:val="0"/>
              <w:autoSpaceDN/>
              <w:spacing w:after="0" w:line="240" w:lineRule="auto"/>
              <w:jc w:val="both"/>
              <w:textAlignment w:val="auto"/>
              <w:rPr>
                <w:rFonts w:ascii="Times New Roman" w:hAnsi="Times New Roman"/>
                <w:sz w:val="20"/>
                <w:szCs w:val="20"/>
                <w:lang w:val="en-US"/>
              </w:rPr>
            </w:pPr>
            <w:hyperlink r:id="rId17" w:tooltip="32003L008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7077AC70" w14:textId="77777777" w:rsidR="000D3F92" w:rsidRPr="00B745EC" w:rsidRDefault="000D3F92" w:rsidP="000D3F92">
            <w:pPr>
              <w:jc w:val="center"/>
              <w:rPr>
                <w:rFonts w:ascii="Times New Roman" w:hAnsi="Times New Roman"/>
                <w:b/>
                <w:sz w:val="20"/>
                <w:szCs w:val="20"/>
                <w:lang w:val="ro-MD"/>
              </w:rPr>
            </w:pPr>
            <w:r w:rsidRPr="00B745EC">
              <w:rPr>
                <w:rFonts w:ascii="Times New Roman" w:hAnsi="Times New Roman"/>
                <w:b/>
                <w:sz w:val="20"/>
                <w:szCs w:val="20"/>
                <w:lang w:val="ro-MD"/>
              </w:rPr>
              <w:lastRenderedPageBreak/>
              <w:t xml:space="preserve">Capitolul I </w:t>
            </w:r>
          </w:p>
          <w:p w14:paraId="3A1F35C1" w14:textId="77777777" w:rsidR="000D3F92" w:rsidRPr="00B745EC" w:rsidRDefault="000D3F92" w:rsidP="000D3F92">
            <w:pPr>
              <w:jc w:val="center"/>
              <w:rPr>
                <w:rFonts w:ascii="Times New Roman" w:hAnsi="Times New Roman"/>
                <w:b/>
                <w:sz w:val="20"/>
                <w:szCs w:val="20"/>
                <w:lang w:val="ro-MD"/>
              </w:rPr>
            </w:pPr>
            <w:r w:rsidRPr="00B745EC">
              <w:rPr>
                <w:rFonts w:ascii="Times New Roman" w:hAnsi="Times New Roman"/>
                <w:b/>
                <w:sz w:val="20"/>
                <w:szCs w:val="20"/>
                <w:lang w:val="ro-MD"/>
              </w:rPr>
              <w:t>DISPOZIȚII GENERALE</w:t>
            </w:r>
          </w:p>
          <w:p w14:paraId="5A5E0AB3" w14:textId="77777777" w:rsidR="000D3F92" w:rsidRPr="00B745EC" w:rsidRDefault="000D3F92" w:rsidP="000D3F92">
            <w:pPr>
              <w:jc w:val="center"/>
              <w:rPr>
                <w:rFonts w:ascii="Times New Roman" w:hAnsi="Times New Roman"/>
                <w:b/>
                <w:sz w:val="20"/>
                <w:szCs w:val="20"/>
                <w:lang w:val="ro-MD"/>
              </w:rPr>
            </w:pPr>
          </w:p>
          <w:p w14:paraId="64CD49D8" w14:textId="77777777" w:rsidR="000D3F92" w:rsidRPr="00B745EC" w:rsidRDefault="000D3F92" w:rsidP="000D3F92">
            <w:pPr>
              <w:numPr>
                <w:ilvl w:val="0"/>
                <w:numId w:val="231"/>
              </w:numPr>
              <w:tabs>
                <w:tab w:val="left" w:pos="851"/>
              </w:tabs>
              <w:suppressAutoHyphens w:val="0"/>
              <w:autoSpaceDN/>
              <w:spacing w:after="0" w:line="240" w:lineRule="auto"/>
              <w:ind w:left="0" w:firstLine="0"/>
              <w:contextualSpacing/>
              <w:textAlignment w:val="auto"/>
              <w:rPr>
                <w:rFonts w:ascii="Times New Roman" w:hAnsi="Times New Roman"/>
                <w:bCs/>
                <w:sz w:val="20"/>
                <w:szCs w:val="20"/>
                <w:lang w:val="ro-MD"/>
              </w:rPr>
            </w:pPr>
            <w:r w:rsidRPr="00B745EC">
              <w:rPr>
                <w:rFonts w:ascii="Times New Roman" w:hAnsi="Times New Roman"/>
                <w:bCs/>
                <w:sz w:val="20"/>
                <w:szCs w:val="20"/>
                <w:lang w:val="ro-MD"/>
              </w:rPr>
              <w:t>Scopul și obiectul legii</w:t>
            </w:r>
          </w:p>
          <w:p w14:paraId="3296D4FC" w14:textId="77777777" w:rsidR="000D3F92" w:rsidRPr="00B745EC" w:rsidRDefault="000D3F92" w:rsidP="000D3F92">
            <w:pPr>
              <w:spacing w:after="0" w:line="240" w:lineRule="auto"/>
              <w:jc w:val="both"/>
              <w:rPr>
                <w:rFonts w:ascii="Times New Roman" w:hAnsi="Times New Roman"/>
                <w:sz w:val="20"/>
                <w:szCs w:val="20"/>
                <w:shd w:val="clear" w:color="auto" w:fill="FFFFFF"/>
                <w:lang w:val="ro-MD"/>
              </w:rPr>
            </w:pPr>
            <w:r w:rsidRPr="00B745EC">
              <w:rPr>
                <w:rFonts w:ascii="Times New Roman" w:hAnsi="Times New Roman"/>
                <w:sz w:val="20"/>
                <w:szCs w:val="20"/>
                <w:lang w:val="en-US"/>
              </w:rPr>
              <w:t xml:space="preserve">(1) </w:t>
            </w:r>
            <w:r w:rsidRPr="00B745EC">
              <w:rPr>
                <w:rFonts w:ascii="Times New Roman" w:hAnsi="Times New Roman"/>
                <w:sz w:val="20"/>
                <w:szCs w:val="20"/>
                <w:shd w:val="clear" w:color="auto" w:fill="FFFFFF"/>
                <w:lang w:val="ro-MD"/>
              </w:rPr>
              <w:t xml:space="preserve">Prezenta lege stabilește cadrul juridic pentru reducerea ireversibilă și treptată </w:t>
            </w:r>
            <w:proofErr w:type="gramStart"/>
            <w:r w:rsidRPr="00B745EC">
              <w:rPr>
                <w:rFonts w:ascii="Times New Roman" w:hAnsi="Times New Roman"/>
                <w:sz w:val="20"/>
                <w:szCs w:val="20"/>
                <w:shd w:val="clear" w:color="auto" w:fill="FFFFFF"/>
                <w:lang w:val="ro-MD"/>
              </w:rPr>
              <w:t>a</w:t>
            </w:r>
            <w:proofErr w:type="gramEnd"/>
            <w:r w:rsidRPr="00B745EC">
              <w:rPr>
                <w:rFonts w:ascii="Times New Roman" w:hAnsi="Times New Roman"/>
                <w:sz w:val="20"/>
                <w:szCs w:val="20"/>
                <w:shd w:val="clear" w:color="auto" w:fill="FFFFFF"/>
                <w:lang w:val="ro-MD"/>
              </w:rPr>
              <w:t xml:space="preserve"> emisiilor antropice de gaze cu efect de seră provenite din diverse surse, creșterea capacității de adaptare la schimbările climatice, precum și de dezvoltare cu un nivel scăzut de emisii de gaze cu efect de seră, în contextul dezvoltării durabile.</w:t>
            </w:r>
          </w:p>
          <w:p w14:paraId="5F75A881" w14:textId="77777777" w:rsidR="000D3F92" w:rsidRDefault="000D3F92" w:rsidP="000D3F92">
            <w:pPr>
              <w:spacing w:after="0" w:line="240" w:lineRule="auto"/>
              <w:jc w:val="both"/>
              <w:rPr>
                <w:rFonts w:ascii="Times New Roman" w:hAnsi="Times New Roman"/>
                <w:sz w:val="20"/>
                <w:szCs w:val="20"/>
                <w:shd w:val="clear" w:color="auto" w:fill="FFFFFF"/>
                <w:lang w:val="ro-MD"/>
              </w:rPr>
            </w:pPr>
            <w:r w:rsidRPr="00B745EC">
              <w:rPr>
                <w:rFonts w:ascii="Times New Roman" w:hAnsi="Times New Roman"/>
                <w:sz w:val="20"/>
                <w:szCs w:val="20"/>
                <w:shd w:val="clear" w:color="auto" w:fill="FFFFFF"/>
                <w:lang w:val="ro-MD"/>
              </w:rPr>
              <w:t>(2) Obiectul prezentei legi sunt procedurile și reglementările aplicate pentru atingerea obiectivului de realizare a neutralității climatice până în 2050, în vederea îndeplinirii obiectivului pe termen lung privind temperatura globală din Acordul de la Paris, și oferă un cadru pentru realizarea de progrese în vederea îndeplinirii obiectivului global în materie de adaptare la schimbările climatice.</w:t>
            </w:r>
          </w:p>
          <w:p w14:paraId="3FCE385A" w14:textId="77777777" w:rsidR="000D3F92" w:rsidRPr="00B745EC" w:rsidRDefault="000D3F92" w:rsidP="000D3F92">
            <w:pPr>
              <w:spacing w:after="0" w:line="240" w:lineRule="auto"/>
              <w:jc w:val="both"/>
              <w:rPr>
                <w:rFonts w:ascii="Times New Roman" w:hAnsi="Times New Roman"/>
                <w:sz w:val="20"/>
                <w:szCs w:val="20"/>
                <w:shd w:val="clear" w:color="auto" w:fill="FFFFFF"/>
                <w:lang w:val="ro-MD"/>
              </w:rPr>
            </w:pPr>
          </w:p>
          <w:p w14:paraId="7F0A43FC" w14:textId="77777777" w:rsidR="00124364" w:rsidRDefault="00124364">
            <w:pPr>
              <w:spacing w:after="0" w:line="276" w:lineRule="auto"/>
              <w:jc w:val="both"/>
              <w:rPr>
                <w:rFonts w:ascii="Times New Roman" w:eastAsia="Times New Roman" w:hAnsi="Times New Roman"/>
                <w:b/>
                <w:sz w:val="20"/>
                <w:szCs w:val="20"/>
                <w:lang w:val="ro-RO" w:eastAsia="ru-RU"/>
              </w:rPr>
            </w:pPr>
          </w:p>
        </w:tc>
        <w:tc>
          <w:tcPr>
            <w:tcW w:w="1276" w:type="dxa"/>
            <w:shd w:val="clear" w:color="auto" w:fill="auto"/>
          </w:tcPr>
          <w:p w14:paraId="47DF1CB2" w14:textId="0D3013CE" w:rsidR="00124364" w:rsidRDefault="000D3F92">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w:t>
            </w:r>
            <w:r w:rsidR="00000000">
              <w:rPr>
                <w:rFonts w:ascii="Times New Roman" w:hAnsi="Times New Roman"/>
                <w:bCs/>
                <w:sz w:val="20"/>
                <w:szCs w:val="20"/>
                <w:lang w:val="ro-RO"/>
              </w:rPr>
              <w:t xml:space="preserve">ompatibil </w:t>
            </w:r>
          </w:p>
          <w:p w14:paraId="555CC622" w14:textId="77777777" w:rsidR="00124364" w:rsidRDefault="00124364">
            <w:pPr>
              <w:spacing w:after="0" w:line="240" w:lineRule="auto"/>
              <w:rPr>
                <w:rFonts w:ascii="Times New Roman" w:hAnsi="Times New Roman"/>
                <w:bCs/>
                <w:sz w:val="20"/>
                <w:szCs w:val="20"/>
                <w:lang w:val="ro-RO"/>
              </w:rPr>
            </w:pPr>
          </w:p>
        </w:tc>
        <w:tc>
          <w:tcPr>
            <w:tcW w:w="1275" w:type="dxa"/>
            <w:shd w:val="clear" w:color="auto" w:fill="auto"/>
          </w:tcPr>
          <w:p w14:paraId="6329EEA6" w14:textId="77777777" w:rsidR="00124364" w:rsidRDefault="00000000">
            <w:pPr>
              <w:widowControl w:val="0"/>
              <w:autoSpaceDE w:val="0"/>
              <w:adjustRightInd w:val="0"/>
              <w:spacing w:after="240" w:line="240" w:lineRule="auto"/>
              <w:rPr>
                <w:rFonts w:ascii="Times New Roman" w:hAnsi="Times New Roman"/>
                <w:sz w:val="20"/>
                <w:szCs w:val="20"/>
                <w:lang w:val="ro-RO"/>
              </w:rPr>
            </w:pPr>
            <w:r>
              <w:rPr>
                <w:rFonts w:ascii="Times New Roman" w:hAnsi="Times New Roman"/>
                <w:sz w:val="20"/>
                <w:szCs w:val="20"/>
                <w:lang w:val="ro-RO"/>
              </w:rPr>
              <w:t xml:space="preserve">Prevederi cu specific </w:t>
            </w:r>
            <w:proofErr w:type="spellStart"/>
            <w:r>
              <w:rPr>
                <w:rFonts w:ascii="Times New Roman" w:hAnsi="Times New Roman"/>
                <w:sz w:val="20"/>
                <w:szCs w:val="20"/>
                <w:lang w:val="ro-RO"/>
              </w:rPr>
              <w:t>național</w:t>
            </w:r>
            <w:proofErr w:type="spellEnd"/>
            <w:r>
              <w:rPr>
                <w:rFonts w:ascii="Times New Roman" w:hAnsi="Times New Roman"/>
                <w:sz w:val="20"/>
                <w:szCs w:val="20"/>
                <w:lang w:val="ro-RO"/>
              </w:rPr>
              <w:t>, elaborate în conformitate cu tehnica legislativă națională.</w:t>
            </w:r>
          </w:p>
          <w:p w14:paraId="5AB55083" w14:textId="77777777" w:rsidR="00124364" w:rsidRDefault="00124364">
            <w:pPr>
              <w:widowControl w:val="0"/>
              <w:autoSpaceDE w:val="0"/>
              <w:adjustRightInd w:val="0"/>
              <w:spacing w:after="240" w:line="240" w:lineRule="auto"/>
              <w:rPr>
                <w:rFonts w:ascii="Times" w:hAnsi="Times" w:cs="Times"/>
                <w:sz w:val="20"/>
                <w:szCs w:val="20"/>
                <w:lang w:val="ro-RO"/>
              </w:rPr>
            </w:pPr>
          </w:p>
        </w:tc>
        <w:tc>
          <w:tcPr>
            <w:tcW w:w="1701" w:type="dxa"/>
            <w:shd w:val="clear" w:color="auto" w:fill="auto"/>
          </w:tcPr>
          <w:p w14:paraId="78DE953E" w14:textId="3E5FA763" w:rsidR="00124364" w:rsidRDefault="000D3F92">
            <w:pPr>
              <w:autoSpaceDE w:val="0"/>
              <w:spacing w:after="0" w:line="240" w:lineRule="auto"/>
              <w:rPr>
                <w:rFonts w:ascii="Times New Roman" w:eastAsia="Times New Roman" w:hAnsi="Times New Roman"/>
                <w:sz w:val="20"/>
                <w:szCs w:val="20"/>
                <w:lang w:val="ro-RO" w:eastAsia="ru-RU"/>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0E105BB2"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49A6BFF" w14:textId="77777777" w:rsidR="00124364" w:rsidRDefault="00124364">
            <w:pPr>
              <w:autoSpaceDE w:val="0"/>
              <w:spacing w:after="0" w:line="240" w:lineRule="auto"/>
              <w:rPr>
                <w:rFonts w:ascii="Times New Roman" w:hAnsi="Times New Roman"/>
                <w:sz w:val="20"/>
                <w:szCs w:val="20"/>
                <w:lang w:val="fr-FR"/>
              </w:rPr>
            </w:pPr>
          </w:p>
          <w:p w14:paraId="7A8F1F01" w14:textId="77777777" w:rsidR="000D3F92" w:rsidRDefault="000D3F92">
            <w:pPr>
              <w:autoSpaceDE w:val="0"/>
              <w:spacing w:after="0" w:line="240" w:lineRule="auto"/>
              <w:rPr>
                <w:rFonts w:ascii="Times New Roman" w:hAnsi="Times New Roman"/>
                <w:sz w:val="20"/>
                <w:szCs w:val="20"/>
                <w:lang w:val="fr-FR"/>
              </w:rPr>
            </w:pPr>
          </w:p>
          <w:p w14:paraId="532DCF2E" w14:textId="77777777" w:rsidR="00124364" w:rsidRDefault="00124364">
            <w:pPr>
              <w:autoSpaceDE w:val="0"/>
              <w:spacing w:after="0" w:line="240" w:lineRule="auto"/>
              <w:rPr>
                <w:rFonts w:ascii="Times New Roman" w:hAnsi="Times New Roman"/>
                <w:sz w:val="20"/>
                <w:szCs w:val="20"/>
                <w:shd w:val="clear" w:color="auto" w:fill="FFFFFF"/>
                <w:lang w:val="ro-RO"/>
              </w:rPr>
            </w:pPr>
          </w:p>
        </w:tc>
      </w:tr>
      <w:tr w:rsidR="00124364" w14:paraId="7E530577" w14:textId="77777777">
        <w:trPr>
          <w:trHeight w:val="58"/>
        </w:trPr>
        <w:tc>
          <w:tcPr>
            <w:tcW w:w="4957" w:type="dxa"/>
            <w:shd w:val="clear" w:color="auto" w:fill="auto"/>
          </w:tcPr>
          <w:p w14:paraId="742C5EC9" w14:textId="77777777" w:rsidR="00124364" w:rsidRDefault="00000000">
            <w:pPr>
              <w:spacing w:after="0" w:line="240" w:lineRule="auto"/>
              <w:jc w:val="center"/>
              <w:rPr>
                <w:rFonts w:ascii="Times New Roman" w:eastAsia="Arial Unicode MS" w:hAnsi="Times New Roman"/>
                <w:i/>
                <w:iCs/>
                <w:color w:val="333333"/>
                <w:sz w:val="20"/>
                <w:szCs w:val="20"/>
                <w:shd w:val="clear" w:color="auto" w:fill="FFFFFF"/>
              </w:rPr>
            </w:pPr>
            <w:proofErr w:type="spellStart"/>
            <w:r>
              <w:rPr>
                <w:rFonts w:ascii="Times New Roman" w:eastAsia="Arial Unicode MS" w:hAnsi="Times New Roman"/>
                <w:i/>
                <w:iCs/>
                <w:color w:val="333333"/>
                <w:sz w:val="20"/>
                <w:szCs w:val="20"/>
                <w:shd w:val="clear" w:color="auto" w:fill="FFFFFF"/>
              </w:rPr>
              <w:t>Articolul</w:t>
            </w:r>
            <w:proofErr w:type="spellEnd"/>
            <w:r>
              <w:rPr>
                <w:rFonts w:ascii="Times New Roman" w:eastAsia="Arial Unicode MS" w:hAnsi="Times New Roman"/>
                <w:i/>
                <w:iCs/>
                <w:color w:val="333333"/>
                <w:sz w:val="20"/>
                <w:szCs w:val="20"/>
                <w:shd w:val="clear" w:color="auto" w:fill="FFFFFF"/>
              </w:rPr>
              <w:t xml:space="preserve"> 2</w:t>
            </w:r>
          </w:p>
          <w:p w14:paraId="653D3197" w14:textId="77777777" w:rsidR="00124364" w:rsidRDefault="00000000">
            <w:pPr>
              <w:spacing w:after="0" w:line="240" w:lineRule="auto"/>
              <w:jc w:val="center"/>
              <w:rPr>
                <w:rFonts w:ascii="Times New Roman" w:eastAsia="Arial Unicode MS" w:hAnsi="Times New Roman"/>
                <w:b/>
                <w:bCs/>
                <w:color w:val="333333"/>
                <w:sz w:val="20"/>
                <w:szCs w:val="20"/>
                <w:shd w:val="clear" w:color="auto" w:fill="FFFFFF"/>
              </w:rPr>
            </w:pPr>
            <w:proofErr w:type="spellStart"/>
            <w:r>
              <w:rPr>
                <w:rFonts w:ascii="Times New Roman" w:eastAsia="Arial Unicode MS" w:hAnsi="Times New Roman"/>
                <w:b/>
                <w:bCs/>
                <w:color w:val="333333"/>
                <w:sz w:val="20"/>
                <w:szCs w:val="20"/>
                <w:shd w:val="clear" w:color="auto" w:fill="FFFFFF"/>
              </w:rPr>
              <w:t>Sfera</w:t>
            </w:r>
            <w:proofErr w:type="spellEnd"/>
            <w:r>
              <w:rPr>
                <w:rFonts w:ascii="Times New Roman" w:eastAsia="Arial Unicode MS" w:hAnsi="Times New Roman"/>
                <w:b/>
                <w:bCs/>
                <w:color w:val="333333"/>
                <w:sz w:val="20"/>
                <w:szCs w:val="20"/>
                <w:shd w:val="clear" w:color="auto" w:fill="FFFFFF"/>
              </w:rPr>
              <w:t xml:space="preserve"> de </w:t>
            </w:r>
            <w:proofErr w:type="spellStart"/>
            <w:r>
              <w:rPr>
                <w:rFonts w:ascii="Times New Roman" w:eastAsia="Arial Unicode MS" w:hAnsi="Times New Roman"/>
                <w:b/>
                <w:bCs/>
                <w:color w:val="333333"/>
                <w:sz w:val="20"/>
                <w:szCs w:val="20"/>
                <w:shd w:val="clear" w:color="auto" w:fill="FFFFFF"/>
              </w:rPr>
              <w:t>aplicare</w:t>
            </w:r>
            <w:proofErr w:type="spellEnd"/>
          </w:p>
          <w:p w14:paraId="77A44F56" w14:textId="77777777" w:rsidR="00124364" w:rsidRDefault="00000000">
            <w:pPr>
              <w:spacing w:after="0" w:line="240" w:lineRule="auto"/>
              <w:rPr>
                <w:rFonts w:ascii="Times New Roman" w:hAnsi="Times New Roman"/>
                <w:color w:val="4472C4" w:themeColor="accent1"/>
                <w:sz w:val="20"/>
                <w:szCs w:val="20"/>
              </w:rPr>
            </w:pPr>
            <w:hyperlink r:id="rId18" w:tooltip="32023L0959: REPLACED" w:history="1">
              <w:r>
                <w:rPr>
                  <w:rStyle w:val="af3"/>
                  <w:rFonts w:ascii="Times New Roman" w:eastAsia="Arial Unicode MS" w:hAnsi="Times New Roman"/>
                  <w:b/>
                  <w:bCs/>
                  <w:color w:val="4472C4" w:themeColor="accent1"/>
                  <w:sz w:val="20"/>
                  <w:szCs w:val="20"/>
                </w:rPr>
                <w:t>▼M15</w:t>
              </w:r>
            </w:hyperlink>
          </w:p>
          <w:p w14:paraId="75847C24" w14:textId="75A77D97" w:rsidR="00124364" w:rsidRPr="00A303C4" w:rsidRDefault="00000000" w:rsidP="00A303C4">
            <w:pPr>
              <w:pStyle w:val="af8"/>
              <w:numPr>
                <w:ilvl w:val="0"/>
                <w:numId w:val="2"/>
              </w:numPr>
              <w:spacing w:after="0" w:line="240" w:lineRule="auto"/>
              <w:jc w:val="both"/>
              <w:rPr>
                <w:rFonts w:ascii="Times New Roman" w:hAnsi="Times New Roman"/>
                <w:color w:val="000000" w:themeColor="text1"/>
                <w:sz w:val="20"/>
                <w:szCs w:val="20"/>
              </w:rPr>
            </w:pPr>
            <w:r w:rsidRPr="00A303C4">
              <w:rPr>
                <w:rFonts w:ascii="Times New Roman" w:eastAsia="Arial Unicode MS" w:hAnsi="Times New Roman"/>
                <w:color w:val="000000" w:themeColor="text1"/>
                <w:sz w:val="20"/>
                <w:szCs w:val="20"/>
                <w:shd w:val="clear" w:color="auto" w:fill="FFFFFF"/>
              </w:rPr>
              <w:t xml:space="preserve">Prezenta </w:t>
            </w:r>
            <w:proofErr w:type="spellStart"/>
            <w:r w:rsidRPr="00A303C4">
              <w:rPr>
                <w:rFonts w:ascii="Times New Roman" w:eastAsia="Arial Unicode MS" w:hAnsi="Times New Roman"/>
                <w:color w:val="000000" w:themeColor="text1"/>
                <w:sz w:val="20"/>
                <w:szCs w:val="20"/>
                <w:shd w:val="clear" w:color="auto" w:fill="FFFFFF"/>
              </w:rPr>
              <w:t>directivă</w:t>
            </w:r>
            <w:proofErr w:type="spellEnd"/>
            <w:r w:rsidRPr="00A303C4">
              <w:rPr>
                <w:rFonts w:ascii="Times New Roman" w:eastAsia="Arial Unicode MS" w:hAnsi="Times New Roman"/>
                <w:color w:val="000000" w:themeColor="text1"/>
                <w:sz w:val="20"/>
                <w:szCs w:val="20"/>
                <w:shd w:val="clear" w:color="auto" w:fill="FFFFFF"/>
              </w:rPr>
              <w:t xml:space="preserve"> se </w:t>
            </w:r>
            <w:proofErr w:type="spellStart"/>
            <w:r w:rsidRPr="00A303C4">
              <w:rPr>
                <w:rFonts w:ascii="Times New Roman" w:eastAsia="Arial Unicode MS" w:hAnsi="Times New Roman"/>
                <w:color w:val="000000" w:themeColor="text1"/>
                <w:sz w:val="20"/>
                <w:szCs w:val="20"/>
                <w:shd w:val="clear" w:color="auto" w:fill="FFFFFF"/>
              </w:rPr>
              <w:t>aplică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activităților</w:t>
            </w:r>
            <w:proofErr w:type="spellEnd"/>
            <w:r w:rsidRPr="00A303C4">
              <w:rPr>
                <w:rFonts w:ascii="Times New Roman" w:eastAsia="Arial Unicode MS" w:hAnsi="Times New Roman"/>
                <w:color w:val="000000" w:themeColor="text1"/>
                <w:sz w:val="20"/>
                <w:szCs w:val="20"/>
                <w:shd w:val="clear" w:color="auto" w:fill="FFFFFF"/>
              </w:rPr>
              <w:t xml:space="preserve"> enumerate în </w:t>
            </w:r>
            <w:proofErr w:type="spellStart"/>
            <w:r w:rsidRPr="00A303C4">
              <w:rPr>
                <w:rFonts w:ascii="Times New Roman" w:eastAsia="Arial Unicode MS" w:hAnsi="Times New Roman"/>
                <w:color w:val="000000" w:themeColor="text1"/>
                <w:sz w:val="20"/>
                <w:szCs w:val="20"/>
                <w:shd w:val="clear" w:color="auto" w:fill="FFFFFF"/>
              </w:rPr>
              <w:t>anexele</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I și III și </w:t>
            </w:r>
            <w:proofErr w:type="spellStart"/>
            <w:r w:rsidRPr="00A303C4">
              <w:rPr>
                <w:rFonts w:ascii="Times New Roman" w:eastAsia="Arial Unicode MS" w:hAnsi="Times New Roman"/>
                <w:color w:val="000000" w:themeColor="text1"/>
                <w:sz w:val="20"/>
                <w:szCs w:val="20"/>
                <w:shd w:val="clear" w:color="auto" w:fill="FFFFFF"/>
              </w:rPr>
              <w:t>gazelor</w:t>
            </w:r>
            <w:proofErr w:type="spell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enumerate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II. În </w:t>
            </w:r>
            <w:proofErr w:type="spellStart"/>
            <w:r w:rsidRPr="00A303C4">
              <w:rPr>
                <w:rFonts w:ascii="Times New Roman" w:eastAsia="Arial Unicode MS" w:hAnsi="Times New Roman"/>
                <w:color w:val="000000" w:themeColor="text1"/>
                <w:sz w:val="20"/>
                <w:szCs w:val="20"/>
                <w:shd w:val="clear" w:color="auto" w:fill="FFFFFF"/>
              </w:rPr>
              <w:t>cazul</w:t>
            </w:r>
            <w:proofErr w:type="spellEnd"/>
            <w:r w:rsidRPr="00A303C4">
              <w:rPr>
                <w:rFonts w:ascii="Times New Roman" w:eastAsia="Arial Unicode MS" w:hAnsi="Times New Roman"/>
                <w:color w:val="000000" w:themeColor="text1"/>
                <w:sz w:val="20"/>
                <w:szCs w:val="20"/>
                <w:shd w:val="clear" w:color="auto" w:fill="FFFFFF"/>
              </w:rPr>
              <w:t xml:space="preserve"> în care o </w:t>
            </w:r>
            <w:proofErr w:type="spellStart"/>
            <w:r w:rsidRPr="00A303C4">
              <w:rPr>
                <w:rFonts w:ascii="Times New Roman" w:eastAsia="Arial Unicode MS" w:hAnsi="Times New Roman"/>
                <w:color w:val="000000" w:themeColor="text1"/>
                <w:sz w:val="20"/>
                <w:szCs w:val="20"/>
                <w:shd w:val="clear" w:color="auto" w:fill="FFFFFF"/>
              </w:rPr>
              <w:t>instalație</w:t>
            </w:r>
            <w:proofErr w:type="spellEnd"/>
            <w:r w:rsidRPr="00A303C4">
              <w:rPr>
                <w:rFonts w:ascii="Times New Roman" w:eastAsia="Arial Unicode MS" w:hAnsi="Times New Roman"/>
                <w:color w:val="000000" w:themeColor="text1"/>
                <w:sz w:val="20"/>
                <w:szCs w:val="20"/>
                <w:shd w:val="clear" w:color="auto" w:fill="FFFFFF"/>
              </w:rPr>
              <w:t xml:space="preserve"> care </w:t>
            </w:r>
            <w:proofErr w:type="spellStart"/>
            <w:r w:rsidRPr="00A303C4">
              <w:rPr>
                <w:rFonts w:ascii="Times New Roman" w:eastAsia="Arial Unicode MS" w:hAnsi="Times New Roman"/>
                <w:color w:val="000000" w:themeColor="text1"/>
                <w:sz w:val="20"/>
                <w:szCs w:val="20"/>
                <w:shd w:val="clear" w:color="auto" w:fill="FFFFFF"/>
              </w:rPr>
              <w:t>este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inclusă</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domeniul</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aplicare</w:t>
            </w:r>
            <w:proofErr w:type="spellEnd"/>
            <w:r w:rsidRPr="00A303C4">
              <w:rPr>
                <w:rFonts w:ascii="Times New Roman" w:eastAsia="Arial Unicode MS" w:hAnsi="Times New Roman"/>
                <w:color w:val="000000" w:themeColor="text1"/>
                <w:sz w:val="20"/>
                <w:szCs w:val="20"/>
                <w:shd w:val="clear" w:color="auto" w:fill="FFFFFF"/>
              </w:rPr>
              <w:t xml:space="preserve"> al EU</w:t>
            </w:r>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ETS ca </w:t>
            </w:r>
            <w:proofErr w:type="spellStart"/>
            <w:r w:rsidRPr="00A303C4">
              <w:rPr>
                <w:rFonts w:ascii="Times New Roman" w:eastAsia="Arial Unicode MS" w:hAnsi="Times New Roman"/>
                <w:color w:val="000000" w:themeColor="text1"/>
                <w:sz w:val="20"/>
                <w:szCs w:val="20"/>
                <w:shd w:val="clear" w:color="auto" w:fill="FFFFFF"/>
              </w:rPr>
              <w:t>urmare</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exploatării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unor</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unități</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ardere</w:t>
            </w:r>
            <w:proofErr w:type="spellEnd"/>
            <w:r w:rsidRPr="00A303C4">
              <w:rPr>
                <w:rFonts w:ascii="Times New Roman" w:eastAsia="Arial Unicode MS" w:hAnsi="Times New Roman"/>
                <w:color w:val="000000" w:themeColor="text1"/>
                <w:sz w:val="20"/>
                <w:szCs w:val="20"/>
                <w:shd w:val="clear" w:color="auto" w:fill="FFFFFF"/>
              </w:rPr>
              <w:t xml:space="preserve"> cu o </w:t>
            </w:r>
            <w:proofErr w:type="spellStart"/>
            <w:r w:rsidRPr="00A303C4">
              <w:rPr>
                <w:rFonts w:ascii="Times New Roman" w:eastAsia="Arial Unicode MS" w:hAnsi="Times New Roman"/>
                <w:color w:val="000000" w:themeColor="text1"/>
                <w:sz w:val="20"/>
                <w:szCs w:val="20"/>
                <w:shd w:val="clear" w:color="auto" w:fill="FFFFFF"/>
              </w:rPr>
              <w:t>putere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termică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nominală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totală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mai</w:t>
            </w:r>
            <w:proofErr w:type="spellEnd"/>
            <w:r w:rsidRPr="00A303C4">
              <w:rPr>
                <w:rFonts w:ascii="Times New Roman" w:eastAsia="Arial Unicode MS" w:hAnsi="Times New Roman"/>
                <w:color w:val="000000" w:themeColor="text1"/>
                <w:sz w:val="20"/>
                <w:szCs w:val="20"/>
                <w:shd w:val="clear" w:color="auto" w:fill="FFFFFF"/>
              </w:rPr>
              <w:t xml:space="preserve"> mare de</w:t>
            </w:r>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20</w:t>
            </w:r>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MW </w:t>
            </w:r>
            <w:proofErr w:type="spellStart"/>
            <w:r w:rsidRPr="00A303C4">
              <w:rPr>
                <w:rFonts w:ascii="Times New Roman" w:eastAsia="Arial Unicode MS" w:hAnsi="Times New Roman"/>
                <w:color w:val="000000" w:themeColor="text1"/>
                <w:sz w:val="20"/>
                <w:szCs w:val="20"/>
                <w:shd w:val="clear" w:color="auto" w:fill="FFFFFF"/>
              </w:rPr>
              <w:t>își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modifică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procesele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producție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pentru</w:t>
            </w:r>
            <w:proofErr w:type="spellEnd"/>
            <w:r w:rsidRPr="00A303C4">
              <w:rPr>
                <w:rFonts w:ascii="Times New Roman" w:eastAsia="Arial Unicode MS" w:hAnsi="Times New Roman"/>
                <w:color w:val="000000" w:themeColor="text1"/>
                <w:sz w:val="20"/>
                <w:szCs w:val="20"/>
                <w:shd w:val="clear" w:color="auto" w:fill="FFFFFF"/>
              </w:rPr>
              <w:t xml:space="preserve"> a-și reduce </w:t>
            </w:r>
            <w:proofErr w:type="spellStart"/>
            <w:r w:rsidRPr="00A303C4">
              <w:rPr>
                <w:rFonts w:ascii="Times New Roman" w:eastAsia="Arial Unicode MS" w:hAnsi="Times New Roman"/>
                <w:color w:val="000000" w:themeColor="text1"/>
                <w:sz w:val="20"/>
                <w:szCs w:val="20"/>
                <w:shd w:val="clear" w:color="auto" w:fill="FFFFFF"/>
              </w:rPr>
              <w:t>emisiile</w:t>
            </w:r>
            <w:proofErr w:type="spellEnd"/>
            <w:r w:rsidRPr="00A303C4">
              <w:rPr>
                <w:rFonts w:ascii="Times New Roman" w:eastAsia="Arial Unicode MS" w:hAnsi="Times New Roman"/>
                <w:color w:val="000000" w:themeColor="text1"/>
                <w:sz w:val="20"/>
                <w:szCs w:val="20"/>
                <w:shd w:val="clear" w:color="auto" w:fill="FFFFFF"/>
              </w:rPr>
              <w:t xml:space="preserve"> de gaze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și nu </w:t>
            </w:r>
            <w:proofErr w:type="spellStart"/>
            <w:r w:rsidRPr="00A303C4">
              <w:rPr>
                <w:rFonts w:ascii="Times New Roman" w:eastAsia="Arial Unicode MS" w:hAnsi="Times New Roman"/>
                <w:color w:val="000000" w:themeColor="text1"/>
                <w:sz w:val="20"/>
                <w:szCs w:val="20"/>
                <w:shd w:val="clear" w:color="auto" w:fill="FFFFFF"/>
              </w:rPr>
              <w:t>mai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atinge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acest</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prag</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statul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membru</w:t>
            </w:r>
            <w:proofErr w:type="spellEnd"/>
            <w:r w:rsidRPr="00A303C4">
              <w:rPr>
                <w:rFonts w:ascii="Times New Roman" w:eastAsia="Arial Unicode MS" w:hAnsi="Times New Roman"/>
                <w:color w:val="000000" w:themeColor="text1"/>
                <w:sz w:val="20"/>
                <w:szCs w:val="20"/>
                <w:shd w:val="clear" w:color="auto" w:fill="FFFFFF"/>
              </w:rPr>
              <w:t xml:space="preserve"> în care </w:t>
            </w:r>
            <w:proofErr w:type="spellStart"/>
            <w:r w:rsidRPr="00A303C4">
              <w:rPr>
                <w:rFonts w:ascii="Times New Roman" w:eastAsia="Arial Unicode MS" w:hAnsi="Times New Roman"/>
                <w:color w:val="000000" w:themeColor="text1"/>
                <w:sz w:val="20"/>
                <w:szCs w:val="20"/>
                <w:shd w:val="clear" w:color="auto" w:fill="FFFFFF"/>
              </w:rPr>
              <w:t>este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situată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instalația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oferă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operatorului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opțiunea</w:t>
            </w:r>
            <w:proofErr w:type="spellEnd"/>
            <w:r w:rsidRPr="00A303C4">
              <w:rPr>
                <w:rFonts w:ascii="Times New Roman" w:eastAsia="Arial Unicode MS" w:hAnsi="Times New Roman"/>
                <w:color w:val="000000" w:themeColor="text1"/>
                <w:sz w:val="20"/>
                <w:szCs w:val="20"/>
                <w:shd w:val="clear" w:color="auto" w:fill="FFFFFF"/>
              </w:rPr>
              <w:t xml:space="preserve"> de a </w:t>
            </w:r>
            <w:proofErr w:type="spellStart"/>
            <w:r w:rsidRPr="00A303C4">
              <w:rPr>
                <w:rFonts w:ascii="Times New Roman" w:eastAsia="Arial Unicode MS" w:hAnsi="Times New Roman"/>
                <w:color w:val="000000" w:themeColor="text1"/>
                <w:sz w:val="20"/>
                <w:szCs w:val="20"/>
                <w:shd w:val="clear" w:color="auto" w:fill="FFFFFF"/>
              </w:rPr>
              <w:t>rămâne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domeniul</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aplicare</w:t>
            </w:r>
            <w:proofErr w:type="spellEnd"/>
            <w:r w:rsidRPr="00A303C4">
              <w:rPr>
                <w:rFonts w:ascii="Times New Roman" w:eastAsia="Arial Unicode MS" w:hAnsi="Times New Roman"/>
                <w:color w:val="000000" w:themeColor="text1"/>
                <w:sz w:val="20"/>
                <w:szCs w:val="20"/>
                <w:shd w:val="clear" w:color="auto" w:fill="FFFFFF"/>
              </w:rPr>
              <w:t xml:space="preserve"> al EU ETS </w:t>
            </w:r>
            <w:proofErr w:type="spellStart"/>
            <w:r w:rsidRPr="00A303C4">
              <w:rPr>
                <w:rFonts w:ascii="Times New Roman" w:eastAsia="Arial Unicode MS" w:hAnsi="Times New Roman"/>
                <w:color w:val="000000" w:themeColor="text1"/>
                <w:sz w:val="20"/>
                <w:szCs w:val="20"/>
                <w:shd w:val="clear" w:color="auto" w:fill="FFFFFF"/>
              </w:rPr>
              <w:t>până</w:t>
            </w:r>
            <w:proofErr w:type="spellEnd"/>
            <w:r w:rsidRPr="00A303C4">
              <w:rPr>
                <w:rFonts w:ascii="Times New Roman" w:eastAsia="Arial Unicode MS" w:hAnsi="Times New Roman"/>
                <w:color w:val="000000" w:themeColor="text1"/>
                <w:sz w:val="20"/>
                <w:szCs w:val="20"/>
                <w:shd w:val="clear" w:color="auto" w:fill="FFFFFF"/>
              </w:rPr>
              <w:t xml:space="preserve"> la </w:t>
            </w:r>
            <w:proofErr w:type="spellStart"/>
            <w:r w:rsidRPr="00A303C4">
              <w:rPr>
                <w:rFonts w:ascii="Times New Roman" w:eastAsia="Arial Unicode MS" w:hAnsi="Times New Roman"/>
                <w:color w:val="000000" w:themeColor="text1"/>
                <w:sz w:val="20"/>
                <w:szCs w:val="20"/>
                <w:shd w:val="clear" w:color="auto" w:fill="FFFFFF"/>
              </w:rPr>
              <w:t>încheierea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perioadei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actuale</w:t>
            </w:r>
            <w:proofErr w:type="spellEnd"/>
            <w:r w:rsidRPr="00A303C4">
              <w:rPr>
                <w:rFonts w:ascii="Times New Roman" w:eastAsia="Arial Unicode MS" w:hAnsi="Times New Roman"/>
                <w:color w:val="000000" w:themeColor="text1"/>
                <w:sz w:val="20"/>
                <w:szCs w:val="20"/>
                <w:shd w:val="clear" w:color="auto" w:fill="FFFFFF"/>
              </w:rPr>
              <w:t xml:space="preserve"> și a </w:t>
            </w:r>
            <w:proofErr w:type="spellStart"/>
            <w:r w:rsidRPr="00A303C4">
              <w:rPr>
                <w:rFonts w:ascii="Times New Roman" w:eastAsia="Arial Unicode MS" w:hAnsi="Times New Roman"/>
                <w:color w:val="000000" w:themeColor="text1"/>
                <w:sz w:val="20"/>
                <w:szCs w:val="20"/>
                <w:shd w:val="clear" w:color="auto" w:fill="FFFFFF"/>
              </w:rPr>
              <w:t>următoarei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perioade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cinci</w:t>
            </w:r>
            <w:proofErr w:type="spellEnd"/>
            <w:r w:rsidRPr="00A303C4">
              <w:rPr>
                <w:rFonts w:ascii="Times New Roman" w:eastAsia="Arial Unicode MS" w:hAnsi="Times New Roman"/>
                <w:color w:val="000000" w:themeColor="text1"/>
                <w:sz w:val="20"/>
                <w:szCs w:val="20"/>
                <w:shd w:val="clear" w:color="auto" w:fill="FFFFFF"/>
              </w:rPr>
              <w:t xml:space="preserve"> ani </w:t>
            </w:r>
            <w:proofErr w:type="spellStart"/>
            <w:r w:rsidRPr="00A303C4">
              <w:rPr>
                <w:rFonts w:ascii="Times New Roman" w:eastAsia="Arial Unicode MS" w:hAnsi="Times New Roman"/>
                <w:color w:val="000000" w:themeColor="text1"/>
                <w:sz w:val="20"/>
                <w:szCs w:val="20"/>
                <w:shd w:val="clear" w:color="auto" w:fill="FFFFFF"/>
              </w:rPr>
              <w:t>menționate</w:t>
            </w:r>
            <w:proofErr w:type="spellEnd"/>
            <w:r w:rsidRPr="00A303C4">
              <w:rPr>
                <w:rFonts w:ascii="Times New Roman" w:eastAsia="Arial Unicode MS" w:hAnsi="Times New Roman"/>
                <w:color w:val="000000" w:themeColor="text1"/>
                <w:sz w:val="20"/>
                <w:szCs w:val="20"/>
                <w:shd w:val="clear" w:color="auto" w:fill="FFFFFF"/>
              </w:rPr>
              <w:t xml:space="preserve"> la </w:t>
            </w:r>
            <w:proofErr w:type="spellStart"/>
            <w:r w:rsidRPr="00A303C4">
              <w:rPr>
                <w:rFonts w:ascii="Times New Roman" w:eastAsia="Arial Unicode MS" w:hAnsi="Times New Roman"/>
                <w:color w:val="000000" w:themeColor="text1"/>
                <w:sz w:val="20"/>
                <w:szCs w:val="20"/>
                <w:shd w:val="clear" w:color="auto" w:fill="FFFFFF"/>
              </w:rPr>
              <w:t>articolul</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11 </w:t>
            </w:r>
            <w:proofErr w:type="spellStart"/>
            <w:r w:rsidRPr="00A303C4">
              <w:rPr>
                <w:rFonts w:ascii="Times New Roman" w:eastAsia="Arial Unicode MS" w:hAnsi="Times New Roman"/>
                <w:color w:val="000000" w:themeColor="text1"/>
                <w:sz w:val="20"/>
                <w:szCs w:val="20"/>
                <w:shd w:val="clear" w:color="auto" w:fill="FFFFFF"/>
              </w:rPr>
              <w:t>alineatul</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(1) al </w:t>
            </w:r>
            <w:proofErr w:type="spellStart"/>
            <w:r w:rsidRPr="00A303C4">
              <w:rPr>
                <w:rFonts w:ascii="Times New Roman" w:eastAsia="Arial Unicode MS" w:hAnsi="Times New Roman"/>
                <w:color w:val="000000" w:themeColor="text1"/>
                <w:sz w:val="20"/>
                <w:szCs w:val="20"/>
                <w:shd w:val="clear" w:color="auto" w:fill="FFFFFF"/>
              </w:rPr>
              <w:t>doilea</w:t>
            </w:r>
            <w:proofErr w:type="spellEnd"/>
            <w:r w:rsidR="00A303C4"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paragraf</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urma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modificării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proceselor</w:t>
            </w:r>
            <w:proofErr w:type="spellEnd"/>
            <w:r w:rsidRPr="00A303C4">
              <w:rPr>
                <w:rFonts w:ascii="Times New Roman" w:eastAsia="Arial Unicode MS" w:hAnsi="Times New Roman"/>
                <w:color w:val="000000" w:themeColor="text1"/>
                <w:sz w:val="20"/>
                <w:szCs w:val="20"/>
                <w:shd w:val="clear" w:color="auto" w:fill="FFFFFF"/>
              </w:rPr>
              <w:t xml:space="preserve"> sale de </w:t>
            </w:r>
            <w:proofErr w:type="spellStart"/>
            <w:r w:rsidRPr="00A303C4">
              <w:rPr>
                <w:rFonts w:ascii="Times New Roman" w:eastAsia="Arial Unicode MS" w:hAnsi="Times New Roman"/>
                <w:color w:val="000000" w:themeColor="text1"/>
                <w:sz w:val="20"/>
                <w:szCs w:val="20"/>
                <w:shd w:val="clear" w:color="auto" w:fill="FFFFFF"/>
              </w:rPr>
              <w:t>producție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Operatorul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instalației</w:t>
            </w:r>
            <w:proofErr w:type="spellEnd"/>
            <w:r w:rsidRPr="00A303C4">
              <w:rPr>
                <w:rFonts w:ascii="Times New Roman" w:eastAsia="Arial Unicode MS" w:hAnsi="Times New Roman"/>
                <w:color w:val="000000" w:themeColor="text1"/>
                <w:sz w:val="20"/>
                <w:szCs w:val="20"/>
                <w:shd w:val="clear" w:color="auto" w:fill="FFFFFF"/>
              </w:rPr>
              <w:t xml:space="preserve"> respective </w:t>
            </w:r>
            <w:proofErr w:type="spellStart"/>
            <w:r w:rsidRPr="00A303C4">
              <w:rPr>
                <w:rFonts w:ascii="Times New Roman" w:eastAsia="Arial Unicode MS" w:hAnsi="Times New Roman"/>
                <w:color w:val="000000" w:themeColor="text1"/>
                <w:sz w:val="20"/>
                <w:szCs w:val="20"/>
                <w:shd w:val="clear" w:color="auto" w:fill="FFFFFF"/>
              </w:rPr>
              <w:t>poate</w:t>
            </w:r>
            <w:proofErr w:type="spellEnd"/>
            <w:r w:rsidRPr="00A303C4">
              <w:rPr>
                <w:rFonts w:ascii="Times New Roman" w:eastAsia="Arial Unicode MS" w:hAnsi="Times New Roman"/>
                <w:color w:val="000000" w:themeColor="text1"/>
                <w:sz w:val="20"/>
                <w:szCs w:val="20"/>
                <w:shd w:val="clear" w:color="auto" w:fill="FFFFFF"/>
              </w:rPr>
              <w:t xml:space="preserve"> decide ca </w:t>
            </w:r>
            <w:proofErr w:type="spellStart"/>
            <w:r w:rsidRPr="00A303C4">
              <w:rPr>
                <w:rFonts w:ascii="Times New Roman" w:eastAsia="Arial Unicode MS" w:hAnsi="Times New Roman"/>
                <w:color w:val="000000" w:themeColor="text1"/>
                <w:sz w:val="20"/>
                <w:szCs w:val="20"/>
                <w:shd w:val="clear" w:color="auto" w:fill="FFFFFF"/>
              </w:rPr>
              <w:t>instalația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rămână</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domeniul</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aplicare</w:t>
            </w:r>
            <w:proofErr w:type="spellEnd"/>
            <w:r w:rsidRPr="00A303C4">
              <w:rPr>
                <w:rFonts w:ascii="Times New Roman" w:eastAsia="Arial Unicode MS" w:hAnsi="Times New Roman"/>
                <w:color w:val="000000" w:themeColor="text1"/>
                <w:sz w:val="20"/>
                <w:szCs w:val="20"/>
                <w:shd w:val="clear" w:color="auto" w:fill="FFFFFF"/>
              </w:rPr>
              <w:t xml:space="preserve"> al EU ETS </w:t>
            </w:r>
            <w:proofErr w:type="spellStart"/>
            <w:r w:rsidRPr="00A303C4">
              <w:rPr>
                <w:rFonts w:ascii="Times New Roman" w:eastAsia="Arial Unicode MS" w:hAnsi="Times New Roman"/>
                <w:color w:val="000000" w:themeColor="text1"/>
                <w:sz w:val="20"/>
                <w:szCs w:val="20"/>
                <w:shd w:val="clear" w:color="auto" w:fill="FFFFFF"/>
              </w:rPr>
              <w:t>numai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până</w:t>
            </w:r>
            <w:proofErr w:type="spellEnd"/>
            <w:r w:rsidRPr="00A303C4">
              <w:rPr>
                <w:rFonts w:ascii="Times New Roman" w:eastAsia="Arial Unicode MS" w:hAnsi="Times New Roman"/>
                <w:color w:val="000000" w:themeColor="text1"/>
                <w:sz w:val="20"/>
                <w:szCs w:val="20"/>
                <w:shd w:val="clear" w:color="auto" w:fill="FFFFFF"/>
              </w:rPr>
              <w:t xml:space="preserve"> la </w:t>
            </w:r>
            <w:proofErr w:type="spellStart"/>
            <w:r w:rsidRPr="00A303C4">
              <w:rPr>
                <w:rFonts w:ascii="Times New Roman" w:eastAsia="Arial Unicode MS" w:hAnsi="Times New Roman"/>
                <w:color w:val="000000" w:themeColor="text1"/>
                <w:sz w:val="20"/>
                <w:szCs w:val="20"/>
                <w:shd w:val="clear" w:color="auto" w:fill="FFFFFF"/>
              </w:rPr>
              <w:t>sfârșitul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perioadei</w:t>
            </w:r>
            <w:proofErr w:type="spellEnd"/>
            <w:r w:rsidRPr="00A303C4">
              <w:rPr>
                <w:rFonts w:ascii="Times New Roman" w:eastAsia="Arial Unicode MS" w:hAnsi="Times New Roman"/>
                <w:color w:val="000000" w:themeColor="text1"/>
                <w:sz w:val="20"/>
                <w:szCs w:val="20"/>
                <w:shd w:val="clear" w:color="auto" w:fill="FFFFFF"/>
              </w:rPr>
              <w:t xml:space="preserve"> respective de </w:t>
            </w:r>
            <w:proofErr w:type="spellStart"/>
            <w:r w:rsidRPr="00A303C4">
              <w:rPr>
                <w:rFonts w:ascii="Times New Roman" w:eastAsia="Arial Unicode MS" w:hAnsi="Times New Roman"/>
                <w:color w:val="000000" w:themeColor="text1"/>
                <w:sz w:val="20"/>
                <w:szCs w:val="20"/>
                <w:shd w:val="clear" w:color="auto" w:fill="FFFFFF"/>
              </w:rPr>
              <w:t>cinci</w:t>
            </w:r>
            <w:proofErr w:type="spellEnd"/>
            <w:r w:rsidRPr="00A303C4">
              <w:rPr>
                <w:rFonts w:ascii="Times New Roman" w:eastAsia="Arial Unicode MS" w:hAnsi="Times New Roman"/>
                <w:color w:val="000000" w:themeColor="text1"/>
                <w:sz w:val="20"/>
                <w:szCs w:val="20"/>
                <w:shd w:val="clear" w:color="auto" w:fill="FFFFFF"/>
              </w:rPr>
              <w:t xml:space="preserve"> ani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și în </w:t>
            </w:r>
            <w:proofErr w:type="spellStart"/>
            <w:r w:rsidRPr="00A303C4">
              <w:rPr>
                <w:rFonts w:ascii="Times New Roman" w:eastAsia="Arial Unicode MS" w:hAnsi="Times New Roman"/>
                <w:color w:val="000000" w:themeColor="text1"/>
                <w:sz w:val="20"/>
                <w:szCs w:val="20"/>
                <w:shd w:val="clear" w:color="auto" w:fill="FFFFFF"/>
              </w:rPr>
              <w:t>următoarea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perioadă</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cinci</w:t>
            </w:r>
            <w:proofErr w:type="spellEnd"/>
            <w:r w:rsidRPr="00A303C4">
              <w:rPr>
                <w:rFonts w:ascii="Times New Roman" w:eastAsia="Arial Unicode MS" w:hAnsi="Times New Roman"/>
                <w:color w:val="000000" w:themeColor="text1"/>
                <w:sz w:val="20"/>
                <w:szCs w:val="20"/>
                <w:shd w:val="clear" w:color="auto" w:fill="FFFFFF"/>
              </w:rPr>
              <w:t xml:space="preserve"> ani, în </w:t>
            </w:r>
            <w:proofErr w:type="spellStart"/>
            <w:r w:rsidRPr="00A303C4">
              <w:rPr>
                <w:rFonts w:ascii="Times New Roman" w:eastAsia="Arial Unicode MS" w:hAnsi="Times New Roman"/>
                <w:color w:val="000000" w:themeColor="text1"/>
                <w:sz w:val="20"/>
                <w:szCs w:val="20"/>
                <w:shd w:val="clear" w:color="auto" w:fill="FFFFFF"/>
              </w:rPr>
              <w:t>urma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modificării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proceselor</w:t>
            </w:r>
            <w:proofErr w:type="spellEnd"/>
            <w:r w:rsidRPr="00A303C4">
              <w:rPr>
                <w:rFonts w:ascii="Times New Roman" w:eastAsia="Arial Unicode MS" w:hAnsi="Times New Roman"/>
                <w:color w:val="000000" w:themeColor="text1"/>
                <w:sz w:val="20"/>
                <w:szCs w:val="20"/>
                <w:shd w:val="clear" w:color="auto" w:fill="FFFFFF"/>
              </w:rPr>
              <w:t xml:space="preserve"> sale de </w:t>
            </w:r>
            <w:proofErr w:type="spellStart"/>
            <w:r w:rsidRPr="00A303C4">
              <w:rPr>
                <w:rFonts w:ascii="Times New Roman" w:eastAsia="Arial Unicode MS" w:hAnsi="Times New Roman"/>
                <w:color w:val="000000" w:themeColor="text1"/>
                <w:sz w:val="20"/>
                <w:szCs w:val="20"/>
                <w:shd w:val="clear" w:color="auto" w:fill="FFFFFF"/>
              </w:rPr>
              <w:t>producție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Statul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membru</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cauză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notifică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Comisiei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modificările</w:t>
            </w:r>
            <w:proofErr w:type="spellEnd"/>
            <w:r w:rsidRPr="00A303C4">
              <w:rPr>
                <w:rFonts w:ascii="Times New Roman" w:eastAsia="Arial Unicode MS" w:hAnsi="Times New Roman"/>
                <w:color w:val="000000" w:themeColor="text1"/>
                <w:sz w:val="20"/>
                <w:szCs w:val="20"/>
                <w:shd w:val="clear" w:color="auto" w:fill="FFFFFF"/>
              </w:rPr>
              <w:t xml:space="preserve"> operate în </w:t>
            </w:r>
            <w:proofErr w:type="spellStart"/>
            <w:r w:rsidRPr="00A303C4">
              <w:rPr>
                <w:rFonts w:ascii="Times New Roman" w:eastAsia="Arial Unicode MS" w:hAnsi="Times New Roman"/>
                <w:color w:val="000000" w:themeColor="text1"/>
                <w:sz w:val="20"/>
                <w:szCs w:val="20"/>
                <w:shd w:val="clear" w:color="auto" w:fill="FFFFFF"/>
              </w:rPr>
              <w:t>lista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prezentată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Comisiei</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temeiul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articolului</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11 </w:t>
            </w:r>
            <w:proofErr w:type="spellStart"/>
            <w:r w:rsidRPr="00A303C4">
              <w:rPr>
                <w:rFonts w:ascii="Times New Roman" w:eastAsia="Arial Unicode MS" w:hAnsi="Times New Roman"/>
                <w:color w:val="000000" w:themeColor="text1"/>
                <w:sz w:val="20"/>
                <w:szCs w:val="20"/>
                <w:shd w:val="clear" w:color="auto" w:fill="FFFFFF"/>
              </w:rPr>
              <w:t>alineatul</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(1).</w:t>
            </w:r>
          </w:p>
          <w:p w14:paraId="769B727A" w14:textId="0D0043AE" w:rsidR="00124364" w:rsidRDefault="00000000" w:rsidP="00A303C4">
            <w:pPr>
              <w:pStyle w:val="af8"/>
              <w:numPr>
                <w:ilvl w:val="0"/>
                <w:numId w:val="2"/>
              </w:numPr>
              <w:spacing w:after="0" w:line="240" w:lineRule="auto"/>
              <w:jc w:val="both"/>
              <w:rPr>
                <w:rFonts w:ascii="Times New Roman" w:hAnsi="Times New Roman"/>
                <w:color w:val="4472C4" w:themeColor="accent1"/>
                <w:sz w:val="20"/>
                <w:szCs w:val="20"/>
              </w:rPr>
            </w:pPr>
            <w:r w:rsidRPr="00A303C4">
              <w:rPr>
                <w:rFonts w:ascii="Times New Roman" w:eastAsia="Arial Unicode MS" w:hAnsi="Times New Roman"/>
                <w:color w:val="000000" w:themeColor="text1"/>
                <w:sz w:val="20"/>
                <w:szCs w:val="20"/>
                <w:shd w:val="clear" w:color="auto" w:fill="FFFFFF"/>
              </w:rPr>
              <w:t xml:space="preserve">Prezenta </w:t>
            </w:r>
            <w:proofErr w:type="spellStart"/>
            <w:r w:rsidRPr="00A303C4">
              <w:rPr>
                <w:rFonts w:ascii="Times New Roman" w:eastAsia="Arial Unicode MS" w:hAnsi="Times New Roman"/>
                <w:color w:val="000000" w:themeColor="text1"/>
                <w:sz w:val="20"/>
                <w:szCs w:val="20"/>
                <w:shd w:val="clear" w:color="auto" w:fill="FFFFFF"/>
              </w:rPr>
              <w:t>directivă</w:t>
            </w:r>
            <w:proofErr w:type="spellEnd"/>
            <w:r w:rsidRPr="00A303C4">
              <w:rPr>
                <w:rFonts w:ascii="Times New Roman" w:eastAsia="Arial Unicode MS" w:hAnsi="Times New Roman"/>
                <w:color w:val="000000" w:themeColor="text1"/>
                <w:sz w:val="20"/>
                <w:szCs w:val="20"/>
                <w:shd w:val="clear" w:color="auto" w:fill="FFFFFF"/>
              </w:rPr>
              <w:t xml:space="preserve"> se </w:t>
            </w:r>
            <w:proofErr w:type="spellStart"/>
            <w:r w:rsidRPr="00A303C4">
              <w:rPr>
                <w:rFonts w:ascii="Times New Roman" w:eastAsia="Arial Unicode MS" w:hAnsi="Times New Roman"/>
                <w:color w:val="000000" w:themeColor="text1"/>
                <w:sz w:val="20"/>
                <w:szCs w:val="20"/>
                <w:shd w:val="clear" w:color="auto" w:fill="FFFFFF"/>
              </w:rPr>
              <w:t>aplică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fără</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aduce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atingere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cerințelor</w:t>
            </w:r>
            <w:proofErr w:type="spellEnd"/>
            <w:r w:rsidRPr="00A303C4">
              <w:rPr>
                <w:rFonts w:ascii="Times New Roman" w:eastAsia="Arial Unicode MS" w:hAnsi="Times New Roman"/>
                <w:color w:val="000000" w:themeColor="text1"/>
                <w:sz w:val="20"/>
                <w:szCs w:val="20"/>
                <w:shd w:val="clear" w:color="auto" w:fill="FFFFFF"/>
              </w:rPr>
              <w:t xml:space="preserve"> care </w:t>
            </w:r>
            <w:proofErr w:type="spellStart"/>
            <w:r w:rsidRPr="00A303C4">
              <w:rPr>
                <w:rFonts w:ascii="Times New Roman" w:eastAsia="Arial Unicode MS" w:hAnsi="Times New Roman"/>
                <w:color w:val="000000" w:themeColor="text1"/>
                <w:sz w:val="20"/>
                <w:szCs w:val="20"/>
                <w:shd w:val="clear" w:color="auto" w:fill="FFFFFF"/>
              </w:rPr>
              <w:t>decurg</w:t>
            </w:r>
            <w:proofErr w:type="spellEnd"/>
            <w:r w:rsidRPr="00A303C4">
              <w:rPr>
                <w:rFonts w:ascii="Times New Roman" w:eastAsia="Arial Unicode MS" w:hAnsi="Times New Roman"/>
                <w:color w:val="000000" w:themeColor="text1"/>
                <w:sz w:val="20"/>
                <w:szCs w:val="20"/>
                <w:shd w:val="clear" w:color="auto" w:fill="FFFFFF"/>
              </w:rPr>
              <w:t xml:space="preserve"> din </w:t>
            </w:r>
            <w:proofErr w:type="spellStart"/>
            <w:r w:rsidRPr="00A303C4">
              <w:rPr>
                <w:rFonts w:ascii="Times New Roman" w:eastAsia="Arial Unicode MS" w:hAnsi="Times New Roman"/>
                <w:color w:val="000000" w:themeColor="text1"/>
                <w:sz w:val="20"/>
                <w:szCs w:val="20"/>
                <w:shd w:val="clear" w:color="auto" w:fill="FFFFFF"/>
              </w:rPr>
              <w:t>Directiva</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2010/75/UE a </w:t>
            </w:r>
            <w:proofErr w:type="spellStart"/>
            <w:r w:rsidRPr="00A303C4">
              <w:rPr>
                <w:rFonts w:ascii="Times New Roman" w:eastAsia="Arial Unicode MS" w:hAnsi="Times New Roman"/>
                <w:color w:val="000000" w:themeColor="text1"/>
                <w:sz w:val="20"/>
                <w:szCs w:val="20"/>
                <w:shd w:val="clear" w:color="auto" w:fill="FFFFFF"/>
              </w:rPr>
              <w:t>Parlamentului</w:t>
            </w:r>
            <w:proofErr w:type="spellEnd"/>
            <w:r w:rsidRPr="00A303C4">
              <w:rPr>
                <w:rFonts w:ascii="Times New Roman" w:eastAsia="Arial Unicode MS" w:hAnsi="Times New Roman"/>
                <w:color w:val="000000" w:themeColor="text1"/>
                <w:sz w:val="20"/>
                <w:szCs w:val="20"/>
                <w:shd w:val="clear" w:color="auto" w:fill="FFFFFF"/>
              </w:rPr>
              <w:t xml:space="preserve"> European și a </w:t>
            </w:r>
            <w:proofErr w:type="spellStart"/>
            <w:r w:rsidRPr="00A303C4">
              <w:rPr>
                <w:rFonts w:ascii="Times New Roman" w:eastAsia="Arial Unicode MS" w:hAnsi="Times New Roman"/>
                <w:color w:val="000000" w:themeColor="text1"/>
                <w:sz w:val="20"/>
                <w:szCs w:val="20"/>
                <w:shd w:val="clear" w:color="auto" w:fill="FFFFFF"/>
              </w:rPr>
              <w:t>Consiliului</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Pr>
                <w:rFonts w:ascii="Times New Roman" w:eastAsia="Arial Unicode MS" w:hAnsi="Times New Roman"/>
                <w:color w:val="333333"/>
                <w:sz w:val="20"/>
                <w:szCs w:val="20"/>
                <w:shd w:val="clear" w:color="auto" w:fill="FFFFFF"/>
              </w:rPr>
              <w:t>(</w:t>
            </w:r>
            <w:hyperlink r:id="rId19" w:anchor="E0003" w:history="1">
              <w:r>
                <w:rPr>
                  <w:rStyle w:val="superscript"/>
                  <w:rFonts w:ascii="Times New Roman" w:eastAsia="Arial Unicode MS" w:hAnsi="Times New Roman"/>
                  <w:color w:val="4472C4" w:themeColor="accent1"/>
                  <w:sz w:val="20"/>
                  <w:szCs w:val="20"/>
                  <w:vertAlign w:val="superscript"/>
                </w:rPr>
                <w:t>3</w:t>
              </w:r>
            </w:hyperlink>
            <w:r>
              <w:rPr>
                <w:rFonts w:ascii="Times New Roman" w:eastAsia="Arial Unicode MS" w:hAnsi="Times New Roman"/>
                <w:color w:val="333333"/>
                <w:sz w:val="20"/>
                <w:szCs w:val="20"/>
                <w:shd w:val="clear" w:color="auto" w:fill="FFFFFF"/>
              </w:rPr>
              <w:t>).</w:t>
            </w:r>
          </w:p>
          <w:p w14:paraId="4483A6D5" w14:textId="77777777" w:rsidR="00124364" w:rsidRDefault="00000000">
            <w:pPr>
              <w:pStyle w:val="af8"/>
              <w:spacing w:after="0" w:line="240" w:lineRule="auto"/>
              <w:rPr>
                <w:rFonts w:ascii="Times New Roman" w:hAnsi="Times New Roman"/>
                <w:color w:val="4472C4" w:themeColor="accent1"/>
                <w:sz w:val="20"/>
                <w:szCs w:val="20"/>
              </w:rPr>
            </w:pPr>
            <w:hyperlink r:id="rId20" w:tooltip="32008L0101: INSERTED" w:history="1">
              <w:r>
                <w:rPr>
                  <w:rStyle w:val="af3"/>
                  <w:rFonts w:ascii="Times New Roman" w:eastAsia="Arial Unicode MS" w:hAnsi="Times New Roman"/>
                  <w:b/>
                  <w:bCs/>
                  <w:color w:val="4472C4" w:themeColor="accent1"/>
                  <w:sz w:val="20"/>
                  <w:szCs w:val="20"/>
                </w:rPr>
                <w:t>▼M2</w:t>
              </w:r>
            </w:hyperlink>
          </w:p>
          <w:p w14:paraId="09A4249B" w14:textId="77777777" w:rsidR="00124364" w:rsidRPr="00A303C4" w:rsidRDefault="00000000" w:rsidP="00A303C4">
            <w:pPr>
              <w:pStyle w:val="af8"/>
              <w:numPr>
                <w:ilvl w:val="0"/>
                <w:numId w:val="2"/>
              </w:numPr>
              <w:spacing w:after="0" w:line="240" w:lineRule="auto"/>
              <w:jc w:val="both"/>
              <w:rPr>
                <w:rFonts w:ascii="Times New Roman" w:hAnsi="Times New Roman"/>
                <w:color w:val="000000" w:themeColor="text1"/>
                <w:sz w:val="20"/>
                <w:szCs w:val="20"/>
              </w:rPr>
            </w:pPr>
            <w:proofErr w:type="spellStart"/>
            <w:r w:rsidRPr="00A303C4">
              <w:rPr>
                <w:rFonts w:ascii="Times New Roman" w:eastAsia="Arial Unicode MS" w:hAnsi="Times New Roman"/>
                <w:color w:val="000000" w:themeColor="text1"/>
                <w:sz w:val="20"/>
                <w:szCs w:val="20"/>
                <w:shd w:val="clear" w:color="auto" w:fill="FFFFFF"/>
              </w:rPr>
              <w:t>Aplicarea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prezentei</w:t>
            </w:r>
            <w:proofErr w:type="spellEnd"/>
            <w:r w:rsidRPr="00A303C4">
              <w:rPr>
                <w:rFonts w:ascii="Times New Roman" w:eastAsia="Arial Unicode MS" w:hAnsi="Times New Roman"/>
                <w:color w:val="000000" w:themeColor="text1"/>
                <w:sz w:val="20"/>
                <w:szCs w:val="20"/>
                <w:shd w:val="clear" w:color="auto" w:fill="FFFFFF"/>
              </w:rPr>
              <w:t xml:space="preserve"> directive în </w:t>
            </w:r>
            <w:proofErr w:type="spellStart"/>
            <w:r w:rsidRPr="00A303C4">
              <w:rPr>
                <w:rFonts w:ascii="Times New Roman" w:eastAsia="Arial Unicode MS" w:hAnsi="Times New Roman"/>
                <w:color w:val="000000" w:themeColor="text1"/>
                <w:sz w:val="20"/>
                <w:szCs w:val="20"/>
                <w:shd w:val="clear" w:color="auto" w:fill="FFFFFF"/>
              </w:rPr>
              <w:t>cazul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aeroportului</w:t>
            </w:r>
            <w:proofErr w:type="spellEnd"/>
            <w:r w:rsidRPr="00A303C4">
              <w:rPr>
                <w:rFonts w:ascii="Times New Roman" w:eastAsia="Arial Unicode MS" w:hAnsi="Times New Roman"/>
                <w:color w:val="000000" w:themeColor="text1"/>
                <w:sz w:val="20"/>
                <w:szCs w:val="20"/>
                <w:shd w:val="clear" w:color="auto" w:fill="FFFFFF"/>
              </w:rPr>
              <w:t xml:space="preserve"> Gibraltar nu </w:t>
            </w:r>
            <w:proofErr w:type="spellStart"/>
            <w:r w:rsidRPr="00A303C4">
              <w:rPr>
                <w:rFonts w:ascii="Times New Roman" w:eastAsia="Arial Unicode MS" w:hAnsi="Times New Roman"/>
                <w:color w:val="000000" w:themeColor="text1"/>
                <w:sz w:val="20"/>
                <w:szCs w:val="20"/>
                <w:shd w:val="clear" w:color="auto" w:fill="FFFFFF"/>
              </w:rPr>
              <w:t>aduce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atingere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poziției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juridice</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Regatului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Spaniei</w:t>
            </w:r>
            <w:proofErr w:type="spellEnd"/>
            <w:r w:rsidRPr="00A303C4">
              <w:rPr>
                <w:rFonts w:ascii="Times New Roman" w:eastAsia="Arial Unicode MS" w:hAnsi="Times New Roman"/>
                <w:color w:val="000000" w:themeColor="text1"/>
                <w:sz w:val="20"/>
                <w:szCs w:val="20"/>
                <w:shd w:val="clear" w:color="auto" w:fill="FFFFFF"/>
              </w:rPr>
              <w:t xml:space="preserve"> și, </w:t>
            </w:r>
            <w:proofErr w:type="spellStart"/>
            <w:r w:rsidRPr="00A303C4">
              <w:rPr>
                <w:rFonts w:ascii="Times New Roman" w:eastAsia="Arial Unicode MS" w:hAnsi="Times New Roman"/>
                <w:color w:val="000000" w:themeColor="text1"/>
                <w:sz w:val="20"/>
                <w:szCs w:val="20"/>
                <w:shd w:val="clear" w:color="auto" w:fill="FFFFFF"/>
              </w:rPr>
              <w:t>respectiv</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Regatului</w:t>
            </w:r>
            <w:proofErr w:type="spellEnd"/>
            <w:r w:rsidRPr="00A303C4">
              <w:rPr>
                <w:rFonts w:ascii="Times New Roman" w:eastAsia="Arial Unicode MS" w:hAnsi="Times New Roman"/>
                <w:color w:val="000000" w:themeColor="text1"/>
                <w:sz w:val="20"/>
                <w:szCs w:val="20"/>
                <w:shd w:val="clear" w:color="auto" w:fill="FFFFFF"/>
              </w:rPr>
              <w:t xml:space="preserve"> Unit cu </w:t>
            </w:r>
            <w:proofErr w:type="spellStart"/>
            <w:r w:rsidRPr="00A303C4">
              <w:rPr>
                <w:rFonts w:ascii="Times New Roman" w:eastAsia="Arial Unicode MS" w:hAnsi="Times New Roman"/>
                <w:color w:val="000000" w:themeColor="text1"/>
                <w:sz w:val="20"/>
                <w:szCs w:val="20"/>
                <w:shd w:val="clear" w:color="auto" w:fill="FFFFFF"/>
              </w:rPr>
              <w:t>privire</w:t>
            </w:r>
            <w:proofErr w:type="spellEnd"/>
            <w:r w:rsidRPr="00A303C4">
              <w:rPr>
                <w:rFonts w:ascii="Times New Roman" w:eastAsia="Arial Unicode MS" w:hAnsi="Times New Roman"/>
                <w:color w:val="000000" w:themeColor="text1"/>
                <w:sz w:val="20"/>
                <w:szCs w:val="20"/>
                <w:shd w:val="clear" w:color="auto" w:fill="FFFFFF"/>
              </w:rPr>
              <w:t xml:space="preserve"> la </w:t>
            </w:r>
            <w:proofErr w:type="spellStart"/>
            <w:r w:rsidRPr="00A303C4">
              <w:rPr>
                <w:rFonts w:ascii="Times New Roman" w:eastAsia="Arial Unicode MS" w:hAnsi="Times New Roman"/>
                <w:color w:val="000000" w:themeColor="text1"/>
                <w:sz w:val="20"/>
                <w:szCs w:val="20"/>
                <w:shd w:val="clear" w:color="auto" w:fill="FFFFFF"/>
              </w:rPr>
              <w:t>diferendul</w:t>
            </w:r>
            <w:proofErr w:type="spellEnd"/>
            <w:r w:rsidRPr="00A303C4">
              <w:rPr>
                <w:rFonts w:ascii="Times New Roman" w:eastAsia="Arial Unicode MS" w:hAnsi="Times New Roman"/>
                <w:color w:val="000000" w:themeColor="text1"/>
                <w:sz w:val="20"/>
                <w:szCs w:val="20"/>
                <w:shd w:val="clear" w:color="auto" w:fill="FFFFFF"/>
              </w:rPr>
              <w:t xml:space="preserve"> lor </w:t>
            </w:r>
            <w:proofErr w:type="spellStart"/>
            <w:r w:rsidRPr="00A303C4">
              <w:rPr>
                <w:rFonts w:ascii="Times New Roman" w:eastAsia="Arial Unicode MS" w:hAnsi="Times New Roman"/>
                <w:color w:val="000000" w:themeColor="text1"/>
                <w:sz w:val="20"/>
                <w:szCs w:val="20"/>
                <w:shd w:val="clear" w:color="auto" w:fill="FFFFFF"/>
              </w:rPr>
              <w:t>referitor</w:t>
            </w:r>
            <w:proofErr w:type="spellEnd"/>
            <w:r w:rsidRPr="00A303C4">
              <w:rPr>
                <w:rFonts w:ascii="Times New Roman" w:eastAsia="Arial Unicode MS" w:hAnsi="Times New Roman"/>
                <w:color w:val="000000" w:themeColor="text1"/>
                <w:sz w:val="20"/>
                <w:szCs w:val="20"/>
                <w:shd w:val="clear" w:color="auto" w:fill="FFFFFF"/>
              </w:rPr>
              <w:t xml:space="preserve"> la </w:t>
            </w:r>
            <w:proofErr w:type="spellStart"/>
            <w:r w:rsidRPr="00A303C4">
              <w:rPr>
                <w:rFonts w:ascii="Times New Roman" w:eastAsia="Arial Unicode MS" w:hAnsi="Times New Roman"/>
                <w:color w:val="000000" w:themeColor="text1"/>
                <w:sz w:val="20"/>
                <w:szCs w:val="20"/>
                <w:shd w:val="clear" w:color="auto" w:fill="FFFFFF"/>
              </w:rPr>
              <w:t>suveranitatea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asupra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teritoriului</w:t>
            </w:r>
            <w:proofErr w:type="spellEnd"/>
            <w:r w:rsidRPr="00A303C4">
              <w:rPr>
                <w:rFonts w:ascii="Times New Roman" w:eastAsia="Arial Unicode MS" w:hAnsi="Times New Roman"/>
                <w:color w:val="000000" w:themeColor="text1"/>
                <w:sz w:val="20"/>
                <w:szCs w:val="20"/>
                <w:shd w:val="clear" w:color="auto" w:fill="FFFFFF"/>
              </w:rPr>
              <w:t xml:space="preserve"> pe care </w:t>
            </w:r>
            <w:proofErr w:type="spellStart"/>
            <w:r w:rsidRPr="00A303C4">
              <w:rPr>
                <w:rFonts w:ascii="Times New Roman" w:eastAsia="Arial Unicode MS" w:hAnsi="Times New Roman"/>
                <w:color w:val="000000" w:themeColor="text1"/>
                <w:sz w:val="20"/>
                <w:szCs w:val="20"/>
                <w:shd w:val="clear" w:color="auto" w:fill="FFFFFF"/>
              </w:rPr>
              <w:t>este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situat</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aeroportul</w:t>
            </w:r>
            <w:proofErr w:type="spellEnd"/>
            <w:r w:rsidRPr="00A303C4">
              <w:rPr>
                <w:rFonts w:ascii="Times New Roman" w:eastAsia="Arial Unicode MS" w:hAnsi="Times New Roman"/>
                <w:color w:val="000000" w:themeColor="text1"/>
                <w:sz w:val="20"/>
                <w:szCs w:val="20"/>
                <w:shd w:val="clear" w:color="auto" w:fill="FFFFFF"/>
              </w:rPr>
              <w:t>.</w:t>
            </w:r>
          </w:p>
          <w:p w14:paraId="791CFF02" w14:textId="77777777" w:rsidR="00124364" w:rsidRDefault="00000000">
            <w:pPr>
              <w:spacing w:after="0" w:line="240" w:lineRule="auto"/>
              <w:rPr>
                <w:rFonts w:ascii="Times New Roman" w:hAnsi="Times New Roman"/>
                <w:color w:val="4472C4" w:themeColor="accent1"/>
                <w:sz w:val="20"/>
                <w:szCs w:val="20"/>
              </w:rPr>
            </w:pPr>
            <w:hyperlink r:id="rId21" w:tooltip="32003L008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3020B344" w14:textId="77777777" w:rsidR="0066519A" w:rsidRPr="0066519A" w:rsidRDefault="0066519A" w:rsidP="0066519A">
            <w:pPr>
              <w:pStyle w:val="af8"/>
              <w:ind w:left="1506"/>
              <w:jc w:val="center"/>
              <w:rPr>
                <w:rFonts w:ascii="Times New Roman" w:hAnsi="Times New Roman"/>
                <w:b/>
                <w:sz w:val="20"/>
                <w:szCs w:val="20"/>
                <w:lang w:val="ro-MD"/>
              </w:rPr>
            </w:pPr>
            <w:r w:rsidRPr="0066519A">
              <w:rPr>
                <w:rFonts w:ascii="Times New Roman" w:hAnsi="Times New Roman"/>
                <w:b/>
                <w:sz w:val="20"/>
                <w:szCs w:val="20"/>
                <w:lang w:val="ro-MD"/>
              </w:rPr>
              <w:t>Secţiunea a 3-a</w:t>
            </w:r>
          </w:p>
          <w:p w14:paraId="7189FD4F" w14:textId="77777777" w:rsidR="0066519A" w:rsidRPr="0066519A" w:rsidRDefault="0066519A" w:rsidP="0066519A">
            <w:pPr>
              <w:pStyle w:val="af8"/>
              <w:spacing w:after="0" w:line="240" w:lineRule="auto"/>
              <w:ind w:left="1506"/>
              <w:jc w:val="center"/>
              <w:rPr>
                <w:rFonts w:ascii="Times New Roman" w:hAnsi="Times New Roman"/>
                <w:b/>
                <w:sz w:val="20"/>
                <w:szCs w:val="20"/>
                <w:lang w:val="ro-MD"/>
              </w:rPr>
            </w:pPr>
            <w:r w:rsidRPr="0066519A">
              <w:rPr>
                <w:rFonts w:ascii="Times New Roman" w:hAnsi="Times New Roman"/>
                <w:b/>
                <w:sz w:val="20"/>
                <w:szCs w:val="20"/>
                <w:lang w:val="ro-MD"/>
              </w:rPr>
              <w:t>Monitorizare, raportare și verificare</w:t>
            </w:r>
          </w:p>
          <w:p w14:paraId="69A14387" w14:textId="6895E95E" w:rsidR="0066519A" w:rsidRPr="0066519A" w:rsidRDefault="0066519A" w:rsidP="0066519A">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52.</w:t>
            </w:r>
            <w:r w:rsidRPr="0066519A">
              <w:rPr>
                <w:rFonts w:ascii="Times New Roman" w:hAnsi="Times New Roman"/>
                <w:bCs/>
                <w:sz w:val="20"/>
                <w:szCs w:val="20"/>
                <w:lang w:val="ro-MD"/>
              </w:rPr>
              <w:t>Monitorizarea, raportarea și verificarea emisiilor de GES de la instalațiile staționare</w:t>
            </w:r>
          </w:p>
          <w:p w14:paraId="6AA89491" w14:textId="77777777" w:rsidR="0066519A" w:rsidRPr="0066519A" w:rsidRDefault="0066519A" w:rsidP="0066519A">
            <w:pPr>
              <w:pStyle w:val="af8"/>
              <w:numPr>
                <w:ilvl w:val="0"/>
                <w:numId w:val="239"/>
              </w:numPr>
              <w:suppressAutoHyphens w:val="0"/>
              <w:autoSpaceDN/>
              <w:spacing w:after="0" w:line="240" w:lineRule="auto"/>
              <w:ind w:left="0" w:firstLine="357"/>
              <w:jc w:val="both"/>
              <w:textAlignment w:val="auto"/>
              <w:rPr>
                <w:rFonts w:ascii="Times New Roman" w:hAnsi="Times New Roman"/>
                <w:sz w:val="20"/>
                <w:szCs w:val="20"/>
                <w:lang w:val="ro-MD"/>
              </w:rPr>
            </w:pPr>
            <w:r w:rsidRPr="0066519A">
              <w:rPr>
                <w:rFonts w:ascii="Times New Roman" w:hAnsi="Times New Roman"/>
                <w:sz w:val="20"/>
                <w:szCs w:val="20"/>
                <w:lang w:val="ro-MD"/>
              </w:rPr>
              <w:t xml:space="preserve">Operatorul instalației staționare, </w:t>
            </w:r>
            <w:r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Pr="0066519A">
              <w:rPr>
                <w:rFonts w:ascii="Times New Roman" w:hAnsi="Times New Roman"/>
                <w:sz w:val="20"/>
                <w:szCs w:val="20"/>
                <w:lang w:val="ro-MD"/>
              </w:rPr>
              <w:t xml:space="preserve">deține </w:t>
            </w:r>
            <w:r w:rsidRPr="0066519A">
              <w:rPr>
                <w:rFonts w:ascii="Times New Roman" w:hAnsi="Times New Roman"/>
                <w:color w:val="000000"/>
                <w:sz w:val="20"/>
                <w:szCs w:val="20"/>
                <w:shd w:val="clear" w:color="auto" w:fill="FFFFFF"/>
                <w:lang w:val="ro-MD"/>
              </w:rPr>
              <w:t>autorizația integrată de mediu pentru desfășurarea</w:t>
            </w:r>
            <w:r w:rsidRPr="0066519A">
              <w:rPr>
                <w:rFonts w:ascii="Times New Roman" w:hAnsi="Times New Roman"/>
                <w:bCs/>
                <w:sz w:val="20"/>
                <w:szCs w:val="20"/>
                <w:lang w:val="ro-MD"/>
              </w:rPr>
              <w:t xml:space="preserve">  activității, </w:t>
            </w:r>
            <w:r w:rsidRPr="0066519A">
              <w:rPr>
                <w:rFonts w:ascii="Times New Roman" w:hAnsi="Times New Roman"/>
                <w:sz w:val="20"/>
                <w:szCs w:val="20"/>
                <w:lang w:val="ro-MD"/>
              </w:rPr>
              <w:t xml:space="preserve">asigură monitorizarea și raportarea emisiilor de GES </w:t>
            </w:r>
            <w:r w:rsidRPr="0066519A">
              <w:rPr>
                <w:rFonts w:ascii="Times New Roman" w:hAnsi="Times New Roman"/>
                <w:sz w:val="20"/>
                <w:szCs w:val="20"/>
                <w:shd w:val="clear" w:color="auto" w:fill="FFFFFF"/>
                <w:lang w:val="ro-MD"/>
              </w:rPr>
              <w:t xml:space="preserve">pe baza PM, care este partea integrantă a </w:t>
            </w:r>
            <w:r w:rsidRPr="0066519A">
              <w:rPr>
                <w:rFonts w:ascii="Times New Roman" w:hAnsi="Times New Roman"/>
                <w:color w:val="000000"/>
                <w:sz w:val="20"/>
                <w:szCs w:val="20"/>
                <w:shd w:val="clear" w:color="auto" w:fill="FFFFFF"/>
                <w:lang w:val="ro-MD"/>
              </w:rPr>
              <w:t>autorizației integrate de mediu emisă de către Agenția de Mediu.</w:t>
            </w:r>
          </w:p>
          <w:p w14:paraId="6058688C" w14:textId="77777777" w:rsidR="0066519A" w:rsidRPr="0066519A" w:rsidRDefault="0066519A" w:rsidP="0066519A">
            <w:pPr>
              <w:pStyle w:val="af8"/>
              <w:numPr>
                <w:ilvl w:val="0"/>
                <w:numId w:val="239"/>
              </w:numPr>
              <w:suppressAutoHyphens w:val="0"/>
              <w:autoSpaceDN/>
              <w:spacing w:after="0" w:line="240" w:lineRule="auto"/>
              <w:ind w:left="0" w:firstLine="357"/>
              <w:jc w:val="both"/>
              <w:textAlignment w:val="auto"/>
              <w:rPr>
                <w:rFonts w:ascii="Times New Roman" w:hAnsi="Times New Roman"/>
                <w:sz w:val="20"/>
                <w:szCs w:val="20"/>
                <w:shd w:val="clear" w:color="auto" w:fill="FFFFFF"/>
                <w:lang w:val="ro-MD"/>
              </w:rPr>
            </w:pPr>
            <w:r w:rsidRPr="0066519A">
              <w:rPr>
                <w:rFonts w:ascii="Times New Roman" w:hAnsi="Times New Roman"/>
                <w:sz w:val="20"/>
                <w:szCs w:val="20"/>
                <w:shd w:val="clear" w:color="auto" w:fill="FFFFFF"/>
                <w:lang w:val="ro-MD"/>
              </w:rPr>
              <w:t xml:space="preserve">Măsurile de reducere a emisiilor de GES planificate, inclusiv metodologia și frecvența de monitorizare și raportare a acestora se bazează pe principiile de monitorizare și raportare prevăzute în Anexa nr.2 a prezentei legi și se realizează în conformitate cu PA pentru emisiile de GES, elaborat de către </w:t>
            </w:r>
            <w:r w:rsidRPr="0066519A">
              <w:rPr>
                <w:rFonts w:ascii="Times New Roman" w:hAnsi="Times New Roman"/>
                <w:sz w:val="20"/>
                <w:szCs w:val="20"/>
                <w:lang w:val="ro-MD"/>
              </w:rPr>
              <w:t>operatorul instalației staționare</w:t>
            </w:r>
            <w:r w:rsidRPr="0066519A">
              <w:rPr>
                <w:rFonts w:ascii="Times New Roman" w:hAnsi="Times New Roman"/>
                <w:sz w:val="20"/>
                <w:szCs w:val="20"/>
                <w:shd w:val="clear" w:color="auto" w:fill="FFFFFF"/>
                <w:lang w:val="ro-MD"/>
              </w:rPr>
              <w:t xml:space="preserve"> și aprobat de către Agenția de Mediu.</w:t>
            </w:r>
            <w:r w:rsidRPr="0066519A">
              <w:rPr>
                <w:rFonts w:ascii="Times New Roman" w:eastAsia="Arial Unicode MS" w:hAnsi="Times New Roman"/>
                <w:color w:val="333333"/>
                <w:sz w:val="20"/>
                <w:szCs w:val="20"/>
                <w:shd w:val="clear" w:color="auto" w:fill="FFFFFF"/>
                <w:lang w:val="ro-MD"/>
              </w:rPr>
              <w:t xml:space="preserve"> </w:t>
            </w:r>
          </w:p>
          <w:p w14:paraId="686FF279" w14:textId="77777777" w:rsidR="00124364" w:rsidRPr="0066519A" w:rsidRDefault="00124364" w:rsidP="0066519A">
            <w:pPr>
              <w:suppressAutoHyphens w:val="0"/>
              <w:autoSpaceDN/>
              <w:spacing w:after="0" w:line="240" w:lineRule="auto"/>
              <w:jc w:val="both"/>
              <w:textAlignment w:val="auto"/>
              <w:rPr>
                <w:rFonts w:ascii="Times New Roman" w:eastAsia="Times New Roman" w:hAnsi="Times New Roman"/>
                <w:b/>
                <w:sz w:val="20"/>
                <w:szCs w:val="20"/>
                <w:lang w:val="ro-MD" w:eastAsia="ru-RU"/>
              </w:rPr>
            </w:pPr>
          </w:p>
        </w:tc>
        <w:tc>
          <w:tcPr>
            <w:tcW w:w="1276" w:type="dxa"/>
            <w:shd w:val="clear" w:color="auto" w:fill="auto"/>
          </w:tcPr>
          <w:p w14:paraId="29B60AD0" w14:textId="02D81087" w:rsidR="00124364" w:rsidRDefault="000D3F92">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w:t>
            </w:r>
            <w:r w:rsidR="00000000">
              <w:rPr>
                <w:rFonts w:ascii="Times New Roman" w:hAnsi="Times New Roman"/>
                <w:bCs/>
                <w:sz w:val="20"/>
                <w:szCs w:val="20"/>
                <w:lang w:val="ro-RO"/>
              </w:rPr>
              <w:t xml:space="preserve">ompatibil </w:t>
            </w:r>
          </w:p>
          <w:p w14:paraId="47C994E5" w14:textId="77777777" w:rsidR="00124364" w:rsidRDefault="00124364">
            <w:pPr>
              <w:pStyle w:val="ColorfulList-Accent11"/>
              <w:spacing w:after="0" w:line="240" w:lineRule="auto"/>
              <w:ind w:left="0"/>
              <w:jc w:val="center"/>
              <w:rPr>
                <w:rFonts w:ascii="Times New Roman" w:hAnsi="Times New Roman"/>
                <w:bCs/>
                <w:sz w:val="20"/>
                <w:szCs w:val="20"/>
                <w:lang w:val="ro-RO"/>
              </w:rPr>
            </w:pPr>
          </w:p>
        </w:tc>
        <w:tc>
          <w:tcPr>
            <w:tcW w:w="1275" w:type="dxa"/>
            <w:shd w:val="clear" w:color="auto" w:fill="auto"/>
          </w:tcPr>
          <w:p w14:paraId="1B61EC0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C43F74C" w14:textId="77777777" w:rsidR="00124364" w:rsidRPr="0066519A" w:rsidRDefault="000D3F92">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471D1A4F" w14:textId="77777777" w:rsidR="0066519A" w:rsidRDefault="0066519A" w:rsidP="0066519A">
            <w:pPr>
              <w:pStyle w:val="Para"/>
              <w:tabs>
                <w:tab w:val="clear" w:pos="1361"/>
                <w:tab w:val="left" w:pos="1422"/>
              </w:tabs>
              <w:spacing w:before="60" w:after="0"/>
              <w:ind w:right="0"/>
              <w:rPr>
                <w:rFonts w:ascii="Times New Roman" w:eastAsiaTheme="minorHAnsi" w:hAnsi="Times New Roman"/>
                <w:color w:val="000000" w:themeColor="text1"/>
              </w:rPr>
            </w:pPr>
          </w:p>
          <w:p w14:paraId="56085102" w14:textId="77777777" w:rsidR="0066519A" w:rsidRDefault="0066519A" w:rsidP="0066519A">
            <w:pPr>
              <w:pStyle w:val="Para"/>
              <w:tabs>
                <w:tab w:val="clear" w:pos="1361"/>
                <w:tab w:val="left" w:pos="1422"/>
              </w:tabs>
              <w:spacing w:before="60" w:after="0"/>
              <w:ind w:right="0"/>
              <w:rPr>
                <w:rFonts w:ascii="Times New Roman" w:eastAsiaTheme="minorHAnsi" w:hAnsi="Times New Roman"/>
                <w:color w:val="000000" w:themeColor="text1"/>
              </w:rPr>
            </w:pPr>
          </w:p>
          <w:p w14:paraId="7F1D2C80" w14:textId="0FD89D56" w:rsidR="0066519A" w:rsidRPr="0066519A" w:rsidRDefault="0066519A" w:rsidP="0066519A">
            <w:pPr>
              <w:pStyle w:val="Para"/>
              <w:tabs>
                <w:tab w:val="clear" w:pos="1361"/>
                <w:tab w:val="left" w:pos="1422"/>
              </w:tabs>
              <w:spacing w:before="60" w:after="0"/>
              <w:ind w:right="0"/>
              <w:rPr>
                <w:rFonts w:ascii="Times New Roman" w:eastAsia="Calibri" w:hAnsi="Times New Roman"/>
                <w:color w:val="000000" w:themeColor="text1"/>
              </w:rPr>
            </w:pPr>
            <w:r w:rsidRPr="0066519A">
              <w:rPr>
                <w:rFonts w:ascii="Times New Roman" w:eastAsiaTheme="minorHAnsi" w:hAnsi="Times New Roman"/>
                <w:color w:val="000000" w:themeColor="text1"/>
              </w:rPr>
              <w:t>Prevederile referito</w:t>
            </w:r>
            <w:r>
              <w:rPr>
                <w:rFonts w:ascii="Times New Roman" w:eastAsiaTheme="minorHAnsi" w:hAnsi="Times New Roman"/>
                <w:color w:val="000000" w:themeColor="text1"/>
              </w:rPr>
              <w:t>a</w:t>
            </w:r>
            <w:r w:rsidRPr="0066519A">
              <w:rPr>
                <w:rFonts w:ascii="Times New Roman" w:eastAsiaTheme="minorHAnsi" w:hAnsi="Times New Roman"/>
                <w:color w:val="000000" w:themeColor="text1"/>
              </w:rPr>
              <w:t>r</w:t>
            </w:r>
            <w:r>
              <w:rPr>
                <w:rFonts w:ascii="Times New Roman" w:eastAsiaTheme="minorHAnsi" w:hAnsi="Times New Roman"/>
                <w:color w:val="000000" w:themeColor="text1"/>
              </w:rPr>
              <w:t>e</w:t>
            </w:r>
            <w:r w:rsidRPr="0066519A">
              <w:rPr>
                <w:rFonts w:ascii="Times New Roman" w:eastAsiaTheme="minorHAnsi" w:hAnsi="Times New Roman"/>
                <w:color w:val="000000" w:themeColor="text1"/>
              </w:rPr>
              <w:t xml:space="preserve"> la monitorizarea, raportarea și verificarea </w:t>
            </w:r>
            <w:r w:rsidRPr="0066519A">
              <w:rPr>
                <w:rFonts w:ascii="Times New Roman" w:hAnsi="Times New Roman"/>
                <w:color w:val="000000" w:themeColor="text1"/>
              </w:rPr>
              <w:t xml:space="preserve">emisiilor de </w:t>
            </w:r>
            <w:r w:rsidRPr="0066519A">
              <w:rPr>
                <w:rFonts w:ascii="Times New Roman" w:hAnsi="Times New Roman"/>
                <w:color w:val="000000" w:themeColor="text1"/>
              </w:rPr>
              <w:t xml:space="preserve">GES </w:t>
            </w:r>
            <w:r w:rsidRPr="0066519A">
              <w:rPr>
                <w:rFonts w:ascii="Times New Roman" w:hAnsi="Times New Roman"/>
                <w:color w:val="000000" w:themeColor="text1"/>
              </w:rPr>
              <w:t>de la instalațiile staționare și activitățile din domeniul aviației</w:t>
            </w:r>
            <w:r w:rsidRPr="0066519A">
              <w:rPr>
                <w:rFonts w:ascii="Times New Roman" w:hAnsi="Times New Roman"/>
                <w:color w:val="000000" w:themeColor="text1"/>
              </w:rPr>
              <w:t xml:space="preserve"> vor fi reglementate în </w:t>
            </w:r>
          </w:p>
          <w:p w14:paraId="1D41266F" w14:textId="77777777" w:rsidR="0066519A" w:rsidRPr="0066519A" w:rsidRDefault="0066519A" w:rsidP="0066519A">
            <w:pPr>
              <w:pStyle w:val="Para"/>
              <w:tabs>
                <w:tab w:val="clear" w:pos="1361"/>
                <w:tab w:val="left" w:pos="1422"/>
              </w:tabs>
              <w:spacing w:before="60" w:after="0"/>
              <w:ind w:right="0"/>
              <w:rPr>
                <w:rFonts w:ascii="Times New Roman" w:eastAsia="Calibri" w:hAnsi="Times New Roman"/>
                <w:color w:val="000000" w:themeColor="text1"/>
              </w:rPr>
            </w:pPr>
            <w:r w:rsidRPr="0066519A">
              <w:rPr>
                <w:rFonts w:ascii="Times New Roman" w:hAnsi="Times New Roman"/>
                <w:color w:val="000000" w:themeColor="text1"/>
              </w:rPr>
              <w:t>Regulamentul privind monitorizare, raportare și verificare a emisiilor de gaze cu efect de sera de la instalațiile staționare și activitățile din domeniul aviației;</w:t>
            </w:r>
          </w:p>
          <w:p w14:paraId="16A8DCC1" w14:textId="111A1EAE" w:rsidR="0066519A" w:rsidRDefault="0066519A">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67299687"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5D00616" w14:textId="77777777" w:rsidR="00124364" w:rsidRDefault="00124364">
            <w:pPr>
              <w:autoSpaceDE w:val="0"/>
              <w:spacing w:after="0" w:line="240" w:lineRule="auto"/>
              <w:rPr>
                <w:rFonts w:ascii="Times New Roman" w:hAnsi="Times New Roman"/>
                <w:sz w:val="20"/>
                <w:szCs w:val="20"/>
                <w:lang w:val="fr-FR"/>
              </w:rPr>
            </w:pPr>
          </w:p>
          <w:p w14:paraId="41809EA5" w14:textId="011A549D" w:rsidR="0066519A" w:rsidRDefault="0066519A">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6B2BEF52" w14:textId="77777777">
        <w:trPr>
          <w:trHeight w:val="558"/>
        </w:trPr>
        <w:tc>
          <w:tcPr>
            <w:tcW w:w="4957" w:type="dxa"/>
            <w:shd w:val="clear" w:color="auto" w:fill="auto"/>
          </w:tcPr>
          <w:p w14:paraId="5205AB27" w14:textId="77777777" w:rsidR="00124364" w:rsidRDefault="00000000">
            <w:pPr>
              <w:pStyle w:val="ti-art"/>
              <w:shd w:val="clear" w:color="auto" w:fill="FFFFFF"/>
              <w:spacing w:before="0" w:beforeAutospacing="0" w:after="0" w:afterAutospacing="0"/>
              <w:jc w:val="center"/>
              <w:rPr>
                <w:i/>
                <w:iCs/>
                <w:color w:val="333333"/>
                <w:sz w:val="20"/>
                <w:szCs w:val="20"/>
                <w:lang w:val="en-US"/>
              </w:rPr>
            </w:pPr>
            <w:proofErr w:type="spellStart"/>
            <w:r>
              <w:rPr>
                <w:i/>
                <w:iCs/>
                <w:color w:val="333333"/>
                <w:sz w:val="20"/>
                <w:szCs w:val="20"/>
                <w:lang w:val="en-US"/>
              </w:rPr>
              <w:lastRenderedPageBreak/>
              <w:t>Articolul</w:t>
            </w:r>
            <w:proofErr w:type="spellEnd"/>
            <w:r>
              <w:rPr>
                <w:i/>
                <w:iCs/>
                <w:color w:val="333333"/>
                <w:sz w:val="20"/>
                <w:szCs w:val="20"/>
                <w:lang w:val="en-US"/>
              </w:rPr>
              <w:t xml:space="preserve"> 3</w:t>
            </w:r>
          </w:p>
          <w:p w14:paraId="3E83D9D9" w14:textId="77777777" w:rsidR="00124364" w:rsidRDefault="00000000">
            <w:pPr>
              <w:pStyle w:val="sti-art"/>
              <w:shd w:val="clear" w:color="auto" w:fill="FFFFFF"/>
              <w:spacing w:before="0" w:beforeAutospacing="0" w:after="0" w:afterAutospacing="0"/>
              <w:jc w:val="center"/>
              <w:rPr>
                <w:b/>
                <w:bCs/>
                <w:color w:val="333333"/>
                <w:sz w:val="20"/>
                <w:szCs w:val="20"/>
                <w:lang w:val="en-US"/>
              </w:rPr>
            </w:pPr>
            <w:proofErr w:type="spellStart"/>
            <w:r>
              <w:rPr>
                <w:b/>
                <w:bCs/>
                <w:color w:val="333333"/>
                <w:sz w:val="20"/>
                <w:szCs w:val="20"/>
                <w:lang w:val="en-US"/>
              </w:rPr>
              <w:t>Definiții</w:t>
            </w:r>
            <w:proofErr w:type="spellEnd"/>
          </w:p>
          <w:p w14:paraId="63493C23" w14:textId="77777777" w:rsidR="00124364" w:rsidRPr="00A303C4" w:rsidRDefault="00000000">
            <w:pPr>
              <w:pStyle w:val="8"/>
              <w:spacing w:before="0" w:beforeAutospacing="0" w:after="0" w:afterAutospacing="0"/>
              <w:jc w:val="both"/>
              <w:rPr>
                <w:rFonts w:eastAsia="Arial Unicode MS"/>
                <w:color w:val="000000" w:themeColor="text1"/>
                <w:sz w:val="20"/>
                <w:szCs w:val="20"/>
                <w:shd w:val="clear" w:color="auto" w:fill="FFFFFF"/>
              </w:rPr>
            </w:pPr>
            <w:r w:rsidRPr="00A303C4">
              <w:rPr>
                <w:rFonts w:eastAsia="Arial Unicode MS"/>
                <w:color w:val="000000" w:themeColor="text1"/>
                <w:sz w:val="20"/>
                <w:szCs w:val="20"/>
                <w:shd w:val="clear" w:color="auto" w:fill="FFFFFF"/>
              </w:rPr>
              <w:t xml:space="preserve">În </w:t>
            </w:r>
            <w:proofErr w:type="spellStart"/>
            <w:r w:rsidRPr="00A303C4">
              <w:rPr>
                <w:rFonts w:eastAsia="Arial Unicode MS"/>
                <w:color w:val="000000" w:themeColor="text1"/>
                <w:sz w:val="20"/>
                <w:szCs w:val="20"/>
                <w:shd w:val="clear" w:color="auto" w:fill="FFFFFF"/>
              </w:rPr>
              <w:t>sensul</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prezentei</w:t>
            </w:r>
            <w:proofErr w:type="spellEnd"/>
            <w:r w:rsidRPr="00A303C4">
              <w:rPr>
                <w:rFonts w:eastAsia="Arial Unicode MS"/>
                <w:color w:val="000000" w:themeColor="text1"/>
                <w:sz w:val="20"/>
                <w:szCs w:val="20"/>
                <w:shd w:val="clear" w:color="auto" w:fill="FFFFFF"/>
              </w:rPr>
              <w:t xml:space="preserve"> directive, se </w:t>
            </w:r>
            <w:proofErr w:type="spellStart"/>
            <w:r w:rsidRPr="00A303C4">
              <w:rPr>
                <w:rFonts w:eastAsia="Arial Unicode MS"/>
                <w:color w:val="000000" w:themeColor="text1"/>
                <w:sz w:val="20"/>
                <w:szCs w:val="20"/>
                <w:shd w:val="clear" w:color="auto" w:fill="FFFFFF"/>
              </w:rPr>
              <w:t>aplică</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următoarele</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definiții</w:t>
            </w:r>
            <w:proofErr w:type="spellEnd"/>
            <w:r w:rsidRPr="00A303C4">
              <w:rPr>
                <w:rFonts w:eastAsia="Arial Unicode MS"/>
                <w:color w:val="000000" w:themeColor="text1"/>
                <w:sz w:val="20"/>
                <w:szCs w:val="20"/>
                <w:shd w:val="clear" w:color="auto" w:fill="FFFFFF"/>
              </w:rPr>
              <w:t>:</w:t>
            </w:r>
          </w:p>
          <w:p w14:paraId="0B94F08C" w14:textId="77777777" w:rsidR="00124364" w:rsidRDefault="00000000">
            <w:pPr>
              <w:spacing w:after="0" w:line="240" w:lineRule="auto"/>
              <w:jc w:val="both"/>
              <w:rPr>
                <w:rStyle w:val="af3"/>
                <w:rFonts w:ascii="Times New Roman" w:eastAsia="Arial Unicode MS" w:hAnsi="Times New Roman"/>
                <w:b/>
                <w:bCs/>
                <w:color w:val="4472C4" w:themeColor="accent1"/>
                <w:sz w:val="20"/>
                <w:szCs w:val="20"/>
                <w:shd w:val="clear" w:color="auto" w:fill="FFFFFF"/>
              </w:rPr>
            </w:pPr>
            <w:hyperlink r:id="rId22" w:tooltip="32021R1119: REPLACED" w:history="1">
              <w:r>
                <w:rPr>
                  <w:rStyle w:val="af3"/>
                  <w:rFonts w:ascii="Times New Roman" w:eastAsia="Arial Unicode MS" w:hAnsi="Times New Roman"/>
                  <w:b/>
                  <w:bCs/>
                  <w:color w:val="4472C4" w:themeColor="accent1"/>
                  <w:sz w:val="20"/>
                  <w:szCs w:val="20"/>
                  <w:shd w:val="clear" w:color="auto" w:fill="FFFFFF"/>
                </w:rPr>
                <w:t>▼C1</w:t>
              </w:r>
            </w:hyperlink>
          </w:p>
          <w:p w14:paraId="6BDCD890"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r>
              <w:rPr>
                <w:rFonts w:ascii="Times New Roman" w:eastAsia="Arial Unicode MS" w:hAnsi="Times New Roman"/>
                <w:color w:val="333333"/>
                <w:sz w:val="20"/>
                <w:szCs w:val="20"/>
                <w:shd w:val="clear" w:color="auto" w:fill="FFFFFF"/>
              </w:rPr>
              <w:t>certificat</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înseamnă</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orice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certificat</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emisii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corespunzător</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emiterii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unei</w:t>
            </w:r>
            <w:proofErr w:type="spellEnd"/>
            <w:r>
              <w:rPr>
                <w:rFonts w:ascii="Times New Roman" w:eastAsia="Arial Unicode MS" w:hAnsi="Times New Roman"/>
                <w:color w:val="333333"/>
                <w:sz w:val="20"/>
                <w:szCs w:val="20"/>
                <w:shd w:val="clear" w:color="auto" w:fill="FFFFFF"/>
              </w:rPr>
              <w:t xml:space="preserve"> tone de </w:t>
            </w:r>
            <w:proofErr w:type="spellStart"/>
            <w:r>
              <w:rPr>
                <w:rFonts w:ascii="Times New Roman" w:eastAsia="Arial Unicode MS" w:hAnsi="Times New Roman"/>
                <w:color w:val="333333"/>
                <w:sz w:val="20"/>
                <w:szCs w:val="20"/>
                <w:shd w:val="clear" w:color="auto" w:fill="FFFFFF"/>
              </w:rPr>
              <w:t>dioxid</w:t>
            </w:r>
            <w:proofErr w:type="spellEnd"/>
            <w:r>
              <w:rPr>
                <w:rFonts w:ascii="Times New Roman" w:eastAsia="Arial Unicode MS" w:hAnsi="Times New Roman"/>
                <w:color w:val="333333"/>
                <w:sz w:val="20"/>
                <w:szCs w:val="20"/>
                <w:shd w:val="clear" w:color="auto" w:fill="FFFFFF"/>
              </w:rPr>
              <w:t xml:space="preserve"> de carbon </w:t>
            </w:r>
            <w:proofErr w:type="spellStart"/>
            <w:r>
              <w:rPr>
                <w:rFonts w:ascii="Times New Roman" w:eastAsia="Arial Unicode MS" w:hAnsi="Times New Roman"/>
                <w:color w:val="333333"/>
                <w:sz w:val="20"/>
                <w:szCs w:val="20"/>
                <w:shd w:val="clear" w:color="auto" w:fill="FFFFFF"/>
              </w:rPr>
              <w:t>echivalent</w:t>
            </w:r>
            <w:proofErr w:type="spellEnd"/>
            <w:r>
              <w:rPr>
                <w:rFonts w:ascii="Times New Roman" w:eastAsia="Arial Unicode MS" w:hAnsi="Times New Roman"/>
                <w:color w:val="333333"/>
                <w:sz w:val="20"/>
                <w:szCs w:val="20"/>
                <w:shd w:val="clear" w:color="auto" w:fill="FFFFFF"/>
              </w:rPr>
              <w:t xml:space="preserve"> pe </w:t>
            </w:r>
            <w:proofErr w:type="spellStart"/>
            <w:r>
              <w:rPr>
                <w:rFonts w:ascii="Times New Roman" w:eastAsia="Arial Unicode MS" w:hAnsi="Times New Roman"/>
                <w:color w:val="333333"/>
                <w:sz w:val="20"/>
                <w:szCs w:val="20"/>
                <w:shd w:val="clear" w:color="auto" w:fill="FFFFFF"/>
              </w:rPr>
              <w:t>parcursul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unei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perioade</w:t>
            </w:r>
            <w:proofErr w:type="spellEnd"/>
            <w:r>
              <w:rPr>
                <w:rFonts w:ascii="Times New Roman" w:eastAsia="Arial Unicode MS" w:hAnsi="Times New Roman"/>
                <w:color w:val="333333"/>
                <w:sz w:val="20"/>
                <w:szCs w:val="20"/>
                <w:shd w:val="clear" w:color="auto" w:fill="FFFFFF"/>
              </w:rPr>
              <w:t xml:space="preserve"> determinate, care </w:t>
            </w:r>
            <w:proofErr w:type="spellStart"/>
            <w:r>
              <w:rPr>
                <w:rFonts w:ascii="Times New Roman" w:eastAsia="Arial Unicode MS" w:hAnsi="Times New Roman"/>
                <w:color w:val="333333"/>
                <w:sz w:val="20"/>
                <w:szCs w:val="20"/>
                <w:shd w:val="clear" w:color="auto" w:fill="FFFFFF"/>
              </w:rPr>
              <w:t>este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valabil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numai</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sensul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respectării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cerințelor</w:t>
            </w:r>
            <w:proofErr w:type="spellEnd"/>
            <w:r>
              <w:rPr>
                <w:rFonts w:ascii="Times New Roman" w:eastAsia="Arial Unicode MS" w:hAnsi="Times New Roman"/>
                <w:color w:val="333333"/>
                <w:sz w:val="20"/>
                <w:szCs w:val="20"/>
                <w:shd w:val="clear" w:color="auto" w:fill="FFFFFF"/>
              </w:rPr>
              <w:t xml:space="preserve"> din prezenta </w:t>
            </w:r>
            <w:proofErr w:type="spellStart"/>
            <w:r>
              <w:rPr>
                <w:rFonts w:ascii="Times New Roman" w:eastAsia="Arial Unicode MS" w:hAnsi="Times New Roman"/>
                <w:color w:val="333333"/>
                <w:sz w:val="20"/>
                <w:szCs w:val="20"/>
                <w:shd w:val="clear" w:color="auto" w:fill="FFFFFF"/>
              </w:rPr>
              <w:t>directivă</w:t>
            </w:r>
            <w:proofErr w:type="spellEnd"/>
            <w:r>
              <w:rPr>
                <w:rFonts w:ascii="Times New Roman" w:eastAsia="Arial Unicode MS" w:hAnsi="Times New Roman"/>
                <w:color w:val="333333"/>
                <w:sz w:val="20"/>
                <w:szCs w:val="20"/>
                <w:shd w:val="clear" w:color="auto" w:fill="FFFFFF"/>
              </w:rPr>
              <w:t xml:space="preserve"> și care </w:t>
            </w:r>
            <w:proofErr w:type="spellStart"/>
            <w:r>
              <w:rPr>
                <w:rFonts w:ascii="Times New Roman" w:eastAsia="Arial Unicode MS" w:hAnsi="Times New Roman"/>
                <w:color w:val="333333"/>
                <w:sz w:val="20"/>
                <w:szCs w:val="20"/>
                <w:shd w:val="clear" w:color="auto" w:fill="FFFFFF"/>
              </w:rPr>
              <w:t>este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transferabil</w:t>
            </w:r>
            <w:proofErr w:type="spellEnd"/>
            <w:r>
              <w:rPr>
                <w:rFonts w:ascii="Times New Roman" w:eastAsia="Arial Unicode MS" w:hAnsi="Times New Roman"/>
                <w:color w:val="333333"/>
                <w:sz w:val="20"/>
                <w:szCs w:val="20"/>
                <w:shd w:val="clear" w:color="auto" w:fill="FFFFFF"/>
              </w:rPr>
              <w:t xml:space="preserve"> în conformitate cu </w:t>
            </w:r>
            <w:proofErr w:type="spellStart"/>
            <w:r>
              <w:rPr>
                <w:rFonts w:ascii="Times New Roman" w:eastAsia="Arial Unicode MS" w:hAnsi="Times New Roman"/>
                <w:color w:val="333333"/>
                <w:sz w:val="20"/>
                <w:szCs w:val="20"/>
                <w:shd w:val="clear" w:color="auto" w:fill="FFFFFF"/>
              </w:rPr>
              <w:t>dispozițiile</w:t>
            </w:r>
            <w:proofErr w:type="spellEnd"/>
            <w:r>
              <w:rPr>
                <w:rFonts w:ascii="Times New Roman" w:eastAsia="Arial Unicode MS" w:hAnsi="Times New Roman"/>
                <w:color w:val="333333"/>
                <w:sz w:val="20"/>
                <w:szCs w:val="20"/>
                <w:shd w:val="clear" w:color="auto" w:fill="FFFFFF"/>
              </w:rPr>
              <w:t xml:space="preserve"> din prezenta </w:t>
            </w:r>
            <w:proofErr w:type="spellStart"/>
            <w:proofErr w:type="gramStart"/>
            <w:r>
              <w:rPr>
                <w:rFonts w:ascii="Times New Roman" w:eastAsia="Arial Unicode MS" w:hAnsi="Times New Roman"/>
                <w:color w:val="333333"/>
                <w:sz w:val="20"/>
                <w:szCs w:val="20"/>
                <w:shd w:val="clear" w:color="auto" w:fill="FFFFFF"/>
              </w:rPr>
              <w:t>directivă</w:t>
            </w:r>
            <w:proofErr w:type="spellEnd"/>
            <w:r>
              <w:rPr>
                <w:rFonts w:ascii="Times New Roman" w:eastAsia="Arial Unicode MS" w:hAnsi="Times New Roman"/>
                <w:color w:val="333333"/>
                <w:sz w:val="20"/>
                <w:szCs w:val="20"/>
                <w:shd w:val="clear" w:color="auto" w:fill="FFFFFF"/>
              </w:rPr>
              <w:t>;</w:t>
            </w:r>
            <w:proofErr w:type="gramEnd"/>
          </w:p>
          <w:p w14:paraId="126D04E0"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3" w:tooltip="32023L0959: REPLACED" w:history="1">
              <w:r>
                <w:rPr>
                  <w:rStyle w:val="af3"/>
                  <w:rFonts w:ascii="Times New Roman" w:eastAsia="Arial Unicode MS" w:hAnsi="Times New Roman"/>
                  <w:b/>
                  <w:bCs/>
                  <w:color w:val="4472C4" w:themeColor="accent1"/>
                  <w:sz w:val="20"/>
                  <w:szCs w:val="20"/>
                </w:rPr>
                <w:t>▼M15</w:t>
              </w:r>
            </w:hyperlink>
          </w:p>
          <w:p w14:paraId="7B60C2E3" w14:textId="1A0CF011"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emisii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eliberarea</w:t>
            </w:r>
            <w:proofErr w:type="spellEnd"/>
            <w:r w:rsidRPr="00A303C4">
              <w:rPr>
                <w:rFonts w:ascii="Times New Roman" w:eastAsia="Arial Unicode MS" w:hAnsi="Times New Roman"/>
                <w:color w:val="000000" w:themeColor="text1"/>
                <w:sz w:val="20"/>
                <w:szCs w:val="20"/>
                <w:shd w:val="clear" w:color="auto" w:fill="FFFFFF"/>
              </w:rPr>
              <w:t xml:space="preserve"> de gaze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din surse </w:t>
            </w:r>
            <w:proofErr w:type="spellStart"/>
            <w:r w:rsidRPr="00A303C4">
              <w:rPr>
                <w:rFonts w:ascii="Times New Roman" w:eastAsia="Arial Unicode MS" w:hAnsi="Times New Roman"/>
                <w:color w:val="000000" w:themeColor="text1"/>
                <w:sz w:val="20"/>
                <w:szCs w:val="20"/>
                <w:shd w:val="clear" w:color="auto" w:fill="FFFFFF"/>
              </w:rPr>
              <w:t>aparținând</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instalații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eliberarea</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către</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aeronavă</w:t>
            </w:r>
            <w:proofErr w:type="spellEnd"/>
            <w:r w:rsidRPr="00A303C4">
              <w:rPr>
                <w:rFonts w:ascii="Times New Roman" w:eastAsia="Arial Unicode MS" w:hAnsi="Times New Roman"/>
                <w:color w:val="000000" w:themeColor="text1"/>
                <w:sz w:val="20"/>
                <w:szCs w:val="20"/>
                <w:shd w:val="clear" w:color="auto" w:fill="FFFFFF"/>
              </w:rPr>
              <w:t xml:space="preserve"> care </w:t>
            </w:r>
            <w:proofErr w:type="spellStart"/>
            <w:r w:rsidRPr="00A303C4">
              <w:rPr>
                <w:rFonts w:ascii="Times New Roman" w:eastAsia="Arial Unicode MS" w:hAnsi="Times New Roman"/>
                <w:color w:val="000000" w:themeColor="text1"/>
                <w:sz w:val="20"/>
                <w:szCs w:val="20"/>
                <w:shd w:val="clear" w:color="auto" w:fill="FFFFFF"/>
              </w:rPr>
              <w:t>desfășoară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activitate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aviație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enumerată</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I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către</w:t>
            </w:r>
            <w:proofErr w:type="spellEnd"/>
            <w:r w:rsidRPr="00A303C4">
              <w:rPr>
                <w:rFonts w:ascii="Times New Roman" w:eastAsia="Arial Unicode MS" w:hAnsi="Times New Roman"/>
                <w:color w:val="000000" w:themeColor="text1"/>
                <w:sz w:val="20"/>
                <w:szCs w:val="20"/>
                <w:shd w:val="clear" w:color="auto" w:fill="FFFFFF"/>
              </w:rPr>
              <w:t xml:space="preserve"> nave care </w:t>
            </w:r>
            <w:proofErr w:type="spellStart"/>
            <w:r w:rsidRPr="00A303C4">
              <w:rPr>
                <w:rFonts w:ascii="Times New Roman" w:eastAsia="Arial Unicode MS" w:hAnsi="Times New Roman"/>
                <w:color w:val="000000" w:themeColor="text1"/>
                <w:sz w:val="20"/>
                <w:szCs w:val="20"/>
                <w:shd w:val="clear" w:color="auto" w:fill="FFFFFF"/>
              </w:rPr>
              <w:t>desfășoară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activitate</w:t>
            </w:r>
            <w:proofErr w:type="spellEnd"/>
            <w:r w:rsidRPr="00A303C4">
              <w:rPr>
                <w:rFonts w:ascii="Times New Roman" w:eastAsia="Arial Unicode MS" w:hAnsi="Times New Roman"/>
                <w:color w:val="000000" w:themeColor="text1"/>
                <w:sz w:val="20"/>
                <w:szCs w:val="20"/>
                <w:shd w:val="clear" w:color="auto" w:fill="FFFFFF"/>
              </w:rPr>
              <w:t xml:space="preserve"> de transport maritim </w:t>
            </w:r>
            <w:proofErr w:type="spellStart"/>
            <w:r w:rsidRPr="00A303C4">
              <w:rPr>
                <w:rFonts w:ascii="Times New Roman" w:eastAsia="Arial Unicode MS" w:hAnsi="Times New Roman"/>
                <w:color w:val="000000" w:themeColor="text1"/>
                <w:sz w:val="20"/>
                <w:szCs w:val="20"/>
                <w:shd w:val="clear" w:color="auto" w:fill="FFFFFF"/>
              </w:rPr>
              <w:t>enumerată</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 xml:space="preserve">I </w:t>
            </w:r>
            <w:proofErr w:type="gramStart"/>
            <w:r w:rsidRPr="00A303C4">
              <w:rPr>
                <w:rFonts w:ascii="Times New Roman" w:eastAsia="Arial Unicode MS" w:hAnsi="Times New Roman"/>
                <w:color w:val="000000" w:themeColor="text1"/>
                <w:sz w:val="20"/>
                <w:szCs w:val="20"/>
                <w:shd w:val="clear" w:color="auto" w:fill="FFFFFF"/>
              </w:rPr>
              <w:t>a</w:t>
            </w:r>
            <w:proofErr w:type="gram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gazelor</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specificate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cadrul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respectivei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eliberarea</w:t>
            </w:r>
            <w:proofErr w:type="spellEnd"/>
            <w:r w:rsidRPr="00A303C4">
              <w:rPr>
                <w:rFonts w:ascii="Times New Roman" w:eastAsia="Arial Unicode MS" w:hAnsi="Times New Roman"/>
                <w:color w:val="000000" w:themeColor="text1"/>
                <w:sz w:val="20"/>
                <w:szCs w:val="20"/>
                <w:shd w:val="clear" w:color="auto" w:fill="FFFFFF"/>
              </w:rPr>
              <w:t xml:space="preserve"> de gaze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corespunzătoare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menționate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00A303C4" w:rsidRPr="00A303C4">
              <w:rPr>
                <w:rFonts w:ascii="Times New Roman" w:eastAsia="Arial Unicode MS" w:hAnsi="Times New Roman"/>
                <w:color w:val="000000" w:themeColor="text1"/>
                <w:sz w:val="20"/>
                <w:szCs w:val="20"/>
                <w:shd w:val="clear" w:color="auto" w:fill="FFFFFF"/>
              </w:rPr>
              <w:t xml:space="preserve"> </w:t>
            </w:r>
            <w:r w:rsidRPr="00A303C4">
              <w:rPr>
                <w:rFonts w:ascii="Times New Roman" w:eastAsia="Arial Unicode MS" w:hAnsi="Times New Roman"/>
                <w:color w:val="000000" w:themeColor="text1"/>
                <w:sz w:val="20"/>
                <w:szCs w:val="20"/>
                <w:shd w:val="clear" w:color="auto" w:fill="FFFFFF"/>
              </w:rPr>
              <w:t>III;</w:t>
            </w:r>
          </w:p>
          <w:p w14:paraId="4A21838A"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4" w:tooltip="32009L0029: REPLACED" w:history="1">
              <w:r>
                <w:rPr>
                  <w:rStyle w:val="af3"/>
                  <w:rFonts w:ascii="Times New Roman" w:eastAsia="Arial Unicode MS" w:hAnsi="Times New Roman"/>
                  <w:b/>
                  <w:bCs/>
                  <w:color w:val="4472C4" w:themeColor="accent1"/>
                  <w:sz w:val="20"/>
                  <w:szCs w:val="20"/>
                </w:rPr>
                <w:t>▼M4</w:t>
              </w:r>
            </w:hyperlink>
          </w:p>
          <w:p w14:paraId="02C00F64"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gramStart"/>
            <w:r w:rsidRPr="00A303C4">
              <w:rPr>
                <w:rFonts w:ascii="Times New Roman" w:eastAsia="Arial Unicode MS" w:hAnsi="Times New Roman"/>
                <w:color w:val="000000" w:themeColor="text1"/>
                <w:sz w:val="20"/>
                <w:szCs w:val="20"/>
                <w:shd w:val="clear" w:color="auto" w:fill="FFFFFF"/>
              </w:rPr>
              <w:t>gaze</w:t>
            </w:r>
            <w:proofErr w:type="gram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gazele</w:t>
            </w:r>
            <w:proofErr w:type="spellEnd"/>
            <w:r w:rsidRPr="00A303C4">
              <w:rPr>
                <w:rFonts w:ascii="Times New Roman" w:eastAsia="Arial Unicode MS" w:hAnsi="Times New Roman"/>
                <w:color w:val="000000" w:themeColor="text1"/>
                <w:sz w:val="20"/>
                <w:szCs w:val="20"/>
                <w:shd w:val="clear" w:color="auto" w:fill="FFFFFF"/>
              </w:rPr>
              <w:t xml:space="preserve"> enumerate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Pr="00A303C4">
              <w:rPr>
                <w:rFonts w:ascii="Times New Roman" w:eastAsia="Arial Unicode MS" w:hAnsi="Times New Roman"/>
                <w:color w:val="000000" w:themeColor="text1"/>
                <w:sz w:val="20"/>
                <w:szCs w:val="20"/>
                <w:shd w:val="clear" w:color="auto" w:fill="FFFFFF"/>
              </w:rPr>
              <w:t xml:space="preserve"> II și </w:t>
            </w:r>
            <w:proofErr w:type="spellStart"/>
            <w:r w:rsidRPr="00A303C4">
              <w:rPr>
                <w:rFonts w:ascii="Times New Roman" w:eastAsia="Arial Unicode MS" w:hAnsi="Times New Roman"/>
                <w:color w:val="000000" w:themeColor="text1"/>
                <w:sz w:val="20"/>
                <w:szCs w:val="20"/>
                <w:shd w:val="clear" w:color="auto" w:fill="FFFFFF"/>
              </w:rPr>
              <w:t>alte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componente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gazoase</w:t>
            </w:r>
            <w:proofErr w:type="spellEnd"/>
            <w:r w:rsidRPr="00A303C4">
              <w:rPr>
                <w:rFonts w:ascii="Times New Roman" w:eastAsia="Arial Unicode MS" w:hAnsi="Times New Roman"/>
                <w:color w:val="000000" w:themeColor="text1"/>
                <w:sz w:val="20"/>
                <w:szCs w:val="20"/>
                <w:shd w:val="clear" w:color="auto" w:fill="FFFFFF"/>
              </w:rPr>
              <w:t xml:space="preserve"> ale </w:t>
            </w:r>
            <w:proofErr w:type="spellStart"/>
            <w:r w:rsidRPr="00A303C4">
              <w:rPr>
                <w:rFonts w:ascii="Times New Roman" w:eastAsia="Arial Unicode MS" w:hAnsi="Times New Roman"/>
                <w:color w:val="000000" w:themeColor="text1"/>
                <w:sz w:val="20"/>
                <w:szCs w:val="20"/>
                <w:shd w:val="clear" w:color="auto" w:fill="FFFFFF"/>
              </w:rPr>
              <w:t>atmosferei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atât</w:t>
            </w:r>
            <w:proofErr w:type="spellEnd"/>
            <w:r w:rsidRPr="00A303C4">
              <w:rPr>
                <w:rFonts w:ascii="Times New Roman" w:eastAsia="Arial Unicode MS" w:hAnsi="Times New Roman"/>
                <w:color w:val="000000" w:themeColor="text1"/>
                <w:sz w:val="20"/>
                <w:szCs w:val="20"/>
                <w:shd w:val="clear" w:color="auto" w:fill="FFFFFF"/>
              </w:rPr>
              <w:t xml:space="preserve"> naturale, </w:t>
            </w:r>
            <w:proofErr w:type="spellStart"/>
            <w:r w:rsidRPr="00A303C4">
              <w:rPr>
                <w:rFonts w:ascii="Times New Roman" w:eastAsia="Arial Unicode MS" w:hAnsi="Times New Roman"/>
                <w:color w:val="000000" w:themeColor="text1"/>
                <w:sz w:val="20"/>
                <w:szCs w:val="20"/>
                <w:shd w:val="clear" w:color="auto" w:fill="FFFFFF"/>
              </w:rPr>
              <w:t>cât</w:t>
            </w:r>
            <w:proofErr w:type="spellEnd"/>
            <w:r w:rsidRPr="00A303C4">
              <w:rPr>
                <w:rFonts w:ascii="Times New Roman" w:eastAsia="Arial Unicode MS" w:hAnsi="Times New Roman"/>
                <w:color w:val="000000" w:themeColor="text1"/>
                <w:sz w:val="20"/>
                <w:szCs w:val="20"/>
                <w:shd w:val="clear" w:color="auto" w:fill="FFFFFF"/>
              </w:rPr>
              <w:t xml:space="preserve"> și </w:t>
            </w:r>
            <w:proofErr w:type="spellStart"/>
            <w:r w:rsidRPr="00A303C4">
              <w:rPr>
                <w:rFonts w:ascii="Times New Roman" w:eastAsia="Arial Unicode MS" w:hAnsi="Times New Roman"/>
                <w:color w:val="000000" w:themeColor="text1"/>
                <w:sz w:val="20"/>
                <w:szCs w:val="20"/>
                <w:shd w:val="clear" w:color="auto" w:fill="FFFFFF"/>
              </w:rPr>
              <w:t>antropice</w:t>
            </w:r>
            <w:proofErr w:type="spellEnd"/>
            <w:r w:rsidRPr="00A303C4">
              <w:rPr>
                <w:rFonts w:ascii="Times New Roman" w:eastAsia="Arial Unicode MS" w:hAnsi="Times New Roman"/>
                <w:color w:val="000000" w:themeColor="text1"/>
                <w:sz w:val="20"/>
                <w:szCs w:val="20"/>
                <w:shd w:val="clear" w:color="auto" w:fill="FFFFFF"/>
              </w:rPr>
              <w:t xml:space="preserve">, care absorb și reemit </w:t>
            </w:r>
            <w:proofErr w:type="spellStart"/>
            <w:r w:rsidRPr="00A303C4">
              <w:rPr>
                <w:rFonts w:ascii="Times New Roman" w:eastAsia="Arial Unicode MS" w:hAnsi="Times New Roman"/>
                <w:color w:val="000000" w:themeColor="text1"/>
                <w:sz w:val="20"/>
                <w:szCs w:val="20"/>
                <w:shd w:val="clear" w:color="auto" w:fill="FFFFFF"/>
              </w:rPr>
              <w:t>radiație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infraroșie</w:t>
            </w:r>
            <w:proofErr w:type="spellEnd"/>
            <w:r w:rsidRPr="00A303C4">
              <w:rPr>
                <w:rFonts w:ascii="Times New Roman" w:eastAsia="Arial Unicode MS" w:hAnsi="Times New Roman"/>
                <w:color w:val="000000" w:themeColor="text1"/>
                <w:sz w:val="20"/>
                <w:szCs w:val="20"/>
                <w:shd w:val="clear" w:color="auto" w:fill="FFFFFF"/>
              </w:rPr>
              <w:t>;</w:t>
            </w:r>
          </w:p>
          <w:p w14:paraId="1D1B2308"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5" w:tooltip="32023L0959: REPLACED" w:history="1">
              <w:r>
                <w:rPr>
                  <w:rStyle w:val="af3"/>
                  <w:rFonts w:ascii="Times New Roman" w:eastAsia="Arial Unicode MS" w:hAnsi="Times New Roman"/>
                  <w:b/>
                  <w:bCs/>
                  <w:color w:val="4472C4" w:themeColor="accent1"/>
                  <w:sz w:val="20"/>
                  <w:szCs w:val="20"/>
                </w:rPr>
                <w:t>▼M15</w:t>
              </w:r>
            </w:hyperlink>
          </w:p>
          <w:p w14:paraId="351BAA20" w14:textId="48B7B96B"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autorizație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emisii</w:t>
            </w:r>
            <w:proofErr w:type="spellEnd"/>
            <w:r w:rsidRPr="00A303C4">
              <w:rPr>
                <w:rFonts w:ascii="Times New Roman" w:eastAsia="Arial Unicode MS" w:hAnsi="Times New Roman"/>
                <w:color w:val="000000" w:themeColor="text1"/>
                <w:sz w:val="20"/>
                <w:szCs w:val="20"/>
                <w:shd w:val="clear" w:color="auto" w:fill="FFFFFF"/>
              </w:rPr>
              <w:t xml:space="preserve"> de gaze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autorizația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emisă</w:t>
            </w:r>
            <w:proofErr w:type="spellEnd"/>
            <w:r w:rsidRPr="00A303C4">
              <w:rPr>
                <w:rFonts w:ascii="Times New Roman" w:eastAsia="Arial Unicode MS" w:hAnsi="Times New Roman"/>
                <w:color w:val="000000" w:themeColor="text1"/>
                <w:sz w:val="20"/>
                <w:szCs w:val="20"/>
                <w:shd w:val="clear" w:color="auto" w:fill="FFFFFF"/>
              </w:rPr>
              <w:t xml:space="preserve"> în conformitate cu </w:t>
            </w:r>
            <w:proofErr w:type="spellStart"/>
            <w:r w:rsidRPr="00A303C4">
              <w:rPr>
                <w:rFonts w:ascii="Times New Roman" w:eastAsia="Arial Unicode MS" w:hAnsi="Times New Roman"/>
                <w:color w:val="000000" w:themeColor="text1"/>
                <w:sz w:val="20"/>
                <w:szCs w:val="20"/>
                <w:shd w:val="clear" w:color="auto" w:fill="FFFFFF"/>
              </w:rPr>
              <w:t>articolele</w:t>
            </w:r>
            <w:proofErr w:type="spellEnd"/>
            <w:r w:rsidRPr="00A303C4">
              <w:rPr>
                <w:rFonts w:ascii="Times New Roman" w:eastAsia="Arial Unicode MS" w:hAnsi="Times New Roman"/>
                <w:color w:val="000000" w:themeColor="text1"/>
                <w:sz w:val="20"/>
                <w:szCs w:val="20"/>
                <w:shd w:val="clear" w:color="auto" w:fill="FFFFFF"/>
              </w:rPr>
              <w:t xml:space="preserve"> 5, 6 și</w:t>
            </w:r>
            <w:r w:rsidR="00A303C4" w:rsidRPr="00A303C4">
              <w:rPr>
                <w:rFonts w:ascii="Times New Roman" w:eastAsia="Arial Unicode MS" w:hAnsi="Times New Roman"/>
                <w:color w:val="000000" w:themeColor="text1"/>
                <w:sz w:val="20"/>
                <w:szCs w:val="20"/>
                <w:shd w:val="clear" w:color="auto" w:fill="FFFFFF"/>
              </w:rPr>
              <w:t xml:space="preserve"> </w:t>
            </w:r>
            <w:proofErr w:type="gramStart"/>
            <w:r w:rsidRPr="00A303C4">
              <w:rPr>
                <w:rFonts w:ascii="Times New Roman" w:eastAsia="Arial Unicode MS" w:hAnsi="Times New Roman"/>
                <w:color w:val="000000" w:themeColor="text1"/>
                <w:sz w:val="20"/>
                <w:szCs w:val="20"/>
                <w:shd w:val="clear" w:color="auto" w:fill="FFFFFF"/>
              </w:rPr>
              <w:t>30b;</w:t>
            </w:r>
            <w:proofErr w:type="gramEnd"/>
          </w:p>
          <w:p w14:paraId="015A4B4C"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6" w:tooltip="32003L0087" w:history="1">
              <w:r>
                <w:rPr>
                  <w:rStyle w:val="af3"/>
                  <w:rFonts w:ascii="Times New Roman" w:eastAsia="Arial Unicode MS" w:hAnsi="Times New Roman"/>
                  <w:b/>
                  <w:bCs/>
                  <w:color w:val="4472C4" w:themeColor="accent1"/>
                  <w:sz w:val="20"/>
                  <w:szCs w:val="20"/>
                </w:rPr>
                <w:t>▼B</w:t>
              </w:r>
            </w:hyperlink>
          </w:p>
          <w:p w14:paraId="00074288"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instalație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unitate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tehnică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staționară</w:t>
            </w:r>
            <w:proofErr w:type="spellEnd"/>
            <w:r w:rsidRPr="00A303C4">
              <w:rPr>
                <w:rFonts w:ascii="Times New Roman" w:eastAsia="Arial Unicode MS" w:hAnsi="Times New Roman"/>
                <w:color w:val="000000" w:themeColor="text1"/>
                <w:sz w:val="20"/>
                <w:szCs w:val="20"/>
                <w:shd w:val="clear" w:color="auto" w:fill="FFFFFF"/>
              </w:rPr>
              <w:t xml:space="preserve"> în care sunt </w:t>
            </w:r>
            <w:proofErr w:type="spellStart"/>
            <w:r w:rsidRPr="00A303C4">
              <w:rPr>
                <w:rFonts w:ascii="Times New Roman" w:eastAsia="Arial Unicode MS" w:hAnsi="Times New Roman"/>
                <w:color w:val="000000" w:themeColor="text1"/>
                <w:sz w:val="20"/>
                <w:szCs w:val="20"/>
                <w:shd w:val="clear" w:color="auto" w:fill="FFFFFF"/>
              </w:rPr>
              <w:t>realizate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mai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multe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dintre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activitățile</w:t>
            </w:r>
            <w:proofErr w:type="spellEnd"/>
            <w:r w:rsidRPr="00A303C4">
              <w:rPr>
                <w:rFonts w:ascii="Times New Roman" w:eastAsia="Arial Unicode MS" w:hAnsi="Times New Roman"/>
                <w:color w:val="000000" w:themeColor="text1"/>
                <w:sz w:val="20"/>
                <w:szCs w:val="20"/>
                <w:shd w:val="clear" w:color="auto" w:fill="FFFFFF"/>
              </w:rPr>
              <w:t xml:space="preserve"> enumerate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Pr="00A303C4">
              <w:rPr>
                <w:rFonts w:ascii="Times New Roman" w:eastAsia="Arial Unicode MS" w:hAnsi="Times New Roman"/>
                <w:color w:val="000000" w:themeColor="text1"/>
                <w:sz w:val="20"/>
                <w:szCs w:val="20"/>
                <w:shd w:val="clear" w:color="auto" w:fill="FFFFFF"/>
              </w:rPr>
              <w:t xml:space="preserve"> I și </w:t>
            </w:r>
            <w:proofErr w:type="spellStart"/>
            <w:r w:rsidRPr="00A303C4">
              <w:rPr>
                <w:rFonts w:ascii="Times New Roman" w:eastAsia="Arial Unicode MS" w:hAnsi="Times New Roman"/>
                <w:color w:val="000000" w:themeColor="text1"/>
                <w:sz w:val="20"/>
                <w:szCs w:val="20"/>
                <w:shd w:val="clear" w:color="auto" w:fill="FFFFFF"/>
              </w:rPr>
              <w:t>orice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alte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w:t>
            </w:r>
            <w:proofErr w:type="spellEnd"/>
            <w:r w:rsidRPr="00A303C4">
              <w:rPr>
                <w:rFonts w:ascii="Times New Roman" w:eastAsia="Arial Unicode MS" w:hAnsi="Times New Roman"/>
                <w:color w:val="000000" w:themeColor="text1"/>
                <w:sz w:val="20"/>
                <w:szCs w:val="20"/>
                <w:shd w:val="clear" w:color="auto" w:fill="FFFFFF"/>
              </w:rPr>
              <w:t xml:space="preserve"> direct </w:t>
            </w:r>
            <w:proofErr w:type="spellStart"/>
            <w:r w:rsidRPr="00A303C4">
              <w:rPr>
                <w:rFonts w:ascii="Times New Roman" w:eastAsia="Arial Unicode MS" w:hAnsi="Times New Roman"/>
                <w:color w:val="000000" w:themeColor="text1"/>
                <w:sz w:val="20"/>
                <w:szCs w:val="20"/>
                <w:shd w:val="clear" w:color="auto" w:fill="FFFFFF"/>
              </w:rPr>
              <w:t>asociate</w:t>
            </w:r>
            <w:proofErr w:type="spellEnd"/>
            <w:r w:rsidRPr="00A303C4">
              <w:rPr>
                <w:rFonts w:ascii="Times New Roman" w:eastAsia="Arial Unicode MS" w:hAnsi="Times New Roman"/>
                <w:color w:val="000000" w:themeColor="text1"/>
                <w:sz w:val="20"/>
                <w:szCs w:val="20"/>
                <w:shd w:val="clear" w:color="auto" w:fill="FFFFFF"/>
              </w:rPr>
              <w:t xml:space="preserve"> care au o </w:t>
            </w:r>
            <w:proofErr w:type="spellStart"/>
            <w:r w:rsidRPr="00A303C4">
              <w:rPr>
                <w:rFonts w:ascii="Times New Roman" w:eastAsia="Arial Unicode MS" w:hAnsi="Times New Roman"/>
                <w:color w:val="000000" w:themeColor="text1"/>
                <w:sz w:val="20"/>
                <w:szCs w:val="20"/>
                <w:shd w:val="clear" w:color="auto" w:fill="FFFFFF"/>
              </w:rPr>
              <w:t>legătură</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natură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tehnică</w:t>
            </w:r>
            <w:proofErr w:type="spell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activitățile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realizate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locul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respectiv</w:t>
            </w:r>
            <w:proofErr w:type="spellEnd"/>
            <w:r w:rsidRPr="00A303C4">
              <w:rPr>
                <w:rFonts w:ascii="Times New Roman" w:eastAsia="Arial Unicode MS" w:hAnsi="Times New Roman"/>
                <w:color w:val="000000" w:themeColor="text1"/>
                <w:sz w:val="20"/>
                <w:szCs w:val="20"/>
                <w:shd w:val="clear" w:color="auto" w:fill="FFFFFF"/>
              </w:rPr>
              <w:t xml:space="preserve"> și care </w:t>
            </w:r>
            <w:proofErr w:type="spellStart"/>
            <w:r w:rsidRPr="00A303C4">
              <w:rPr>
                <w:rFonts w:ascii="Times New Roman" w:eastAsia="Arial Unicode MS" w:hAnsi="Times New Roman"/>
                <w:color w:val="000000" w:themeColor="text1"/>
                <w:sz w:val="20"/>
                <w:szCs w:val="20"/>
                <w:shd w:val="clear" w:color="auto" w:fill="FFFFFF"/>
              </w:rPr>
              <w:t>ar</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putea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avea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efecte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asupra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emisiilor</w:t>
            </w:r>
            <w:proofErr w:type="spellEnd"/>
            <w:r w:rsidRPr="00A303C4">
              <w:rPr>
                <w:rFonts w:ascii="Times New Roman" w:eastAsia="Arial Unicode MS" w:hAnsi="Times New Roman"/>
                <w:color w:val="000000" w:themeColor="text1"/>
                <w:sz w:val="20"/>
                <w:szCs w:val="20"/>
                <w:shd w:val="clear" w:color="auto" w:fill="FFFFFF"/>
              </w:rPr>
              <w:t xml:space="preserve"> și a </w:t>
            </w:r>
            <w:proofErr w:type="spellStart"/>
            <w:proofErr w:type="gramStart"/>
            <w:r w:rsidRPr="00A303C4">
              <w:rPr>
                <w:rFonts w:ascii="Times New Roman" w:eastAsia="Arial Unicode MS" w:hAnsi="Times New Roman"/>
                <w:color w:val="000000" w:themeColor="text1"/>
                <w:sz w:val="20"/>
                <w:szCs w:val="20"/>
                <w:shd w:val="clear" w:color="auto" w:fill="FFFFFF"/>
              </w:rPr>
              <w:t>poluării</w:t>
            </w:r>
            <w:proofErr w:type="spellEnd"/>
            <w:r w:rsidRPr="00A303C4">
              <w:rPr>
                <w:rFonts w:ascii="Times New Roman" w:eastAsia="Arial Unicode MS" w:hAnsi="Times New Roman"/>
                <w:color w:val="000000" w:themeColor="text1"/>
                <w:sz w:val="20"/>
                <w:szCs w:val="20"/>
                <w:shd w:val="clear" w:color="auto" w:fill="FFFFFF"/>
              </w:rPr>
              <w:t>;</w:t>
            </w:r>
            <w:proofErr w:type="gramEnd"/>
          </w:p>
          <w:p w14:paraId="31901D6C"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Pr>
                <w:rFonts w:ascii="Times New Roman" w:eastAsia="Arial Unicode MS" w:hAnsi="Times New Roman"/>
                <w:color w:val="333333"/>
                <w:sz w:val="20"/>
                <w:szCs w:val="20"/>
                <w:shd w:val="clear" w:color="auto" w:fill="FFFFFF"/>
              </w:rPr>
              <w:t>„</w:t>
            </w:r>
            <w:r w:rsidRPr="00A303C4">
              <w:rPr>
                <w:rFonts w:ascii="Times New Roman" w:eastAsia="Arial Unicode MS" w:hAnsi="Times New Roman"/>
                <w:color w:val="000000" w:themeColor="text1"/>
                <w:sz w:val="20"/>
                <w:szCs w:val="20"/>
                <w:shd w:val="clear" w:color="auto" w:fill="FFFFFF"/>
              </w:rPr>
              <w:t xml:space="preserve">operator”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orice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persoană</w:t>
            </w:r>
            <w:proofErr w:type="spellEnd"/>
            <w:r w:rsidRPr="00A303C4">
              <w:rPr>
                <w:rFonts w:ascii="Times New Roman" w:eastAsia="Arial Unicode MS" w:hAnsi="Times New Roman"/>
                <w:color w:val="000000" w:themeColor="text1"/>
                <w:sz w:val="20"/>
                <w:szCs w:val="20"/>
                <w:shd w:val="clear" w:color="auto" w:fill="FFFFFF"/>
              </w:rPr>
              <w:t xml:space="preserve"> care </w:t>
            </w:r>
            <w:proofErr w:type="spellStart"/>
            <w:r w:rsidRPr="00A303C4">
              <w:rPr>
                <w:rFonts w:ascii="Times New Roman" w:eastAsia="Arial Unicode MS" w:hAnsi="Times New Roman"/>
                <w:color w:val="000000" w:themeColor="text1"/>
                <w:sz w:val="20"/>
                <w:szCs w:val="20"/>
                <w:shd w:val="clear" w:color="auto" w:fill="FFFFFF"/>
              </w:rPr>
              <w:t>operează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controlează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instalație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dacă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legislația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internă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prevede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astfel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căreia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w:t>
            </w:r>
            <w:proofErr w:type="spellEnd"/>
            <w:r w:rsidRPr="00A303C4">
              <w:rPr>
                <w:rFonts w:ascii="Times New Roman" w:eastAsia="Arial Unicode MS" w:hAnsi="Times New Roman"/>
                <w:color w:val="000000" w:themeColor="text1"/>
                <w:sz w:val="20"/>
                <w:szCs w:val="20"/>
                <w:shd w:val="clear" w:color="auto" w:fill="FFFFFF"/>
              </w:rPr>
              <w:t xml:space="preserve">-a </w:t>
            </w:r>
            <w:proofErr w:type="spellStart"/>
            <w:r w:rsidRPr="00A303C4">
              <w:rPr>
                <w:rFonts w:ascii="Times New Roman" w:eastAsia="Arial Unicode MS" w:hAnsi="Times New Roman"/>
                <w:color w:val="000000" w:themeColor="text1"/>
                <w:sz w:val="20"/>
                <w:szCs w:val="20"/>
                <w:shd w:val="clear" w:color="auto" w:fill="FFFFFF"/>
              </w:rPr>
              <w:t>fost</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delegată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competență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economică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decisivă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asupra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funcționării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tehnice</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proofErr w:type="gramStart"/>
            <w:r w:rsidRPr="00A303C4">
              <w:rPr>
                <w:rFonts w:ascii="Times New Roman" w:eastAsia="Arial Unicode MS" w:hAnsi="Times New Roman"/>
                <w:color w:val="000000" w:themeColor="text1"/>
                <w:sz w:val="20"/>
                <w:szCs w:val="20"/>
                <w:shd w:val="clear" w:color="auto" w:fill="FFFFFF"/>
              </w:rPr>
              <w:t>instalației</w:t>
            </w:r>
            <w:proofErr w:type="spellEnd"/>
            <w:r w:rsidRPr="00A303C4">
              <w:rPr>
                <w:rFonts w:ascii="Times New Roman" w:eastAsia="Arial Unicode MS" w:hAnsi="Times New Roman"/>
                <w:color w:val="000000" w:themeColor="text1"/>
                <w:sz w:val="20"/>
                <w:szCs w:val="20"/>
                <w:shd w:val="clear" w:color="auto" w:fill="FFFFFF"/>
              </w:rPr>
              <w:t>;</w:t>
            </w:r>
            <w:proofErr w:type="gramEnd"/>
          </w:p>
          <w:p w14:paraId="00C57830"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persoană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orice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persoană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fizică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proofErr w:type="gramStart"/>
            <w:r w:rsidRPr="00A303C4">
              <w:rPr>
                <w:rFonts w:ascii="Times New Roman" w:eastAsia="Arial Unicode MS" w:hAnsi="Times New Roman"/>
                <w:color w:val="000000" w:themeColor="text1"/>
                <w:sz w:val="20"/>
                <w:szCs w:val="20"/>
                <w:shd w:val="clear" w:color="auto" w:fill="FFFFFF"/>
              </w:rPr>
              <w:t>juridică</w:t>
            </w:r>
            <w:proofErr w:type="spellEnd"/>
            <w:r w:rsidRPr="00A303C4">
              <w:rPr>
                <w:rFonts w:ascii="Times New Roman" w:eastAsia="Arial Unicode MS" w:hAnsi="Times New Roman"/>
                <w:color w:val="000000" w:themeColor="text1"/>
                <w:sz w:val="20"/>
                <w:szCs w:val="20"/>
                <w:shd w:val="clear" w:color="auto" w:fill="FFFFFF"/>
              </w:rPr>
              <w:t>;</w:t>
            </w:r>
            <w:proofErr w:type="gramEnd"/>
          </w:p>
          <w:p w14:paraId="32A07C6D"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7" w:tooltip="32018L0410R(03): REPLACED" w:history="1">
              <w:r>
                <w:rPr>
                  <w:rStyle w:val="af3"/>
                  <w:rFonts w:ascii="Times New Roman" w:eastAsia="Arial Unicode MS" w:hAnsi="Times New Roman"/>
                  <w:b/>
                  <w:bCs/>
                  <w:color w:val="4472C4" w:themeColor="accent1"/>
                  <w:sz w:val="20"/>
                  <w:szCs w:val="20"/>
                </w:rPr>
                <w:t>▼C6</w:t>
              </w:r>
            </w:hyperlink>
          </w:p>
          <w:p w14:paraId="51D23F85"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instalație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nou-intrată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orice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instalație</w:t>
            </w:r>
            <w:proofErr w:type="spellEnd"/>
            <w:r w:rsidRPr="00A303C4">
              <w:rPr>
                <w:rFonts w:ascii="Times New Roman" w:eastAsia="Arial Unicode MS" w:hAnsi="Times New Roman"/>
                <w:color w:val="000000" w:themeColor="text1"/>
                <w:sz w:val="20"/>
                <w:szCs w:val="20"/>
                <w:shd w:val="clear" w:color="auto" w:fill="FFFFFF"/>
              </w:rPr>
              <w:t xml:space="preserve"> care </w:t>
            </w:r>
            <w:proofErr w:type="spellStart"/>
            <w:r w:rsidRPr="00A303C4">
              <w:rPr>
                <w:rFonts w:ascii="Times New Roman" w:eastAsia="Arial Unicode MS" w:hAnsi="Times New Roman"/>
                <w:color w:val="000000" w:themeColor="text1"/>
                <w:sz w:val="20"/>
                <w:szCs w:val="20"/>
                <w:shd w:val="clear" w:color="auto" w:fill="FFFFFF"/>
              </w:rPr>
              <w:t>desfășoară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mai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multe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activități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lastRenderedPageBreak/>
              <w:t>cuprinse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Pr="00A303C4">
              <w:rPr>
                <w:rFonts w:ascii="Times New Roman" w:eastAsia="Arial Unicode MS" w:hAnsi="Times New Roman"/>
                <w:color w:val="000000" w:themeColor="text1"/>
                <w:sz w:val="20"/>
                <w:szCs w:val="20"/>
                <w:shd w:val="clear" w:color="auto" w:fill="FFFFFF"/>
              </w:rPr>
              <w:t xml:space="preserve"> I, care </w:t>
            </w:r>
            <w:proofErr w:type="gramStart"/>
            <w:r w:rsidRPr="00A303C4">
              <w:rPr>
                <w:rFonts w:ascii="Times New Roman" w:eastAsia="Arial Unicode MS" w:hAnsi="Times New Roman"/>
                <w:color w:val="000000" w:themeColor="text1"/>
                <w:sz w:val="20"/>
                <w:szCs w:val="20"/>
                <w:shd w:val="clear" w:color="auto" w:fill="FFFFFF"/>
              </w:rPr>
              <w:t>a</w:t>
            </w:r>
            <w:proofErr w:type="gram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obținut</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pentru</w:t>
            </w:r>
            <w:proofErr w:type="spellEnd"/>
            <w:r w:rsidRPr="00A303C4">
              <w:rPr>
                <w:rFonts w:ascii="Times New Roman" w:eastAsia="Arial Unicode MS" w:hAnsi="Times New Roman"/>
                <w:color w:val="000000" w:themeColor="text1"/>
                <w:sz w:val="20"/>
                <w:szCs w:val="20"/>
                <w:shd w:val="clear" w:color="auto" w:fill="FFFFFF"/>
              </w:rPr>
              <w:t xml:space="preserve"> prima </w:t>
            </w:r>
            <w:proofErr w:type="spellStart"/>
            <w:r w:rsidRPr="00A303C4">
              <w:rPr>
                <w:rFonts w:ascii="Times New Roman" w:eastAsia="Arial Unicode MS" w:hAnsi="Times New Roman"/>
                <w:color w:val="000000" w:themeColor="text1"/>
                <w:sz w:val="20"/>
                <w:szCs w:val="20"/>
                <w:shd w:val="clear" w:color="auto" w:fill="FFFFFF"/>
              </w:rPr>
              <w:t>dată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autorizație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emisii</w:t>
            </w:r>
            <w:proofErr w:type="spellEnd"/>
            <w:r w:rsidRPr="00A303C4">
              <w:rPr>
                <w:rFonts w:ascii="Times New Roman" w:eastAsia="Arial Unicode MS" w:hAnsi="Times New Roman"/>
                <w:color w:val="000000" w:themeColor="text1"/>
                <w:sz w:val="20"/>
                <w:szCs w:val="20"/>
                <w:shd w:val="clear" w:color="auto" w:fill="FFFFFF"/>
              </w:rPr>
              <w:t xml:space="preserve"> de gaze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în perioada care </w:t>
            </w:r>
            <w:proofErr w:type="spellStart"/>
            <w:r w:rsidRPr="00A303C4">
              <w:rPr>
                <w:rFonts w:ascii="Times New Roman" w:eastAsia="Arial Unicode MS" w:hAnsi="Times New Roman"/>
                <w:color w:val="000000" w:themeColor="text1"/>
                <w:sz w:val="20"/>
                <w:szCs w:val="20"/>
                <w:shd w:val="clear" w:color="auto" w:fill="FFFFFF"/>
              </w:rPr>
              <w:t>începe</w:t>
            </w:r>
            <w:proofErr w:type="spell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trei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luni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înaintea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datei</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transmitere</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listei</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temeiul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articolului</w:t>
            </w:r>
            <w:proofErr w:type="spellEnd"/>
            <w:r w:rsidRPr="00A303C4">
              <w:rPr>
                <w:rFonts w:ascii="Times New Roman" w:eastAsia="Arial Unicode MS" w:hAnsi="Times New Roman"/>
                <w:color w:val="000000" w:themeColor="text1"/>
                <w:sz w:val="20"/>
                <w:szCs w:val="20"/>
                <w:shd w:val="clear" w:color="auto" w:fill="FFFFFF"/>
              </w:rPr>
              <w:t xml:space="preserve"> 11 </w:t>
            </w:r>
            <w:proofErr w:type="spellStart"/>
            <w:r w:rsidRPr="00A303C4">
              <w:rPr>
                <w:rFonts w:ascii="Times New Roman" w:eastAsia="Arial Unicode MS" w:hAnsi="Times New Roman"/>
                <w:color w:val="000000" w:themeColor="text1"/>
                <w:sz w:val="20"/>
                <w:szCs w:val="20"/>
                <w:shd w:val="clear" w:color="auto" w:fill="FFFFFF"/>
              </w:rPr>
              <w:t>alineatul</w:t>
            </w:r>
            <w:proofErr w:type="spellEnd"/>
            <w:r w:rsidRPr="00A303C4">
              <w:rPr>
                <w:rFonts w:ascii="Times New Roman" w:eastAsia="Arial Unicode MS" w:hAnsi="Times New Roman"/>
                <w:color w:val="000000" w:themeColor="text1"/>
                <w:sz w:val="20"/>
                <w:szCs w:val="20"/>
                <w:shd w:val="clear" w:color="auto" w:fill="FFFFFF"/>
              </w:rPr>
              <w:t xml:space="preserve"> (1) și se </w:t>
            </w:r>
            <w:proofErr w:type="spellStart"/>
            <w:r w:rsidRPr="00A303C4">
              <w:rPr>
                <w:rFonts w:ascii="Times New Roman" w:eastAsia="Arial Unicode MS" w:hAnsi="Times New Roman"/>
                <w:color w:val="000000" w:themeColor="text1"/>
                <w:sz w:val="20"/>
                <w:szCs w:val="20"/>
                <w:shd w:val="clear" w:color="auto" w:fill="FFFFFF"/>
              </w:rPr>
              <w:t>termină</w:t>
            </w:r>
            <w:proofErr w:type="spell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trei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luni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înaintea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datei</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transmitere</w:t>
            </w:r>
            <w:proofErr w:type="spellEnd"/>
            <w:r w:rsidRPr="00A303C4">
              <w:rPr>
                <w:rFonts w:ascii="Times New Roman" w:eastAsia="Arial Unicode MS" w:hAnsi="Times New Roman"/>
                <w:color w:val="000000" w:themeColor="text1"/>
                <w:sz w:val="20"/>
                <w:szCs w:val="20"/>
                <w:shd w:val="clear" w:color="auto" w:fill="FFFFFF"/>
              </w:rPr>
              <w:t xml:space="preserve"> a </w:t>
            </w:r>
            <w:proofErr w:type="spellStart"/>
            <w:r w:rsidRPr="00A303C4">
              <w:rPr>
                <w:rFonts w:ascii="Times New Roman" w:eastAsia="Arial Unicode MS" w:hAnsi="Times New Roman"/>
                <w:color w:val="000000" w:themeColor="text1"/>
                <w:sz w:val="20"/>
                <w:szCs w:val="20"/>
                <w:shd w:val="clear" w:color="auto" w:fill="FFFFFF"/>
              </w:rPr>
              <w:t>listei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ulterioare</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temeiul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articolului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menționat</w:t>
            </w:r>
            <w:proofErr w:type="spellEnd"/>
            <w:r w:rsidRPr="00A303C4">
              <w:rPr>
                <w:rFonts w:ascii="Times New Roman" w:eastAsia="Arial Unicode MS" w:hAnsi="Times New Roman"/>
                <w:color w:val="000000" w:themeColor="text1"/>
                <w:sz w:val="20"/>
                <w:szCs w:val="20"/>
                <w:shd w:val="clear" w:color="auto" w:fill="FFFFFF"/>
              </w:rPr>
              <w:t>;</w:t>
            </w:r>
          </w:p>
          <w:p w14:paraId="09DBBDD1"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8" w:tooltip="32003L0087" w:history="1">
              <w:r>
                <w:rPr>
                  <w:rStyle w:val="af3"/>
                  <w:rFonts w:ascii="Times New Roman" w:eastAsia="Arial Unicode MS" w:hAnsi="Times New Roman"/>
                  <w:b/>
                  <w:bCs/>
                  <w:color w:val="4472C4" w:themeColor="accent1"/>
                  <w:sz w:val="20"/>
                  <w:szCs w:val="20"/>
                </w:rPr>
                <w:t>▼B</w:t>
              </w:r>
            </w:hyperlink>
          </w:p>
          <w:p w14:paraId="4E0DAF00"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 xml:space="preserve">„public”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una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mai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multe</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persoane</w:t>
            </w:r>
            <w:proofErr w:type="spellEnd"/>
            <w:r w:rsidRPr="00A303C4">
              <w:rPr>
                <w:rFonts w:ascii="Times New Roman" w:eastAsia="Arial Unicode MS" w:hAnsi="Times New Roman"/>
                <w:color w:val="000000" w:themeColor="text1"/>
                <w:sz w:val="20"/>
                <w:szCs w:val="20"/>
                <w:shd w:val="clear" w:color="auto" w:fill="FFFFFF"/>
              </w:rPr>
              <w:t xml:space="preserve"> și, în conformitate cu </w:t>
            </w:r>
            <w:proofErr w:type="spellStart"/>
            <w:r w:rsidRPr="00A303C4">
              <w:rPr>
                <w:rFonts w:ascii="Times New Roman" w:eastAsia="Arial Unicode MS" w:hAnsi="Times New Roman"/>
                <w:color w:val="000000" w:themeColor="text1"/>
                <w:sz w:val="20"/>
                <w:szCs w:val="20"/>
                <w:shd w:val="clear" w:color="auto" w:fill="FFFFFF"/>
              </w:rPr>
              <w:t>legislația</w:t>
            </w:r>
            <w:proofErr w:type="spellEnd"/>
            <w:r w:rsidRPr="00A303C4">
              <w:rPr>
                <w:rFonts w:ascii="Times New Roman" w:eastAsia="Arial Unicode MS" w:hAnsi="Times New Roman"/>
                <w:color w:val="000000" w:themeColor="text1"/>
                <w:sz w:val="20"/>
                <w:szCs w:val="20"/>
                <w:shd w:val="clear" w:color="auto" w:fill="FFFFFF"/>
              </w:rPr>
              <w:t xml:space="preserve"> și </w:t>
            </w:r>
            <w:proofErr w:type="spellStart"/>
            <w:r w:rsidRPr="00A303C4">
              <w:rPr>
                <w:rFonts w:ascii="Times New Roman" w:eastAsia="Arial Unicode MS" w:hAnsi="Times New Roman"/>
                <w:color w:val="000000" w:themeColor="text1"/>
                <w:sz w:val="20"/>
                <w:szCs w:val="20"/>
                <w:shd w:val="clear" w:color="auto" w:fill="FFFFFF"/>
              </w:rPr>
              <w:t>practica</w:t>
            </w:r>
            <w:proofErr w:type="spellEnd"/>
            <w:r w:rsidRPr="00A303C4">
              <w:rPr>
                <w:rFonts w:ascii="Times New Roman" w:eastAsia="Arial Unicode MS" w:hAnsi="Times New Roman"/>
                <w:color w:val="000000" w:themeColor="text1"/>
                <w:sz w:val="20"/>
                <w:szCs w:val="20"/>
                <w:shd w:val="clear" w:color="auto" w:fill="FFFFFF"/>
              </w:rPr>
              <w:t xml:space="preserve"> națională, </w:t>
            </w:r>
            <w:proofErr w:type="spellStart"/>
            <w:r w:rsidRPr="00A303C4">
              <w:rPr>
                <w:rFonts w:ascii="Times New Roman" w:eastAsia="Arial Unicode MS" w:hAnsi="Times New Roman"/>
                <w:color w:val="000000" w:themeColor="text1"/>
                <w:sz w:val="20"/>
                <w:szCs w:val="20"/>
                <w:shd w:val="clear" w:color="auto" w:fill="FFFFFF"/>
              </w:rPr>
              <w:t>asociații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organizații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grupuri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constituite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proofErr w:type="gramStart"/>
            <w:r w:rsidRPr="00A303C4">
              <w:rPr>
                <w:rFonts w:ascii="Times New Roman" w:eastAsia="Arial Unicode MS" w:hAnsi="Times New Roman"/>
                <w:color w:val="000000" w:themeColor="text1"/>
                <w:sz w:val="20"/>
                <w:szCs w:val="20"/>
                <w:shd w:val="clear" w:color="auto" w:fill="FFFFFF"/>
              </w:rPr>
              <w:t>acestea</w:t>
            </w:r>
            <w:proofErr w:type="spellEnd"/>
            <w:r w:rsidRPr="00A303C4">
              <w:rPr>
                <w:rFonts w:ascii="Times New Roman" w:eastAsia="Arial Unicode MS" w:hAnsi="Times New Roman"/>
                <w:color w:val="000000" w:themeColor="text1"/>
                <w:sz w:val="20"/>
                <w:szCs w:val="20"/>
                <w:shd w:val="clear" w:color="auto" w:fill="FFFFFF"/>
              </w:rPr>
              <w:t>;</w:t>
            </w:r>
            <w:proofErr w:type="gramEnd"/>
          </w:p>
          <w:p w14:paraId="7DFF760D" w14:textId="77777777" w:rsidR="00124364" w:rsidRPr="00A303C4"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A303C4">
              <w:rPr>
                <w:rFonts w:ascii="Times New Roman" w:eastAsia="Arial Unicode MS" w:hAnsi="Times New Roman"/>
                <w:color w:val="000000" w:themeColor="text1"/>
                <w:sz w:val="20"/>
                <w:szCs w:val="20"/>
                <w:shd w:val="clear" w:color="auto" w:fill="FFFFFF"/>
              </w:rPr>
              <w:t>„</w:t>
            </w:r>
            <w:proofErr w:type="spellStart"/>
            <w:r w:rsidRPr="00A303C4">
              <w:rPr>
                <w:rFonts w:ascii="Times New Roman" w:eastAsia="Arial Unicode MS" w:hAnsi="Times New Roman"/>
                <w:color w:val="000000" w:themeColor="text1"/>
                <w:sz w:val="20"/>
                <w:szCs w:val="20"/>
                <w:shd w:val="clear" w:color="auto" w:fill="FFFFFF"/>
              </w:rPr>
              <w:t>tonă</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dioxid</w:t>
            </w:r>
            <w:proofErr w:type="spellEnd"/>
            <w:r w:rsidRPr="00A303C4">
              <w:rPr>
                <w:rFonts w:ascii="Times New Roman" w:eastAsia="Arial Unicode MS" w:hAnsi="Times New Roman"/>
                <w:color w:val="000000" w:themeColor="text1"/>
                <w:sz w:val="20"/>
                <w:szCs w:val="20"/>
                <w:shd w:val="clear" w:color="auto" w:fill="FFFFFF"/>
              </w:rPr>
              <w:t xml:space="preserve"> de carbon </w:t>
            </w:r>
            <w:proofErr w:type="spellStart"/>
            <w:r w:rsidRPr="00A303C4">
              <w:rPr>
                <w:rFonts w:ascii="Times New Roman" w:eastAsia="Arial Unicode MS" w:hAnsi="Times New Roman"/>
                <w:color w:val="000000" w:themeColor="text1"/>
                <w:sz w:val="20"/>
                <w:szCs w:val="20"/>
                <w:shd w:val="clear" w:color="auto" w:fill="FFFFFF"/>
              </w:rPr>
              <w:t>echivalent</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înseamnă</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tonă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metrică</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dioxid</w:t>
            </w:r>
            <w:proofErr w:type="spellEnd"/>
            <w:r w:rsidRPr="00A303C4">
              <w:rPr>
                <w:rFonts w:ascii="Times New Roman" w:eastAsia="Arial Unicode MS" w:hAnsi="Times New Roman"/>
                <w:color w:val="000000" w:themeColor="text1"/>
                <w:sz w:val="20"/>
                <w:szCs w:val="20"/>
                <w:shd w:val="clear" w:color="auto" w:fill="FFFFFF"/>
              </w:rPr>
              <w:t xml:space="preserve"> de carbon (CO</w:t>
            </w:r>
            <w:r w:rsidRPr="00A303C4">
              <w:rPr>
                <w:rStyle w:val="subscript"/>
                <w:rFonts w:ascii="Times New Roman" w:eastAsia="Arial Unicode MS" w:hAnsi="Times New Roman"/>
                <w:color w:val="000000" w:themeColor="text1"/>
                <w:sz w:val="20"/>
                <w:szCs w:val="20"/>
                <w:vertAlign w:val="subscript"/>
              </w:rPr>
              <w:t>2</w:t>
            </w:r>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sau</w:t>
            </w:r>
            <w:proofErr w:type="spellEnd"/>
            <w:r w:rsidRPr="00A303C4">
              <w:rPr>
                <w:rFonts w:ascii="Times New Roman" w:eastAsia="Arial Unicode MS" w:hAnsi="Times New Roman"/>
                <w:color w:val="000000" w:themeColor="text1"/>
                <w:sz w:val="20"/>
                <w:szCs w:val="20"/>
                <w:shd w:val="clear" w:color="auto" w:fill="FFFFFF"/>
              </w:rPr>
              <w:t xml:space="preserve"> o </w:t>
            </w:r>
            <w:proofErr w:type="spellStart"/>
            <w:r w:rsidRPr="00A303C4">
              <w:rPr>
                <w:rFonts w:ascii="Times New Roman" w:eastAsia="Arial Unicode MS" w:hAnsi="Times New Roman"/>
                <w:color w:val="000000" w:themeColor="text1"/>
                <w:sz w:val="20"/>
                <w:szCs w:val="20"/>
                <w:shd w:val="clear" w:color="auto" w:fill="FFFFFF"/>
              </w:rPr>
              <w:t>cantitate</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orice</w:t>
            </w:r>
            <w:proofErr w:type="spellEnd"/>
            <w:r w:rsidRPr="00A303C4">
              <w:rPr>
                <w:rFonts w:ascii="Times New Roman" w:eastAsia="Arial Unicode MS" w:hAnsi="Times New Roman"/>
                <w:color w:val="000000" w:themeColor="text1"/>
                <w:sz w:val="20"/>
                <w:szCs w:val="20"/>
                <w:shd w:val="clear" w:color="auto" w:fill="FFFFFF"/>
              </w:rPr>
              <w:t xml:space="preserve"> alt </w:t>
            </w:r>
            <w:proofErr w:type="spellStart"/>
            <w:r w:rsidRPr="00A303C4">
              <w:rPr>
                <w:rFonts w:ascii="Times New Roman" w:eastAsia="Arial Unicode MS" w:hAnsi="Times New Roman"/>
                <w:color w:val="000000" w:themeColor="text1"/>
                <w:sz w:val="20"/>
                <w:szCs w:val="20"/>
                <w:shd w:val="clear" w:color="auto" w:fill="FFFFFF"/>
              </w:rPr>
              <w:t>gaz</w:t>
            </w:r>
            <w:proofErr w:type="spellEnd"/>
            <w:r w:rsidRPr="00A303C4">
              <w:rPr>
                <w:rFonts w:ascii="Times New Roman" w:eastAsia="Arial Unicode MS" w:hAnsi="Times New Roman"/>
                <w:color w:val="000000" w:themeColor="text1"/>
                <w:sz w:val="20"/>
                <w:szCs w:val="20"/>
                <w:shd w:val="clear" w:color="auto" w:fill="FFFFFF"/>
              </w:rPr>
              <w:t xml:space="preserve"> cu </w:t>
            </w:r>
            <w:proofErr w:type="spellStart"/>
            <w:r w:rsidRPr="00A303C4">
              <w:rPr>
                <w:rFonts w:ascii="Times New Roman" w:eastAsia="Arial Unicode MS" w:hAnsi="Times New Roman"/>
                <w:color w:val="000000" w:themeColor="text1"/>
                <w:sz w:val="20"/>
                <w:szCs w:val="20"/>
                <w:shd w:val="clear" w:color="auto" w:fill="FFFFFF"/>
              </w:rPr>
              <w:t>efect</w:t>
            </w:r>
            <w:proofErr w:type="spellEnd"/>
            <w:r w:rsidRPr="00A303C4">
              <w:rPr>
                <w:rFonts w:ascii="Times New Roman" w:eastAsia="Arial Unicode MS" w:hAnsi="Times New Roman"/>
                <w:color w:val="000000" w:themeColor="text1"/>
                <w:sz w:val="20"/>
                <w:szCs w:val="20"/>
                <w:shd w:val="clear" w:color="auto" w:fill="FFFFFF"/>
              </w:rPr>
              <w:t xml:space="preserve"> de </w:t>
            </w:r>
            <w:proofErr w:type="spellStart"/>
            <w:r w:rsidRPr="00A303C4">
              <w:rPr>
                <w:rFonts w:ascii="Times New Roman" w:eastAsia="Arial Unicode MS" w:hAnsi="Times New Roman"/>
                <w:color w:val="000000" w:themeColor="text1"/>
                <w:sz w:val="20"/>
                <w:szCs w:val="20"/>
                <w:shd w:val="clear" w:color="auto" w:fill="FFFFFF"/>
              </w:rPr>
              <w:t>seră</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enumerat</w:t>
            </w:r>
            <w:proofErr w:type="spellEnd"/>
            <w:r w:rsidRPr="00A303C4">
              <w:rPr>
                <w:rFonts w:ascii="Times New Roman" w:eastAsia="Arial Unicode MS" w:hAnsi="Times New Roman"/>
                <w:color w:val="000000" w:themeColor="text1"/>
                <w:sz w:val="20"/>
                <w:szCs w:val="20"/>
                <w:shd w:val="clear" w:color="auto" w:fill="FFFFFF"/>
              </w:rPr>
              <w:t xml:space="preserve"> în </w:t>
            </w:r>
            <w:proofErr w:type="spellStart"/>
            <w:r w:rsidRPr="00A303C4">
              <w:rPr>
                <w:rFonts w:ascii="Times New Roman" w:eastAsia="Arial Unicode MS" w:hAnsi="Times New Roman"/>
                <w:color w:val="000000" w:themeColor="text1"/>
                <w:sz w:val="20"/>
                <w:szCs w:val="20"/>
                <w:shd w:val="clear" w:color="auto" w:fill="FFFFFF"/>
              </w:rPr>
              <w:t>anexa</w:t>
            </w:r>
            <w:proofErr w:type="spellEnd"/>
            <w:r w:rsidRPr="00A303C4">
              <w:rPr>
                <w:rFonts w:ascii="Times New Roman" w:eastAsia="Arial Unicode MS" w:hAnsi="Times New Roman"/>
                <w:color w:val="000000" w:themeColor="text1"/>
                <w:sz w:val="20"/>
                <w:szCs w:val="20"/>
                <w:shd w:val="clear" w:color="auto" w:fill="FFFFFF"/>
              </w:rPr>
              <w:t xml:space="preserve"> II </w:t>
            </w:r>
            <w:proofErr w:type="spellStart"/>
            <w:r w:rsidRPr="00A303C4">
              <w:rPr>
                <w:rFonts w:ascii="Times New Roman" w:eastAsia="Arial Unicode MS" w:hAnsi="Times New Roman"/>
                <w:color w:val="000000" w:themeColor="text1"/>
                <w:sz w:val="20"/>
                <w:szCs w:val="20"/>
                <w:shd w:val="clear" w:color="auto" w:fill="FFFFFF"/>
              </w:rPr>
              <w:t>având</w:t>
            </w:r>
            <w:proofErr w:type="spellEnd"/>
            <w:r w:rsidRPr="00A303C4">
              <w:rPr>
                <w:rFonts w:ascii="Times New Roman" w:eastAsia="Arial Unicode MS" w:hAnsi="Times New Roman"/>
                <w:color w:val="000000" w:themeColor="text1"/>
                <w:sz w:val="20"/>
                <w:szCs w:val="20"/>
                <w:shd w:val="clear" w:color="auto" w:fill="FFFFFF"/>
              </w:rPr>
              <w:t xml:space="preserve"> un </w:t>
            </w:r>
            <w:proofErr w:type="spellStart"/>
            <w:r w:rsidRPr="00A303C4">
              <w:rPr>
                <w:rFonts w:ascii="Times New Roman" w:eastAsia="Arial Unicode MS" w:hAnsi="Times New Roman"/>
                <w:color w:val="000000" w:themeColor="text1"/>
                <w:sz w:val="20"/>
                <w:szCs w:val="20"/>
                <w:shd w:val="clear" w:color="auto" w:fill="FFFFFF"/>
              </w:rPr>
              <w:t>potențial</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echivalent</w:t>
            </w:r>
            <w:proofErr w:type="spellEnd"/>
            <w:r w:rsidRPr="00A303C4">
              <w:rPr>
                <w:rFonts w:ascii="Times New Roman" w:eastAsia="Arial Unicode MS" w:hAnsi="Times New Roman"/>
                <w:color w:val="000000" w:themeColor="text1"/>
                <w:sz w:val="20"/>
                <w:szCs w:val="20"/>
                <w:shd w:val="clear" w:color="auto" w:fill="FFFFFF"/>
              </w:rPr>
              <w:t xml:space="preserve"> din </w:t>
            </w:r>
            <w:proofErr w:type="spellStart"/>
            <w:r w:rsidRPr="00A303C4">
              <w:rPr>
                <w:rFonts w:ascii="Times New Roman" w:eastAsia="Arial Unicode MS" w:hAnsi="Times New Roman"/>
                <w:color w:val="000000" w:themeColor="text1"/>
                <w:sz w:val="20"/>
                <w:szCs w:val="20"/>
                <w:shd w:val="clear" w:color="auto" w:fill="FFFFFF"/>
              </w:rPr>
              <w:t>perspectiva</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r w:rsidRPr="00A303C4">
              <w:rPr>
                <w:rFonts w:ascii="Times New Roman" w:eastAsia="Arial Unicode MS" w:hAnsi="Times New Roman"/>
                <w:color w:val="000000" w:themeColor="text1"/>
                <w:sz w:val="20"/>
                <w:szCs w:val="20"/>
                <w:shd w:val="clear" w:color="auto" w:fill="FFFFFF"/>
              </w:rPr>
              <w:t>încălzirii</w:t>
            </w:r>
            <w:proofErr w:type="spellEnd"/>
            <w:r w:rsidRPr="00A303C4">
              <w:rPr>
                <w:rFonts w:ascii="Times New Roman" w:eastAsia="Arial Unicode MS" w:hAnsi="Times New Roman"/>
                <w:color w:val="000000" w:themeColor="text1"/>
                <w:sz w:val="20"/>
                <w:szCs w:val="20"/>
                <w:shd w:val="clear" w:color="auto" w:fill="FFFFFF"/>
              </w:rPr>
              <w:t xml:space="preserve"> </w:t>
            </w:r>
            <w:proofErr w:type="spellStart"/>
            <w:proofErr w:type="gramStart"/>
            <w:r w:rsidRPr="00A303C4">
              <w:rPr>
                <w:rFonts w:ascii="Times New Roman" w:eastAsia="Arial Unicode MS" w:hAnsi="Times New Roman"/>
                <w:color w:val="000000" w:themeColor="text1"/>
                <w:sz w:val="20"/>
                <w:szCs w:val="20"/>
                <w:shd w:val="clear" w:color="auto" w:fill="FFFFFF"/>
              </w:rPr>
              <w:t>globale</w:t>
            </w:r>
            <w:proofErr w:type="spellEnd"/>
            <w:r w:rsidRPr="00A303C4">
              <w:rPr>
                <w:rFonts w:ascii="Times New Roman" w:eastAsia="Arial Unicode MS" w:hAnsi="Times New Roman"/>
                <w:color w:val="000000" w:themeColor="text1"/>
                <w:sz w:val="20"/>
                <w:szCs w:val="20"/>
                <w:shd w:val="clear" w:color="auto" w:fill="FFFFFF"/>
              </w:rPr>
              <w:t>;</w:t>
            </w:r>
            <w:proofErr w:type="gramEnd"/>
          </w:p>
          <w:p w14:paraId="4C60D5DF"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29" w:tooltip="32004L0101: INSERTED" w:history="1">
              <w:r>
                <w:rPr>
                  <w:rStyle w:val="af3"/>
                  <w:rFonts w:ascii="Times New Roman" w:eastAsia="Arial Unicode MS" w:hAnsi="Times New Roman"/>
                  <w:b/>
                  <w:bCs/>
                  <w:color w:val="4472C4" w:themeColor="accent1"/>
                  <w:sz w:val="20"/>
                  <w:szCs w:val="20"/>
                </w:rPr>
                <w:t>▼M1</w:t>
              </w:r>
            </w:hyperlink>
          </w:p>
          <w:p w14:paraId="39F99D4F"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proofErr w:type="gramStart"/>
            <w:r>
              <w:rPr>
                <w:rFonts w:ascii="Times New Roman" w:eastAsia="Arial Unicode MS" w:hAnsi="Times New Roman"/>
                <w:color w:val="333333"/>
                <w:sz w:val="20"/>
                <w:szCs w:val="20"/>
                <w:shd w:val="clear" w:color="auto" w:fill="FFFFFF"/>
              </w:rPr>
              <w:t>parte</w:t>
            </w:r>
            <w:proofErr w:type="spellEnd"/>
            <w:proofErr w:type="gramEnd"/>
            <w:r>
              <w:rPr>
                <w:rFonts w:ascii="Times New Roman" w:eastAsia="Arial Unicode MS" w:hAnsi="Times New Roman"/>
                <w:color w:val="333333"/>
                <w:sz w:val="20"/>
                <w:szCs w:val="20"/>
                <w:shd w:val="clear" w:color="auto" w:fill="FFFFFF"/>
              </w:rPr>
              <w:t xml:space="preserve"> din </w:t>
            </w:r>
            <w:proofErr w:type="spellStart"/>
            <w:r>
              <w:rPr>
                <w:rFonts w:ascii="Times New Roman" w:eastAsia="Arial Unicode MS" w:hAnsi="Times New Roman"/>
                <w:color w:val="333333"/>
                <w:sz w:val="20"/>
                <w:szCs w:val="20"/>
                <w:shd w:val="clear" w:color="auto" w:fill="FFFFFF"/>
              </w:rPr>
              <w:t>anexa</w:t>
            </w:r>
            <w:proofErr w:type="spellEnd"/>
            <w:r>
              <w:rPr>
                <w:rFonts w:ascii="Times New Roman" w:eastAsia="Arial Unicode MS" w:hAnsi="Times New Roman"/>
                <w:color w:val="333333"/>
                <w:sz w:val="20"/>
                <w:szCs w:val="20"/>
                <w:shd w:val="clear" w:color="auto" w:fill="FFFFFF"/>
              </w:rPr>
              <w:t xml:space="preserve"> I” </w:t>
            </w:r>
            <w:proofErr w:type="spellStart"/>
            <w:r>
              <w:rPr>
                <w:rFonts w:ascii="Times New Roman" w:eastAsia="Arial Unicode MS" w:hAnsi="Times New Roman"/>
                <w:color w:val="333333"/>
                <w:sz w:val="20"/>
                <w:szCs w:val="20"/>
                <w:shd w:val="clear" w:color="auto" w:fill="FFFFFF"/>
              </w:rPr>
              <w:t>înseamnă</w:t>
            </w:r>
            <w:proofErr w:type="spellEnd"/>
            <w:r>
              <w:rPr>
                <w:rFonts w:ascii="Times New Roman" w:eastAsia="Arial Unicode MS" w:hAnsi="Times New Roman"/>
                <w:color w:val="333333"/>
                <w:sz w:val="20"/>
                <w:szCs w:val="20"/>
                <w:shd w:val="clear" w:color="auto" w:fill="FFFFFF"/>
              </w:rPr>
              <w:t xml:space="preserve"> o </w:t>
            </w:r>
            <w:proofErr w:type="spellStart"/>
            <w:r>
              <w:rPr>
                <w:rFonts w:ascii="Times New Roman" w:eastAsia="Arial Unicode MS" w:hAnsi="Times New Roman"/>
                <w:color w:val="333333"/>
                <w:sz w:val="20"/>
                <w:szCs w:val="20"/>
                <w:shd w:val="clear" w:color="auto" w:fill="FFFFFF"/>
              </w:rPr>
              <w:t>parte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menționată</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anexa</w:t>
            </w:r>
            <w:proofErr w:type="spellEnd"/>
            <w:r>
              <w:rPr>
                <w:rFonts w:ascii="Times New Roman" w:eastAsia="Arial Unicode MS" w:hAnsi="Times New Roman"/>
                <w:color w:val="333333"/>
                <w:sz w:val="20"/>
                <w:szCs w:val="20"/>
                <w:shd w:val="clear" w:color="auto" w:fill="FFFFFF"/>
              </w:rPr>
              <w:t xml:space="preserve"> I la </w:t>
            </w:r>
            <w:proofErr w:type="spellStart"/>
            <w:r>
              <w:rPr>
                <w:rFonts w:ascii="Times New Roman" w:eastAsia="Arial Unicode MS" w:hAnsi="Times New Roman"/>
                <w:color w:val="333333"/>
                <w:sz w:val="20"/>
                <w:szCs w:val="20"/>
                <w:shd w:val="clear" w:color="auto" w:fill="FFFFFF"/>
              </w:rPr>
              <w:t>Convenția-cadru</w:t>
            </w:r>
            <w:proofErr w:type="spellEnd"/>
            <w:r>
              <w:rPr>
                <w:rFonts w:ascii="Times New Roman" w:eastAsia="Arial Unicode MS" w:hAnsi="Times New Roman"/>
                <w:color w:val="333333"/>
                <w:sz w:val="20"/>
                <w:szCs w:val="20"/>
                <w:shd w:val="clear" w:color="auto" w:fill="FFFFFF"/>
              </w:rPr>
              <w:t xml:space="preserve"> a </w:t>
            </w:r>
            <w:proofErr w:type="spellStart"/>
            <w:r>
              <w:rPr>
                <w:rFonts w:ascii="Times New Roman" w:eastAsia="Arial Unicode MS" w:hAnsi="Times New Roman"/>
                <w:color w:val="333333"/>
                <w:sz w:val="20"/>
                <w:szCs w:val="20"/>
                <w:shd w:val="clear" w:color="auto" w:fill="FFFFFF"/>
              </w:rPr>
              <w:t>Organizației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Națiunilor</w:t>
            </w:r>
            <w:proofErr w:type="spellEnd"/>
            <w:r>
              <w:rPr>
                <w:rFonts w:ascii="Times New Roman" w:eastAsia="Arial Unicode MS" w:hAnsi="Times New Roman"/>
                <w:color w:val="333333"/>
                <w:sz w:val="20"/>
                <w:szCs w:val="20"/>
                <w:shd w:val="clear" w:color="auto" w:fill="FFFFFF"/>
              </w:rPr>
              <w:t xml:space="preserve"> Unite </w:t>
            </w:r>
            <w:proofErr w:type="spellStart"/>
            <w:r>
              <w:rPr>
                <w:rFonts w:ascii="Times New Roman" w:eastAsia="Arial Unicode MS" w:hAnsi="Times New Roman"/>
                <w:color w:val="333333"/>
                <w:sz w:val="20"/>
                <w:szCs w:val="20"/>
                <w:shd w:val="clear" w:color="auto" w:fill="FFFFFF"/>
              </w:rPr>
              <w:t>privind</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schimbările</w:t>
            </w:r>
            <w:proofErr w:type="spellEnd"/>
            <w:r>
              <w:rPr>
                <w:rFonts w:ascii="Times New Roman" w:eastAsia="Arial Unicode MS" w:hAnsi="Times New Roman"/>
                <w:color w:val="333333"/>
                <w:sz w:val="20"/>
                <w:szCs w:val="20"/>
                <w:shd w:val="clear" w:color="auto" w:fill="FFFFFF"/>
              </w:rPr>
              <w:t xml:space="preserve"> climatice care a </w:t>
            </w:r>
            <w:proofErr w:type="spellStart"/>
            <w:r>
              <w:rPr>
                <w:rFonts w:ascii="Times New Roman" w:eastAsia="Arial Unicode MS" w:hAnsi="Times New Roman"/>
                <w:color w:val="333333"/>
                <w:sz w:val="20"/>
                <w:szCs w:val="20"/>
                <w:shd w:val="clear" w:color="auto" w:fill="FFFFFF"/>
              </w:rPr>
              <w:t>ratificat</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Protocolul</w:t>
            </w:r>
            <w:proofErr w:type="spellEnd"/>
            <w:r>
              <w:rPr>
                <w:rFonts w:ascii="Times New Roman" w:eastAsia="Arial Unicode MS" w:hAnsi="Times New Roman"/>
                <w:color w:val="333333"/>
                <w:sz w:val="20"/>
                <w:szCs w:val="20"/>
                <w:shd w:val="clear" w:color="auto" w:fill="FFFFFF"/>
              </w:rPr>
              <w:t xml:space="preserve"> de la Kyoto </w:t>
            </w:r>
            <w:proofErr w:type="spellStart"/>
            <w:r>
              <w:rPr>
                <w:rFonts w:ascii="Times New Roman" w:eastAsia="Arial Unicode MS" w:hAnsi="Times New Roman"/>
                <w:color w:val="333333"/>
                <w:sz w:val="20"/>
                <w:szCs w:val="20"/>
                <w:shd w:val="clear" w:color="auto" w:fill="FFFFFF"/>
              </w:rPr>
              <w:t>potrivit</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articolului</w:t>
            </w:r>
            <w:proofErr w:type="spellEnd"/>
            <w:r>
              <w:rPr>
                <w:rFonts w:ascii="Times New Roman" w:eastAsia="Arial Unicode MS" w:hAnsi="Times New Roman"/>
                <w:color w:val="333333"/>
                <w:sz w:val="20"/>
                <w:szCs w:val="20"/>
                <w:shd w:val="clear" w:color="auto" w:fill="FFFFFF"/>
              </w:rPr>
              <w:t xml:space="preserve"> 1 </w:t>
            </w:r>
            <w:proofErr w:type="spellStart"/>
            <w:r>
              <w:rPr>
                <w:rFonts w:ascii="Times New Roman" w:eastAsia="Arial Unicode MS" w:hAnsi="Times New Roman"/>
                <w:color w:val="333333"/>
                <w:sz w:val="20"/>
                <w:szCs w:val="20"/>
                <w:shd w:val="clear" w:color="auto" w:fill="FFFFFF"/>
              </w:rPr>
              <w:t>alineatul</w:t>
            </w:r>
            <w:proofErr w:type="spellEnd"/>
            <w:r>
              <w:rPr>
                <w:rFonts w:ascii="Times New Roman" w:eastAsia="Arial Unicode MS" w:hAnsi="Times New Roman"/>
                <w:color w:val="333333"/>
                <w:sz w:val="20"/>
                <w:szCs w:val="20"/>
                <w:shd w:val="clear" w:color="auto" w:fill="FFFFFF"/>
              </w:rPr>
              <w:t xml:space="preserve"> (7) din </w:t>
            </w:r>
            <w:proofErr w:type="spellStart"/>
            <w:r>
              <w:rPr>
                <w:rFonts w:ascii="Times New Roman" w:eastAsia="Arial Unicode MS" w:hAnsi="Times New Roman"/>
                <w:color w:val="333333"/>
                <w:sz w:val="20"/>
                <w:szCs w:val="20"/>
                <w:shd w:val="clear" w:color="auto" w:fill="FFFFFF"/>
              </w:rPr>
              <w:t>Protocolul</w:t>
            </w:r>
            <w:proofErr w:type="spellEnd"/>
            <w:r>
              <w:rPr>
                <w:rFonts w:ascii="Times New Roman" w:eastAsia="Arial Unicode MS" w:hAnsi="Times New Roman"/>
                <w:color w:val="333333"/>
                <w:sz w:val="20"/>
                <w:szCs w:val="20"/>
                <w:shd w:val="clear" w:color="auto" w:fill="FFFFFF"/>
              </w:rPr>
              <w:t xml:space="preserve"> de la Kyoto;</w:t>
            </w:r>
          </w:p>
          <w:p w14:paraId="3814BC9C"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proofErr w:type="gramStart"/>
            <w:r>
              <w:rPr>
                <w:rFonts w:ascii="Times New Roman" w:eastAsia="Arial Unicode MS" w:hAnsi="Times New Roman"/>
                <w:color w:val="333333"/>
                <w:sz w:val="20"/>
                <w:szCs w:val="20"/>
                <w:shd w:val="clear" w:color="auto" w:fill="FFFFFF"/>
              </w:rPr>
              <w:t>activitate</w:t>
            </w:r>
            <w:proofErr w:type="spellEnd"/>
            <w:proofErr w:type="gram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bazată</w:t>
            </w:r>
            <w:proofErr w:type="spellEnd"/>
            <w:r>
              <w:rPr>
                <w:rFonts w:ascii="Times New Roman" w:eastAsia="Arial Unicode MS" w:hAnsi="Times New Roman"/>
                <w:color w:val="333333"/>
                <w:sz w:val="20"/>
                <w:szCs w:val="20"/>
                <w:shd w:val="clear" w:color="auto" w:fill="FFFFFF"/>
              </w:rPr>
              <w:t xml:space="preserve"> pe </w:t>
            </w:r>
            <w:proofErr w:type="spellStart"/>
            <w:r>
              <w:rPr>
                <w:rFonts w:ascii="Times New Roman" w:eastAsia="Arial Unicode MS" w:hAnsi="Times New Roman"/>
                <w:color w:val="333333"/>
                <w:sz w:val="20"/>
                <w:szCs w:val="20"/>
                <w:shd w:val="clear" w:color="auto" w:fill="FFFFFF"/>
              </w:rPr>
              <w:t>proiecte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înseamnă</w:t>
            </w:r>
            <w:proofErr w:type="spellEnd"/>
            <w:r>
              <w:rPr>
                <w:rFonts w:ascii="Times New Roman" w:eastAsia="Arial Unicode MS" w:hAnsi="Times New Roman"/>
                <w:color w:val="333333"/>
                <w:sz w:val="20"/>
                <w:szCs w:val="20"/>
                <w:shd w:val="clear" w:color="auto" w:fill="FFFFFF"/>
              </w:rPr>
              <w:t xml:space="preserve"> o </w:t>
            </w:r>
            <w:proofErr w:type="spellStart"/>
            <w:r>
              <w:rPr>
                <w:rFonts w:ascii="Times New Roman" w:eastAsia="Arial Unicode MS" w:hAnsi="Times New Roman"/>
                <w:color w:val="333333"/>
                <w:sz w:val="20"/>
                <w:szCs w:val="20"/>
                <w:shd w:val="clear" w:color="auto" w:fill="FFFFFF"/>
              </w:rPr>
              <w:t>activitate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bazată</w:t>
            </w:r>
            <w:proofErr w:type="spellEnd"/>
            <w:r>
              <w:rPr>
                <w:rFonts w:ascii="Times New Roman" w:eastAsia="Arial Unicode MS" w:hAnsi="Times New Roman"/>
                <w:color w:val="333333"/>
                <w:sz w:val="20"/>
                <w:szCs w:val="20"/>
                <w:shd w:val="clear" w:color="auto" w:fill="FFFFFF"/>
              </w:rPr>
              <w:t xml:space="preserve"> pe </w:t>
            </w:r>
            <w:proofErr w:type="spellStart"/>
            <w:r>
              <w:rPr>
                <w:rFonts w:ascii="Times New Roman" w:eastAsia="Arial Unicode MS" w:hAnsi="Times New Roman"/>
                <w:color w:val="333333"/>
                <w:sz w:val="20"/>
                <w:szCs w:val="20"/>
                <w:shd w:val="clear" w:color="auto" w:fill="FFFFFF"/>
              </w:rPr>
              <w:t>proiecte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aprobată</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una</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mai</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multe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părți</w:t>
            </w:r>
            <w:proofErr w:type="spellEnd"/>
            <w:r>
              <w:rPr>
                <w:rFonts w:ascii="Times New Roman" w:eastAsia="Arial Unicode MS" w:hAnsi="Times New Roman"/>
                <w:color w:val="333333"/>
                <w:sz w:val="20"/>
                <w:szCs w:val="20"/>
                <w:shd w:val="clear" w:color="auto" w:fill="FFFFFF"/>
              </w:rPr>
              <w:t xml:space="preserve"> din </w:t>
            </w:r>
            <w:proofErr w:type="spellStart"/>
            <w:r>
              <w:rPr>
                <w:rFonts w:ascii="Times New Roman" w:eastAsia="Arial Unicode MS" w:hAnsi="Times New Roman"/>
                <w:color w:val="333333"/>
                <w:sz w:val="20"/>
                <w:szCs w:val="20"/>
                <w:shd w:val="clear" w:color="auto" w:fill="FFFFFF"/>
              </w:rPr>
              <w:t>anexa</w:t>
            </w:r>
            <w:proofErr w:type="spellEnd"/>
            <w:r>
              <w:rPr>
                <w:rFonts w:ascii="Times New Roman" w:eastAsia="Arial Unicode MS" w:hAnsi="Times New Roman"/>
                <w:color w:val="333333"/>
                <w:sz w:val="20"/>
                <w:szCs w:val="20"/>
                <w:shd w:val="clear" w:color="auto" w:fill="FFFFFF"/>
              </w:rPr>
              <w:t xml:space="preserve"> I, în conformitate cu </w:t>
            </w:r>
            <w:proofErr w:type="spellStart"/>
            <w:r>
              <w:rPr>
                <w:rFonts w:ascii="Times New Roman" w:eastAsia="Arial Unicode MS" w:hAnsi="Times New Roman"/>
                <w:color w:val="333333"/>
                <w:sz w:val="20"/>
                <w:szCs w:val="20"/>
                <w:shd w:val="clear" w:color="auto" w:fill="FFFFFF"/>
              </w:rPr>
              <w:t>articolul</w:t>
            </w:r>
            <w:proofErr w:type="spellEnd"/>
            <w:r>
              <w:rPr>
                <w:rFonts w:ascii="Times New Roman" w:eastAsia="Arial Unicode MS" w:hAnsi="Times New Roman"/>
                <w:color w:val="333333"/>
                <w:sz w:val="20"/>
                <w:szCs w:val="20"/>
                <w:shd w:val="clear" w:color="auto" w:fill="FFFFFF"/>
              </w:rPr>
              <w:t xml:space="preserve"> 6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cu </w:t>
            </w:r>
            <w:proofErr w:type="spellStart"/>
            <w:r>
              <w:rPr>
                <w:rFonts w:ascii="Times New Roman" w:eastAsia="Arial Unicode MS" w:hAnsi="Times New Roman"/>
                <w:color w:val="333333"/>
                <w:sz w:val="20"/>
                <w:szCs w:val="20"/>
                <w:shd w:val="clear" w:color="auto" w:fill="FFFFFF"/>
              </w:rPr>
              <w:t>articolul</w:t>
            </w:r>
            <w:proofErr w:type="spellEnd"/>
            <w:r>
              <w:rPr>
                <w:rFonts w:ascii="Times New Roman" w:eastAsia="Arial Unicode MS" w:hAnsi="Times New Roman"/>
                <w:color w:val="333333"/>
                <w:sz w:val="20"/>
                <w:szCs w:val="20"/>
                <w:shd w:val="clear" w:color="auto" w:fill="FFFFFF"/>
              </w:rPr>
              <w:t xml:space="preserve"> 12 din </w:t>
            </w:r>
            <w:proofErr w:type="spellStart"/>
            <w:r>
              <w:rPr>
                <w:rFonts w:ascii="Times New Roman" w:eastAsia="Arial Unicode MS" w:hAnsi="Times New Roman"/>
                <w:color w:val="333333"/>
                <w:sz w:val="20"/>
                <w:szCs w:val="20"/>
                <w:shd w:val="clear" w:color="auto" w:fill="FFFFFF"/>
              </w:rPr>
              <w:t>Protocolul</w:t>
            </w:r>
            <w:proofErr w:type="spellEnd"/>
            <w:r>
              <w:rPr>
                <w:rFonts w:ascii="Times New Roman" w:eastAsia="Arial Unicode MS" w:hAnsi="Times New Roman"/>
                <w:color w:val="333333"/>
                <w:sz w:val="20"/>
                <w:szCs w:val="20"/>
                <w:shd w:val="clear" w:color="auto" w:fill="FFFFFF"/>
              </w:rPr>
              <w:t xml:space="preserve"> de la Kyoto și cu </w:t>
            </w:r>
            <w:proofErr w:type="spellStart"/>
            <w:r>
              <w:rPr>
                <w:rFonts w:ascii="Times New Roman" w:eastAsia="Arial Unicode MS" w:hAnsi="Times New Roman"/>
                <w:color w:val="333333"/>
                <w:sz w:val="20"/>
                <w:szCs w:val="20"/>
                <w:shd w:val="clear" w:color="auto" w:fill="FFFFFF"/>
              </w:rPr>
              <w:t>deciziile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adoptate</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temeiul</w:t>
            </w:r>
            <w:proofErr w:type="spellEnd"/>
            <w:r>
              <w:rPr>
                <w:rFonts w:ascii="Times New Roman" w:eastAsia="Arial Unicode MS" w:hAnsi="Times New Roman"/>
                <w:color w:val="333333"/>
                <w:sz w:val="20"/>
                <w:szCs w:val="20"/>
                <w:shd w:val="clear" w:color="auto" w:fill="FFFFFF"/>
              </w:rPr>
              <w:t xml:space="preserve"> CCONUSC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al </w:t>
            </w:r>
            <w:proofErr w:type="spellStart"/>
            <w:r>
              <w:rPr>
                <w:rFonts w:ascii="Times New Roman" w:eastAsia="Arial Unicode MS" w:hAnsi="Times New Roman"/>
                <w:color w:val="333333"/>
                <w:sz w:val="20"/>
                <w:szCs w:val="20"/>
                <w:shd w:val="clear" w:color="auto" w:fill="FFFFFF"/>
              </w:rPr>
              <w:t>Protocolului</w:t>
            </w:r>
            <w:proofErr w:type="spellEnd"/>
            <w:r>
              <w:rPr>
                <w:rFonts w:ascii="Times New Roman" w:eastAsia="Arial Unicode MS" w:hAnsi="Times New Roman"/>
                <w:color w:val="333333"/>
                <w:sz w:val="20"/>
                <w:szCs w:val="20"/>
                <w:shd w:val="clear" w:color="auto" w:fill="FFFFFF"/>
              </w:rPr>
              <w:t xml:space="preserve"> de la Kyoto;</w:t>
            </w:r>
          </w:p>
          <w:p w14:paraId="0E948F81"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proofErr w:type="gramStart"/>
            <w:r>
              <w:rPr>
                <w:rFonts w:ascii="Times New Roman" w:eastAsia="Arial Unicode MS" w:hAnsi="Times New Roman"/>
                <w:color w:val="333333"/>
                <w:sz w:val="20"/>
                <w:szCs w:val="20"/>
                <w:shd w:val="clear" w:color="auto" w:fill="FFFFFF"/>
              </w:rPr>
              <w:t>unitate</w:t>
            </w:r>
            <w:proofErr w:type="spellEnd"/>
            <w:proofErr w:type="gram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reducere</w:t>
            </w:r>
            <w:proofErr w:type="spellEnd"/>
            <w:r>
              <w:rPr>
                <w:rFonts w:ascii="Times New Roman" w:eastAsia="Arial Unicode MS" w:hAnsi="Times New Roman"/>
                <w:color w:val="333333"/>
                <w:sz w:val="20"/>
                <w:szCs w:val="20"/>
                <w:shd w:val="clear" w:color="auto" w:fill="FFFFFF"/>
              </w:rPr>
              <w:t xml:space="preserve"> a </w:t>
            </w:r>
            <w:proofErr w:type="spellStart"/>
            <w:r>
              <w:rPr>
                <w:rFonts w:ascii="Times New Roman" w:eastAsia="Arial Unicode MS" w:hAnsi="Times New Roman"/>
                <w:color w:val="333333"/>
                <w:sz w:val="20"/>
                <w:szCs w:val="20"/>
                <w:shd w:val="clear" w:color="auto" w:fill="FFFFFF"/>
              </w:rPr>
              <w:t>emisiilor</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„URE” </w:t>
            </w:r>
            <w:proofErr w:type="spellStart"/>
            <w:r>
              <w:rPr>
                <w:rFonts w:ascii="Times New Roman" w:eastAsia="Arial Unicode MS" w:hAnsi="Times New Roman"/>
                <w:color w:val="333333"/>
                <w:sz w:val="20"/>
                <w:szCs w:val="20"/>
                <w:shd w:val="clear" w:color="auto" w:fill="FFFFFF"/>
              </w:rPr>
              <w:t>înseamnă</w:t>
            </w:r>
            <w:proofErr w:type="spellEnd"/>
            <w:r>
              <w:rPr>
                <w:rFonts w:ascii="Times New Roman" w:eastAsia="Arial Unicode MS" w:hAnsi="Times New Roman"/>
                <w:color w:val="333333"/>
                <w:sz w:val="20"/>
                <w:szCs w:val="20"/>
                <w:shd w:val="clear" w:color="auto" w:fill="FFFFFF"/>
              </w:rPr>
              <w:t xml:space="preserve"> o </w:t>
            </w:r>
            <w:proofErr w:type="spellStart"/>
            <w:r>
              <w:rPr>
                <w:rFonts w:ascii="Times New Roman" w:eastAsia="Arial Unicode MS" w:hAnsi="Times New Roman"/>
                <w:color w:val="333333"/>
                <w:sz w:val="20"/>
                <w:szCs w:val="20"/>
                <w:shd w:val="clear" w:color="auto" w:fill="FFFFFF"/>
              </w:rPr>
              <w:t>unitate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eliberată</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temeiul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articolului</w:t>
            </w:r>
            <w:proofErr w:type="spellEnd"/>
            <w:r>
              <w:rPr>
                <w:rFonts w:ascii="Times New Roman" w:eastAsia="Arial Unicode MS" w:hAnsi="Times New Roman"/>
                <w:color w:val="333333"/>
                <w:sz w:val="20"/>
                <w:szCs w:val="20"/>
                <w:shd w:val="clear" w:color="auto" w:fill="FFFFFF"/>
              </w:rPr>
              <w:t xml:space="preserve"> 6 din </w:t>
            </w:r>
            <w:proofErr w:type="spellStart"/>
            <w:r>
              <w:rPr>
                <w:rFonts w:ascii="Times New Roman" w:eastAsia="Arial Unicode MS" w:hAnsi="Times New Roman"/>
                <w:color w:val="333333"/>
                <w:sz w:val="20"/>
                <w:szCs w:val="20"/>
                <w:shd w:val="clear" w:color="auto" w:fill="FFFFFF"/>
              </w:rPr>
              <w:t>Protocolul</w:t>
            </w:r>
            <w:proofErr w:type="spellEnd"/>
            <w:r>
              <w:rPr>
                <w:rFonts w:ascii="Times New Roman" w:eastAsia="Arial Unicode MS" w:hAnsi="Times New Roman"/>
                <w:color w:val="333333"/>
                <w:sz w:val="20"/>
                <w:szCs w:val="20"/>
                <w:shd w:val="clear" w:color="auto" w:fill="FFFFFF"/>
              </w:rPr>
              <w:t xml:space="preserve"> de la Kyoto și a </w:t>
            </w:r>
            <w:proofErr w:type="spellStart"/>
            <w:r>
              <w:rPr>
                <w:rFonts w:ascii="Times New Roman" w:eastAsia="Arial Unicode MS" w:hAnsi="Times New Roman"/>
                <w:color w:val="333333"/>
                <w:sz w:val="20"/>
                <w:szCs w:val="20"/>
                <w:shd w:val="clear" w:color="auto" w:fill="FFFFFF"/>
              </w:rPr>
              <w:t>deciziilor</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adoptate</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temeiul</w:t>
            </w:r>
            <w:proofErr w:type="spellEnd"/>
            <w:r>
              <w:rPr>
                <w:rFonts w:ascii="Times New Roman" w:eastAsia="Arial Unicode MS" w:hAnsi="Times New Roman"/>
                <w:color w:val="333333"/>
                <w:sz w:val="20"/>
                <w:szCs w:val="20"/>
                <w:shd w:val="clear" w:color="auto" w:fill="FFFFFF"/>
              </w:rPr>
              <w:t xml:space="preserve"> CCONUSC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a </w:t>
            </w:r>
            <w:proofErr w:type="spellStart"/>
            <w:r>
              <w:rPr>
                <w:rFonts w:ascii="Times New Roman" w:eastAsia="Arial Unicode MS" w:hAnsi="Times New Roman"/>
                <w:color w:val="333333"/>
                <w:sz w:val="20"/>
                <w:szCs w:val="20"/>
                <w:shd w:val="clear" w:color="auto" w:fill="FFFFFF"/>
              </w:rPr>
              <w:t>Protocolului</w:t>
            </w:r>
            <w:proofErr w:type="spellEnd"/>
            <w:r>
              <w:rPr>
                <w:rFonts w:ascii="Times New Roman" w:eastAsia="Arial Unicode MS" w:hAnsi="Times New Roman"/>
                <w:color w:val="333333"/>
                <w:sz w:val="20"/>
                <w:szCs w:val="20"/>
                <w:shd w:val="clear" w:color="auto" w:fill="FFFFFF"/>
              </w:rPr>
              <w:t xml:space="preserve"> de la Kyoto;</w:t>
            </w:r>
          </w:p>
          <w:p w14:paraId="745211BD"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proofErr w:type="gramStart"/>
            <w:r>
              <w:rPr>
                <w:rFonts w:ascii="Times New Roman" w:eastAsia="Arial Unicode MS" w:hAnsi="Times New Roman"/>
                <w:color w:val="333333"/>
                <w:sz w:val="20"/>
                <w:szCs w:val="20"/>
                <w:shd w:val="clear" w:color="auto" w:fill="FFFFFF"/>
              </w:rPr>
              <w:t>reducere</w:t>
            </w:r>
            <w:proofErr w:type="spellEnd"/>
            <w:proofErr w:type="gram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emisii</w:t>
            </w:r>
            <w:proofErr w:type="spellEnd"/>
            <w:r>
              <w:rPr>
                <w:rFonts w:ascii="Times New Roman" w:eastAsia="Arial Unicode MS" w:hAnsi="Times New Roman"/>
                <w:color w:val="333333"/>
                <w:sz w:val="20"/>
                <w:szCs w:val="20"/>
                <w:shd w:val="clear" w:color="auto" w:fill="FFFFFF"/>
              </w:rPr>
              <w:t xml:space="preserve"> certificate”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„REC” </w:t>
            </w:r>
            <w:proofErr w:type="spellStart"/>
            <w:r>
              <w:rPr>
                <w:rFonts w:ascii="Times New Roman" w:eastAsia="Arial Unicode MS" w:hAnsi="Times New Roman"/>
                <w:color w:val="333333"/>
                <w:sz w:val="20"/>
                <w:szCs w:val="20"/>
                <w:shd w:val="clear" w:color="auto" w:fill="FFFFFF"/>
              </w:rPr>
              <w:t>înseamnă</w:t>
            </w:r>
            <w:proofErr w:type="spellEnd"/>
            <w:r>
              <w:rPr>
                <w:rFonts w:ascii="Times New Roman" w:eastAsia="Arial Unicode MS" w:hAnsi="Times New Roman"/>
                <w:color w:val="333333"/>
                <w:sz w:val="20"/>
                <w:szCs w:val="20"/>
                <w:shd w:val="clear" w:color="auto" w:fill="FFFFFF"/>
              </w:rPr>
              <w:t xml:space="preserve"> o </w:t>
            </w:r>
            <w:proofErr w:type="spellStart"/>
            <w:r>
              <w:rPr>
                <w:rFonts w:ascii="Times New Roman" w:eastAsia="Arial Unicode MS" w:hAnsi="Times New Roman"/>
                <w:color w:val="333333"/>
                <w:sz w:val="20"/>
                <w:szCs w:val="20"/>
                <w:shd w:val="clear" w:color="auto" w:fill="FFFFFF"/>
              </w:rPr>
              <w:t>unitate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eliberată</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temeiul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articolului</w:t>
            </w:r>
            <w:proofErr w:type="spellEnd"/>
            <w:r>
              <w:rPr>
                <w:rFonts w:ascii="Times New Roman" w:eastAsia="Arial Unicode MS" w:hAnsi="Times New Roman"/>
                <w:color w:val="333333"/>
                <w:sz w:val="20"/>
                <w:szCs w:val="20"/>
                <w:shd w:val="clear" w:color="auto" w:fill="FFFFFF"/>
              </w:rPr>
              <w:t xml:space="preserve"> 12 din </w:t>
            </w:r>
            <w:proofErr w:type="spellStart"/>
            <w:r>
              <w:rPr>
                <w:rFonts w:ascii="Times New Roman" w:eastAsia="Arial Unicode MS" w:hAnsi="Times New Roman"/>
                <w:color w:val="333333"/>
                <w:sz w:val="20"/>
                <w:szCs w:val="20"/>
                <w:shd w:val="clear" w:color="auto" w:fill="FFFFFF"/>
              </w:rPr>
              <w:t>Protocolul</w:t>
            </w:r>
            <w:proofErr w:type="spellEnd"/>
            <w:r>
              <w:rPr>
                <w:rFonts w:ascii="Times New Roman" w:eastAsia="Arial Unicode MS" w:hAnsi="Times New Roman"/>
                <w:color w:val="333333"/>
                <w:sz w:val="20"/>
                <w:szCs w:val="20"/>
                <w:shd w:val="clear" w:color="auto" w:fill="FFFFFF"/>
              </w:rPr>
              <w:t xml:space="preserve"> de la Kyoto și a </w:t>
            </w:r>
            <w:proofErr w:type="spellStart"/>
            <w:r>
              <w:rPr>
                <w:rFonts w:ascii="Times New Roman" w:eastAsia="Arial Unicode MS" w:hAnsi="Times New Roman"/>
                <w:color w:val="333333"/>
                <w:sz w:val="20"/>
                <w:szCs w:val="20"/>
                <w:shd w:val="clear" w:color="auto" w:fill="FFFFFF"/>
              </w:rPr>
              <w:t>deciziilor</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adoptate</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temeiul</w:t>
            </w:r>
            <w:proofErr w:type="spellEnd"/>
            <w:r>
              <w:rPr>
                <w:rFonts w:ascii="Times New Roman" w:eastAsia="Arial Unicode MS" w:hAnsi="Times New Roman"/>
                <w:color w:val="333333"/>
                <w:sz w:val="20"/>
                <w:szCs w:val="20"/>
                <w:shd w:val="clear" w:color="auto" w:fill="FFFFFF"/>
              </w:rPr>
              <w:t xml:space="preserve"> CCONUSC </w:t>
            </w:r>
            <w:proofErr w:type="spellStart"/>
            <w:r>
              <w:rPr>
                <w:rFonts w:ascii="Times New Roman" w:eastAsia="Arial Unicode MS" w:hAnsi="Times New Roman"/>
                <w:color w:val="333333"/>
                <w:sz w:val="20"/>
                <w:szCs w:val="20"/>
                <w:shd w:val="clear" w:color="auto" w:fill="FFFFFF"/>
              </w:rPr>
              <w:t>sau</w:t>
            </w:r>
            <w:proofErr w:type="spellEnd"/>
            <w:r>
              <w:rPr>
                <w:rFonts w:ascii="Times New Roman" w:eastAsia="Arial Unicode MS" w:hAnsi="Times New Roman"/>
                <w:color w:val="333333"/>
                <w:sz w:val="20"/>
                <w:szCs w:val="20"/>
                <w:shd w:val="clear" w:color="auto" w:fill="FFFFFF"/>
              </w:rPr>
              <w:t xml:space="preserve"> a </w:t>
            </w:r>
            <w:proofErr w:type="spellStart"/>
            <w:r>
              <w:rPr>
                <w:rFonts w:ascii="Times New Roman" w:eastAsia="Arial Unicode MS" w:hAnsi="Times New Roman"/>
                <w:color w:val="333333"/>
                <w:sz w:val="20"/>
                <w:szCs w:val="20"/>
                <w:shd w:val="clear" w:color="auto" w:fill="FFFFFF"/>
              </w:rPr>
              <w:t>Protocolului</w:t>
            </w:r>
            <w:proofErr w:type="spellEnd"/>
            <w:r>
              <w:rPr>
                <w:rFonts w:ascii="Times New Roman" w:eastAsia="Arial Unicode MS" w:hAnsi="Times New Roman"/>
                <w:color w:val="333333"/>
                <w:sz w:val="20"/>
                <w:szCs w:val="20"/>
                <w:shd w:val="clear" w:color="auto" w:fill="FFFFFF"/>
              </w:rPr>
              <w:t xml:space="preserve"> de la Kyoto;</w:t>
            </w:r>
          </w:p>
          <w:p w14:paraId="0B7F839D"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30" w:tooltip="32008L0101: INSERTED" w:history="1">
              <w:r>
                <w:rPr>
                  <w:rStyle w:val="af3"/>
                  <w:rFonts w:ascii="Times New Roman" w:eastAsia="Arial Unicode MS" w:hAnsi="Times New Roman"/>
                  <w:b/>
                  <w:bCs/>
                  <w:color w:val="4472C4" w:themeColor="accent1"/>
                  <w:sz w:val="20"/>
                  <w:szCs w:val="20"/>
                </w:rPr>
                <w:t>▼M2</w:t>
              </w:r>
            </w:hyperlink>
          </w:p>
          <w:p w14:paraId="35E8CC91" w14:textId="77777777"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gramStart"/>
            <w:r w:rsidRPr="0066519A">
              <w:rPr>
                <w:rFonts w:ascii="Times New Roman" w:eastAsia="Arial Unicode MS" w:hAnsi="Times New Roman"/>
                <w:color w:val="000000" w:themeColor="text1"/>
                <w:sz w:val="20"/>
                <w:szCs w:val="20"/>
                <w:shd w:val="clear" w:color="auto" w:fill="FFFFFF"/>
              </w:rPr>
              <w:t>operator</w:t>
            </w:r>
            <w:proofErr w:type="gram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aeronave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persoana</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operează</w:t>
            </w:r>
            <w:proofErr w:type="spellEnd"/>
            <w:r w:rsidRPr="0066519A">
              <w:rPr>
                <w:rFonts w:ascii="Times New Roman" w:eastAsia="Arial Unicode MS" w:hAnsi="Times New Roman"/>
                <w:color w:val="000000" w:themeColor="text1"/>
                <w:sz w:val="20"/>
                <w:szCs w:val="20"/>
                <w:shd w:val="clear" w:color="auto" w:fill="FFFFFF"/>
              </w:rPr>
              <w:t xml:space="preserve"> o </w:t>
            </w:r>
            <w:proofErr w:type="spellStart"/>
            <w:r w:rsidRPr="0066519A">
              <w:rPr>
                <w:rFonts w:ascii="Times New Roman" w:eastAsia="Arial Unicode MS" w:hAnsi="Times New Roman"/>
                <w:color w:val="000000" w:themeColor="text1"/>
                <w:sz w:val="20"/>
                <w:szCs w:val="20"/>
                <w:shd w:val="clear" w:color="auto" w:fill="FFFFFF"/>
              </w:rPr>
              <w:t>aeronavă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momentul</w:t>
            </w:r>
            <w:proofErr w:type="spellEnd"/>
            <w:r w:rsidRPr="0066519A">
              <w:rPr>
                <w:rFonts w:ascii="Times New Roman" w:eastAsia="Arial Unicode MS" w:hAnsi="Times New Roman"/>
                <w:color w:val="000000" w:themeColor="text1"/>
                <w:sz w:val="20"/>
                <w:szCs w:val="20"/>
                <w:shd w:val="clear" w:color="auto" w:fill="FFFFFF"/>
              </w:rPr>
              <w:t xml:space="preserve"> în care efectuează o </w:t>
            </w:r>
            <w:proofErr w:type="spellStart"/>
            <w:r w:rsidRPr="0066519A">
              <w:rPr>
                <w:rFonts w:ascii="Times New Roman" w:eastAsia="Arial Unicode MS" w:hAnsi="Times New Roman"/>
                <w:color w:val="000000" w:themeColor="text1"/>
                <w:sz w:val="20"/>
                <w:szCs w:val="20"/>
                <w:shd w:val="clear" w:color="auto" w:fill="FFFFFF"/>
              </w:rPr>
              <w:t>activitate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aviație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menționată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Pr="0066519A">
              <w:rPr>
                <w:rFonts w:ascii="Times New Roman" w:eastAsia="Arial Unicode MS" w:hAnsi="Times New Roman"/>
                <w:color w:val="000000" w:themeColor="text1"/>
                <w:sz w:val="20"/>
                <w:szCs w:val="20"/>
                <w:shd w:val="clear" w:color="auto" w:fill="FFFFFF"/>
              </w:rPr>
              <w:t xml:space="preserve"> I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respectiva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nu </w:t>
            </w:r>
            <w:proofErr w:type="spellStart"/>
            <w:r w:rsidRPr="0066519A">
              <w:rPr>
                <w:rFonts w:ascii="Times New Roman" w:eastAsia="Arial Unicode MS" w:hAnsi="Times New Roman"/>
                <w:color w:val="000000" w:themeColor="text1"/>
                <w:sz w:val="20"/>
                <w:szCs w:val="20"/>
                <w:shd w:val="clear" w:color="auto" w:fill="FFFFFF"/>
              </w:rPr>
              <w:t>este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cunoscută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identificată</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proprietarul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aeronavei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proprietarul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aeronavei</w:t>
            </w:r>
            <w:proofErr w:type="spellEnd"/>
            <w:r w:rsidRPr="0066519A">
              <w:rPr>
                <w:rFonts w:ascii="Times New Roman" w:eastAsia="Arial Unicode MS" w:hAnsi="Times New Roman"/>
                <w:color w:val="000000" w:themeColor="text1"/>
                <w:sz w:val="20"/>
                <w:szCs w:val="20"/>
                <w:shd w:val="clear" w:color="auto" w:fill="FFFFFF"/>
              </w:rPr>
              <w:t>;</w:t>
            </w:r>
          </w:p>
          <w:p w14:paraId="3EFCA8CC" w14:textId="77777777" w:rsidR="00124364" w:rsidRPr="0066519A"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66519A">
              <w:rPr>
                <w:rFonts w:ascii="Times New Roman" w:eastAsia="Arial Unicode MS" w:hAnsi="Times New Roman"/>
                <w:color w:val="000000" w:themeColor="text1"/>
                <w:sz w:val="20"/>
                <w:szCs w:val="20"/>
                <w:shd w:val="clear" w:color="auto" w:fill="FFFFFF"/>
              </w:rPr>
              <w:lastRenderedPageBreak/>
              <w:t>„</w:t>
            </w:r>
            <w:proofErr w:type="gramStart"/>
            <w:r w:rsidRPr="0066519A">
              <w:rPr>
                <w:rFonts w:ascii="Times New Roman" w:eastAsia="Arial Unicode MS" w:hAnsi="Times New Roman"/>
                <w:color w:val="000000" w:themeColor="text1"/>
                <w:sz w:val="20"/>
                <w:szCs w:val="20"/>
                <w:shd w:val="clear" w:color="auto" w:fill="FFFFFF"/>
              </w:rPr>
              <w:t>operator</w:t>
            </w:r>
            <w:proofErr w:type="gramEnd"/>
            <w:r w:rsidRPr="0066519A">
              <w:rPr>
                <w:rFonts w:ascii="Times New Roman" w:eastAsia="Arial Unicode MS" w:hAnsi="Times New Roman"/>
                <w:color w:val="000000" w:themeColor="text1"/>
                <w:sz w:val="20"/>
                <w:szCs w:val="20"/>
                <w:shd w:val="clear" w:color="auto" w:fill="FFFFFF"/>
              </w:rPr>
              <w:t xml:space="preserve"> de transport </w:t>
            </w:r>
            <w:proofErr w:type="spellStart"/>
            <w:r w:rsidRPr="0066519A">
              <w:rPr>
                <w:rFonts w:ascii="Times New Roman" w:eastAsia="Arial Unicode MS" w:hAnsi="Times New Roman"/>
                <w:color w:val="000000" w:themeColor="text1"/>
                <w:sz w:val="20"/>
                <w:szCs w:val="20"/>
                <w:shd w:val="clear" w:color="auto" w:fill="FFFFFF"/>
              </w:rPr>
              <w:t>aerian</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comercial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un operator care, în </w:t>
            </w:r>
            <w:proofErr w:type="spellStart"/>
            <w:r w:rsidRPr="0066519A">
              <w:rPr>
                <w:rFonts w:ascii="Times New Roman" w:eastAsia="Arial Unicode MS" w:hAnsi="Times New Roman"/>
                <w:color w:val="000000" w:themeColor="text1"/>
                <w:sz w:val="20"/>
                <w:szCs w:val="20"/>
                <w:shd w:val="clear" w:color="auto" w:fill="FFFFFF"/>
              </w:rPr>
              <w:t>schimbul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remunerații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oferă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publicului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servicii</w:t>
            </w:r>
            <w:proofErr w:type="spellEnd"/>
            <w:r w:rsidRPr="0066519A">
              <w:rPr>
                <w:rFonts w:ascii="Times New Roman" w:eastAsia="Arial Unicode MS" w:hAnsi="Times New Roman"/>
                <w:color w:val="000000" w:themeColor="text1"/>
                <w:sz w:val="20"/>
                <w:szCs w:val="20"/>
                <w:shd w:val="clear" w:color="auto" w:fill="FFFFFF"/>
              </w:rPr>
              <w:t xml:space="preserve"> de transport </w:t>
            </w:r>
            <w:proofErr w:type="spellStart"/>
            <w:r w:rsidRPr="0066519A">
              <w:rPr>
                <w:rFonts w:ascii="Times New Roman" w:eastAsia="Arial Unicode MS" w:hAnsi="Times New Roman"/>
                <w:color w:val="000000" w:themeColor="text1"/>
                <w:sz w:val="20"/>
                <w:szCs w:val="20"/>
                <w:shd w:val="clear" w:color="auto" w:fill="FFFFFF"/>
              </w:rPr>
              <w:t>aerian</w:t>
            </w:r>
            <w:proofErr w:type="spellEnd"/>
            <w:r w:rsidRPr="0066519A">
              <w:rPr>
                <w:rFonts w:ascii="Times New Roman" w:eastAsia="Arial Unicode MS" w:hAnsi="Times New Roman"/>
                <w:color w:val="000000" w:themeColor="text1"/>
                <w:sz w:val="20"/>
                <w:szCs w:val="20"/>
                <w:shd w:val="clear" w:color="auto" w:fill="FFFFFF"/>
              </w:rPr>
              <w:t xml:space="preserve"> regulate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neregulate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transportul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pasagerilor</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mărfurilor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poștei</w:t>
            </w:r>
            <w:proofErr w:type="spellEnd"/>
            <w:r w:rsidRPr="0066519A">
              <w:rPr>
                <w:rFonts w:ascii="Times New Roman" w:eastAsia="Arial Unicode MS" w:hAnsi="Times New Roman"/>
                <w:color w:val="000000" w:themeColor="text1"/>
                <w:sz w:val="20"/>
                <w:szCs w:val="20"/>
                <w:shd w:val="clear" w:color="auto" w:fill="FFFFFF"/>
              </w:rPr>
              <w:t>;</w:t>
            </w:r>
          </w:p>
          <w:p w14:paraId="7DE476F1" w14:textId="629FD541" w:rsidR="00124364" w:rsidRDefault="00000000">
            <w:pPr>
              <w:pStyle w:val="af8"/>
              <w:numPr>
                <w:ilvl w:val="0"/>
                <w:numId w:val="3"/>
              </w:numPr>
              <w:spacing w:after="0" w:line="240" w:lineRule="auto"/>
              <w:jc w:val="both"/>
              <w:rPr>
                <w:rFonts w:ascii="Times New Roman" w:eastAsia="Arial Unicode MS" w:hAnsi="Times New Roman"/>
                <w:b/>
                <w:bCs/>
                <w:color w:val="4472C4" w:themeColor="accent1"/>
                <w:sz w:val="20"/>
                <w:szCs w:val="20"/>
                <w:u w:val="single"/>
                <w:shd w:val="clear" w:color="auto" w:fill="FFFFFF"/>
              </w:rPr>
            </w:pPr>
            <w:r>
              <w:rPr>
                <w:rFonts w:ascii="Times New Roman" w:eastAsia="Arial Unicode MS" w:hAnsi="Times New Roman"/>
                <w:color w:val="333333"/>
                <w:sz w:val="20"/>
                <w:szCs w:val="20"/>
                <w:shd w:val="clear" w:color="auto" w:fill="FFFFFF"/>
              </w:rPr>
              <w:t>„</w:t>
            </w:r>
            <w:r w:rsidRPr="0066519A">
              <w:rPr>
                <w:rFonts w:ascii="Times New Roman" w:eastAsia="Arial Unicode MS" w:hAnsi="Times New Roman"/>
                <w:color w:val="000000" w:themeColor="text1"/>
                <w:sz w:val="20"/>
                <w:szCs w:val="20"/>
                <w:shd w:val="clear" w:color="auto" w:fill="FFFFFF"/>
              </w:rPr>
              <w:t xml:space="preserve">stat </w:t>
            </w:r>
            <w:proofErr w:type="spellStart"/>
            <w:r w:rsidRPr="0066519A">
              <w:rPr>
                <w:rFonts w:ascii="Times New Roman" w:eastAsia="Arial Unicode MS" w:hAnsi="Times New Roman"/>
                <w:color w:val="000000" w:themeColor="text1"/>
                <w:sz w:val="20"/>
                <w:szCs w:val="20"/>
                <w:shd w:val="clear" w:color="auto" w:fill="FFFFFF"/>
              </w:rPr>
              <w:t>membru</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administrare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statul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membru</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răspunde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administrarea</w:t>
            </w:r>
            <w:proofErr w:type="spellEnd"/>
            <w:r w:rsidR="0066519A">
              <w:rPr>
                <w:rStyle w:val="apple-converted-space"/>
                <w:rFonts w:ascii="Times New Roman" w:eastAsia="Arial Unicode MS" w:hAnsi="Times New Roman"/>
                <w:color w:val="000000" w:themeColor="text1"/>
                <w:sz w:val="20"/>
                <w:szCs w:val="20"/>
                <w:shd w:val="clear" w:color="auto" w:fill="FFFFFF"/>
              </w:rPr>
              <w:t xml:space="preserve"> </w:t>
            </w:r>
            <w:hyperlink r:id="rId31" w:tooltip="32018L0410: REPLACED" w:history="1">
              <w:r>
                <w:rPr>
                  <w:rStyle w:val="boldface"/>
                  <w:rFonts w:ascii="Times New Roman" w:eastAsia="Arial Unicode MS" w:hAnsi="Times New Roman"/>
                  <w:b/>
                  <w:bCs/>
                  <w:color w:val="4472C4" w:themeColor="accent1"/>
                  <w:sz w:val="20"/>
                  <w:szCs w:val="20"/>
                </w:rPr>
                <w:t>►M9</w:t>
              </w:r>
              <w:r>
                <w:rPr>
                  <w:rStyle w:val="apple-converted-space"/>
                  <w:rFonts w:ascii="Times New Roman" w:eastAsia="Arial Unicode MS" w:hAnsi="Times New Roman"/>
                  <w:color w:val="4472C4" w:themeColor="accent1"/>
                  <w:sz w:val="20"/>
                  <w:szCs w:val="20"/>
                </w:rPr>
                <w:t> </w:t>
              </w:r>
            </w:hyperlink>
            <w:r>
              <w:rPr>
                <w:rFonts w:ascii="Times New Roman" w:eastAsia="Arial Unicode MS" w:hAnsi="Times New Roman"/>
                <w:color w:val="333333"/>
                <w:sz w:val="20"/>
                <w:szCs w:val="20"/>
                <w:shd w:val="clear" w:color="auto" w:fill="FFFFFF"/>
              </w:rPr>
              <w:t>EU ETS</w:t>
            </w:r>
            <w:r w:rsidR="0066519A">
              <w:rPr>
                <w:rStyle w:val="boldface"/>
                <w:rFonts w:ascii="Times New Roman" w:eastAsia="Arial Unicode MS" w:hAnsi="Times New Roman"/>
                <w:b/>
                <w:bCs/>
                <w:color w:val="333333"/>
                <w:sz w:val="20"/>
                <w:szCs w:val="20"/>
              </w:rPr>
              <w:t xml:space="preserve"> </w:t>
            </w:r>
            <w:r>
              <w:rPr>
                <w:rStyle w:val="boldface"/>
                <w:rFonts w:ascii="Times New Roman" w:eastAsia="Arial Unicode MS" w:hAnsi="Times New Roman"/>
                <w:b/>
                <w:bCs/>
                <w:color w:val="333333"/>
                <w:sz w:val="20"/>
                <w:szCs w:val="20"/>
              </w:rPr>
              <w:t>◄</w:t>
            </w:r>
            <w:r w:rsidR="0066519A">
              <w:rPr>
                <w:rStyle w:val="apple-converted-space"/>
                <w:rFonts w:ascii="Times New Roman" w:eastAsia="Arial Unicode MS" w:hAnsi="Times New Roman"/>
                <w:b/>
                <w:bCs/>
                <w:color w:val="333333"/>
                <w:sz w:val="20"/>
                <w:szCs w:val="20"/>
              </w:rPr>
              <w:t xml:space="preserve"> </w:t>
            </w:r>
            <w:r>
              <w:rPr>
                <w:rFonts w:ascii="Times New Roman" w:eastAsia="Arial Unicode MS" w:hAnsi="Times New Roman"/>
                <w:color w:val="333333"/>
                <w:sz w:val="20"/>
                <w:szCs w:val="20"/>
                <w:shd w:val="clear" w:color="auto" w:fill="FFFFFF"/>
              </w:rPr>
              <w:t xml:space="preserve">în </w:t>
            </w:r>
            <w:proofErr w:type="spellStart"/>
            <w:r>
              <w:rPr>
                <w:rFonts w:ascii="Times New Roman" w:eastAsia="Arial Unicode MS" w:hAnsi="Times New Roman"/>
                <w:color w:val="333333"/>
                <w:sz w:val="20"/>
                <w:szCs w:val="20"/>
                <w:shd w:val="clear" w:color="auto" w:fill="FFFFFF"/>
              </w:rPr>
              <w:t>ceea</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ce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privește</w:t>
            </w:r>
            <w:proofErr w:type="spellEnd"/>
            <w:r>
              <w:rPr>
                <w:rFonts w:ascii="Times New Roman" w:eastAsia="Arial Unicode MS" w:hAnsi="Times New Roman"/>
                <w:color w:val="333333"/>
                <w:sz w:val="20"/>
                <w:szCs w:val="20"/>
                <w:shd w:val="clear" w:color="auto" w:fill="FFFFFF"/>
              </w:rPr>
              <w:t xml:space="preserve"> un operator de </w:t>
            </w:r>
            <w:proofErr w:type="spellStart"/>
            <w:r>
              <w:rPr>
                <w:rFonts w:ascii="Times New Roman" w:eastAsia="Arial Unicode MS" w:hAnsi="Times New Roman"/>
                <w:color w:val="333333"/>
                <w:sz w:val="20"/>
                <w:szCs w:val="20"/>
                <w:shd w:val="clear" w:color="auto" w:fill="FFFFFF"/>
              </w:rPr>
              <w:t>aeronave</w:t>
            </w:r>
            <w:proofErr w:type="spellEnd"/>
            <w:r>
              <w:rPr>
                <w:rFonts w:ascii="Times New Roman" w:eastAsia="Arial Unicode MS" w:hAnsi="Times New Roman"/>
                <w:color w:val="333333"/>
                <w:sz w:val="20"/>
                <w:szCs w:val="20"/>
                <w:shd w:val="clear" w:color="auto" w:fill="FFFFFF"/>
              </w:rPr>
              <w:t xml:space="preserve">, în conformitate cu </w:t>
            </w:r>
            <w:proofErr w:type="spellStart"/>
            <w:r>
              <w:rPr>
                <w:rFonts w:ascii="Times New Roman" w:eastAsia="Arial Unicode MS" w:hAnsi="Times New Roman"/>
                <w:color w:val="333333"/>
                <w:sz w:val="20"/>
                <w:szCs w:val="20"/>
                <w:shd w:val="clear" w:color="auto" w:fill="FFFFFF"/>
              </w:rPr>
              <w:t>articolul</w:t>
            </w:r>
            <w:proofErr w:type="spellEnd"/>
            <w:r>
              <w:rPr>
                <w:rFonts w:ascii="Times New Roman" w:eastAsia="Arial Unicode MS" w:hAnsi="Times New Roman"/>
                <w:color w:val="333333"/>
                <w:sz w:val="20"/>
                <w:szCs w:val="20"/>
                <w:shd w:val="clear" w:color="auto" w:fill="FFFFFF"/>
              </w:rPr>
              <w:t xml:space="preserve"> 18a;</w:t>
            </w:r>
          </w:p>
          <w:p w14:paraId="40B3FDC7" w14:textId="77777777" w:rsidR="00124364" w:rsidRPr="0066519A"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Pr>
                <w:rFonts w:ascii="Times New Roman" w:eastAsia="Arial Unicode MS" w:hAnsi="Times New Roman"/>
                <w:color w:val="333333"/>
                <w:sz w:val="20"/>
                <w:szCs w:val="20"/>
                <w:shd w:val="clear" w:color="auto" w:fill="FFFFFF"/>
              </w:rPr>
              <w:t>„</w:t>
            </w:r>
            <w:proofErr w:type="spellStart"/>
            <w:proofErr w:type="gramStart"/>
            <w:r w:rsidRPr="0066519A">
              <w:rPr>
                <w:rFonts w:ascii="Times New Roman" w:eastAsia="Arial Unicode MS" w:hAnsi="Times New Roman"/>
                <w:color w:val="000000" w:themeColor="text1"/>
                <w:sz w:val="20"/>
                <w:szCs w:val="20"/>
                <w:shd w:val="clear" w:color="auto" w:fill="FFFFFF"/>
              </w:rPr>
              <w:t>emisii</w:t>
            </w:r>
            <w:proofErr w:type="spellEnd"/>
            <w:proofErr w:type="gram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aviație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atribuite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emisiile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provin</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toate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zborurile</w:t>
            </w:r>
            <w:proofErr w:type="spellEnd"/>
            <w:r w:rsidRPr="0066519A">
              <w:rPr>
                <w:rFonts w:ascii="Times New Roman" w:eastAsia="Arial Unicode MS" w:hAnsi="Times New Roman"/>
                <w:color w:val="000000" w:themeColor="text1"/>
                <w:sz w:val="20"/>
                <w:szCs w:val="20"/>
                <w:shd w:val="clear" w:color="auto" w:fill="FFFFFF"/>
              </w:rPr>
              <w:t xml:space="preserve"> care se </w:t>
            </w:r>
            <w:proofErr w:type="spellStart"/>
            <w:r w:rsidRPr="0066519A">
              <w:rPr>
                <w:rFonts w:ascii="Times New Roman" w:eastAsia="Arial Unicode MS" w:hAnsi="Times New Roman"/>
                <w:color w:val="000000" w:themeColor="text1"/>
                <w:sz w:val="20"/>
                <w:szCs w:val="20"/>
                <w:shd w:val="clear" w:color="auto" w:fill="FFFFFF"/>
              </w:rPr>
              <w:t>încadrează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activitățile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aviație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menționate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Pr="0066519A">
              <w:rPr>
                <w:rFonts w:ascii="Times New Roman" w:eastAsia="Arial Unicode MS" w:hAnsi="Times New Roman"/>
                <w:color w:val="000000" w:themeColor="text1"/>
                <w:sz w:val="20"/>
                <w:szCs w:val="20"/>
                <w:shd w:val="clear" w:color="auto" w:fill="FFFFFF"/>
              </w:rPr>
              <w:t xml:space="preserve"> I care </w:t>
            </w:r>
            <w:proofErr w:type="spellStart"/>
            <w:r w:rsidRPr="0066519A">
              <w:rPr>
                <w:rFonts w:ascii="Times New Roman" w:eastAsia="Arial Unicode MS" w:hAnsi="Times New Roman"/>
                <w:color w:val="000000" w:themeColor="text1"/>
                <w:sz w:val="20"/>
                <w:szCs w:val="20"/>
                <w:shd w:val="clear" w:color="auto" w:fill="FFFFFF"/>
              </w:rPr>
              <w:t>pleacă</w:t>
            </w:r>
            <w:proofErr w:type="spellEnd"/>
            <w:r w:rsidRPr="0066519A">
              <w:rPr>
                <w:rFonts w:ascii="Times New Roman" w:eastAsia="Arial Unicode MS" w:hAnsi="Times New Roman"/>
                <w:color w:val="000000" w:themeColor="text1"/>
                <w:sz w:val="20"/>
                <w:szCs w:val="20"/>
                <w:shd w:val="clear" w:color="auto" w:fill="FFFFFF"/>
              </w:rPr>
              <w:t xml:space="preserve"> de pe un </w:t>
            </w:r>
            <w:proofErr w:type="spellStart"/>
            <w:r w:rsidRPr="0066519A">
              <w:rPr>
                <w:rFonts w:ascii="Times New Roman" w:eastAsia="Arial Unicode MS" w:hAnsi="Times New Roman"/>
                <w:color w:val="000000" w:themeColor="text1"/>
                <w:sz w:val="20"/>
                <w:szCs w:val="20"/>
                <w:shd w:val="clear" w:color="auto" w:fill="FFFFFF"/>
              </w:rPr>
              <w:t>aerodrom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situat</w:t>
            </w:r>
            <w:proofErr w:type="spellEnd"/>
            <w:r w:rsidRPr="0066519A">
              <w:rPr>
                <w:rFonts w:ascii="Times New Roman" w:eastAsia="Arial Unicode MS" w:hAnsi="Times New Roman"/>
                <w:color w:val="000000" w:themeColor="text1"/>
                <w:sz w:val="20"/>
                <w:szCs w:val="20"/>
                <w:shd w:val="clear" w:color="auto" w:fill="FFFFFF"/>
              </w:rPr>
              <w:t xml:space="preserve"> pe </w:t>
            </w:r>
            <w:proofErr w:type="spellStart"/>
            <w:r w:rsidRPr="0066519A">
              <w:rPr>
                <w:rFonts w:ascii="Times New Roman" w:eastAsia="Arial Unicode MS" w:hAnsi="Times New Roman"/>
                <w:color w:val="000000" w:themeColor="text1"/>
                <w:sz w:val="20"/>
                <w:szCs w:val="20"/>
                <w:shd w:val="clear" w:color="auto" w:fill="FFFFFF"/>
              </w:rPr>
              <w:t>teritoriul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unui</w:t>
            </w:r>
            <w:proofErr w:type="spellEnd"/>
            <w:r w:rsidRPr="0066519A">
              <w:rPr>
                <w:rFonts w:ascii="Times New Roman" w:eastAsia="Arial Unicode MS" w:hAnsi="Times New Roman"/>
                <w:color w:val="000000" w:themeColor="text1"/>
                <w:sz w:val="20"/>
                <w:szCs w:val="20"/>
                <w:shd w:val="clear" w:color="auto" w:fill="FFFFFF"/>
              </w:rPr>
              <w:t xml:space="preserve"> stat </w:t>
            </w:r>
            <w:proofErr w:type="spellStart"/>
            <w:r w:rsidRPr="0066519A">
              <w:rPr>
                <w:rFonts w:ascii="Times New Roman" w:eastAsia="Arial Unicode MS" w:hAnsi="Times New Roman"/>
                <w:color w:val="000000" w:themeColor="text1"/>
                <w:sz w:val="20"/>
                <w:szCs w:val="20"/>
                <w:shd w:val="clear" w:color="auto" w:fill="FFFFFF"/>
              </w:rPr>
              <w:t>membru</w:t>
            </w:r>
            <w:proofErr w:type="spellEnd"/>
            <w:r w:rsidRPr="0066519A">
              <w:rPr>
                <w:rFonts w:ascii="Times New Roman" w:eastAsia="Arial Unicode MS" w:hAnsi="Times New Roman"/>
                <w:color w:val="000000" w:themeColor="text1"/>
                <w:sz w:val="20"/>
                <w:szCs w:val="20"/>
                <w:shd w:val="clear" w:color="auto" w:fill="FFFFFF"/>
              </w:rPr>
              <w:t xml:space="preserve"> și de la </w:t>
            </w:r>
            <w:proofErr w:type="spellStart"/>
            <w:r w:rsidRPr="0066519A">
              <w:rPr>
                <w:rFonts w:ascii="Times New Roman" w:eastAsia="Arial Unicode MS" w:hAnsi="Times New Roman"/>
                <w:color w:val="000000" w:themeColor="text1"/>
                <w:sz w:val="20"/>
                <w:szCs w:val="20"/>
                <w:shd w:val="clear" w:color="auto" w:fill="FFFFFF"/>
              </w:rPr>
              <w:t>zborurile</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sosesc</w:t>
            </w:r>
            <w:proofErr w:type="spellEnd"/>
            <w:r w:rsidRPr="0066519A">
              <w:rPr>
                <w:rFonts w:ascii="Times New Roman" w:eastAsia="Arial Unicode MS" w:hAnsi="Times New Roman"/>
                <w:color w:val="000000" w:themeColor="text1"/>
                <w:sz w:val="20"/>
                <w:szCs w:val="20"/>
                <w:shd w:val="clear" w:color="auto" w:fill="FFFFFF"/>
              </w:rPr>
              <w:t xml:space="preserve"> pe un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aerodrom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dintr</w:t>
            </w:r>
            <w:proofErr w:type="spellEnd"/>
            <w:r w:rsidRPr="0066519A">
              <w:rPr>
                <w:rFonts w:ascii="Times New Roman" w:eastAsia="Arial Unicode MS" w:hAnsi="Times New Roman"/>
                <w:color w:val="000000" w:themeColor="text1"/>
                <w:sz w:val="20"/>
                <w:szCs w:val="20"/>
                <w:shd w:val="clear" w:color="auto" w:fill="FFFFFF"/>
              </w:rPr>
              <w:t xml:space="preserve">-o </w:t>
            </w:r>
            <w:proofErr w:type="spellStart"/>
            <w:r w:rsidRPr="0066519A">
              <w:rPr>
                <w:rFonts w:ascii="Times New Roman" w:eastAsia="Arial Unicode MS" w:hAnsi="Times New Roman"/>
                <w:color w:val="000000" w:themeColor="text1"/>
                <w:sz w:val="20"/>
                <w:szCs w:val="20"/>
                <w:shd w:val="clear" w:color="auto" w:fill="FFFFFF"/>
              </w:rPr>
              <w:t>țară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terță</w:t>
            </w:r>
            <w:proofErr w:type="spellEnd"/>
            <w:r w:rsidRPr="0066519A">
              <w:rPr>
                <w:rFonts w:ascii="Times New Roman" w:eastAsia="Arial Unicode MS" w:hAnsi="Times New Roman"/>
                <w:color w:val="000000" w:themeColor="text1"/>
                <w:sz w:val="20"/>
                <w:szCs w:val="20"/>
                <w:shd w:val="clear" w:color="auto" w:fill="FFFFFF"/>
              </w:rPr>
              <w:t>;</w:t>
            </w:r>
          </w:p>
          <w:p w14:paraId="541B894B" w14:textId="77777777" w:rsidR="00124364" w:rsidRPr="0066519A"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66519A">
              <w:rPr>
                <w:rFonts w:ascii="Times New Roman" w:eastAsia="Arial Unicode MS" w:hAnsi="Times New Roman"/>
                <w:color w:val="000000" w:themeColor="text1"/>
                <w:sz w:val="20"/>
                <w:szCs w:val="20"/>
                <w:shd w:val="clear" w:color="auto" w:fill="FFFFFF"/>
              </w:rPr>
              <w:t>„</w:t>
            </w:r>
            <w:proofErr w:type="spellStart"/>
            <w:proofErr w:type="gramStart"/>
            <w:r w:rsidRPr="0066519A">
              <w:rPr>
                <w:rFonts w:ascii="Times New Roman" w:eastAsia="Arial Unicode MS" w:hAnsi="Times New Roman"/>
                <w:color w:val="000000" w:themeColor="text1"/>
                <w:sz w:val="20"/>
                <w:szCs w:val="20"/>
                <w:shd w:val="clear" w:color="auto" w:fill="FFFFFF"/>
              </w:rPr>
              <w:t>emisiile</w:t>
            </w:r>
            <w:proofErr w:type="spellEnd"/>
            <w:proofErr w:type="gram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istorice</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aviație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media </w:t>
            </w:r>
            <w:proofErr w:type="spellStart"/>
            <w:r w:rsidRPr="0066519A">
              <w:rPr>
                <w:rFonts w:ascii="Times New Roman" w:eastAsia="Arial Unicode MS" w:hAnsi="Times New Roman"/>
                <w:color w:val="000000" w:themeColor="text1"/>
                <w:sz w:val="20"/>
                <w:szCs w:val="20"/>
                <w:shd w:val="clear" w:color="auto" w:fill="FFFFFF"/>
              </w:rPr>
              <w:t>emisiilor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anuale</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anii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calendaristici</w:t>
            </w:r>
            <w:proofErr w:type="spellEnd"/>
            <w:r w:rsidRPr="0066519A">
              <w:rPr>
                <w:rFonts w:ascii="Times New Roman" w:eastAsia="Arial Unicode MS" w:hAnsi="Times New Roman"/>
                <w:color w:val="000000" w:themeColor="text1"/>
                <w:sz w:val="20"/>
                <w:szCs w:val="20"/>
                <w:shd w:val="clear" w:color="auto" w:fill="FFFFFF"/>
              </w:rPr>
              <w:t xml:space="preserve"> 2004, 2005 și 2006, </w:t>
            </w:r>
            <w:proofErr w:type="spellStart"/>
            <w:r w:rsidRPr="0066519A">
              <w:rPr>
                <w:rFonts w:ascii="Times New Roman" w:eastAsia="Arial Unicode MS" w:hAnsi="Times New Roman"/>
                <w:color w:val="000000" w:themeColor="text1"/>
                <w:sz w:val="20"/>
                <w:szCs w:val="20"/>
                <w:shd w:val="clear" w:color="auto" w:fill="FFFFFF"/>
              </w:rPr>
              <w:t>provenite</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aeronavele</w:t>
            </w:r>
            <w:proofErr w:type="spellEnd"/>
            <w:r w:rsidRPr="0066519A">
              <w:rPr>
                <w:rFonts w:ascii="Times New Roman" w:eastAsia="Arial Unicode MS" w:hAnsi="Times New Roman"/>
                <w:color w:val="000000" w:themeColor="text1"/>
                <w:sz w:val="20"/>
                <w:szCs w:val="20"/>
                <w:shd w:val="clear" w:color="auto" w:fill="FFFFFF"/>
              </w:rPr>
              <w:t xml:space="preserve"> care efectuează o </w:t>
            </w:r>
            <w:proofErr w:type="spellStart"/>
            <w:r w:rsidRPr="0066519A">
              <w:rPr>
                <w:rFonts w:ascii="Times New Roman" w:eastAsia="Arial Unicode MS" w:hAnsi="Times New Roman"/>
                <w:color w:val="000000" w:themeColor="text1"/>
                <w:sz w:val="20"/>
                <w:szCs w:val="20"/>
                <w:shd w:val="clear" w:color="auto" w:fill="FFFFFF"/>
              </w:rPr>
              <w:t>activitate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aviație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menționată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Pr="0066519A">
              <w:rPr>
                <w:rFonts w:ascii="Times New Roman" w:eastAsia="Arial Unicode MS" w:hAnsi="Times New Roman"/>
                <w:color w:val="000000" w:themeColor="text1"/>
                <w:sz w:val="20"/>
                <w:szCs w:val="20"/>
                <w:shd w:val="clear" w:color="auto" w:fill="FFFFFF"/>
              </w:rPr>
              <w:t xml:space="preserve"> I;</w:t>
            </w:r>
          </w:p>
          <w:p w14:paraId="3F6EDF75" w14:textId="77777777" w:rsidR="00124364" w:rsidRDefault="00000000">
            <w:pPr>
              <w:pStyle w:val="af8"/>
              <w:spacing w:after="0" w:line="240" w:lineRule="auto"/>
              <w:jc w:val="both"/>
              <w:rPr>
                <w:rFonts w:ascii="Times New Roman" w:eastAsia="Arial Unicode MS" w:hAnsi="Times New Roman"/>
                <w:b/>
                <w:bCs/>
                <w:color w:val="4472C4" w:themeColor="accent1"/>
                <w:sz w:val="20"/>
                <w:szCs w:val="20"/>
                <w:u w:val="single"/>
                <w:shd w:val="clear" w:color="auto" w:fill="FFFFFF"/>
              </w:rPr>
            </w:pPr>
            <w:hyperlink r:id="rId32" w:tooltip="32009L0029: INSERTED" w:history="1">
              <w:r>
                <w:rPr>
                  <w:rStyle w:val="af3"/>
                  <w:rFonts w:ascii="Times New Roman" w:eastAsia="Arial Unicode MS" w:hAnsi="Times New Roman"/>
                  <w:b/>
                  <w:bCs/>
                  <w:color w:val="4472C4" w:themeColor="accent1"/>
                  <w:sz w:val="20"/>
                  <w:szCs w:val="20"/>
                </w:rPr>
                <w:t>▼M4</w:t>
              </w:r>
            </w:hyperlink>
          </w:p>
          <w:p w14:paraId="1B7F63D9" w14:textId="77777777" w:rsidR="00124364" w:rsidRPr="0066519A" w:rsidRDefault="00000000">
            <w:pPr>
              <w:pStyle w:val="af8"/>
              <w:numPr>
                <w:ilvl w:val="0"/>
                <w:numId w:val="3"/>
              </w:numPr>
              <w:spacing w:after="0" w:line="240" w:lineRule="auto"/>
              <w:jc w:val="both"/>
              <w:rPr>
                <w:rFonts w:ascii="Times New Roman" w:eastAsia="Arial Unicode MS" w:hAnsi="Times New Roman"/>
                <w:b/>
                <w:bCs/>
                <w:color w:val="000000" w:themeColor="text1"/>
                <w:sz w:val="20"/>
                <w:szCs w:val="20"/>
                <w:u w:val="single"/>
                <w:shd w:val="clear" w:color="auto" w:fill="FFFFFF"/>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ardere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oxidare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combustibililor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indiferent</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modul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este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utilizată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energia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termică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electrică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mecanică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prin</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acest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proces</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activități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asociate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inclusiv</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spălarea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gazelor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proofErr w:type="gramStart"/>
            <w:r w:rsidRPr="0066519A">
              <w:rPr>
                <w:rFonts w:ascii="Times New Roman" w:eastAsia="Arial Unicode MS" w:hAnsi="Times New Roman"/>
                <w:color w:val="000000" w:themeColor="text1"/>
                <w:sz w:val="20"/>
                <w:szCs w:val="20"/>
                <w:shd w:val="clear" w:color="auto" w:fill="FFFFFF"/>
              </w:rPr>
              <w:t>reziduale</w:t>
            </w:r>
            <w:proofErr w:type="spellEnd"/>
            <w:r w:rsidRPr="0066519A">
              <w:rPr>
                <w:rFonts w:ascii="Times New Roman" w:eastAsia="Arial Unicode MS" w:hAnsi="Times New Roman"/>
                <w:color w:val="000000" w:themeColor="text1"/>
                <w:sz w:val="20"/>
                <w:szCs w:val="20"/>
                <w:shd w:val="clear" w:color="auto" w:fill="FFFFFF"/>
              </w:rPr>
              <w:t>;</w:t>
            </w:r>
            <w:proofErr w:type="gramEnd"/>
          </w:p>
          <w:p w14:paraId="0126353B" w14:textId="77777777" w:rsidR="00124364" w:rsidRDefault="00000000">
            <w:pPr>
              <w:pStyle w:val="af8"/>
              <w:spacing w:after="0" w:line="240" w:lineRule="auto"/>
              <w:jc w:val="both"/>
              <w:rPr>
                <w:rFonts w:ascii="Arial Unicode MS" w:eastAsia="Arial Unicode MS" w:hAnsi="Arial Unicode MS" w:cs="Arial Unicode MS"/>
                <w:b/>
                <w:bCs/>
                <w:color w:val="333333"/>
                <w:sz w:val="21"/>
                <w:szCs w:val="21"/>
                <w:shd w:val="clear" w:color="auto" w:fill="FFFFFF"/>
              </w:rPr>
            </w:pPr>
            <w:hyperlink r:id="rId33" w:tooltip="32023L0959: DELETED" w:history="1">
              <w:r>
                <w:rPr>
                  <w:rStyle w:val="af3"/>
                  <w:rFonts w:ascii="Times New Roman" w:eastAsia="Arial Unicode MS" w:hAnsi="Times New Roman"/>
                  <w:b/>
                  <w:bCs/>
                  <w:color w:val="4472C4" w:themeColor="accent1"/>
                  <w:sz w:val="20"/>
                  <w:szCs w:val="20"/>
                </w:rPr>
                <w:t>▼M15</w:t>
              </w:r>
            </w:hyperlink>
            <w:r>
              <w:rPr>
                <w:rFonts w:ascii="Arial Unicode MS" w:eastAsia="Arial Unicode MS" w:hAnsi="Arial Unicode MS" w:cs="Arial Unicode MS" w:hint="eastAsia"/>
                <w:b/>
                <w:bCs/>
                <w:color w:val="333333"/>
                <w:sz w:val="21"/>
                <w:szCs w:val="21"/>
                <w:shd w:val="clear" w:color="auto" w:fill="FFFFFF"/>
              </w:rPr>
              <w:t> —————</w:t>
            </w:r>
          </w:p>
          <w:p w14:paraId="31D4D128" w14:textId="77777777" w:rsidR="00124364" w:rsidRDefault="00000000">
            <w:pPr>
              <w:pStyle w:val="af8"/>
              <w:spacing w:after="0" w:line="240" w:lineRule="auto"/>
              <w:jc w:val="both"/>
              <w:rPr>
                <w:rFonts w:ascii="Times New Roman" w:hAnsi="Times New Roman"/>
                <w:color w:val="4472C4" w:themeColor="accent1"/>
                <w:sz w:val="20"/>
                <w:szCs w:val="20"/>
              </w:rPr>
            </w:pPr>
            <w:hyperlink r:id="rId34" w:tooltip="32023L0958: INSERTED" w:history="1">
              <w:r>
                <w:rPr>
                  <w:rStyle w:val="af3"/>
                  <w:rFonts w:ascii="Times New Roman" w:eastAsia="Arial Unicode MS" w:hAnsi="Times New Roman"/>
                  <w:b/>
                  <w:bCs/>
                  <w:color w:val="4472C4" w:themeColor="accent1"/>
                  <w:sz w:val="20"/>
                  <w:szCs w:val="20"/>
                </w:rPr>
                <w:t>▼M14</w:t>
              </w:r>
            </w:hyperlink>
          </w:p>
          <w:p w14:paraId="4C68B244" w14:textId="77777777" w:rsidR="00124364" w:rsidRPr="0066519A" w:rsidRDefault="00000000">
            <w:pPr>
              <w:pStyle w:val="af8"/>
              <w:numPr>
                <w:ilvl w:val="0"/>
                <w:numId w:val="4"/>
              </w:numPr>
              <w:spacing w:after="0" w:line="240" w:lineRule="auto"/>
              <w:jc w:val="both"/>
              <w:rPr>
                <w:rFonts w:ascii="Times New Roman" w:hAnsi="Times New Roman"/>
                <w:color w:val="000000" w:themeColor="text1"/>
                <w:sz w:val="20"/>
                <w:szCs w:val="20"/>
              </w:rPr>
            </w:pPr>
            <w:r>
              <w:rPr>
                <w:rFonts w:ascii="Times New Roman" w:eastAsia="Arial Unicode MS" w:hAnsi="Times New Roman"/>
                <w:color w:val="333333"/>
                <w:sz w:val="20"/>
                <w:szCs w:val="20"/>
              </w:rPr>
              <w:t>„</w:t>
            </w:r>
            <w:proofErr w:type="spellStart"/>
            <w:proofErr w:type="gramStart"/>
            <w:r w:rsidRPr="0066519A">
              <w:rPr>
                <w:rFonts w:ascii="Times New Roman" w:eastAsia="Arial Unicode MS" w:hAnsi="Times New Roman"/>
                <w:color w:val="000000" w:themeColor="text1"/>
                <w:sz w:val="20"/>
                <w:szCs w:val="20"/>
              </w:rPr>
              <w:t>alte</w:t>
            </w:r>
            <w:proofErr w:type="spellEnd"/>
            <w:proofErr w:type="gram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efecte</w:t>
            </w:r>
            <w:proofErr w:type="spellEnd"/>
            <w:r w:rsidRPr="0066519A">
              <w:rPr>
                <w:rFonts w:ascii="Times New Roman" w:eastAsia="Arial Unicode MS" w:hAnsi="Times New Roman"/>
                <w:color w:val="000000" w:themeColor="text1"/>
                <w:sz w:val="20"/>
                <w:szCs w:val="20"/>
              </w:rPr>
              <w:t xml:space="preserve"> ale </w:t>
            </w:r>
            <w:proofErr w:type="spellStart"/>
            <w:r w:rsidRPr="0066519A">
              <w:rPr>
                <w:rFonts w:ascii="Times New Roman" w:eastAsia="Arial Unicode MS" w:hAnsi="Times New Roman"/>
                <w:color w:val="000000" w:themeColor="text1"/>
                <w:sz w:val="20"/>
                <w:szCs w:val="20"/>
              </w:rPr>
              <w:t>aviației</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decât</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emisiile</w:t>
            </w:r>
            <w:proofErr w:type="spellEnd"/>
            <w:r w:rsidRPr="0066519A">
              <w:rPr>
                <w:rFonts w:ascii="Times New Roman" w:eastAsia="Arial Unicode MS" w:hAnsi="Times New Roman"/>
                <w:color w:val="000000" w:themeColor="text1"/>
                <w:sz w:val="20"/>
                <w:szCs w:val="20"/>
              </w:rPr>
              <w:t xml:space="preserve"> de CO</w:t>
            </w:r>
            <w:r w:rsidRPr="0066519A">
              <w:rPr>
                <w:rStyle w:val="subscript"/>
                <w:rFonts w:ascii="Times New Roman" w:eastAsia="Arial Unicode MS" w:hAnsi="Times New Roman"/>
                <w:color w:val="000000" w:themeColor="text1"/>
                <w:sz w:val="20"/>
                <w:szCs w:val="20"/>
                <w:vertAlign w:val="subscript"/>
              </w:rPr>
              <w:t>2</w:t>
            </w:r>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înseamnă</w:t>
            </w:r>
            <w:proofErr w:type="spellEnd"/>
            <w:r w:rsidRPr="0066519A">
              <w:rPr>
                <w:rFonts w:ascii="Times New Roman" w:eastAsia="Arial Unicode MS" w:hAnsi="Times New Roman"/>
                <w:color w:val="000000" w:themeColor="text1"/>
                <w:sz w:val="20"/>
                <w:szCs w:val="20"/>
              </w:rPr>
              <w:t xml:space="preserve"> efectele </w:t>
            </w:r>
            <w:proofErr w:type="spellStart"/>
            <w:r w:rsidRPr="0066519A">
              <w:rPr>
                <w:rFonts w:ascii="Times New Roman" w:eastAsia="Arial Unicode MS" w:hAnsi="Times New Roman"/>
                <w:color w:val="000000" w:themeColor="text1"/>
                <w:sz w:val="20"/>
                <w:szCs w:val="20"/>
              </w:rPr>
              <w:t>asupra</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climei</w:t>
            </w:r>
            <w:proofErr w:type="spellEnd"/>
            <w:r w:rsidRPr="0066519A">
              <w:rPr>
                <w:rFonts w:ascii="Times New Roman" w:eastAsia="Arial Unicode MS" w:hAnsi="Times New Roman"/>
                <w:color w:val="000000" w:themeColor="text1"/>
                <w:sz w:val="20"/>
                <w:szCs w:val="20"/>
              </w:rPr>
              <w:t xml:space="preserve"> ale </w:t>
            </w:r>
            <w:proofErr w:type="spellStart"/>
            <w:r w:rsidRPr="0066519A">
              <w:rPr>
                <w:rFonts w:ascii="Times New Roman" w:eastAsia="Arial Unicode MS" w:hAnsi="Times New Roman"/>
                <w:color w:val="000000" w:themeColor="text1"/>
                <w:sz w:val="20"/>
                <w:szCs w:val="20"/>
              </w:rPr>
              <w:t>eliberării</w:t>
            </w:r>
            <w:proofErr w:type="spellEnd"/>
            <w:r w:rsidRPr="0066519A">
              <w:rPr>
                <w:rFonts w:ascii="Times New Roman" w:eastAsia="Arial Unicode MS" w:hAnsi="Times New Roman"/>
                <w:color w:val="000000" w:themeColor="text1"/>
                <w:sz w:val="20"/>
                <w:szCs w:val="20"/>
              </w:rPr>
              <w:t xml:space="preserve">, în </w:t>
            </w:r>
            <w:proofErr w:type="spellStart"/>
            <w:r w:rsidRPr="0066519A">
              <w:rPr>
                <w:rFonts w:ascii="Times New Roman" w:eastAsia="Arial Unicode MS" w:hAnsi="Times New Roman"/>
                <w:color w:val="000000" w:themeColor="text1"/>
                <w:sz w:val="20"/>
                <w:szCs w:val="20"/>
              </w:rPr>
              <w:t>timpul</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arderii</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combustibililor</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emisii</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oxizi</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azot</w:t>
            </w:r>
            <w:proofErr w:type="spellEnd"/>
            <w:r w:rsidRPr="0066519A">
              <w:rPr>
                <w:rFonts w:ascii="Times New Roman" w:eastAsia="Arial Unicode MS" w:hAnsi="Times New Roman"/>
                <w:color w:val="000000" w:themeColor="text1"/>
                <w:sz w:val="20"/>
                <w:szCs w:val="20"/>
              </w:rPr>
              <w:t xml:space="preserve"> (NOx), de </w:t>
            </w:r>
            <w:proofErr w:type="spellStart"/>
            <w:r w:rsidRPr="0066519A">
              <w:rPr>
                <w:rFonts w:ascii="Times New Roman" w:eastAsia="Arial Unicode MS" w:hAnsi="Times New Roman"/>
                <w:color w:val="000000" w:themeColor="text1"/>
                <w:sz w:val="20"/>
                <w:szCs w:val="20"/>
              </w:rPr>
              <w:t>particule</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funingine</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specii</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sulf</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oxidat</w:t>
            </w:r>
            <w:proofErr w:type="spellEnd"/>
            <w:r w:rsidRPr="0066519A">
              <w:rPr>
                <w:rFonts w:ascii="Times New Roman" w:eastAsia="Arial Unicode MS" w:hAnsi="Times New Roman"/>
                <w:color w:val="000000" w:themeColor="text1"/>
                <w:sz w:val="20"/>
                <w:szCs w:val="20"/>
              </w:rPr>
              <w:t xml:space="preserve"> și efectele </w:t>
            </w:r>
            <w:proofErr w:type="spellStart"/>
            <w:r w:rsidRPr="0066519A">
              <w:rPr>
                <w:rFonts w:ascii="Times New Roman" w:eastAsia="Arial Unicode MS" w:hAnsi="Times New Roman"/>
                <w:color w:val="000000" w:themeColor="text1"/>
                <w:sz w:val="20"/>
                <w:szCs w:val="20"/>
              </w:rPr>
              <w:t>vaporilor</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apă</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inclusiv</w:t>
            </w:r>
            <w:proofErr w:type="spellEnd"/>
            <w:r w:rsidRPr="0066519A">
              <w:rPr>
                <w:rFonts w:ascii="Times New Roman" w:eastAsia="Arial Unicode MS" w:hAnsi="Times New Roman"/>
                <w:color w:val="000000" w:themeColor="text1"/>
                <w:sz w:val="20"/>
                <w:szCs w:val="20"/>
              </w:rPr>
              <w:t xml:space="preserve"> a </w:t>
            </w:r>
            <w:proofErr w:type="spellStart"/>
            <w:r w:rsidRPr="0066519A">
              <w:rPr>
                <w:rFonts w:ascii="Times New Roman" w:eastAsia="Arial Unicode MS" w:hAnsi="Times New Roman"/>
                <w:color w:val="000000" w:themeColor="text1"/>
                <w:sz w:val="20"/>
                <w:szCs w:val="20"/>
              </w:rPr>
              <w:t>trenelor</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condensare</w:t>
            </w:r>
            <w:proofErr w:type="spellEnd"/>
            <w:r w:rsidRPr="0066519A">
              <w:rPr>
                <w:rFonts w:ascii="Times New Roman" w:eastAsia="Arial Unicode MS" w:hAnsi="Times New Roman"/>
                <w:color w:val="000000" w:themeColor="text1"/>
                <w:sz w:val="20"/>
                <w:szCs w:val="20"/>
              </w:rPr>
              <w:t xml:space="preserve">, care </w:t>
            </w:r>
            <w:proofErr w:type="spellStart"/>
            <w:r w:rsidRPr="0066519A">
              <w:rPr>
                <w:rFonts w:ascii="Times New Roman" w:eastAsia="Arial Unicode MS" w:hAnsi="Times New Roman"/>
                <w:color w:val="000000" w:themeColor="text1"/>
                <w:sz w:val="20"/>
                <w:szCs w:val="20"/>
              </w:rPr>
              <w:t>provin</w:t>
            </w:r>
            <w:proofErr w:type="spellEnd"/>
            <w:r w:rsidRPr="0066519A">
              <w:rPr>
                <w:rFonts w:ascii="Times New Roman" w:eastAsia="Arial Unicode MS" w:hAnsi="Times New Roman"/>
                <w:color w:val="000000" w:themeColor="text1"/>
                <w:sz w:val="20"/>
                <w:szCs w:val="20"/>
              </w:rPr>
              <w:t xml:space="preserve"> de la o </w:t>
            </w:r>
            <w:proofErr w:type="spellStart"/>
            <w:r w:rsidRPr="0066519A">
              <w:rPr>
                <w:rFonts w:ascii="Times New Roman" w:eastAsia="Arial Unicode MS" w:hAnsi="Times New Roman"/>
                <w:color w:val="000000" w:themeColor="text1"/>
                <w:sz w:val="20"/>
                <w:szCs w:val="20"/>
              </w:rPr>
              <w:t>aeronavă</w:t>
            </w:r>
            <w:proofErr w:type="spellEnd"/>
            <w:r w:rsidRPr="0066519A">
              <w:rPr>
                <w:rFonts w:ascii="Times New Roman" w:eastAsia="Arial Unicode MS" w:hAnsi="Times New Roman"/>
                <w:color w:val="000000" w:themeColor="text1"/>
                <w:sz w:val="20"/>
                <w:szCs w:val="20"/>
              </w:rPr>
              <w:t xml:space="preserve"> care </w:t>
            </w:r>
            <w:proofErr w:type="spellStart"/>
            <w:r w:rsidRPr="0066519A">
              <w:rPr>
                <w:rFonts w:ascii="Times New Roman" w:eastAsia="Arial Unicode MS" w:hAnsi="Times New Roman"/>
                <w:color w:val="000000" w:themeColor="text1"/>
                <w:sz w:val="20"/>
                <w:szCs w:val="20"/>
              </w:rPr>
              <w:t>desfășoară</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una</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dintre</w:t>
            </w:r>
            <w:proofErr w:type="spellEnd"/>
            <w:r w:rsidRPr="0066519A">
              <w:rPr>
                <w:rFonts w:ascii="Times New Roman" w:eastAsia="Arial Unicode MS" w:hAnsi="Times New Roman"/>
                <w:color w:val="000000" w:themeColor="text1"/>
                <w:sz w:val="20"/>
                <w:szCs w:val="20"/>
              </w:rPr>
              <w:t xml:space="preserve"> </w:t>
            </w:r>
            <w:proofErr w:type="spellStart"/>
            <w:r w:rsidRPr="0066519A">
              <w:rPr>
                <w:rFonts w:ascii="Times New Roman" w:eastAsia="Arial Unicode MS" w:hAnsi="Times New Roman"/>
                <w:color w:val="000000" w:themeColor="text1"/>
                <w:sz w:val="20"/>
                <w:szCs w:val="20"/>
              </w:rPr>
              <w:t>activitățile</w:t>
            </w:r>
            <w:proofErr w:type="spellEnd"/>
            <w:r w:rsidRPr="0066519A">
              <w:rPr>
                <w:rFonts w:ascii="Times New Roman" w:eastAsia="Arial Unicode MS" w:hAnsi="Times New Roman"/>
                <w:color w:val="000000" w:themeColor="text1"/>
                <w:sz w:val="20"/>
                <w:szCs w:val="20"/>
              </w:rPr>
              <w:t xml:space="preserve"> de </w:t>
            </w:r>
            <w:proofErr w:type="spellStart"/>
            <w:r w:rsidRPr="0066519A">
              <w:rPr>
                <w:rFonts w:ascii="Times New Roman" w:eastAsia="Arial Unicode MS" w:hAnsi="Times New Roman"/>
                <w:color w:val="000000" w:themeColor="text1"/>
                <w:sz w:val="20"/>
                <w:szCs w:val="20"/>
              </w:rPr>
              <w:t>aviație</w:t>
            </w:r>
            <w:proofErr w:type="spellEnd"/>
            <w:r w:rsidRPr="0066519A">
              <w:rPr>
                <w:rFonts w:ascii="Times New Roman" w:eastAsia="Arial Unicode MS" w:hAnsi="Times New Roman"/>
                <w:color w:val="000000" w:themeColor="text1"/>
                <w:sz w:val="20"/>
                <w:szCs w:val="20"/>
              </w:rPr>
              <w:t xml:space="preserve"> enumerate în </w:t>
            </w:r>
            <w:proofErr w:type="spellStart"/>
            <w:r w:rsidRPr="0066519A">
              <w:rPr>
                <w:rFonts w:ascii="Times New Roman" w:eastAsia="Arial Unicode MS" w:hAnsi="Times New Roman"/>
                <w:color w:val="000000" w:themeColor="text1"/>
                <w:sz w:val="20"/>
                <w:szCs w:val="20"/>
              </w:rPr>
              <w:t>anexa</w:t>
            </w:r>
            <w:proofErr w:type="spellEnd"/>
            <w:r w:rsidRPr="0066519A">
              <w:rPr>
                <w:rFonts w:ascii="Times New Roman" w:eastAsia="Arial Unicode MS" w:hAnsi="Times New Roman"/>
                <w:color w:val="000000" w:themeColor="text1"/>
                <w:sz w:val="20"/>
                <w:szCs w:val="20"/>
              </w:rPr>
              <w:t xml:space="preserve"> I;</w:t>
            </w:r>
          </w:p>
          <w:p w14:paraId="678BABA9" w14:textId="77777777" w:rsidR="00124364" w:rsidRDefault="00000000">
            <w:pPr>
              <w:pStyle w:val="af8"/>
              <w:spacing w:after="0" w:line="240" w:lineRule="auto"/>
              <w:jc w:val="both"/>
              <w:rPr>
                <w:rFonts w:ascii="Times New Roman" w:hAnsi="Times New Roman"/>
                <w:color w:val="4472C4" w:themeColor="accent1"/>
                <w:sz w:val="20"/>
                <w:szCs w:val="20"/>
              </w:rPr>
            </w:pPr>
            <w:hyperlink r:id="rId35" w:tooltip="32023L0959: INSERTED" w:history="1">
              <w:r>
                <w:rPr>
                  <w:rStyle w:val="af3"/>
                  <w:rFonts w:ascii="Times New Roman" w:eastAsia="Arial Unicode MS" w:hAnsi="Times New Roman"/>
                  <w:b/>
                  <w:bCs/>
                  <w:color w:val="4472C4" w:themeColor="accent1"/>
                  <w:sz w:val="20"/>
                  <w:szCs w:val="20"/>
                </w:rPr>
                <w:t>▼M15</w:t>
              </w:r>
            </w:hyperlink>
          </w:p>
          <w:p w14:paraId="74456987" w14:textId="24A5F3AA" w:rsidR="00124364" w:rsidRPr="0066519A" w:rsidRDefault="00000000">
            <w:pPr>
              <w:pStyle w:val="af8"/>
              <w:numPr>
                <w:ilvl w:val="0"/>
                <w:numId w:val="4"/>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companie</w:t>
            </w:r>
            <w:proofErr w:type="spellEnd"/>
            <w:r w:rsidRPr="0066519A">
              <w:rPr>
                <w:rFonts w:ascii="Times New Roman" w:eastAsia="Arial Unicode MS" w:hAnsi="Times New Roman"/>
                <w:color w:val="000000" w:themeColor="text1"/>
                <w:sz w:val="20"/>
                <w:szCs w:val="20"/>
                <w:shd w:val="clear" w:color="auto" w:fill="FFFFFF"/>
              </w:rPr>
              <w:t xml:space="preserve"> de transport maritim”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proprietarul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organizație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precum </w:t>
            </w:r>
            <w:proofErr w:type="spellStart"/>
            <w:r w:rsidRPr="0066519A">
              <w:rPr>
                <w:rFonts w:ascii="Times New Roman" w:eastAsia="Arial Unicode MS" w:hAnsi="Times New Roman"/>
                <w:color w:val="000000" w:themeColor="text1"/>
                <w:sz w:val="20"/>
                <w:szCs w:val="20"/>
                <w:shd w:val="clear" w:color="auto" w:fill="FFFFFF"/>
              </w:rPr>
              <w:t>administratorul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navlositorul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navei</w:t>
            </w:r>
            <w:proofErr w:type="spellEnd"/>
            <w:r w:rsidRPr="0066519A">
              <w:rPr>
                <w:rFonts w:ascii="Times New Roman" w:eastAsia="Arial Unicode MS" w:hAnsi="Times New Roman"/>
                <w:color w:val="000000" w:themeColor="text1"/>
                <w:sz w:val="20"/>
                <w:szCs w:val="20"/>
                <w:shd w:val="clear" w:color="auto" w:fill="FFFFFF"/>
              </w:rPr>
              <w:t xml:space="preserve"> nude, care a </w:t>
            </w:r>
            <w:proofErr w:type="spellStart"/>
            <w:r w:rsidRPr="0066519A">
              <w:rPr>
                <w:rFonts w:ascii="Times New Roman" w:eastAsia="Arial Unicode MS" w:hAnsi="Times New Roman"/>
                <w:color w:val="000000" w:themeColor="text1"/>
                <w:sz w:val="20"/>
                <w:szCs w:val="20"/>
                <w:shd w:val="clear" w:color="auto" w:fill="FFFFFF"/>
              </w:rPr>
              <w:t>preluat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responsabilitatea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exploatarea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navei</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proprietarul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acesteia</w:t>
            </w:r>
            <w:proofErr w:type="spellEnd"/>
            <w:r w:rsidRPr="0066519A">
              <w:rPr>
                <w:rFonts w:ascii="Times New Roman" w:eastAsia="Arial Unicode MS" w:hAnsi="Times New Roman"/>
                <w:color w:val="000000" w:themeColor="text1"/>
                <w:sz w:val="20"/>
                <w:szCs w:val="20"/>
                <w:shd w:val="clear" w:color="auto" w:fill="FFFFFF"/>
              </w:rPr>
              <w:t xml:space="preserve"> și care, </w:t>
            </w:r>
            <w:proofErr w:type="spellStart"/>
            <w:r w:rsidRPr="0066519A">
              <w:rPr>
                <w:rFonts w:ascii="Times New Roman" w:eastAsia="Arial Unicode MS" w:hAnsi="Times New Roman"/>
                <w:color w:val="000000" w:themeColor="text1"/>
                <w:sz w:val="20"/>
                <w:szCs w:val="20"/>
                <w:shd w:val="clear" w:color="auto" w:fill="FFFFFF"/>
              </w:rPr>
              <w:t>asumându</w:t>
            </w:r>
            <w:proofErr w:type="spellEnd"/>
            <w:r w:rsidRPr="0066519A">
              <w:rPr>
                <w:rFonts w:ascii="Times New Roman" w:eastAsia="Arial Unicode MS" w:hAnsi="Times New Roman"/>
                <w:color w:val="000000" w:themeColor="text1"/>
                <w:sz w:val="20"/>
                <w:szCs w:val="20"/>
                <w:shd w:val="clear" w:color="auto" w:fill="FFFFFF"/>
              </w:rPr>
              <w:t xml:space="preserve">-și </w:t>
            </w:r>
            <w:proofErr w:type="spellStart"/>
            <w:r w:rsidRPr="0066519A">
              <w:rPr>
                <w:rFonts w:ascii="Times New Roman" w:eastAsia="Arial Unicode MS" w:hAnsi="Times New Roman"/>
                <w:color w:val="000000" w:themeColor="text1"/>
                <w:sz w:val="20"/>
                <w:szCs w:val="20"/>
                <w:shd w:val="clear" w:color="auto" w:fill="FFFFFF"/>
              </w:rPr>
              <w:t>această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responsabilitate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consimțit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toate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sarcinile</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responsabilitățile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impuse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Codul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internațional</w:t>
            </w:r>
            <w:proofErr w:type="spellEnd"/>
            <w:r w:rsidRPr="0066519A">
              <w:rPr>
                <w:rFonts w:ascii="Times New Roman" w:eastAsia="Arial Unicode MS" w:hAnsi="Times New Roman"/>
                <w:color w:val="000000" w:themeColor="text1"/>
                <w:sz w:val="20"/>
                <w:szCs w:val="20"/>
                <w:shd w:val="clear" w:color="auto" w:fill="FFFFFF"/>
              </w:rPr>
              <w:t xml:space="preserve"> de management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siguranța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exploatării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navelor</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prevenirea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poluării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prevăzute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Pr="0066519A">
              <w:rPr>
                <w:rFonts w:ascii="Times New Roman" w:eastAsia="Arial Unicode MS" w:hAnsi="Times New Roman"/>
                <w:color w:val="000000" w:themeColor="text1"/>
                <w:sz w:val="20"/>
                <w:szCs w:val="20"/>
                <w:shd w:val="clear" w:color="auto" w:fill="FFFFFF"/>
              </w:rPr>
              <w:t xml:space="preserve"> I </w:t>
            </w:r>
            <w:r w:rsidRPr="0066519A">
              <w:rPr>
                <w:rFonts w:ascii="Times New Roman" w:eastAsia="Arial Unicode MS" w:hAnsi="Times New Roman"/>
                <w:color w:val="000000" w:themeColor="text1"/>
                <w:sz w:val="20"/>
                <w:szCs w:val="20"/>
                <w:shd w:val="clear" w:color="auto" w:fill="FFFFFF"/>
              </w:rPr>
              <w:lastRenderedPageBreak/>
              <w:t xml:space="preserve">la </w:t>
            </w:r>
            <w:proofErr w:type="spellStart"/>
            <w:r w:rsidRPr="0066519A">
              <w:rPr>
                <w:rFonts w:ascii="Times New Roman" w:eastAsia="Arial Unicode MS" w:hAnsi="Times New Roman"/>
                <w:color w:val="000000" w:themeColor="text1"/>
                <w:sz w:val="20"/>
                <w:szCs w:val="20"/>
                <w:shd w:val="clear" w:color="auto" w:fill="FFFFFF"/>
              </w:rPr>
              <w:t>Regulamentul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(CE) nr.</w:t>
            </w:r>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336/2006 al </w:t>
            </w:r>
            <w:proofErr w:type="spellStart"/>
            <w:r w:rsidRPr="0066519A">
              <w:rPr>
                <w:rFonts w:ascii="Times New Roman" w:eastAsia="Arial Unicode MS" w:hAnsi="Times New Roman"/>
                <w:color w:val="000000" w:themeColor="text1"/>
                <w:sz w:val="20"/>
                <w:szCs w:val="20"/>
                <w:shd w:val="clear" w:color="auto" w:fill="FFFFFF"/>
              </w:rPr>
              <w:t>Parlamentului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European și al </w:t>
            </w:r>
            <w:proofErr w:type="spellStart"/>
            <w:r w:rsidRPr="0066519A">
              <w:rPr>
                <w:rFonts w:ascii="Times New Roman" w:eastAsia="Arial Unicode MS" w:hAnsi="Times New Roman"/>
                <w:color w:val="000000" w:themeColor="text1"/>
                <w:sz w:val="20"/>
                <w:szCs w:val="20"/>
                <w:shd w:val="clear" w:color="auto" w:fill="FFFFFF"/>
              </w:rPr>
              <w:t>Consiliului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hyperlink r:id="rId36" w:anchor="E0004" w:history="1">
              <w:r w:rsidRPr="0066519A">
                <w:rPr>
                  <w:rStyle w:val="superscript"/>
                  <w:rFonts w:ascii="Times New Roman" w:eastAsia="Arial Unicode MS" w:hAnsi="Times New Roman"/>
                  <w:color w:val="000000" w:themeColor="text1"/>
                  <w:sz w:val="20"/>
                  <w:szCs w:val="20"/>
                  <w:vertAlign w:val="superscript"/>
                </w:rPr>
                <w:t>4</w:t>
              </w:r>
            </w:hyperlink>
            <w:proofErr w:type="gramStart"/>
            <w:r w:rsidRPr="0066519A">
              <w:rPr>
                <w:rFonts w:ascii="Times New Roman" w:eastAsia="Arial Unicode MS" w:hAnsi="Times New Roman"/>
                <w:color w:val="000000" w:themeColor="text1"/>
                <w:sz w:val="20"/>
                <w:szCs w:val="20"/>
                <w:shd w:val="clear" w:color="auto" w:fill="FFFFFF"/>
              </w:rPr>
              <w:t>);</w:t>
            </w:r>
            <w:proofErr w:type="gramEnd"/>
          </w:p>
          <w:p w14:paraId="25EE58E7" w14:textId="6A6B5C74" w:rsidR="00124364" w:rsidRDefault="00000000">
            <w:pPr>
              <w:pStyle w:val="af8"/>
              <w:numPr>
                <w:ilvl w:val="0"/>
                <w:numId w:val="4"/>
              </w:numPr>
              <w:spacing w:after="0" w:line="240" w:lineRule="auto"/>
              <w:jc w:val="both"/>
              <w:rPr>
                <w:rFonts w:ascii="Times New Roman" w:hAnsi="Times New Roman"/>
                <w:color w:val="4472C4" w:themeColor="accent1"/>
                <w:sz w:val="20"/>
                <w:szCs w:val="20"/>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călătorie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o </w:t>
            </w:r>
            <w:proofErr w:type="spellStart"/>
            <w:r w:rsidRPr="0066519A">
              <w:rPr>
                <w:rFonts w:ascii="Times New Roman" w:eastAsia="Arial Unicode MS" w:hAnsi="Times New Roman"/>
                <w:color w:val="000000" w:themeColor="text1"/>
                <w:sz w:val="20"/>
                <w:szCs w:val="20"/>
                <w:shd w:val="clear" w:color="auto" w:fill="FFFFFF"/>
              </w:rPr>
              <w:t>călătorie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definiției</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 </w:t>
            </w:r>
            <w:proofErr w:type="spellStart"/>
            <w:r w:rsidRPr="0066519A">
              <w:rPr>
                <w:rFonts w:ascii="Times New Roman" w:eastAsia="Arial Unicode MS" w:hAnsi="Times New Roman"/>
                <w:color w:val="000000" w:themeColor="text1"/>
                <w:sz w:val="20"/>
                <w:szCs w:val="20"/>
                <w:shd w:val="clear" w:color="auto" w:fill="FFFFFF"/>
              </w:rPr>
              <w:t>litera</w:t>
            </w:r>
            <w:proofErr w:type="spellEnd"/>
            <w:r w:rsidRPr="0066519A">
              <w:rPr>
                <w:rFonts w:ascii="Times New Roman" w:eastAsia="Arial Unicode MS" w:hAnsi="Times New Roman"/>
                <w:color w:val="000000" w:themeColor="text1"/>
                <w:sz w:val="20"/>
                <w:szCs w:val="20"/>
                <w:shd w:val="clear" w:color="auto" w:fill="FFFFFF"/>
              </w:rPr>
              <w:t xml:space="preserve"> (c) din </w:t>
            </w:r>
            <w:proofErr w:type="spellStart"/>
            <w:r w:rsidRPr="0066519A">
              <w:rPr>
                <w:rFonts w:ascii="Times New Roman" w:eastAsia="Arial Unicode MS" w:hAnsi="Times New Roman"/>
                <w:color w:val="000000" w:themeColor="text1"/>
                <w:sz w:val="20"/>
                <w:szCs w:val="20"/>
                <w:shd w:val="clear" w:color="auto" w:fill="FFFFFF"/>
              </w:rPr>
              <w:t>Regulamentul</w:t>
            </w:r>
            <w:proofErr w:type="spellEnd"/>
            <w:r w:rsidRPr="0066519A">
              <w:rPr>
                <w:rFonts w:ascii="Times New Roman" w:eastAsia="Arial Unicode MS" w:hAnsi="Times New Roman"/>
                <w:color w:val="000000" w:themeColor="text1"/>
                <w:sz w:val="20"/>
                <w:szCs w:val="20"/>
                <w:shd w:val="clear" w:color="auto" w:fill="FFFFFF"/>
              </w:rPr>
              <w:t xml:space="preserve"> (UE)</w:t>
            </w:r>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2015/757 al </w:t>
            </w:r>
            <w:proofErr w:type="spellStart"/>
            <w:r w:rsidRPr="0066519A">
              <w:rPr>
                <w:rFonts w:ascii="Times New Roman" w:eastAsia="Arial Unicode MS" w:hAnsi="Times New Roman"/>
                <w:color w:val="000000" w:themeColor="text1"/>
                <w:sz w:val="20"/>
                <w:szCs w:val="20"/>
                <w:shd w:val="clear" w:color="auto" w:fill="FFFFFF"/>
              </w:rPr>
              <w:t>Parlamentului</w:t>
            </w:r>
            <w:proofErr w:type="spellEnd"/>
            <w:r w:rsidRPr="0066519A">
              <w:rPr>
                <w:rFonts w:ascii="Times New Roman" w:eastAsia="Arial Unicode MS" w:hAnsi="Times New Roman"/>
                <w:color w:val="000000" w:themeColor="text1"/>
                <w:sz w:val="20"/>
                <w:szCs w:val="20"/>
                <w:shd w:val="clear" w:color="auto" w:fill="FFFFFF"/>
              </w:rPr>
              <w:t xml:space="preserve"> European și al </w:t>
            </w:r>
            <w:proofErr w:type="spellStart"/>
            <w:r w:rsidRPr="0066519A">
              <w:rPr>
                <w:rFonts w:ascii="Times New Roman" w:eastAsia="Arial Unicode MS" w:hAnsi="Times New Roman"/>
                <w:color w:val="000000" w:themeColor="text1"/>
                <w:sz w:val="20"/>
                <w:szCs w:val="20"/>
                <w:shd w:val="clear" w:color="auto" w:fill="FFFFFF"/>
              </w:rPr>
              <w:t>Consiliului</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Pr>
                <w:rFonts w:ascii="Times New Roman" w:eastAsia="Arial Unicode MS" w:hAnsi="Times New Roman"/>
                <w:color w:val="333333"/>
                <w:sz w:val="20"/>
                <w:szCs w:val="20"/>
                <w:shd w:val="clear" w:color="auto" w:fill="FFFFFF"/>
              </w:rPr>
              <w:t>(</w:t>
            </w:r>
            <w:hyperlink r:id="rId37" w:anchor="E0005" w:history="1">
              <w:r>
                <w:rPr>
                  <w:rStyle w:val="superscript"/>
                  <w:rFonts w:ascii="Times New Roman" w:eastAsia="Arial Unicode MS" w:hAnsi="Times New Roman"/>
                  <w:color w:val="4472C4" w:themeColor="accent1"/>
                  <w:sz w:val="20"/>
                  <w:szCs w:val="20"/>
                  <w:vertAlign w:val="superscript"/>
                </w:rPr>
                <w:t>5</w:t>
              </w:r>
            </w:hyperlink>
            <w:r>
              <w:rPr>
                <w:rFonts w:ascii="Times New Roman" w:eastAsia="Arial Unicode MS" w:hAnsi="Times New Roman"/>
                <w:color w:val="333333"/>
                <w:sz w:val="20"/>
                <w:szCs w:val="20"/>
                <w:shd w:val="clear" w:color="auto" w:fill="FFFFFF"/>
              </w:rPr>
              <w:t>);</w:t>
            </w:r>
          </w:p>
          <w:p w14:paraId="43D56F4F" w14:textId="3F73A2D2" w:rsidR="00124364" w:rsidRPr="0066519A" w:rsidRDefault="00000000">
            <w:pPr>
              <w:pStyle w:val="af8"/>
              <w:numPr>
                <w:ilvl w:val="0"/>
                <w:numId w:val="4"/>
              </w:numPr>
              <w:spacing w:after="0" w:line="240" w:lineRule="auto"/>
              <w:jc w:val="both"/>
              <w:rPr>
                <w:rFonts w:ascii="Times New Roman" w:hAnsi="Times New Roman"/>
                <w:color w:val="000000" w:themeColor="text1"/>
                <w:sz w:val="20"/>
                <w:szCs w:val="20"/>
              </w:rPr>
            </w:pPr>
            <w:r>
              <w:rPr>
                <w:rFonts w:ascii="Times New Roman" w:eastAsia="Arial Unicode MS" w:hAnsi="Times New Roman"/>
                <w:color w:val="333333"/>
                <w:sz w:val="20"/>
                <w:szCs w:val="20"/>
                <w:shd w:val="clear" w:color="auto" w:fill="FFFFFF"/>
              </w:rPr>
              <w:t>„</w:t>
            </w:r>
            <w:proofErr w:type="spellStart"/>
            <w:proofErr w:type="gramStart"/>
            <w:r w:rsidRPr="0066519A">
              <w:rPr>
                <w:rFonts w:ascii="Times New Roman" w:eastAsia="Arial Unicode MS" w:hAnsi="Times New Roman"/>
                <w:color w:val="000000" w:themeColor="text1"/>
                <w:sz w:val="20"/>
                <w:szCs w:val="20"/>
                <w:shd w:val="clear" w:color="auto" w:fill="FFFFFF"/>
              </w:rPr>
              <w:t>autoritate</w:t>
            </w:r>
            <w:proofErr w:type="spellEnd"/>
            <w:proofErr w:type="gram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administrare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companii</w:t>
            </w:r>
            <w:proofErr w:type="spellEnd"/>
            <w:r w:rsidRPr="0066519A">
              <w:rPr>
                <w:rFonts w:ascii="Times New Roman" w:eastAsia="Arial Unicode MS" w:hAnsi="Times New Roman"/>
                <w:color w:val="000000" w:themeColor="text1"/>
                <w:sz w:val="20"/>
                <w:szCs w:val="20"/>
                <w:shd w:val="clear" w:color="auto" w:fill="FFFFFF"/>
              </w:rPr>
              <w:t xml:space="preserve"> de transport maritim”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autoritatea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responsabilă</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administrarea</w:t>
            </w:r>
            <w:proofErr w:type="spellEnd"/>
            <w:r w:rsidRPr="0066519A">
              <w:rPr>
                <w:rFonts w:ascii="Times New Roman" w:eastAsia="Arial Unicode MS" w:hAnsi="Times New Roman"/>
                <w:color w:val="000000" w:themeColor="text1"/>
                <w:sz w:val="20"/>
                <w:szCs w:val="20"/>
                <w:shd w:val="clear" w:color="auto" w:fill="FFFFFF"/>
              </w:rPr>
              <w:t xml:space="preserve"> EU ETS în </w:t>
            </w:r>
            <w:proofErr w:type="spellStart"/>
            <w:r w:rsidRPr="0066519A">
              <w:rPr>
                <w:rFonts w:ascii="Times New Roman" w:eastAsia="Arial Unicode MS" w:hAnsi="Times New Roman"/>
                <w:color w:val="000000" w:themeColor="text1"/>
                <w:sz w:val="20"/>
                <w:szCs w:val="20"/>
                <w:shd w:val="clear" w:color="auto" w:fill="FFFFFF"/>
              </w:rPr>
              <w:t>ceea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privește</w:t>
            </w:r>
            <w:proofErr w:type="spellEnd"/>
            <w:r w:rsidRPr="0066519A">
              <w:rPr>
                <w:rFonts w:ascii="Times New Roman" w:eastAsia="Arial Unicode MS" w:hAnsi="Times New Roman"/>
                <w:color w:val="000000" w:themeColor="text1"/>
                <w:sz w:val="20"/>
                <w:szCs w:val="20"/>
                <w:shd w:val="clear" w:color="auto" w:fill="FFFFFF"/>
              </w:rPr>
              <w:t xml:space="preserve"> o </w:t>
            </w:r>
            <w:proofErr w:type="spellStart"/>
            <w:r w:rsidRPr="0066519A">
              <w:rPr>
                <w:rFonts w:ascii="Times New Roman" w:eastAsia="Arial Unicode MS" w:hAnsi="Times New Roman"/>
                <w:color w:val="000000" w:themeColor="text1"/>
                <w:sz w:val="20"/>
                <w:szCs w:val="20"/>
                <w:shd w:val="clear" w:color="auto" w:fill="FFFFFF"/>
              </w:rPr>
              <w:t>companie</w:t>
            </w:r>
            <w:proofErr w:type="spellEnd"/>
            <w:r w:rsidRPr="0066519A">
              <w:rPr>
                <w:rFonts w:ascii="Times New Roman" w:eastAsia="Arial Unicode MS" w:hAnsi="Times New Roman"/>
                <w:color w:val="000000" w:themeColor="text1"/>
                <w:sz w:val="20"/>
                <w:szCs w:val="20"/>
                <w:shd w:val="clear" w:color="auto" w:fill="FFFFFF"/>
              </w:rPr>
              <w:t xml:space="preserve"> de transport maritim în conformitate cu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3gf; „</w:t>
            </w:r>
            <w:proofErr w:type="spellStart"/>
            <w:r w:rsidRPr="0066519A">
              <w:rPr>
                <w:rFonts w:ascii="Times New Roman" w:eastAsia="Arial Unicode MS" w:hAnsi="Times New Roman"/>
                <w:color w:val="000000" w:themeColor="text1"/>
                <w:sz w:val="20"/>
                <w:szCs w:val="20"/>
                <w:shd w:val="clear" w:color="auto" w:fill="FFFFFF"/>
              </w:rPr>
              <w:t>autoritate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administrare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companii</w:t>
            </w:r>
            <w:proofErr w:type="spellEnd"/>
            <w:r w:rsidRPr="0066519A">
              <w:rPr>
                <w:rFonts w:ascii="Times New Roman" w:eastAsia="Arial Unicode MS" w:hAnsi="Times New Roman"/>
                <w:color w:val="000000" w:themeColor="text1"/>
                <w:sz w:val="20"/>
                <w:szCs w:val="20"/>
                <w:shd w:val="clear" w:color="auto" w:fill="FFFFFF"/>
              </w:rPr>
              <w:t xml:space="preserve"> de transport maritim”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autoritatea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responsabilă</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administrarea</w:t>
            </w:r>
            <w:proofErr w:type="spellEnd"/>
            <w:r w:rsidRPr="0066519A">
              <w:rPr>
                <w:rFonts w:ascii="Times New Roman" w:eastAsia="Arial Unicode MS" w:hAnsi="Times New Roman"/>
                <w:color w:val="000000" w:themeColor="text1"/>
                <w:sz w:val="20"/>
                <w:szCs w:val="20"/>
                <w:shd w:val="clear" w:color="auto" w:fill="FFFFFF"/>
              </w:rPr>
              <w:t xml:space="preserve"> EU ETS în </w:t>
            </w:r>
            <w:proofErr w:type="spellStart"/>
            <w:r w:rsidRPr="0066519A">
              <w:rPr>
                <w:rFonts w:ascii="Times New Roman" w:eastAsia="Arial Unicode MS" w:hAnsi="Times New Roman"/>
                <w:color w:val="000000" w:themeColor="text1"/>
                <w:sz w:val="20"/>
                <w:szCs w:val="20"/>
                <w:shd w:val="clear" w:color="auto" w:fill="FFFFFF"/>
              </w:rPr>
              <w:t>ceea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privește</w:t>
            </w:r>
            <w:proofErr w:type="spellEnd"/>
            <w:r w:rsidRPr="0066519A">
              <w:rPr>
                <w:rFonts w:ascii="Times New Roman" w:eastAsia="Arial Unicode MS" w:hAnsi="Times New Roman"/>
                <w:color w:val="000000" w:themeColor="text1"/>
                <w:sz w:val="20"/>
                <w:szCs w:val="20"/>
                <w:shd w:val="clear" w:color="auto" w:fill="FFFFFF"/>
              </w:rPr>
              <w:t xml:space="preserve"> o </w:t>
            </w:r>
            <w:proofErr w:type="spellStart"/>
            <w:r w:rsidRPr="0066519A">
              <w:rPr>
                <w:rFonts w:ascii="Times New Roman" w:eastAsia="Arial Unicode MS" w:hAnsi="Times New Roman"/>
                <w:color w:val="000000" w:themeColor="text1"/>
                <w:sz w:val="20"/>
                <w:szCs w:val="20"/>
                <w:shd w:val="clear" w:color="auto" w:fill="FFFFFF"/>
              </w:rPr>
              <w:t>companie</w:t>
            </w:r>
            <w:proofErr w:type="spellEnd"/>
            <w:r w:rsidRPr="0066519A">
              <w:rPr>
                <w:rFonts w:ascii="Times New Roman" w:eastAsia="Arial Unicode MS" w:hAnsi="Times New Roman"/>
                <w:color w:val="000000" w:themeColor="text1"/>
                <w:sz w:val="20"/>
                <w:szCs w:val="20"/>
                <w:shd w:val="clear" w:color="auto" w:fill="FFFFFF"/>
              </w:rPr>
              <w:t xml:space="preserve"> de transport maritim în conformitate cu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3gf;</w:t>
            </w:r>
          </w:p>
          <w:p w14:paraId="6E1BF7EC" w14:textId="06EF369C" w:rsidR="00124364" w:rsidRPr="0066519A" w:rsidRDefault="00000000">
            <w:pPr>
              <w:pStyle w:val="af8"/>
              <w:numPr>
                <w:ilvl w:val="0"/>
                <w:numId w:val="4"/>
              </w:numPr>
              <w:spacing w:after="0" w:line="240" w:lineRule="auto"/>
              <w:jc w:val="both"/>
              <w:rPr>
                <w:rFonts w:ascii="Times New Roman" w:hAnsi="Times New Roman"/>
                <w:color w:val="000000" w:themeColor="text1"/>
                <w:sz w:val="20"/>
                <w:szCs w:val="20"/>
              </w:rPr>
            </w:pPr>
            <w:r>
              <w:rPr>
                <w:rFonts w:ascii="Times New Roman" w:eastAsia="Arial Unicode MS" w:hAnsi="Times New Roman"/>
                <w:color w:val="333333"/>
                <w:sz w:val="20"/>
                <w:szCs w:val="20"/>
                <w:shd w:val="clear" w:color="auto" w:fill="FFFFFF"/>
              </w:rPr>
              <w:t>„</w:t>
            </w:r>
            <w:r w:rsidRPr="0066519A">
              <w:rPr>
                <w:rFonts w:ascii="Times New Roman" w:eastAsia="Arial Unicode MS" w:hAnsi="Times New Roman"/>
                <w:color w:val="000000" w:themeColor="text1"/>
                <w:sz w:val="20"/>
                <w:szCs w:val="20"/>
                <w:shd w:val="clear" w:color="auto" w:fill="FFFFFF"/>
              </w:rPr>
              <w:t xml:space="preserve">port de </w:t>
            </w:r>
            <w:proofErr w:type="spellStart"/>
            <w:r w:rsidRPr="0066519A">
              <w:rPr>
                <w:rFonts w:ascii="Times New Roman" w:eastAsia="Arial Unicode MS" w:hAnsi="Times New Roman"/>
                <w:color w:val="000000" w:themeColor="text1"/>
                <w:sz w:val="20"/>
                <w:szCs w:val="20"/>
                <w:shd w:val="clear" w:color="auto" w:fill="FFFFFF"/>
              </w:rPr>
              <w:t>escală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portul</w:t>
            </w:r>
            <w:proofErr w:type="spellEnd"/>
            <w:r w:rsidRPr="0066519A">
              <w:rPr>
                <w:rFonts w:ascii="Times New Roman" w:eastAsia="Arial Unicode MS" w:hAnsi="Times New Roman"/>
                <w:color w:val="000000" w:themeColor="text1"/>
                <w:sz w:val="20"/>
                <w:szCs w:val="20"/>
                <w:shd w:val="clear" w:color="auto" w:fill="FFFFFF"/>
              </w:rPr>
              <w:t xml:space="preserve"> în care o </w:t>
            </w:r>
            <w:proofErr w:type="spellStart"/>
            <w:r w:rsidRPr="0066519A">
              <w:rPr>
                <w:rFonts w:ascii="Times New Roman" w:eastAsia="Arial Unicode MS" w:hAnsi="Times New Roman"/>
                <w:color w:val="000000" w:themeColor="text1"/>
                <w:sz w:val="20"/>
                <w:szCs w:val="20"/>
                <w:shd w:val="clear" w:color="auto" w:fill="FFFFFF"/>
              </w:rPr>
              <w:t>navă</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oprește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încărca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descărca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marfă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îmbarca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debarca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pasageri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portul</w:t>
            </w:r>
            <w:proofErr w:type="spellEnd"/>
            <w:r w:rsidRPr="0066519A">
              <w:rPr>
                <w:rFonts w:ascii="Times New Roman" w:eastAsia="Arial Unicode MS" w:hAnsi="Times New Roman"/>
                <w:color w:val="000000" w:themeColor="text1"/>
                <w:sz w:val="20"/>
                <w:szCs w:val="20"/>
                <w:shd w:val="clear" w:color="auto" w:fill="FFFFFF"/>
              </w:rPr>
              <w:t xml:space="preserve"> în care o </w:t>
            </w:r>
            <w:proofErr w:type="spellStart"/>
            <w:r w:rsidRPr="0066519A">
              <w:rPr>
                <w:rFonts w:ascii="Times New Roman" w:eastAsia="Arial Unicode MS" w:hAnsi="Times New Roman"/>
                <w:color w:val="000000" w:themeColor="text1"/>
                <w:sz w:val="20"/>
                <w:szCs w:val="20"/>
                <w:shd w:val="clear" w:color="auto" w:fill="FFFFFF"/>
              </w:rPr>
              <w:t>navă</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aprovizionare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larg</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oprește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înlocui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echipajul</w:t>
            </w:r>
            <w:proofErr w:type="spellEnd"/>
            <w:r w:rsidRPr="0066519A">
              <w:rPr>
                <w:rFonts w:ascii="Times New Roman" w:eastAsia="Arial Unicode MS" w:hAnsi="Times New Roman"/>
                <w:color w:val="000000" w:themeColor="text1"/>
                <w:sz w:val="20"/>
                <w:szCs w:val="20"/>
                <w:shd w:val="clear" w:color="auto" w:fill="FFFFFF"/>
              </w:rPr>
              <w:t xml:space="preserve">; sunt </w:t>
            </w:r>
            <w:proofErr w:type="spellStart"/>
            <w:r w:rsidRPr="0066519A">
              <w:rPr>
                <w:rFonts w:ascii="Times New Roman" w:eastAsia="Arial Unicode MS" w:hAnsi="Times New Roman"/>
                <w:color w:val="000000" w:themeColor="text1"/>
                <w:sz w:val="20"/>
                <w:szCs w:val="20"/>
                <w:shd w:val="clear" w:color="auto" w:fill="FFFFFF"/>
              </w:rPr>
              <w:t>excluse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opririle</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scopul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unic</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realimenta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nava</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combustibil</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obține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provizii</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înlocui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echipajul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alte</w:t>
            </w:r>
            <w:proofErr w:type="spellEnd"/>
            <w:r w:rsidRPr="0066519A">
              <w:rPr>
                <w:rFonts w:ascii="Times New Roman" w:eastAsia="Arial Unicode MS" w:hAnsi="Times New Roman"/>
                <w:color w:val="000000" w:themeColor="text1"/>
                <w:sz w:val="20"/>
                <w:szCs w:val="20"/>
                <w:shd w:val="clear" w:color="auto" w:fill="FFFFFF"/>
              </w:rPr>
              <w:t xml:space="preserve"> nave </w:t>
            </w:r>
            <w:proofErr w:type="spellStart"/>
            <w:r w:rsidRPr="0066519A">
              <w:rPr>
                <w:rFonts w:ascii="Times New Roman" w:eastAsia="Arial Unicode MS" w:hAnsi="Times New Roman"/>
                <w:color w:val="000000" w:themeColor="text1"/>
                <w:sz w:val="20"/>
                <w:szCs w:val="20"/>
                <w:shd w:val="clear" w:color="auto" w:fill="FFFFFF"/>
              </w:rPr>
              <w:t>decât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cele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aprovizionare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larg</w:t>
            </w:r>
            <w:proofErr w:type="spellEnd"/>
            <w:r w:rsidRPr="0066519A">
              <w:rPr>
                <w:rFonts w:ascii="Times New Roman" w:eastAsia="Arial Unicode MS" w:hAnsi="Times New Roman"/>
                <w:color w:val="000000" w:themeColor="text1"/>
                <w:sz w:val="20"/>
                <w:szCs w:val="20"/>
                <w:shd w:val="clear" w:color="auto" w:fill="FFFFFF"/>
              </w:rPr>
              <w:t xml:space="preserve">, de a intra în doc </w:t>
            </w:r>
            <w:proofErr w:type="spellStart"/>
            <w:r w:rsidRPr="0066519A">
              <w:rPr>
                <w:rFonts w:ascii="Times New Roman" w:eastAsia="Arial Unicode MS" w:hAnsi="Times New Roman"/>
                <w:color w:val="000000" w:themeColor="text1"/>
                <w:sz w:val="20"/>
                <w:szCs w:val="20"/>
                <w:shd w:val="clear" w:color="auto" w:fill="FFFFFF"/>
              </w:rPr>
              <w:t>uscat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repara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echipamentele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acesteia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ambele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opririle</w:t>
            </w:r>
            <w:proofErr w:type="spellEnd"/>
            <w:r w:rsidRPr="0066519A">
              <w:rPr>
                <w:rFonts w:ascii="Times New Roman" w:eastAsia="Arial Unicode MS" w:hAnsi="Times New Roman"/>
                <w:color w:val="000000" w:themeColor="text1"/>
                <w:sz w:val="20"/>
                <w:szCs w:val="20"/>
                <w:shd w:val="clear" w:color="auto" w:fill="FFFFFF"/>
              </w:rPr>
              <w:t xml:space="preserve"> în port din </w:t>
            </w:r>
            <w:proofErr w:type="spellStart"/>
            <w:r w:rsidRPr="0066519A">
              <w:rPr>
                <w:rFonts w:ascii="Times New Roman" w:eastAsia="Arial Unicode MS" w:hAnsi="Times New Roman"/>
                <w:color w:val="000000" w:themeColor="text1"/>
                <w:sz w:val="20"/>
                <w:szCs w:val="20"/>
                <w:shd w:val="clear" w:color="auto" w:fill="FFFFFF"/>
              </w:rPr>
              <w:t>cauza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faptului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necesită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asistență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află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pericol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transferurile</w:t>
            </w:r>
            <w:proofErr w:type="spellEnd"/>
            <w:r w:rsidRPr="0066519A">
              <w:rPr>
                <w:rFonts w:ascii="Times New Roman" w:eastAsia="Arial Unicode MS" w:hAnsi="Times New Roman"/>
                <w:color w:val="000000" w:themeColor="text1"/>
                <w:sz w:val="20"/>
                <w:szCs w:val="20"/>
                <w:shd w:val="clear" w:color="auto" w:fill="FFFFFF"/>
              </w:rPr>
              <w:t xml:space="preserve"> de la o </w:t>
            </w:r>
            <w:proofErr w:type="spellStart"/>
            <w:r w:rsidRPr="0066519A">
              <w:rPr>
                <w:rFonts w:ascii="Times New Roman" w:eastAsia="Arial Unicode MS" w:hAnsi="Times New Roman"/>
                <w:color w:val="000000" w:themeColor="text1"/>
                <w:sz w:val="20"/>
                <w:szCs w:val="20"/>
                <w:shd w:val="clear" w:color="auto" w:fill="FFFFFF"/>
              </w:rPr>
              <w:t>navă</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alta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efectuate</w:t>
            </w:r>
            <w:proofErr w:type="spellEnd"/>
            <w:r w:rsidRPr="0066519A">
              <w:rPr>
                <w:rFonts w:ascii="Times New Roman" w:eastAsia="Arial Unicode MS" w:hAnsi="Times New Roman"/>
                <w:color w:val="000000" w:themeColor="text1"/>
                <w:sz w:val="20"/>
                <w:szCs w:val="20"/>
                <w:shd w:val="clear" w:color="auto" w:fill="FFFFFF"/>
              </w:rPr>
              <w:t xml:space="preserve"> în afara </w:t>
            </w:r>
            <w:proofErr w:type="spellStart"/>
            <w:r w:rsidRPr="0066519A">
              <w:rPr>
                <w:rFonts w:ascii="Times New Roman" w:eastAsia="Arial Unicode MS" w:hAnsi="Times New Roman"/>
                <w:color w:val="000000" w:themeColor="text1"/>
                <w:sz w:val="20"/>
                <w:szCs w:val="20"/>
                <w:shd w:val="clear" w:color="auto" w:fill="FFFFFF"/>
              </w:rPr>
              <w:t>porturilor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opririle</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scopul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unic</w:t>
            </w:r>
            <w:proofErr w:type="spellEnd"/>
            <w:r w:rsidRPr="0066519A">
              <w:rPr>
                <w:rFonts w:ascii="Times New Roman" w:eastAsia="Arial Unicode MS" w:hAnsi="Times New Roman"/>
                <w:color w:val="000000" w:themeColor="text1"/>
                <w:sz w:val="20"/>
                <w:szCs w:val="20"/>
                <w:shd w:val="clear" w:color="auto" w:fill="FFFFFF"/>
              </w:rPr>
              <w:t xml:space="preserve"> de a se </w:t>
            </w:r>
            <w:proofErr w:type="spellStart"/>
            <w:r w:rsidRPr="0066519A">
              <w:rPr>
                <w:rFonts w:ascii="Times New Roman" w:eastAsia="Arial Unicode MS" w:hAnsi="Times New Roman"/>
                <w:color w:val="000000" w:themeColor="text1"/>
                <w:sz w:val="20"/>
                <w:szCs w:val="20"/>
                <w:shd w:val="clear" w:color="auto" w:fill="FFFFFF"/>
              </w:rPr>
              <w:t>adăposti</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condiții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meteorologice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nefavorabile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necesare</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cauza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activităților</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căutare</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salvare</w:t>
            </w:r>
            <w:proofErr w:type="spellEnd"/>
            <w:r w:rsidRPr="0066519A">
              <w:rPr>
                <w:rFonts w:ascii="Times New Roman" w:eastAsia="Arial Unicode MS" w:hAnsi="Times New Roman"/>
                <w:color w:val="000000" w:themeColor="text1"/>
                <w:sz w:val="20"/>
                <w:szCs w:val="20"/>
                <w:shd w:val="clear" w:color="auto" w:fill="FFFFFF"/>
              </w:rPr>
              <w:t xml:space="preserve">, precum și </w:t>
            </w:r>
            <w:proofErr w:type="spellStart"/>
            <w:r w:rsidRPr="0066519A">
              <w:rPr>
                <w:rFonts w:ascii="Times New Roman" w:eastAsia="Arial Unicode MS" w:hAnsi="Times New Roman"/>
                <w:color w:val="000000" w:themeColor="text1"/>
                <w:sz w:val="20"/>
                <w:szCs w:val="20"/>
                <w:shd w:val="clear" w:color="auto" w:fill="FFFFFF"/>
              </w:rPr>
              <w:t>opririle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navelor</w:t>
            </w:r>
            <w:proofErr w:type="spellEnd"/>
            <w:r w:rsidRPr="0066519A">
              <w:rPr>
                <w:rFonts w:ascii="Times New Roman" w:eastAsia="Arial Unicode MS" w:hAnsi="Times New Roman"/>
                <w:color w:val="000000" w:themeColor="text1"/>
                <w:sz w:val="20"/>
                <w:szCs w:val="20"/>
                <w:shd w:val="clear" w:color="auto" w:fill="FFFFFF"/>
              </w:rPr>
              <w:t xml:space="preserve"> container </w:t>
            </w:r>
            <w:proofErr w:type="spellStart"/>
            <w:r w:rsidRPr="0066519A">
              <w:rPr>
                <w:rFonts w:ascii="Times New Roman" w:eastAsia="Arial Unicode MS" w:hAnsi="Times New Roman"/>
                <w:color w:val="000000" w:themeColor="text1"/>
                <w:sz w:val="20"/>
                <w:szCs w:val="20"/>
                <w:shd w:val="clear" w:color="auto" w:fill="FFFFFF"/>
              </w:rPr>
              <w:t>într</w:t>
            </w:r>
            <w:proofErr w:type="spellEnd"/>
            <w:r w:rsidRPr="0066519A">
              <w:rPr>
                <w:rFonts w:ascii="Times New Roman" w:eastAsia="Arial Unicode MS" w:hAnsi="Times New Roman"/>
                <w:color w:val="000000" w:themeColor="text1"/>
                <w:sz w:val="20"/>
                <w:szCs w:val="20"/>
                <w:shd w:val="clear" w:color="auto" w:fill="FFFFFF"/>
              </w:rPr>
              <w:t xml:space="preserve">-un port </w:t>
            </w:r>
            <w:proofErr w:type="spellStart"/>
            <w:r w:rsidRPr="0066519A">
              <w:rPr>
                <w:rFonts w:ascii="Times New Roman" w:eastAsia="Arial Unicode MS" w:hAnsi="Times New Roman"/>
                <w:color w:val="000000" w:themeColor="text1"/>
                <w:sz w:val="20"/>
                <w:szCs w:val="20"/>
                <w:shd w:val="clear" w:color="auto" w:fill="FFFFFF"/>
              </w:rPr>
              <w:t>învecinat</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transbordare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containerelor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enumerat</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actul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punere</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aplicare</w:t>
            </w:r>
            <w:proofErr w:type="spellEnd"/>
            <w:r w:rsidRPr="0066519A">
              <w:rPr>
                <w:rFonts w:ascii="Times New Roman" w:eastAsia="Arial Unicode MS" w:hAnsi="Times New Roman"/>
                <w:color w:val="000000" w:themeColor="text1"/>
                <w:sz w:val="20"/>
                <w:szCs w:val="20"/>
                <w:shd w:val="clear" w:color="auto" w:fill="FFFFFF"/>
              </w:rPr>
              <w:t xml:space="preserve"> care se </w:t>
            </w:r>
            <w:proofErr w:type="spellStart"/>
            <w:r w:rsidRPr="0066519A">
              <w:rPr>
                <w:rFonts w:ascii="Times New Roman" w:eastAsia="Arial Unicode MS" w:hAnsi="Times New Roman"/>
                <w:color w:val="000000" w:themeColor="text1"/>
                <w:sz w:val="20"/>
                <w:szCs w:val="20"/>
                <w:shd w:val="clear" w:color="auto" w:fill="FFFFFF"/>
              </w:rPr>
              <w:t>adoptă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articolului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3ga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(2);</w:t>
            </w:r>
          </w:p>
          <w:p w14:paraId="42030ADA" w14:textId="77777777" w:rsidR="00124364" w:rsidRPr="0066519A" w:rsidRDefault="00000000">
            <w:pPr>
              <w:pStyle w:val="af8"/>
              <w:numPr>
                <w:ilvl w:val="0"/>
                <w:numId w:val="4"/>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navă</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croazieră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o </w:t>
            </w:r>
            <w:proofErr w:type="spellStart"/>
            <w:r w:rsidRPr="0066519A">
              <w:rPr>
                <w:rFonts w:ascii="Times New Roman" w:eastAsia="Arial Unicode MS" w:hAnsi="Times New Roman"/>
                <w:color w:val="000000" w:themeColor="text1"/>
                <w:sz w:val="20"/>
                <w:szCs w:val="20"/>
                <w:shd w:val="clear" w:color="auto" w:fill="FFFFFF"/>
              </w:rPr>
              <w:t>navă</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pasageri</w:t>
            </w:r>
            <w:proofErr w:type="spellEnd"/>
            <w:r w:rsidRPr="0066519A">
              <w:rPr>
                <w:rFonts w:ascii="Times New Roman" w:eastAsia="Arial Unicode MS" w:hAnsi="Times New Roman"/>
                <w:color w:val="000000" w:themeColor="text1"/>
                <w:sz w:val="20"/>
                <w:szCs w:val="20"/>
                <w:shd w:val="clear" w:color="auto" w:fill="FFFFFF"/>
              </w:rPr>
              <w:t xml:space="preserve"> care nu are </w:t>
            </w:r>
            <w:proofErr w:type="spellStart"/>
            <w:r w:rsidRPr="0066519A">
              <w:rPr>
                <w:rFonts w:ascii="Times New Roman" w:eastAsia="Arial Unicode MS" w:hAnsi="Times New Roman"/>
                <w:color w:val="000000" w:themeColor="text1"/>
                <w:sz w:val="20"/>
                <w:szCs w:val="20"/>
                <w:shd w:val="clear" w:color="auto" w:fill="FFFFFF"/>
              </w:rPr>
              <w:t>punte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marfă</w:t>
            </w:r>
            <w:proofErr w:type="spellEnd"/>
            <w:r w:rsidRPr="0066519A">
              <w:rPr>
                <w:rFonts w:ascii="Times New Roman" w:eastAsia="Arial Unicode MS" w:hAnsi="Times New Roman"/>
                <w:color w:val="000000" w:themeColor="text1"/>
                <w:sz w:val="20"/>
                <w:szCs w:val="20"/>
                <w:shd w:val="clear" w:color="auto" w:fill="FFFFFF"/>
              </w:rPr>
              <w:t xml:space="preserve"> și care </w:t>
            </w:r>
            <w:proofErr w:type="spellStart"/>
            <w:r w:rsidRPr="0066519A">
              <w:rPr>
                <w:rFonts w:ascii="Times New Roman" w:eastAsia="Arial Unicode MS" w:hAnsi="Times New Roman"/>
                <w:color w:val="000000" w:themeColor="text1"/>
                <w:sz w:val="20"/>
                <w:szCs w:val="20"/>
                <w:shd w:val="clear" w:color="auto" w:fill="FFFFFF"/>
              </w:rPr>
              <w:t>este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proiectată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exclusiv</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transportul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comercial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pasageri</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spații</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cazare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peste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noapte</w:t>
            </w:r>
            <w:proofErr w:type="spellEnd"/>
            <w:r w:rsidRPr="0066519A">
              <w:rPr>
                <w:rFonts w:ascii="Times New Roman" w:eastAsia="Arial Unicode MS" w:hAnsi="Times New Roman"/>
                <w:color w:val="000000" w:themeColor="text1"/>
                <w:sz w:val="20"/>
                <w:szCs w:val="20"/>
                <w:shd w:val="clear" w:color="auto" w:fill="FFFFFF"/>
              </w:rPr>
              <w:t xml:space="preserve"> pe </w:t>
            </w:r>
            <w:proofErr w:type="spellStart"/>
            <w:r w:rsidRPr="0066519A">
              <w:rPr>
                <w:rFonts w:ascii="Times New Roman" w:eastAsia="Arial Unicode MS" w:hAnsi="Times New Roman"/>
                <w:color w:val="000000" w:themeColor="text1"/>
                <w:sz w:val="20"/>
                <w:szCs w:val="20"/>
                <w:shd w:val="clear" w:color="auto" w:fill="FFFFFF"/>
              </w:rPr>
              <w:t>durata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călătorii</w:t>
            </w:r>
            <w:proofErr w:type="spellEnd"/>
            <w:r w:rsidRPr="0066519A">
              <w:rPr>
                <w:rFonts w:ascii="Times New Roman" w:eastAsia="Arial Unicode MS" w:hAnsi="Times New Roman"/>
                <w:color w:val="000000" w:themeColor="text1"/>
                <w:sz w:val="20"/>
                <w:szCs w:val="20"/>
                <w:shd w:val="clear" w:color="auto" w:fill="FFFFFF"/>
              </w:rPr>
              <w:t xml:space="preserve"> pe </w:t>
            </w:r>
            <w:proofErr w:type="gramStart"/>
            <w:r w:rsidRPr="0066519A">
              <w:rPr>
                <w:rFonts w:ascii="Times New Roman" w:eastAsia="Arial Unicode MS" w:hAnsi="Times New Roman"/>
                <w:color w:val="000000" w:themeColor="text1"/>
                <w:sz w:val="20"/>
                <w:szCs w:val="20"/>
                <w:shd w:val="clear" w:color="auto" w:fill="FFFFFF"/>
              </w:rPr>
              <w:t>mare;</w:t>
            </w:r>
            <w:proofErr w:type="gramEnd"/>
          </w:p>
          <w:p w14:paraId="09C41940" w14:textId="77777777" w:rsidR="00124364" w:rsidRPr="0066519A" w:rsidRDefault="00000000">
            <w:pPr>
              <w:pStyle w:val="af8"/>
              <w:numPr>
                <w:ilvl w:val="0"/>
                <w:numId w:val="5"/>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„contract pe </w:t>
            </w:r>
            <w:proofErr w:type="spellStart"/>
            <w:r w:rsidRPr="0066519A">
              <w:rPr>
                <w:rFonts w:ascii="Times New Roman" w:eastAsia="Arial Unicode MS" w:hAnsi="Times New Roman"/>
                <w:color w:val="000000" w:themeColor="text1"/>
                <w:sz w:val="20"/>
                <w:szCs w:val="20"/>
                <w:shd w:val="clear" w:color="auto" w:fill="FFFFFF"/>
              </w:rPr>
              <w:t>diferență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CfD</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un contract </w:t>
            </w:r>
            <w:proofErr w:type="spellStart"/>
            <w:r w:rsidRPr="0066519A">
              <w:rPr>
                <w:rFonts w:ascii="Times New Roman" w:eastAsia="Arial Unicode MS" w:hAnsi="Times New Roman"/>
                <w:color w:val="000000" w:themeColor="text1"/>
                <w:sz w:val="20"/>
                <w:szCs w:val="20"/>
                <w:shd w:val="clear" w:color="auto" w:fill="FFFFFF"/>
              </w:rPr>
              <w:t>între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Comisie</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producătorul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selectat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printr</w:t>
            </w:r>
            <w:proofErr w:type="spellEnd"/>
            <w:r w:rsidRPr="0066519A">
              <w:rPr>
                <w:rFonts w:ascii="Times New Roman" w:eastAsia="Arial Unicode MS" w:hAnsi="Times New Roman"/>
                <w:color w:val="000000" w:themeColor="text1"/>
                <w:sz w:val="20"/>
                <w:szCs w:val="20"/>
                <w:shd w:val="clear" w:color="auto" w:fill="FFFFFF"/>
              </w:rPr>
              <w:t xml:space="preserve">-un </w:t>
            </w:r>
            <w:proofErr w:type="spellStart"/>
            <w:r w:rsidRPr="0066519A">
              <w:rPr>
                <w:rFonts w:ascii="Times New Roman" w:eastAsia="Arial Unicode MS" w:hAnsi="Times New Roman"/>
                <w:color w:val="000000" w:themeColor="text1"/>
                <w:sz w:val="20"/>
                <w:szCs w:val="20"/>
                <w:shd w:val="clear" w:color="auto" w:fill="FFFFFF"/>
              </w:rPr>
              <w:t>mecanism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competitiv</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prezentare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ofertelor</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ar</w:t>
            </w:r>
            <w:proofErr w:type="spellEnd"/>
            <w:r w:rsidRPr="0066519A">
              <w:rPr>
                <w:rFonts w:ascii="Times New Roman" w:eastAsia="Arial Unicode MS" w:hAnsi="Times New Roman"/>
                <w:color w:val="000000" w:themeColor="text1"/>
                <w:sz w:val="20"/>
                <w:szCs w:val="20"/>
                <w:shd w:val="clear" w:color="auto" w:fill="FFFFFF"/>
              </w:rPr>
              <w:t xml:space="preserve"> fi o </w:t>
            </w:r>
            <w:proofErr w:type="spellStart"/>
            <w:r w:rsidRPr="0066519A">
              <w:rPr>
                <w:rFonts w:ascii="Times New Roman" w:eastAsia="Arial Unicode MS" w:hAnsi="Times New Roman"/>
                <w:color w:val="000000" w:themeColor="text1"/>
                <w:sz w:val="20"/>
                <w:szCs w:val="20"/>
                <w:shd w:val="clear" w:color="auto" w:fill="FFFFFF"/>
              </w:rPr>
              <w:t>licitație</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unui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fabricat</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reduse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cu zero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căruia</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oferă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producătorului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sprijin</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partea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Fondului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inovare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acoperi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diferența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lastRenderedPageBreak/>
              <w:t>dintre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câștigător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exercitare</w:t>
            </w:r>
            <w:proofErr w:type="spellEnd"/>
            <w:r w:rsidRPr="0066519A">
              <w:rPr>
                <w:rFonts w:ascii="Times New Roman" w:eastAsia="Arial Unicode MS" w:hAnsi="Times New Roman"/>
                <w:color w:val="000000" w:themeColor="text1"/>
                <w:sz w:val="20"/>
                <w:szCs w:val="20"/>
                <w:shd w:val="clear" w:color="auto" w:fill="FFFFFF"/>
              </w:rPr>
              <w:t xml:space="preserve">), pe de o </w:t>
            </w:r>
            <w:proofErr w:type="spellStart"/>
            <w:r w:rsidRPr="0066519A">
              <w:rPr>
                <w:rFonts w:ascii="Times New Roman" w:eastAsia="Arial Unicode MS" w:hAnsi="Times New Roman"/>
                <w:color w:val="000000" w:themeColor="text1"/>
                <w:sz w:val="20"/>
                <w:szCs w:val="20"/>
                <w:shd w:val="clear" w:color="auto" w:fill="FFFFFF"/>
              </w:rPr>
              <w:t>parte</w:t>
            </w:r>
            <w:proofErr w:type="spellEnd"/>
            <w:r w:rsidRPr="0066519A">
              <w:rPr>
                <w:rFonts w:ascii="Times New Roman" w:eastAsia="Arial Unicode MS" w:hAnsi="Times New Roman"/>
                <w:color w:val="000000" w:themeColor="text1"/>
                <w:sz w:val="20"/>
                <w:szCs w:val="20"/>
                <w:shd w:val="clear" w:color="auto" w:fill="FFFFFF"/>
              </w:rPr>
              <w:t xml:space="preserve">, și un </w:t>
            </w:r>
            <w:proofErr w:type="spellStart"/>
            <w:r w:rsidRPr="0066519A">
              <w:rPr>
                <w:rFonts w:ascii="Times New Roman" w:eastAsia="Arial Unicode MS" w:hAnsi="Times New Roman"/>
                <w:color w:val="000000" w:themeColor="text1"/>
                <w:sz w:val="20"/>
                <w:szCs w:val="20"/>
                <w:shd w:val="clear" w:color="auto" w:fill="FFFFFF"/>
              </w:rPr>
              <w:t>preț</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referință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rezultă</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fabricat</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reduse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cu zero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din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piață</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unui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înlocuitor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apropiat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dintr</w:t>
            </w:r>
            <w:proofErr w:type="spellEnd"/>
            <w:r w:rsidRPr="0066519A">
              <w:rPr>
                <w:rFonts w:ascii="Times New Roman" w:eastAsia="Arial Unicode MS" w:hAnsi="Times New Roman"/>
                <w:color w:val="000000" w:themeColor="text1"/>
                <w:sz w:val="20"/>
                <w:szCs w:val="20"/>
                <w:shd w:val="clear" w:color="auto" w:fill="FFFFFF"/>
              </w:rPr>
              <w:t xml:space="preserve">-o </w:t>
            </w:r>
            <w:proofErr w:type="spellStart"/>
            <w:r w:rsidRPr="0066519A">
              <w:rPr>
                <w:rFonts w:ascii="Times New Roman" w:eastAsia="Arial Unicode MS" w:hAnsi="Times New Roman"/>
                <w:color w:val="000000" w:themeColor="text1"/>
                <w:sz w:val="20"/>
                <w:szCs w:val="20"/>
                <w:shd w:val="clear" w:color="auto" w:fill="FFFFFF"/>
              </w:rPr>
              <w:t>combinație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acestor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două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prețuri</w:t>
            </w:r>
            <w:proofErr w:type="spellEnd"/>
            <w:r w:rsidRPr="0066519A">
              <w:rPr>
                <w:rFonts w:ascii="Times New Roman" w:eastAsia="Arial Unicode MS" w:hAnsi="Times New Roman"/>
                <w:color w:val="000000" w:themeColor="text1"/>
                <w:sz w:val="20"/>
                <w:szCs w:val="20"/>
                <w:shd w:val="clear" w:color="auto" w:fill="FFFFFF"/>
              </w:rPr>
              <w:t xml:space="preserve">, pe de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parte</w:t>
            </w:r>
            <w:proofErr w:type="spellEnd"/>
            <w:r w:rsidRPr="0066519A">
              <w:rPr>
                <w:rFonts w:ascii="Times New Roman" w:eastAsia="Arial Unicode MS" w:hAnsi="Times New Roman"/>
                <w:color w:val="000000" w:themeColor="text1"/>
                <w:sz w:val="20"/>
                <w:szCs w:val="20"/>
                <w:shd w:val="clear" w:color="auto" w:fill="FFFFFF"/>
              </w:rPr>
              <w:t>;</w:t>
            </w:r>
          </w:p>
          <w:p w14:paraId="43096DBD" w14:textId="77777777" w:rsidR="00124364" w:rsidRPr="0066519A" w:rsidRDefault="00000000">
            <w:pPr>
              <w:pStyle w:val="af8"/>
              <w:numPr>
                <w:ilvl w:val="0"/>
                <w:numId w:val="6"/>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„contract pe </w:t>
            </w:r>
            <w:proofErr w:type="spellStart"/>
            <w:r w:rsidRPr="0066519A">
              <w:rPr>
                <w:rFonts w:ascii="Times New Roman" w:eastAsia="Arial Unicode MS" w:hAnsi="Times New Roman"/>
                <w:color w:val="000000" w:themeColor="text1"/>
                <w:sz w:val="20"/>
                <w:szCs w:val="20"/>
                <w:shd w:val="clear" w:color="auto" w:fill="FFFFFF"/>
              </w:rPr>
              <w:t>diferență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privind</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emisiile</w:t>
            </w:r>
            <w:proofErr w:type="spellEnd"/>
            <w:r w:rsidRPr="0066519A">
              <w:rPr>
                <w:rFonts w:ascii="Times New Roman" w:eastAsia="Arial Unicode MS" w:hAnsi="Times New Roman"/>
                <w:color w:val="000000" w:themeColor="text1"/>
                <w:sz w:val="20"/>
                <w:szCs w:val="20"/>
                <w:shd w:val="clear" w:color="auto" w:fill="FFFFFF"/>
              </w:rPr>
              <w:t xml:space="preserve"> de carbon”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CCfD</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un contract </w:t>
            </w:r>
            <w:proofErr w:type="spellStart"/>
            <w:r w:rsidRPr="0066519A">
              <w:rPr>
                <w:rFonts w:ascii="Times New Roman" w:eastAsia="Arial Unicode MS" w:hAnsi="Times New Roman"/>
                <w:color w:val="000000" w:themeColor="text1"/>
                <w:sz w:val="20"/>
                <w:szCs w:val="20"/>
                <w:shd w:val="clear" w:color="auto" w:fill="FFFFFF"/>
              </w:rPr>
              <w:t>între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Comisie</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producătorul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selectat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printr</w:t>
            </w:r>
            <w:proofErr w:type="spellEnd"/>
            <w:r w:rsidRPr="0066519A">
              <w:rPr>
                <w:rFonts w:ascii="Times New Roman" w:eastAsia="Arial Unicode MS" w:hAnsi="Times New Roman"/>
                <w:color w:val="000000" w:themeColor="text1"/>
                <w:sz w:val="20"/>
                <w:szCs w:val="20"/>
                <w:shd w:val="clear" w:color="auto" w:fill="FFFFFF"/>
              </w:rPr>
              <w:t xml:space="preserve">-un </w:t>
            </w:r>
            <w:proofErr w:type="spellStart"/>
            <w:r w:rsidRPr="0066519A">
              <w:rPr>
                <w:rFonts w:ascii="Times New Roman" w:eastAsia="Arial Unicode MS" w:hAnsi="Times New Roman"/>
                <w:color w:val="000000" w:themeColor="text1"/>
                <w:sz w:val="20"/>
                <w:szCs w:val="20"/>
                <w:shd w:val="clear" w:color="auto" w:fill="FFFFFF"/>
              </w:rPr>
              <w:t>mecanism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competitiv</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prezentare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ofertelor</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ar</w:t>
            </w:r>
            <w:proofErr w:type="spellEnd"/>
            <w:r w:rsidRPr="0066519A">
              <w:rPr>
                <w:rFonts w:ascii="Times New Roman" w:eastAsia="Arial Unicode MS" w:hAnsi="Times New Roman"/>
                <w:color w:val="000000" w:themeColor="text1"/>
                <w:sz w:val="20"/>
                <w:szCs w:val="20"/>
                <w:shd w:val="clear" w:color="auto" w:fill="FFFFFF"/>
              </w:rPr>
              <w:t xml:space="preserve"> fi o </w:t>
            </w:r>
            <w:proofErr w:type="spellStart"/>
            <w:r w:rsidRPr="0066519A">
              <w:rPr>
                <w:rFonts w:ascii="Times New Roman" w:eastAsia="Arial Unicode MS" w:hAnsi="Times New Roman"/>
                <w:color w:val="000000" w:themeColor="text1"/>
                <w:sz w:val="20"/>
                <w:szCs w:val="20"/>
                <w:shd w:val="clear" w:color="auto" w:fill="FFFFFF"/>
              </w:rPr>
              <w:t>licitație</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unui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fabricat</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reduse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cu zero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căruia</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oferă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producătorului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sprijin</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partea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Fondului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inovare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acoperi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diferența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câștigător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exercitare</w:t>
            </w:r>
            <w:proofErr w:type="spellEnd"/>
            <w:r w:rsidRPr="0066519A">
              <w:rPr>
                <w:rFonts w:ascii="Times New Roman" w:eastAsia="Arial Unicode MS" w:hAnsi="Times New Roman"/>
                <w:color w:val="000000" w:themeColor="text1"/>
                <w:sz w:val="20"/>
                <w:szCs w:val="20"/>
                <w:shd w:val="clear" w:color="auto" w:fill="FFFFFF"/>
              </w:rPr>
              <w:t xml:space="preserve">), pe de o </w:t>
            </w:r>
            <w:proofErr w:type="spellStart"/>
            <w:r w:rsidRPr="0066519A">
              <w:rPr>
                <w:rFonts w:ascii="Times New Roman" w:eastAsia="Arial Unicode MS" w:hAnsi="Times New Roman"/>
                <w:color w:val="000000" w:themeColor="text1"/>
                <w:sz w:val="20"/>
                <w:szCs w:val="20"/>
                <w:shd w:val="clear" w:color="auto" w:fill="FFFFFF"/>
              </w:rPr>
              <w:t>parte</w:t>
            </w:r>
            <w:proofErr w:type="spellEnd"/>
            <w:r w:rsidRPr="0066519A">
              <w:rPr>
                <w:rFonts w:ascii="Times New Roman" w:eastAsia="Arial Unicode MS" w:hAnsi="Times New Roman"/>
                <w:color w:val="000000" w:themeColor="text1"/>
                <w:sz w:val="20"/>
                <w:szCs w:val="20"/>
                <w:shd w:val="clear" w:color="auto" w:fill="FFFFFF"/>
              </w:rPr>
              <w:t xml:space="preserve">, și un </w:t>
            </w:r>
            <w:proofErr w:type="spellStart"/>
            <w:r w:rsidRPr="0066519A">
              <w:rPr>
                <w:rFonts w:ascii="Times New Roman" w:eastAsia="Arial Unicode MS" w:hAnsi="Times New Roman"/>
                <w:color w:val="000000" w:themeColor="text1"/>
                <w:sz w:val="20"/>
                <w:szCs w:val="20"/>
                <w:shd w:val="clear" w:color="auto" w:fill="FFFFFF"/>
              </w:rPr>
              <w:t>preț</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referință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rezultă</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mediu</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certificatelor</w:t>
            </w:r>
            <w:proofErr w:type="spellEnd"/>
            <w:r w:rsidRPr="0066519A">
              <w:rPr>
                <w:rFonts w:ascii="Times New Roman" w:eastAsia="Arial Unicode MS" w:hAnsi="Times New Roman"/>
                <w:color w:val="000000" w:themeColor="text1"/>
                <w:sz w:val="20"/>
                <w:szCs w:val="20"/>
                <w:shd w:val="clear" w:color="auto" w:fill="FFFFFF"/>
              </w:rPr>
              <w:t xml:space="preserve">, pe de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parte</w:t>
            </w:r>
            <w:proofErr w:type="spellEnd"/>
            <w:r w:rsidRPr="0066519A">
              <w:rPr>
                <w:rFonts w:ascii="Times New Roman" w:eastAsia="Arial Unicode MS" w:hAnsi="Times New Roman"/>
                <w:color w:val="000000" w:themeColor="text1"/>
                <w:sz w:val="20"/>
                <w:szCs w:val="20"/>
                <w:shd w:val="clear" w:color="auto" w:fill="FFFFFF"/>
              </w:rPr>
              <w:t>;</w:t>
            </w:r>
          </w:p>
          <w:p w14:paraId="5BC3BC0F" w14:textId="77777777" w:rsidR="00124364" w:rsidRPr="0066519A" w:rsidRDefault="00000000">
            <w:pPr>
              <w:pStyle w:val="af8"/>
              <w:numPr>
                <w:ilvl w:val="0"/>
                <w:numId w:val="7"/>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gramStart"/>
            <w:r w:rsidRPr="0066519A">
              <w:rPr>
                <w:rFonts w:ascii="Times New Roman" w:eastAsia="Arial Unicode MS" w:hAnsi="Times New Roman"/>
                <w:color w:val="000000" w:themeColor="text1"/>
                <w:sz w:val="20"/>
                <w:szCs w:val="20"/>
                <w:shd w:val="clear" w:color="auto" w:fill="FFFFFF"/>
              </w:rPr>
              <w:t>contract</w:t>
            </w:r>
            <w:proofErr w:type="gram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primă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fixă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un contract </w:t>
            </w:r>
            <w:proofErr w:type="spellStart"/>
            <w:r w:rsidRPr="0066519A">
              <w:rPr>
                <w:rFonts w:ascii="Times New Roman" w:eastAsia="Arial Unicode MS" w:hAnsi="Times New Roman"/>
                <w:color w:val="000000" w:themeColor="text1"/>
                <w:sz w:val="20"/>
                <w:szCs w:val="20"/>
                <w:shd w:val="clear" w:color="auto" w:fill="FFFFFF"/>
              </w:rPr>
              <w:t>între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Comisie</w:t>
            </w:r>
            <w:proofErr w:type="spellEnd"/>
            <w:r w:rsidRPr="0066519A">
              <w:rPr>
                <w:rFonts w:ascii="Times New Roman" w:eastAsia="Arial Unicode MS" w:hAnsi="Times New Roman"/>
                <w:color w:val="000000" w:themeColor="text1"/>
                <w:sz w:val="20"/>
                <w:szCs w:val="20"/>
                <w:shd w:val="clear" w:color="auto" w:fill="FFFFFF"/>
              </w:rPr>
              <w:t xml:space="preserve"> și </w:t>
            </w:r>
            <w:proofErr w:type="spellStart"/>
            <w:r w:rsidRPr="0066519A">
              <w:rPr>
                <w:rFonts w:ascii="Times New Roman" w:eastAsia="Arial Unicode MS" w:hAnsi="Times New Roman"/>
                <w:color w:val="000000" w:themeColor="text1"/>
                <w:sz w:val="20"/>
                <w:szCs w:val="20"/>
                <w:shd w:val="clear" w:color="auto" w:fill="FFFFFF"/>
              </w:rPr>
              <w:t>producătorul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selectat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printr</w:t>
            </w:r>
            <w:proofErr w:type="spellEnd"/>
            <w:r w:rsidRPr="0066519A">
              <w:rPr>
                <w:rFonts w:ascii="Times New Roman" w:eastAsia="Arial Unicode MS" w:hAnsi="Times New Roman"/>
                <w:color w:val="000000" w:themeColor="text1"/>
                <w:sz w:val="20"/>
                <w:szCs w:val="20"/>
                <w:shd w:val="clear" w:color="auto" w:fill="FFFFFF"/>
              </w:rPr>
              <w:t xml:space="preserve">-un </w:t>
            </w:r>
            <w:proofErr w:type="spellStart"/>
            <w:r w:rsidRPr="0066519A">
              <w:rPr>
                <w:rFonts w:ascii="Times New Roman" w:eastAsia="Arial Unicode MS" w:hAnsi="Times New Roman"/>
                <w:color w:val="000000" w:themeColor="text1"/>
                <w:sz w:val="20"/>
                <w:szCs w:val="20"/>
                <w:shd w:val="clear" w:color="auto" w:fill="FFFFFF"/>
              </w:rPr>
              <w:t>mecanism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competitiv</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prezentare</w:t>
            </w:r>
            <w:proofErr w:type="spellEnd"/>
            <w:r w:rsidRPr="0066519A">
              <w:rPr>
                <w:rFonts w:ascii="Times New Roman" w:eastAsia="Arial Unicode MS" w:hAnsi="Times New Roman"/>
                <w:color w:val="000000" w:themeColor="text1"/>
                <w:sz w:val="20"/>
                <w:szCs w:val="20"/>
                <w:shd w:val="clear" w:color="auto" w:fill="FFFFFF"/>
              </w:rPr>
              <w:t xml:space="preserve"> a </w:t>
            </w:r>
            <w:proofErr w:type="spellStart"/>
            <w:r w:rsidRPr="0066519A">
              <w:rPr>
                <w:rFonts w:ascii="Times New Roman" w:eastAsia="Arial Unicode MS" w:hAnsi="Times New Roman"/>
                <w:color w:val="000000" w:themeColor="text1"/>
                <w:sz w:val="20"/>
                <w:szCs w:val="20"/>
                <w:shd w:val="clear" w:color="auto" w:fill="FFFFFF"/>
              </w:rPr>
              <w:t>ofertelor</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ar</w:t>
            </w:r>
            <w:proofErr w:type="spellEnd"/>
            <w:r w:rsidRPr="0066519A">
              <w:rPr>
                <w:rFonts w:ascii="Times New Roman" w:eastAsia="Arial Unicode MS" w:hAnsi="Times New Roman"/>
                <w:color w:val="000000" w:themeColor="text1"/>
                <w:sz w:val="20"/>
                <w:szCs w:val="20"/>
                <w:shd w:val="clear" w:color="auto" w:fill="FFFFFF"/>
              </w:rPr>
              <w:t xml:space="preserve"> fi o </w:t>
            </w:r>
            <w:proofErr w:type="spellStart"/>
            <w:r w:rsidRPr="0066519A">
              <w:rPr>
                <w:rFonts w:ascii="Times New Roman" w:eastAsia="Arial Unicode MS" w:hAnsi="Times New Roman"/>
                <w:color w:val="000000" w:themeColor="text1"/>
                <w:sz w:val="20"/>
                <w:szCs w:val="20"/>
                <w:shd w:val="clear" w:color="auto" w:fill="FFFFFF"/>
              </w:rPr>
              <w:t>licitație</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unui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fabricat</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reduse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cu zero </w:t>
            </w:r>
            <w:proofErr w:type="spellStart"/>
            <w:r w:rsidRPr="0066519A">
              <w:rPr>
                <w:rFonts w:ascii="Times New Roman" w:eastAsia="Arial Unicode MS" w:hAnsi="Times New Roman"/>
                <w:color w:val="000000" w:themeColor="text1"/>
                <w:sz w:val="20"/>
                <w:szCs w:val="20"/>
                <w:shd w:val="clear" w:color="auto" w:fill="FFFFFF"/>
              </w:rPr>
              <w:t>emisii</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dioxid</w:t>
            </w:r>
            <w:proofErr w:type="spellEnd"/>
            <w:r w:rsidRPr="0066519A">
              <w:rPr>
                <w:rFonts w:ascii="Times New Roman" w:eastAsia="Arial Unicode MS" w:hAnsi="Times New Roman"/>
                <w:color w:val="000000" w:themeColor="text1"/>
                <w:sz w:val="20"/>
                <w:szCs w:val="20"/>
                <w:shd w:val="clear" w:color="auto" w:fill="FFFFFF"/>
              </w:rPr>
              <w:t xml:space="preserve"> de carbon,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căruia</w:t>
            </w:r>
            <w:proofErr w:type="spellEnd"/>
            <w:r w:rsidRPr="0066519A">
              <w:rPr>
                <w:rFonts w:ascii="Times New Roman" w:eastAsia="Arial Unicode MS" w:hAnsi="Times New Roman"/>
                <w:color w:val="000000" w:themeColor="text1"/>
                <w:sz w:val="20"/>
                <w:szCs w:val="20"/>
                <w:shd w:val="clear" w:color="auto" w:fill="FFFFFF"/>
              </w:rPr>
              <w:t xml:space="preserve"> se </w:t>
            </w:r>
            <w:proofErr w:type="spellStart"/>
            <w:r w:rsidRPr="0066519A">
              <w:rPr>
                <w:rFonts w:ascii="Times New Roman" w:eastAsia="Arial Unicode MS" w:hAnsi="Times New Roman"/>
                <w:color w:val="000000" w:themeColor="text1"/>
                <w:sz w:val="20"/>
                <w:szCs w:val="20"/>
                <w:shd w:val="clear" w:color="auto" w:fill="FFFFFF"/>
              </w:rPr>
              <w:t>oferă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producătorului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sprijin</w:t>
            </w:r>
            <w:proofErr w:type="spellEnd"/>
            <w:r w:rsidRPr="0066519A">
              <w:rPr>
                <w:rFonts w:ascii="Times New Roman" w:eastAsia="Arial Unicode MS" w:hAnsi="Times New Roman"/>
                <w:color w:val="000000" w:themeColor="text1"/>
                <w:sz w:val="20"/>
                <w:szCs w:val="20"/>
                <w:shd w:val="clear" w:color="auto" w:fill="FFFFFF"/>
              </w:rPr>
              <w:t xml:space="preserve"> sub forma </w:t>
            </w:r>
            <w:proofErr w:type="spellStart"/>
            <w:r w:rsidRPr="0066519A">
              <w:rPr>
                <w:rFonts w:ascii="Times New Roman" w:eastAsia="Arial Unicode MS" w:hAnsi="Times New Roman"/>
                <w:color w:val="000000" w:themeColor="text1"/>
                <w:sz w:val="20"/>
                <w:szCs w:val="20"/>
                <w:shd w:val="clear" w:color="auto" w:fill="FFFFFF"/>
              </w:rPr>
              <w:t>unei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sume</w:t>
            </w:r>
            <w:proofErr w:type="spellEnd"/>
            <w:r w:rsidRPr="0066519A">
              <w:rPr>
                <w:rFonts w:ascii="Times New Roman" w:eastAsia="Arial Unicode MS" w:hAnsi="Times New Roman"/>
                <w:color w:val="000000" w:themeColor="text1"/>
                <w:sz w:val="20"/>
                <w:szCs w:val="20"/>
                <w:shd w:val="clear" w:color="auto" w:fill="FFFFFF"/>
              </w:rPr>
              <w:t xml:space="preserve"> fixe pe </w:t>
            </w:r>
            <w:proofErr w:type="spellStart"/>
            <w:r w:rsidRPr="0066519A">
              <w:rPr>
                <w:rFonts w:ascii="Times New Roman" w:eastAsia="Arial Unicode MS" w:hAnsi="Times New Roman"/>
                <w:color w:val="000000" w:themeColor="text1"/>
                <w:sz w:val="20"/>
                <w:szCs w:val="20"/>
                <w:shd w:val="clear" w:color="auto" w:fill="FFFFFF"/>
              </w:rPr>
              <w:t>unitate</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fabricat</w:t>
            </w:r>
            <w:proofErr w:type="spellEnd"/>
            <w:r w:rsidRPr="0066519A">
              <w:rPr>
                <w:rFonts w:ascii="Times New Roman" w:eastAsia="Arial Unicode MS" w:hAnsi="Times New Roman"/>
                <w:color w:val="000000" w:themeColor="text1"/>
                <w:sz w:val="20"/>
                <w:szCs w:val="20"/>
                <w:shd w:val="clear" w:color="auto" w:fill="FFFFFF"/>
              </w:rPr>
              <w:t>;</w:t>
            </w:r>
          </w:p>
          <w:p w14:paraId="7F126177" w14:textId="70C26C00" w:rsidR="00124364" w:rsidRDefault="00000000">
            <w:pPr>
              <w:pStyle w:val="af8"/>
              <w:numPr>
                <w:ilvl w:val="0"/>
                <w:numId w:val="8"/>
              </w:numPr>
              <w:spacing w:after="0" w:line="240" w:lineRule="auto"/>
              <w:jc w:val="both"/>
              <w:rPr>
                <w:rFonts w:ascii="Times New Roman" w:hAnsi="Times New Roman"/>
                <w:color w:val="4472C4" w:themeColor="accent1"/>
                <w:sz w:val="20"/>
                <w:szCs w:val="20"/>
              </w:rPr>
            </w:pPr>
            <w:r>
              <w:rPr>
                <w:rFonts w:ascii="Times New Roman" w:eastAsia="Arial Unicode MS" w:hAnsi="Times New Roman"/>
                <w:color w:val="333333"/>
                <w:sz w:val="20"/>
                <w:szCs w:val="20"/>
                <w:shd w:val="clear" w:color="auto" w:fill="FFFFFF"/>
              </w:rPr>
              <w:t>„</w:t>
            </w:r>
            <w:proofErr w:type="spellStart"/>
            <w:proofErr w:type="gramStart"/>
            <w:r w:rsidRPr="0066519A">
              <w:rPr>
                <w:rFonts w:ascii="Times New Roman" w:eastAsia="Arial Unicode MS" w:hAnsi="Times New Roman"/>
                <w:color w:val="000000" w:themeColor="text1"/>
                <w:sz w:val="20"/>
                <w:szCs w:val="20"/>
                <w:shd w:val="clear" w:color="auto" w:fill="FFFFFF"/>
              </w:rPr>
              <w:t>entitate</w:t>
            </w:r>
            <w:proofErr w:type="spellEnd"/>
            <w:proofErr w:type="gram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reglementată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0066519A"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fizică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juridică</w:t>
            </w:r>
            <w:proofErr w:type="spellEnd"/>
            <w:r w:rsidRPr="0066519A">
              <w:rPr>
                <w:rFonts w:ascii="Times New Roman" w:eastAsia="Arial Unicode MS" w:hAnsi="Times New Roman"/>
                <w:color w:val="000000" w:themeColor="text1"/>
                <w:sz w:val="20"/>
                <w:szCs w:val="20"/>
                <w:shd w:val="clear" w:color="auto" w:fill="FFFFFF"/>
              </w:rPr>
              <w:t xml:space="preserve">, cu </w:t>
            </w:r>
            <w:proofErr w:type="spellStart"/>
            <w:r w:rsidRPr="0066519A">
              <w:rPr>
                <w:rFonts w:ascii="Times New Roman" w:eastAsia="Arial Unicode MS" w:hAnsi="Times New Roman"/>
                <w:color w:val="000000" w:themeColor="text1"/>
                <w:sz w:val="20"/>
                <w:szCs w:val="20"/>
                <w:shd w:val="clear" w:color="auto" w:fill="FFFFFF"/>
              </w:rPr>
              <w:t>excepția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oricărui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consumator</w:t>
            </w:r>
            <w:proofErr w:type="spellEnd"/>
            <w:r w:rsidRPr="0066519A">
              <w:rPr>
                <w:rFonts w:ascii="Times New Roman" w:eastAsia="Arial Unicode MS" w:hAnsi="Times New Roman"/>
                <w:color w:val="000000" w:themeColor="text1"/>
                <w:sz w:val="20"/>
                <w:szCs w:val="20"/>
                <w:shd w:val="clear" w:color="auto" w:fill="FFFFFF"/>
              </w:rPr>
              <w:t xml:space="preserve"> final de </w:t>
            </w:r>
            <w:proofErr w:type="spellStart"/>
            <w:r w:rsidRPr="0066519A">
              <w:rPr>
                <w:rFonts w:ascii="Times New Roman" w:eastAsia="Arial Unicode MS" w:hAnsi="Times New Roman"/>
                <w:color w:val="000000" w:themeColor="text1"/>
                <w:sz w:val="20"/>
                <w:szCs w:val="20"/>
                <w:shd w:val="clear" w:color="auto" w:fill="FFFFFF"/>
              </w:rPr>
              <w:t>combustibili</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desfășoară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activitatea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menționată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III și care se </w:t>
            </w:r>
            <w:proofErr w:type="spellStart"/>
            <w:r w:rsidRPr="0066519A">
              <w:rPr>
                <w:rFonts w:ascii="Times New Roman" w:eastAsia="Arial Unicode MS" w:hAnsi="Times New Roman"/>
                <w:color w:val="000000" w:themeColor="text1"/>
                <w:sz w:val="20"/>
                <w:szCs w:val="20"/>
                <w:shd w:val="clear" w:color="auto" w:fill="FFFFFF"/>
              </w:rPr>
              <w:t>încadrează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una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dintre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următoarele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categorii</w:t>
            </w:r>
            <w:proofErr w:type="spellEnd"/>
            <w:r w:rsidRPr="0066519A">
              <w:rPr>
                <w:rFonts w:ascii="Times New Roman" w:eastAsia="Arial Unicode MS" w:hAnsi="Times New Roman"/>
                <w:color w:val="000000" w:themeColor="text1"/>
                <w:sz w:val="20"/>
                <w:szCs w:val="20"/>
                <w:shd w:val="clear" w:color="auto" w:fill="FFFFFF"/>
              </w:rPr>
              <w:t>:</w:t>
            </w:r>
          </w:p>
          <w:p w14:paraId="7F320026" w14:textId="46DDCF12" w:rsidR="00124364" w:rsidRPr="0066519A" w:rsidRDefault="00000000">
            <w:pPr>
              <w:pStyle w:val="af8"/>
              <w:numPr>
                <w:ilvl w:val="0"/>
                <w:numId w:val="9"/>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combustibilul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trece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printr</w:t>
            </w:r>
            <w:proofErr w:type="spellEnd"/>
            <w:r w:rsidRPr="0066519A">
              <w:rPr>
                <w:rFonts w:ascii="Times New Roman" w:eastAsia="Arial Unicode MS" w:hAnsi="Times New Roman"/>
                <w:color w:val="000000" w:themeColor="text1"/>
                <w:sz w:val="20"/>
                <w:szCs w:val="20"/>
                <w:shd w:val="clear" w:color="auto" w:fill="FFFFFF"/>
              </w:rPr>
              <w:t xml:space="preserve">-un </w:t>
            </w:r>
            <w:proofErr w:type="spellStart"/>
            <w:r w:rsidRPr="0066519A">
              <w:rPr>
                <w:rFonts w:ascii="Times New Roman" w:eastAsia="Arial Unicode MS" w:hAnsi="Times New Roman"/>
                <w:color w:val="000000" w:themeColor="text1"/>
                <w:sz w:val="20"/>
                <w:szCs w:val="20"/>
                <w:shd w:val="clear" w:color="auto" w:fill="FFFFFF"/>
              </w:rPr>
              <w:t>antrepozit</w:t>
            </w:r>
            <w:proofErr w:type="spellEnd"/>
            <w:r w:rsidRPr="0066519A">
              <w:rPr>
                <w:rFonts w:ascii="Times New Roman" w:eastAsia="Arial Unicode MS" w:hAnsi="Times New Roman"/>
                <w:color w:val="000000" w:themeColor="text1"/>
                <w:sz w:val="20"/>
                <w:szCs w:val="20"/>
                <w:shd w:val="clear" w:color="auto" w:fill="FFFFFF"/>
              </w:rPr>
              <w:t xml:space="preserve"> fiscal,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definiției</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 </w:t>
            </w:r>
            <w:proofErr w:type="spellStart"/>
            <w:r w:rsidRPr="0066519A">
              <w:rPr>
                <w:rFonts w:ascii="Times New Roman" w:eastAsia="Arial Unicode MS" w:hAnsi="Times New Roman"/>
                <w:color w:val="000000" w:themeColor="text1"/>
                <w:sz w:val="20"/>
                <w:szCs w:val="20"/>
                <w:shd w:val="clear" w:color="auto" w:fill="FFFFFF"/>
              </w:rPr>
              <w:t>punctul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11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(UE)</w:t>
            </w:r>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2020/262 a </w:t>
            </w:r>
            <w:proofErr w:type="spellStart"/>
            <w:r w:rsidRPr="0066519A">
              <w:rPr>
                <w:rFonts w:ascii="Times New Roman" w:eastAsia="Arial Unicode MS" w:hAnsi="Times New Roman"/>
                <w:color w:val="000000" w:themeColor="text1"/>
                <w:sz w:val="20"/>
                <w:szCs w:val="20"/>
                <w:shd w:val="clear" w:color="auto" w:fill="FFFFFF"/>
              </w:rPr>
              <w:t>Consiliului</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hyperlink r:id="rId38" w:anchor="E0006" w:history="1">
              <w:r w:rsidRPr="0066519A">
                <w:rPr>
                  <w:rStyle w:val="superscript"/>
                  <w:rFonts w:ascii="Times New Roman" w:eastAsia="Arial Unicode MS" w:hAnsi="Times New Roman"/>
                  <w:color w:val="000000" w:themeColor="text1"/>
                  <w:sz w:val="20"/>
                  <w:szCs w:val="20"/>
                  <w:vertAlign w:val="superscript"/>
                </w:rPr>
                <w:t>6</w:t>
              </w:r>
            </w:hyperlink>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antrepozitarul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autorizat</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definiției</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 </w:t>
            </w:r>
            <w:proofErr w:type="spellStart"/>
            <w:r w:rsidRPr="0066519A">
              <w:rPr>
                <w:rFonts w:ascii="Times New Roman" w:eastAsia="Arial Unicode MS" w:hAnsi="Times New Roman"/>
                <w:color w:val="000000" w:themeColor="text1"/>
                <w:sz w:val="20"/>
                <w:szCs w:val="20"/>
                <w:shd w:val="clear" w:color="auto" w:fill="FFFFFF"/>
              </w:rPr>
              <w:t>punctul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1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respectivă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căruia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revine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obligația</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plăti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acciza</w:t>
            </w:r>
            <w:proofErr w:type="spellEnd"/>
            <w:r w:rsidRPr="0066519A">
              <w:rPr>
                <w:rFonts w:ascii="Times New Roman" w:eastAsia="Arial Unicode MS" w:hAnsi="Times New Roman"/>
                <w:color w:val="000000" w:themeColor="text1"/>
                <w:sz w:val="20"/>
                <w:szCs w:val="20"/>
                <w:shd w:val="clear" w:color="auto" w:fill="FFFFFF"/>
              </w:rPr>
              <w:t xml:space="preserve"> care a </w:t>
            </w:r>
            <w:proofErr w:type="spellStart"/>
            <w:r w:rsidRPr="0066519A">
              <w:rPr>
                <w:rFonts w:ascii="Times New Roman" w:eastAsia="Arial Unicode MS" w:hAnsi="Times New Roman"/>
                <w:color w:val="000000" w:themeColor="text1"/>
                <w:sz w:val="20"/>
                <w:szCs w:val="20"/>
                <w:shd w:val="clear" w:color="auto" w:fill="FFFFFF"/>
              </w:rPr>
              <w:t>devenit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exigibilă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articolului</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7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respectivă</w:t>
            </w:r>
            <w:proofErr w:type="spellEnd"/>
            <w:r w:rsidRPr="0066519A">
              <w:rPr>
                <w:rFonts w:ascii="Times New Roman" w:eastAsia="Arial Unicode MS" w:hAnsi="Times New Roman"/>
                <w:color w:val="000000" w:themeColor="text1"/>
                <w:sz w:val="20"/>
                <w:szCs w:val="20"/>
                <w:shd w:val="clear" w:color="auto" w:fill="FFFFFF"/>
              </w:rPr>
              <w:t>;</w:t>
            </w:r>
          </w:p>
          <w:p w14:paraId="3C3C9DA1" w14:textId="34FC95AE" w:rsidR="00124364" w:rsidRPr="0066519A" w:rsidRDefault="00000000">
            <w:pPr>
              <w:pStyle w:val="af8"/>
              <w:numPr>
                <w:ilvl w:val="0"/>
                <w:numId w:val="9"/>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punctul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i</w:t>
            </w:r>
            <w:proofErr w:type="spellEnd"/>
            <w:r w:rsidRPr="0066519A">
              <w:rPr>
                <w:rFonts w:ascii="Times New Roman" w:eastAsia="Arial Unicode MS" w:hAnsi="Times New Roman"/>
                <w:color w:val="000000" w:themeColor="text1"/>
                <w:sz w:val="20"/>
                <w:szCs w:val="20"/>
                <w:shd w:val="clear" w:color="auto" w:fill="FFFFFF"/>
              </w:rPr>
              <w:t xml:space="preserve">) de la prezenta </w:t>
            </w:r>
            <w:proofErr w:type="spellStart"/>
            <w:r w:rsidRPr="0066519A">
              <w:rPr>
                <w:rFonts w:ascii="Times New Roman" w:eastAsia="Arial Unicode MS" w:hAnsi="Times New Roman"/>
                <w:color w:val="000000" w:themeColor="text1"/>
                <w:sz w:val="20"/>
                <w:szCs w:val="20"/>
                <w:shd w:val="clear" w:color="auto" w:fill="FFFFFF"/>
              </w:rPr>
              <w:t>literă</w:t>
            </w:r>
            <w:proofErr w:type="spellEnd"/>
            <w:r w:rsidRPr="0066519A">
              <w:rPr>
                <w:rFonts w:ascii="Times New Roman" w:eastAsia="Arial Unicode MS" w:hAnsi="Times New Roman"/>
                <w:color w:val="000000" w:themeColor="text1"/>
                <w:sz w:val="20"/>
                <w:szCs w:val="20"/>
                <w:shd w:val="clear" w:color="auto" w:fill="FFFFFF"/>
              </w:rPr>
              <w:t xml:space="preserve"> nu se </w:t>
            </w:r>
            <w:proofErr w:type="spellStart"/>
            <w:r w:rsidRPr="0066519A">
              <w:rPr>
                <w:rFonts w:ascii="Times New Roman" w:eastAsia="Arial Unicode MS" w:hAnsi="Times New Roman"/>
                <w:color w:val="000000" w:themeColor="text1"/>
                <w:sz w:val="20"/>
                <w:szCs w:val="20"/>
                <w:shd w:val="clear" w:color="auto" w:fill="FFFFFF"/>
              </w:rPr>
              <w:t>aplică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căreia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revine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obligația</w:t>
            </w:r>
            <w:proofErr w:type="spellEnd"/>
            <w:r w:rsidRPr="0066519A">
              <w:rPr>
                <w:rFonts w:ascii="Times New Roman" w:eastAsia="Arial Unicode MS" w:hAnsi="Times New Roman"/>
                <w:color w:val="000000" w:themeColor="text1"/>
                <w:sz w:val="20"/>
                <w:szCs w:val="20"/>
                <w:shd w:val="clear" w:color="auto" w:fill="FFFFFF"/>
              </w:rPr>
              <w:t xml:space="preserve"> de a </w:t>
            </w:r>
            <w:proofErr w:type="spellStart"/>
            <w:r w:rsidRPr="0066519A">
              <w:rPr>
                <w:rFonts w:ascii="Times New Roman" w:eastAsia="Arial Unicode MS" w:hAnsi="Times New Roman"/>
                <w:color w:val="000000" w:themeColor="text1"/>
                <w:sz w:val="20"/>
                <w:szCs w:val="20"/>
                <w:shd w:val="clear" w:color="auto" w:fill="FFFFFF"/>
              </w:rPr>
              <w:t>plăti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acciza</w:t>
            </w:r>
            <w:proofErr w:type="spellEnd"/>
            <w:r w:rsidRPr="0066519A">
              <w:rPr>
                <w:rFonts w:ascii="Times New Roman" w:eastAsia="Arial Unicode MS" w:hAnsi="Times New Roman"/>
                <w:color w:val="000000" w:themeColor="text1"/>
                <w:sz w:val="20"/>
                <w:szCs w:val="20"/>
                <w:shd w:val="clear" w:color="auto" w:fill="FFFFFF"/>
              </w:rPr>
              <w:t xml:space="preserve"> care a </w:t>
            </w:r>
            <w:proofErr w:type="spellStart"/>
            <w:r w:rsidRPr="0066519A">
              <w:rPr>
                <w:rFonts w:ascii="Times New Roman" w:eastAsia="Arial Unicode MS" w:hAnsi="Times New Roman"/>
                <w:color w:val="000000" w:themeColor="text1"/>
                <w:sz w:val="20"/>
                <w:szCs w:val="20"/>
                <w:shd w:val="clear" w:color="auto" w:fill="FFFFFF"/>
              </w:rPr>
              <w:t>devenit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exigibilă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temeiul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articolului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7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(UE)</w:t>
            </w:r>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2020/262 </w:t>
            </w:r>
            <w:proofErr w:type="spellStart"/>
            <w:r w:rsidRPr="0066519A">
              <w:rPr>
                <w:rFonts w:ascii="Times New Roman" w:eastAsia="Arial Unicode MS" w:hAnsi="Times New Roman"/>
                <w:color w:val="000000" w:themeColor="text1"/>
                <w:sz w:val="20"/>
                <w:szCs w:val="20"/>
                <w:shd w:val="clear" w:color="auto" w:fill="FFFFFF"/>
              </w:rPr>
              <w:lastRenderedPageBreak/>
              <w:t>sau</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articolului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21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Pr="0066519A">
              <w:rPr>
                <w:rFonts w:ascii="Times New Roman" w:eastAsia="Arial Unicode MS" w:hAnsi="Times New Roman"/>
                <w:color w:val="000000" w:themeColor="text1"/>
                <w:sz w:val="20"/>
                <w:szCs w:val="20"/>
                <w:shd w:val="clear" w:color="auto" w:fill="FFFFFF"/>
              </w:rPr>
              <w:t xml:space="preserve"> (5) </w:t>
            </w:r>
            <w:proofErr w:type="spellStart"/>
            <w:r w:rsidRPr="0066519A">
              <w:rPr>
                <w:rFonts w:ascii="Times New Roman" w:eastAsia="Arial Unicode MS" w:hAnsi="Times New Roman"/>
                <w:color w:val="000000" w:themeColor="text1"/>
                <w:sz w:val="20"/>
                <w:szCs w:val="20"/>
                <w:shd w:val="clear" w:color="auto" w:fill="FFFFFF"/>
              </w:rPr>
              <w:t>primul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paragraf</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2003/96/CE a </w:t>
            </w:r>
            <w:proofErr w:type="spellStart"/>
            <w:r w:rsidRPr="0066519A">
              <w:rPr>
                <w:rFonts w:ascii="Times New Roman" w:eastAsia="Arial Unicode MS" w:hAnsi="Times New Roman"/>
                <w:color w:val="000000" w:themeColor="text1"/>
                <w:sz w:val="20"/>
                <w:szCs w:val="20"/>
                <w:shd w:val="clear" w:color="auto" w:fill="FFFFFF"/>
              </w:rPr>
              <w:t>Consiliului</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hyperlink r:id="rId39" w:anchor="E0007" w:history="1">
              <w:r w:rsidRPr="0066519A">
                <w:rPr>
                  <w:rStyle w:val="superscript"/>
                  <w:rFonts w:ascii="Times New Roman" w:eastAsia="Arial Unicode MS" w:hAnsi="Times New Roman"/>
                  <w:color w:val="000000" w:themeColor="text1"/>
                  <w:sz w:val="20"/>
                  <w:szCs w:val="20"/>
                  <w:vertAlign w:val="superscript"/>
                </w:rPr>
                <w:t>7</w:t>
              </w:r>
            </w:hyperlink>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combustibilii</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intră</w:t>
            </w:r>
            <w:proofErr w:type="spellEnd"/>
            <w:r w:rsidRPr="0066519A">
              <w:rPr>
                <w:rFonts w:ascii="Times New Roman" w:eastAsia="Arial Unicode MS" w:hAnsi="Times New Roman"/>
                <w:color w:val="000000" w:themeColor="text1"/>
                <w:sz w:val="20"/>
                <w:szCs w:val="20"/>
                <w:shd w:val="clear" w:color="auto" w:fill="FFFFFF"/>
              </w:rPr>
              <w:t xml:space="preserve"> sub </w:t>
            </w:r>
            <w:proofErr w:type="spellStart"/>
            <w:r w:rsidRPr="0066519A">
              <w:rPr>
                <w:rFonts w:ascii="Times New Roman" w:eastAsia="Arial Unicode MS" w:hAnsi="Times New Roman"/>
                <w:color w:val="000000" w:themeColor="text1"/>
                <w:sz w:val="20"/>
                <w:szCs w:val="20"/>
                <w:shd w:val="clear" w:color="auto" w:fill="FFFFFF"/>
              </w:rPr>
              <w:t>incidența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din prezenta </w:t>
            </w:r>
            <w:proofErr w:type="spellStart"/>
            <w:r w:rsidRPr="0066519A">
              <w:rPr>
                <w:rFonts w:ascii="Times New Roman" w:eastAsia="Arial Unicode MS" w:hAnsi="Times New Roman"/>
                <w:color w:val="000000" w:themeColor="text1"/>
                <w:sz w:val="20"/>
                <w:szCs w:val="20"/>
                <w:shd w:val="clear" w:color="auto" w:fill="FFFFFF"/>
              </w:rPr>
              <w:t>directivă</w:t>
            </w:r>
            <w:proofErr w:type="spellEnd"/>
            <w:r w:rsidRPr="0066519A">
              <w:rPr>
                <w:rFonts w:ascii="Times New Roman" w:eastAsia="Arial Unicode MS" w:hAnsi="Times New Roman"/>
                <w:color w:val="000000" w:themeColor="text1"/>
                <w:sz w:val="20"/>
                <w:szCs w:val="20"/>
                <w:shd w:val="clear" w:color="auto" w:fill="FFFFFF"/>
              </w:rPr>
              <w:t>;</w:t>
            </w:r>
          </w:p>
          <w:p w14:paraId="7C77EBA6" w14:textId="5EA24E96" w:rsidR="00124364" w:rsidRPr="0066519A" w:rsidRDefault="00000000">
            <w:pPr>
              <w:pStyle w:val="af8"/>
              <w:numPr>
                <w:ilvl w:val="0"/>
                <w:numId w:val="9"/>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punctele</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i</w:t>
            </w:r>
            <w:proofErr w:type="spellEnd"/>
            <w:r w:rsidRPr="0066519A">
              <w:rPr>
                <w:rFonts w:ascii="Times New Roman" w:eastAsia="Arial Unicode MS" w:hAnsi="Times New Roman"/>
                <w:color w:val="000000" w:themeColor="text1"/>
                <w:sz w:val="20"/>
                <w:szCs w:val="20"/>
                <w:shd w:val="clear" w:color="auto" w:fill="FFFFFF"/>
              </w:rPr>
              <w:t xml:space="preserve">) și (ii) de la prezenta </w:t>
            </w:r>
            <w:proofErr w:type="spellStart"/>
            <w:r w:rsidRPr="0066519A">
              <w:rPr>
                <w:rFonts w:ascii="Times New Roman" w:eastAsia="Arial Unicode MS" w:hAnsi="Times New Roman"/>
                <w:color w:val="000000" w:themeColor="text1"/>
                <w:sz w:val="20"/>
                <w:szCs w:val="20"/>
                <w:shd w:val="clear" w:color="auto" w:fill="FFFFFF"/>
              </w:rPr>
              <w:t>literă</w:t>
            </w:r>
            <w:proofErr w:type="spellEnd"/>
            <w:r w:rsidRPr="0066519A">
              <w:rPr>
                <w:rFonts w:ascii="Times New Roman" w:eastAsia="Arial Unicode MS" w:hAnsi="Times New Roman"/>
                <w:color w:val="000000" w:themeColor="text1"/>
                <w:sz w:val="20"/>
                <w:szCs w:val="20"/>
                <w:shd w:val="clear" w:color="auto" w:fill="FFFFFF"/>
              </w:rPr>
              <w:t xml:space="preserve"> nu se </w:t>
            </w:r>
            <w:proofErr w:type="spellStart"/>
            <w:r w:rsidRPr="0066519A">
              <w:rPr>
                <w:rFonts w:ascii="Times New Roman" w:eastAsia="Arial Unicode MS" w:hAnsi="Times New Roman"/>
                <w:color w:val="000000" w:themeColor="text1"/>
                <w:sz w:val="20"/>
                <w:szCs w:val="20"/>
                <w:shd w:val="clear" w:color="auto" w:fill="FFFFFF"/>
              </w:rPr>
              <w:t>aplică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care </w:t>
            </w:r>
            <w:proofErr w:type="spellStart"/>
            <w:r w:rsidRPr="0066519A">
              <w:rPr>
                <w:rFonts w:ascii="Times New Roman" w:eastAsia="Arial Unicode MS" w:hAnsi="Times New Roman"/>
                <w:color w:val="000000" w:themeColor="text1"/>
                <w:sz w:val="20"/>
                <w:szCs w:val="20"/>
                <w:shd w:val="clear" w:color="auto" w:fill="FFFFFF"/>
              </w:rPr>
              <w:t>trebuie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înregistrată</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autoritățile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competente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relevante</w:t>
            </w:r>
            <w:proofErr w:type="spellEnd"/>
            <w:r w:rsidRPr="0066519A">
              <w:rPr>
                <w:rFonts w:ascii="Times New Roman" w:eastAsia="Arial Unicode MS" w:hAnsi="Times New Roman"/>
                <w:color w:val="000000" w:themeColor="text1"/>
                <w:sz w:val="20"/>
                <w:szCs w:val="20"/>
                <w:shd w:val="clear" w:color="auto" w:fill="FFFFFF"/>
              </w:rPr>
              <w:t xml:space="preserve"> ale </w:t>
            </w:r>
            <w:proofErr w:type="spellStart"/>
            <w:r w:rsidRPr="0066519A">
              <w:rPr>
                <w:rFonts w:ascii="Times New Roman" w:eastAsia="Arial Unicode MS" w:hAnsi="Times New Roman"/>
                <w:color w:val="000000" w:themeColor="text1"/>
                <w:sz w:val="20"/>
                <w:szCs w:val="20"/>
                <w:shd w:val="clear" w:color="auto" w:fill="FFFFFF"/>
              </w:rPr>
              <w:t>statului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membru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a fi </w:t>
            </w:r>
            <w:proofErr w:type="spellStart"/>
            <w:r w:rsidRPr="0066519A">
              <w:rPr>
                <w:rFonts w:ascii="Times New Roman" w:eastAsia="Arial Unicode MS" w:hAnsi="Times New Roman"/>
                <w:color w:val="000000" w:themeColor="text1"/>
                <w:sz w:val="20"/>
                <w:szCs w:val="20"/>
                <w:shd w:val="clear" w:color="auto" w:fill="FFFFFF"/>
              </w:rPr>
              <w:t>obligată</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plata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accizei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inclusiv</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scutită</w:t>
            </w:r>
            <w:proofErr w:type="spellEnd"/>
            <w:r w:rsidRPr="0066519A">
              <w:rPr>
                <w:rFonts w:ascii="Times New Roman" w:eastAsia="Arial Unicode MS" w:hAnsi="Times New Roman"/>
                <w:color w:val="000000" w:themeColor="text1"/>
                <w:sz w:val="20"/>
                <w:szCs w:val="20"/>
                <w:shd w:val="clear" w:color="auto" w:fill="FFFFFF"/>
              </w:rPr>
              <w:t xml:space="preserve"> de la </w:t>
            </w:r>
            <w:proofErr w:type="spellStart"/>
            <w:r w:rsidRPr="0066519A">
              <w:rPr>
                <w:rFonts w:ascii="Times New Roman" w:eastAsia="Arial Unicode MS" w:hAnsi="Times New Roman"/>
                <w:color w:val="000000" w:themeColor="text1"/>
                <w:sz w:val="20"/>
                <w:szCs w:val="20"/>
                <w:shd w:val="clear" w:color="auto" w:fill="FFFFFF"/>
              </w:rPr>
              <w:t>plata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accizei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cum se </w:t>
            </w:r>
            <w:proofErr w:type="spellStart"/>
            <w:r w:rsidRPr="0066519A">
              <w:rPr>
                <w:rFonts w:ascii="Times New Roman" w:eastAsia="Arial Unicode MS" w:hAnsi="Times New Roman"/>
                <w:color w:val="000000" w:themeColor="text1"/>
                <w:sz w:val="20"/>
                <w:szCs w:val="20"/>
                <w:shd w:val="clear" w:color="auto" w:fill="FFFFFF"/>
              </w:rPr>
              <w:t>menționează</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21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(5) al </w:t>
            </w:r>
            <w:proofErr w:type="spellStart"/>
            <w:r w:rsidRPr="0066519A">
              <w:rPr>
                <w:rFonts w:ascii="Times New Roman" w:eastAsia="Arial Unicode MS" w:hAnsi="Times New Roman"/>
                <w:color w:val="000000" w:themeColor="text1"/>
                <w:sz w:val="20"/>
                <w:szCs w:val="20"/>
                <w:shd w:val="clear" w:color="auto" w:fill="FFFFFF"/>
              </w:rPr>
              <w:t>patrulea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paragraf</w:t>
            </w:r>
            <w:proofErr w:type="spellEnd"/>
            <w:r w:rsidRPr="0066519A">
              <w:rPr>
                <w:rFonts w:ascii="Times New Roman" w:eastAsia="Arial Unicode MS" w:hAnsi="Times New Roman"/>
                <w:color w:val="000000" w:themeColor="text1"/>
                <w:sz w:val="20"/>
                <w:szCs w:val="20"/>
                <w:shd w:val="clear" w:color="auto" w:fill="FFFFFF"/>
              </w:rPr>
              <w:t xml:space="preserve">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2003/96/</w:t>
            </w:r>
            <w:proofErr w:type="gramStart"/>
            <w:r w:rsidRPr="0066519A">
              <w:rPr>
                <w:rFonts w:ascii="Times New Roman" w:eastAsia="Arial Unicode MS" w:hAnsi="Times New Roman"/>
                <w:color w:val="000000" w:themeColor="text1"/>
                <w:sz w:val="20"/>
                <w:szCs w:val="20"/>
                <w:shd w:val="clear" w:color="auto" w:fill="FFFFFF"/>
              </w:rPr>
              <w:t>CE;</w:t>
            </w:r>
            <w:proofErr w:type="gramEnd"/>
          </w:p>
          <w:p w14:paraId="1F98280F" w14:textId="7D15E91C" w:rsidR="00124364" w:rsidRPr="0066519A" w:rsidRDefault="00000000">
            <w:pPr>
              <w:pStyle w:val="af8"/>
              <w:numPr>
                <w:ilvl w:val="0"/>
                <w:numId w:val="9"/>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 xml:space="preserve">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punctele</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i</w:t>
            </w:r>
            <w:proofErr w:type="spellEnd"/>
            <w:r w:rsidRPr="0066519A">
              <w:rPr>
                <w:rFonts w:ascii="Times New Roman" w:eastAsia="Arial Unicode MS" w:hAnsi="Times New Roman"/>
                <w:color w:val="000000" w:themeColor="text1"/>
                <w:sz w:val="20"/>
                <w:szCs w:val="20"/>
                <w:shd w:val="clear" w:color="auto" w:fill="FFFFFF"/>
              </w:rPr>
              <w:t xml:space="preserve">), (ii) și (iii) nu se </w:t>
            </w:r>
            <w:proofErr w:type="spellStart"/>
            <w:r w:rsidRPr="0066519A">
              <w:rPr>
                <w:rFonts w:ascii="Times New Roman" w:eastAsia="Arial Unicode MS" w:hAnsi="Times New Roman"/>
                <w:color w:val="000000" w:themeColor="text1"/>
                <w:sz w:val="20"/>
                <w:szCs w:val="20"/>
                <w:shd w:val="clear" w:color="auto" w:fill="FFFFFF"/>
              </w:rPr>
              <w:t>aplică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cazul</w:t>
            </w:r>
            <w:proofErr w:type="spellEnd"/>
            <w:r w:rsidRPr="0066519A">
              <w:rPr>
                <w:rFonts w:ascii="Times New Roman" w:eastAsia="Arial Unicode MS" w:hAnsi="Times New Roman"/>
                <w:color w:val="000000" w:themeColor="text1"/>
                <w:sz w:val="20"/>
                <w:szCs w:val="20"/>
                <w:shd w:val="clear" w:color="auto" w:fill="FFFFFF"/>
              </w:rPr>
              <w:t xml:space="preserve"> în care </w:t>
            </w:r>
            <w:proofErr w:type="spellStart"/>
            <w:r w:rsidRPr="0066519A">
              <w:rPr>
                <w:rFonts w:ascii="Times New Roman" w:eastAsia="Arial Unicode MS" w:hAnsi="Times New Roman"/>
                <w:color w:val="000000" w:themeColor="text1"/>
                <w:sz w:val="20"/>
                <w:szCs w:val="20"/>
                <w:shd w:val="clear" w:color="auto" w:fill="FFFFFF"/>
              </w:rPr>
              <w:t>mai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multe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persoane</w:t>
            </w:r>
            <w:proofErr w:type="spellEnd"/>
            <w:r w:rsidRPr="0066519A">
              <w:rPr>
                <w:rFonts w:ascii="Times New Roman" w:eastAsia="Arial Unicode MS" w:hAnsi="Times New Roman"/>
                <w:color w:val="000000" w:themeColor="text1"/>
                <w:sz w:val="20"/>
                <w:szCs w:val="20"/>
                <w:shd w:val="clear" w:color="auto" w:fill="FFFFFF"/>
              </w:rPr>
              <w:t xml:space="preserve"> sunt obligate </w:t>
            </w:r>
            <w:proofErr w:type="spellStart"/>
            <w:r w:rsidRPr="0066519A">
              <w:rPr>
                <w:rFonts w:ascii="Times New Roman" w:eastAsia="Arial Unicode MS" w:hAnsi="Times New Roman"/>
                <w:color w:val="000000" w:themeColor="text1"/>
                <w:sz w:val="20"/>
                <w:szCs w:val="20"/>
                <w:shd w:val="clear" w:color="auto" w:fill="FFFFFF"/>
              </w:rPr>
              <w:t>să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plătească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solidar</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acciză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altă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persoană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desemnată</w:t>
            </w:r>
            <w:proofErr w:type="spellEnd"/>
            <w:r w:rsidRPr="0066519A">
              <w:rPr>
                <w:rFonts w:ascii="Times New Roman" w:eastAsia="Arial Unicode MS" w:hAnsi="Times New Roman"/>
                <w:color w:val="000000" w:themeColor="text1"/>
                <w:sz w:val="20"/>
                <w:szCs w:val="20"/>
                <w:shd w:val="clear" w:color="auto" w:fill="FFFFFF"/>
              </w:rPr>
              <w:t xml:space="preserve"> de un stat </w:t>
            </w:r>
            <w:proofErr w:type="spellStart"/>
            <w:proofErr w:type="gramStart"/>
            <w:r w:rsidRPr="0066519A">
              <w:rPr>
                <w:rFonts w:ascii="Times New Roman" w:eastAsia="Arial Unicode MS" w:hAnsi="Times New Roman"/>
                <w:color w:val="000000" w:themeColor="text1"/>
                <w:sz w:val="20"/>
                <w:szCs w:val="20"/>
                <w:shd w:val="clear" w:color="auto" w:fill="FFFFFF"/>
              </w:rPr>
              <w:t>membru</w:t>
            </w:r>
            <w:proofErr w:type="spellEnd"/>
            <w:r w:rsidRPr="0066519A">
              <w:rPr>
                <w:rFonts w:ascii="Times New Roman" w:eastAsia="Arial Unicode MS" w:hAnsi="Times New Roman"/>
                <w:color w:val="000000" w:themeColor="text1"/>
                <w:sz w:val="20"/>
                <w:szCs w:val="20"/>
                <w:shd w:val="clear" w:color="auto" w:fill="FFFFFF"/>
              </w:rPr>
              <w:t>;</w:t>
            </w:r>
            <w:proofErr w:type="gramEnd"/>
          </w:p>
          <w:p w14:paraId="2B457861" w14:textId="3182027D" w:rsidR="00124364" w:rsidRPr="0066519A" w:rsidRDefault="00000000">
            <w:pPr>
              <w:pStyle w:val="af8"/>
              <w:numPr>
                <w:ilvl w:val="0"/>
                <w:numId w:val="10"/>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combustibil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din prezenta </w:t>
            </w:r>
            <w:proofErr w:type="spellStart"/>
            <w:r w:rsidRPr="0066519A">
              <w:rPr>
                <w:rFonts w:ascii="Times New Roman" w:eastAsia="Arial Unicode MS" w:hAnsi="Times New Roman"/>
                <w:color w:val="000000" w:themeColor="text1"/>
                <w:sz w:val="20"/>
                <w:szCs w:val="20"/>
                <w:shd w:val="clear" w:color="auto" w:fill="FFFFFF"/>
              </w:rPr>
              <w:t>directivă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energetic </w:t>
            </w:r>
            <w:proofErr w:type="spellStart"/>
            <w:r w:rsidRPr="0066519A">
              <w:rPr>
                <w:rFonts w:ascii="Times New Roman" w:eastAsia="Arial Unicode MS" w:hAnsi="Times New Roman"/>
                <w:color w:val="000000" w:themeColor="text1"/>
                <w:sz w:val="20"/>
                <w:szCs w:val="20"/>
                <w:shd w:val="clear" w:color="auto" w:fill="FFFFFF"/>
              </w:rPr>
              <w:t>menționat</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Pr="0066519A">
              <w:rPr>
                <w:rFonts w:ascii="Times New Roman" w:eastAsia="Arial Unicode MS" w:hAnsi="Times New Roman"/>
                <w:color w:val="000000" w:themeColor="text1"/>
                <w:sz w:val="20"/>
                <w:szCs w:val="20"/>
                <w:shd w:val="clear" w:color="auto" w:fill="FFFFFF"/>
              </w:rPr>
              <w:t xml:space="preserve"> (1)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2003/96/CE, </w:t>
            </w:r>
            <w:proofErr w:type="spellStart"/>
            <w:r w:rsidRPr="0066519A">
              <w:rPr>
                <w:rFonts w:ascii="Times New Roman" w:eastAsia="Arial Unicode MS" w:hAnsi="Times New Roman"/>
                <w:color w:val="000000" w:themeColor="text1"/>
                <w:sz w:val="20"/>
                <w:szCs w:val="20"/>
                <w:shd w:val="clear" w:color="auto" w:fill="FFFFFF"/>
              </w:rPr>
              <w:t>inclusiv</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combustibilii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enumerați</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tabelele</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A și</w:t>
            </w:r>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C din </w:t>
            </w:r>
            <w:proofErr w:type="spellStart"/>
            <w:r w:rsidRPr="0066519A">
              <w:rPr>
                <w:rFonts w:ascii="Times New Roman" w:eastAsia="Arial Unicode MS" w:hAnsi="Times New Roman"/>
                <w:color w:val="000000" w:themeColor="text1"/>
                <w:sz w:val="20"/>
                <w:szCs w:val="20"/>
                <w:shd w:val="clear" w:color="auto" w:fill="FFFFFF"/>
              </w:rPr>
              <w:t>anexa</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I la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menționată</w:t>
            </w:r>
            <w:proofErr w:type="spellEnd"/>
            <w:r w:rsidRPr="0066519A">
              <w:rPr>
                <w:rFonts w:ascii="Times New Roman" w:eastAsia="Arial Unicode MS" w:hAnsi="Times New Roman"/>
                <w:color w:val="000000" w:themeColor="text1"/>
                <w:sz w:val="20"/>
                <w:szCs w:val="20"/>
                <w:shd w:val="clear" w:color="auto" w:fill="FFFFFF"/>
              </w:rPr>
              <w:t xml:space="preserve">, precum și </w:t>
            </w:r>
            <w:proofErr w:type="spellStart"/>
            <w:r w:rsidRPr="0066519A">
              <w:rPr>
                <w:rFonts w:ascii="Times New Roman" w:eastAsia="Arial Unicode MS" w:hAnsi="Times New Roman"/>
                <w:color w:val="000000" w:themeColor="text1"/>
                <w:sz w:val="20"/>
                <w:szCs w:val="20"/>
                <w:shd w:val="clear" w:color="auto" w:fill="FFFFFF"/>
              </w:rPr>
              <w:t>orice</w:t>
            </w:r>
            <w:proofErr w:type="spellEnd"/>
            <w:r w:rsidRPr="0066519A">
              <w:rPr>
                <w:rFonts w:ascii="Times New Roman" w:eastAsia="Arial Unicode MS" w:hAnsi="Times New Roman"/>
                <w:color w:val="000000" w:themeColor="text1"/>
                <w:sz w:val="20"/>
                <w:szCs w:val="20"/>
                <w:shd w:val="clear" w:color="auto" w:fill="FFFFFF"/>
              </w:rPr>
              <w:t xml:space="preserve"> alt </w:t>
            </w:r>
            <w:proofErr w:type="spellStart"/>
            <w:r w:rsidRPr="0066519A">
              <w:rPr>
                <w:rFonts w:ascii="Times New Roman" w:eastAsia="Arial Unicode MS" w:hAnsi="Times New Roman"/>
                <w:color w:val="000000" w:themeColor="text1"/>
                <w:sz w:val="20"/>
                <w:szCs w:val="20"/>
                <w:shd w:val="clear" w:color="auto" w:fill="FFFFFF"/>
              </w:rPr>
              <w:t>produs</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destinat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utilizării</w:t>
            </w:r>
            <w:proofErr w:type="spellEnd"/>
            <w:r w:rsidRPr="0066519A">
              <w:rPr>
                <w:rFonts w:ascii="Times New Roman" w:eastAsia="Arial Unicode MS" w:hAnsi="Times New Roman"/>
                <w:color w:val="000000" w:themeColor="text1"/>
                <w:sz w:val="20"/>
                <w:szCs w:val="20"/>
                <w:shd w:val="clear" w:color="auto" w:fill="FFFFFF"/>
              </w:rPr>
              <w:t xml:space="preserve">, pus în </w:t>
            </w:r>
            <w:proofErr w:type="spellStart"/>
            <w:r w:rsidRPr="0066519A">
              <w:rPr>
                <w:rFonts w:ascii="Times New Roman" w:eastAsia="Arial Unicode MS" w:hAnsi="Times New Roman"/>
                <w:color w:val="000000" w:themeColor="text1"/>
                <w:sz w:val="20"/>
                <w:szCs w:val="20"/>
                <w:shd w:val="clear" w:color="auto" w:fill="FFFFFF"/>
              </w:rPr>
              <w:t>vânzare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utilizat</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drept</w:t>
            </w:r>
            <w:proofErr w:type="spellEnd"/>
            <w:r w:rsidRPr="0066519A">
              <w:rPr>
                <w:rFonts w:ascii="Times New Roman" w:eastAsia="Arial Unicode MS" w:hAnsi="Times New Roman"/>
                <w:color w:val="000000" w:themeColor="text1"/>
                <w:sz w:val="20"/>
                <w:szCs w:val="20"/>
                <w:shd w:val="clear" w:color="auto" w:fill="FFFFFF"/>
              </w:rPr>
              <w:t xml:space="preserve"> carburant </w:t>
            </w:r>
            <w:proofErr w:type="spellStart"/>
            <w:r w:rsidRPr="0066519A">
              <w:rPr>
                <w:rFonts w:ascii="Times New Roman" w:eastAsia="Arial Unicode MS" w:hAnsi="Times New Roman"/>
                <w:color w:val="000000" w:themeColor="text1"/>
                <w:sz w:val="20"/>
                <w:szCs w:val="20"/>
                <w:shd w:val="clear" w:color="auto" w:fill="FFFFFF"/>
              </w:rPr>
              <w:t>sau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combustibil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încălzire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cum se </w:t>
            </w:r>
            <w:proofErr w:type="spellStart"/>
            <w:r w:rsidRPr="0066519A">
              <w:rPr>
                <w:rFonts w:ascii="Times New Roman" w:eastAsia="Arial Unicode MS" w:hAnsi="Times New Roman"/>
                <w:color w:val="000000" w:themeColor="text1"/>
                <w:sz w:val="20"/>
                <w:szCs w:val="20"/>
                <w:shd w:val="clear" w:color="auto" w:fill="FFFFFF"/>
              </w:rPr>
              <w:t>precizează</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2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respectivă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inclusiv</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producerea</w:t>
            </w:r>
            <w:proofErr w:type="spellEnd"/>
            <w:r w:rsidRPr="0066519A">
              <w:rPr>
                <w:rFonts w:ascii="Times New Roman" w:eastAsia="Arial Unicode MS" w:hAnsi="Times New Roman"/>
                <w:color w:val="000000" w:themeColor="text1"/>
                <w:sz w:val="20"/>
                <w:szCs w:val="20"/>
                <w:shd w:val="clear" w:color="auto" w:fill="FFFFFF"/>
              </w:rPr>
              <w:t xml:space="preserve"> energiei </w:t>
            </w:r>
            <w:proofErr w:type="spellStart"/>
            <w:r w:rsidRPr="0066519A">
              <w:rPr>
                <w:rFonts w:ascii="Times New Roman" w:eastAsia="Arial Unicode MS" w:hAnsi="Times New Roman"/>
                <w:color w:val="000000" w:themeColor="text1"/>
                <w:sz w:val="20"/>
                <w:szCs w:val="20"/>
                <w:shd w:val="clear" w:color="auto" w:fill="FFFFFF"/>
              </w:rPr>
              <w:t>electrice</w:t>
            </w:r>
            <w:proofErr w:type="spellEnd"/>
            <w:r w:rsidRPr="0066519A">
              <w:rPr>
                <w:rFonts w:ascii="Times New Roman" w:eastAsia="Arial Unicode MS" w:hAnsi="Times New Roman"/>
                <w:color w:val="000000" w:themeColor="text1"/>
                <w:sz w:val="20"/>
                <w:szCs w:val="20"/>
                <w:shd w:val="clear" w:color="auto" w:fill="FFFFFF"/>
              </w:rPr>
              <w:t>;</w:t>
            </w:r>
          </w:p>
          <w:p w14:paraId="2327EC2B" w14:textId="7B3F9A4E" w:rsidR="00124364" w:rsidRPr="0066519A" w:rsidRDefault="00000000">
            <w:pPr>
              <w:pStyle w:val="af8"/>
              <w:numPr>
                <w:ilvl w:val="0"/>
                <w:numId w:val="11"/>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spellStart"/>
            <w:proofErr w:type="gramStart"/>
            <w:r w:rsidRPr="0066519A">
              <w:rPr>
                <w:rFonts w:ascii="Times New Roman" w:eastAsia="Arial Unicode MS" w:hAnsi="Times New Roman"/>
                <w:color w:val="000000" w:themeColor="text1"/>
                <w:sz w:val="20"/>
                <w:szCs w:val="20"/>
                <w:shd w:val="clear" w:color="auto" w:fill="FFFFFF"/>
              </w:rPr>
              <w:t>eliberare</w:t>
            </w:r>
            <w:proofErr w:type="spellEnd"/>
            <w:proofErr w:type="gram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consum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0066519A"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din prezenta </w:t>
            </w:r>
            <w:proofErr w:type="spellStart"/>
            <w:r w:rsidRPr="0066519A">
              <w:rPr>
                <w:rFonts w:ascii="Times New Roman" w:eastAsia="Arial Unicode MS" w:hAnsi="Times New Roman"/>
                <w:color w:val="000000" w:themeColor="text1"/>
                <w:sz w:val="20"/>
                <w:szCs w:val="20"/>
                <w:shd w:val="clear" w:color="auto" w:fill="FFFFFF"/>
              </w:rPr>
              <w:t>directivă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eliberarea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consum</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astfel</w:t>
            </w:r>
            <w:proofErr w:type="spellEnd"/>
            <w:r w:rsidRPr="0066519A">
              <w:rPr>
                <w:rFonts w:ascii="Times New Roman" w:eastAsia="Arial Unicode MS" w:hAnsi="Times New Roman"/>
                <w:color w:val="000000" w:themeColor="text1"/>
                <w:sz w:val="20"/>
                <w:szCs w:val="20"/>
                <w:shd w:val="clear" w:color="auto" w:fill="FFFFFF"/>
              </w:rPr>
              <w:t xml:space="preserve"> cum </w:t>
            </w:r>
            <w:proofErr w:type="spellStart"/>
            <w:r w:rsidRPr="0066519A">
              <w:rPr>
                <w:rFonts w:ascii="Times New Roman" w:eastAsia="Arial Unicode MS" w:hAnsi="Times New Roman"/>
                <w:color w:val="000000" w:themeColor="text1"/>
                <w:sz w:val="20"/>
                <w:szCs w:val="20"/>
                <w:shd w:val="clear" w:color="auto" w:fill="FFFFFF"/>
              </w:rPr>
              <w:t>este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definită</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articolul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6 </w:t>
            </w:r>
            <w:proofErr w:type="spellStart"/>
            <w:r w:rsidRPr="0066519A">
              <w:rPr>
                <w:rFonts w:ascii="Times New Roman" w:eastAsia="Arial Unicode MS" w:hAnsi="Times New Roman"/>
                <w:color w:val="000000" w:themeColor="text1"/>
                <w:sz w:val="20"/>
                <w:szCs w:val="20"/>
                <w:shd w:val="clear" w:color="auto" w:fill="FFFFFF"/>
              </w:rPr>
              <w:t>alineatul</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 xml:space="preserve">(3) din </w:t>
            </w:r>
            <w:proofErr w:type="spellStart"/>
            <w:r w:rsidRPr="0066519A">
              <w:rPr>
                <w:rFonts w:ascii="Times New Roman" w:eastAsia="Arial Unicode MS" w:hAnsi="Times New Roman"/>
                <w:color w:val="000000" w:themeColor="text1"/>
                <w:sz w:val="20"/>
                <w:szCs w:val="20"/>
                <w:shd w:val="clear" w:color="auto" w:fill="FFFFFF"/>
              </w:rPr>
              <w:t>Directiva</w:t>
            </w:r>
            <w:proofErr w:type="spellEnd"/>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(UE)</w:t>
            </w:r>
            <w:r w:rsidR="0066519A" w:rsidRPr="0066519A">
              <w:rPr>
                <w:rFonts w:ascii="Times New Roman" w:eastAsia="Arial Unicode MS" w:hAnsi="Times New Roman"/>
                <w:color w:val="000000" w:themeColor="text1"/>
                <w:sz w:val="20"/>
                <w:szCs w:val="20"/>
                <w:shd w:val="clear" w:color="auto" w:fill="FFFFFF"/>
              </w:rPr>
              <w:t xml:space="preserve"> </w:t>
            </w:r>
            <w:r w:rsidRPr="0066519A">
              <w:rPr>
                <w:rFonts w:ascii="Times New Roman" w:eastAsia="Arial Unicode MS" w:hAnsi="Times New Roman"/>
                <w:color w:val="000000" w:themeColor="text1"/>
                <w:sz w:val="20"/>
                <w:szCs w:val="20"/>
                <w:shd w:val="clear" w:color="auto" w:fill="FFFFFF"/>
              </w:rPr>
              <w:t>2020/262;</w:t>
            </w:r>
          </w:p>
          <w:p w14:paraId="4D9BF9AC" w14:textId="77777777" w:rsidR="00124364" w:rsidRPr="0066519A" w:rsidRDefault="00000000">
            <w:pPr>
              <w:pStyle w:val="af8"/>
              <w:numPr>
                <w:ilvl w:val="0"/>
                <w:numId w:val="12"/>
              </w:numPr>
              <w:spacing w:after="0" w:line="240" w:lineRule="auto"/>
              <w:jc w:val="both"/>
              <w:rPr>
                <w:rFonts w:ascii="Times New Roman" w:hAnsi="Times New Roman"/>
                <w:color w:val="000000" w:themeColor="text1"/>
                <w:sz w:val="20"/>
                <w:szCs w:val="20"/>
              </w:rPr>
            </w:pPr>
            <w:r>
              <w:rPr>
                <w:rFonts w:ascii="Times New Roman" w:eastAsia="Arial Unicode MS" w:hAnsi="Times New Roman"/>
                <w:color w:val="333333"/>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TTF al </w:t>
            </w:r>
            <w:proofErr w:type="spellStart"/>
            <w:r w:rsidRPr="0066519A">
              <w:rPr>
                <w:rFonts w:ascii="Times New Roman" w:eastAsia="Arial Unicode MS" w:hAnsi="Times New Roman"/>
                <w:color w:val="000000" w:themeColor="text1"/>
                <w:sz w:val="20"/>
                <w:szCs w:val="20"/>
                <w:shd w:val="clear" w:color="auto" w:fill="FFFFFF"/>
              </w:rPr>
              <w:t>gazelor</w:t>
            </w:r>
            <w:proofErr w:type="spellEnd"/>
            <w:r w:rsidRPr="0066519A">
              <w:rPr>
                <w:rFonts w:ascii="Times New Roman" w:eastAsia="Arial Unicode MS" w:hAnsi="Times New Roman"/>
                <w:color w:val="000000" w:themeColor="text1"/>
                <w:sz w:val="20"/>
                <w:szCs w:val="20"/>
                <w:shd w:val="clear" w:color="auto" w:fill="FFFFFF"/>
              </w:rPr>
              <w:t xml:space="preserve"> naturale”,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gazelor</w:t>
            </w:r>
            <w:proofErr w:type="spellEnd"/>
            <w:r w:rsidRPr="0066519A">
              <w:rPr>
                <w:rFonts w:ascii="Times New Roman" w:eastAsia="Arial Unicode MS" w:hAnsi="Times New Roman"/>
                <w:color w:val="000000" w:themeColor="text1"/>
                <w:sz w:val="20"/>
                <w:szCs w:val="20"/>
                <w:shd w:val="clear" w:color="auto" w:fill="FFFFFF"/>
              </w:rPr>
              <w:t xml:space="preserve"> naturale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luna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următoare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tranzacționat</w:t>
            </w:r>
            <w:proofErr w:type="spellEnd"/>
            <w:r w:rsidRPr="0066519A">
              <w:rPr>
                <w:rFonts w:ascii="Times New Roman" w:eastAsia="Arial Unicode MS" w:hAnsi="Times New Roman"/>
                <w:color w:val="000000" w:themeColor="text1"/>
                <w:sz w:val="20"/>
                <w:szCs w:val="20"/>
                <w:shd w:val="clear" w:color="auto" w:fill="FFFFFF"/>
              </w:rPr>
              <w:t xml:space="preserve"> la </w:t>
            </w:r>
            <w:proofErr w:type="spellStart"/>
            <w:r w:rsidRPr="0066519A">
              <w:rPr>
                <w:rFonts w:ascii="Times New Roman" w:eastAsia="Arial Unicode MS" w:hAnsi="Times New Roman"/>
                <w:color w:val="000000" w:themeColor="text1"/>
                <w:sz w:val="20"/>
                <w:szCs w:val="20"/>
                <w:shd w:val="clear" w:color="auto" w:fill="FFFFFF"/>
              </w:rPr>
              <w:t>punctul</w:t>
            </w:r>
            <w:proofErr w:type="spellEnd"/>
            <w:r w:rsidRPr="0066519A">
              <w:rPr>
                <w:rFonts w:ascii="Times New Roman" w:eastAsia="Arial Unicode MS" w:hAnsi="Times New Roman"/>
                <w:color w:val="000000" w:themeColor="text1"/>
                <w:sz w:val="20"/>
                <w:szCs w:val="20"/>
                <w:shd w:val="clear" w:color="auto" w:fill="FFFFFF"/>
              </w:rPr>
              <w:t xml:space="preserve"> virtual de </w:t>
            </w:r>
            <w:proofErr w:type="spellStart"/>
            <w:r w:rsidRPr="0066519A">
              <w:rPr>
                <w:rFonts w:ascii="Times New Roman" w:eastAsia="Arial Unicode MS" w:hAnsi="Times New Roman"/>
                <w:color w:val="000000" w:themeColor="text1"/>
                <w:sz w:val="20"/>
                <w:szCs w:val="20"/>
                <w:shd w:val="clear" w:color="auto" w:fill="FFFFFF"/>
              </w:rPr>
              <w:t>tranzacționare</w:t>
            </w:r>
            <w:proofErr w:type="spellEnd"/>
            <w:r w:rsidRPr="0066519A">
              <w:rPr>
                <w:rFonts w:ascii="Times New Roman" w:eastAsia="Arial Unicode MS" w:hAnsi="Times New Roman"/>
                <w:color w:val="000000" w:themeColor="text1"/>
                <w:sz w:val="20"/>
                <w:szCs w:val="20"/>
                <w:shd w:val="clear" w:color="auto" w:fill="FFFFFF"/>
              </w:rPr>
              <w:t xml:space="preserve"> al </w:t>
            </w:r>
            <w:proofErr w:type="spellStart"/>
            <w:r w:rsidRPr="0066519A">
              <w:rPr>
                <w:rFonts w:ascii="Times New Roman" w:eastAsia="Arial Unicode MS" w:hAnsi="Times New Roman"/>
                <w:color w:val="000000" w:themeColor="text1"/>
                <w:sz w:val="20"/>
                <w:szCs w:val="20"/>
                <w:shd w:val="clear" w:color="auto" w:fill="FFFFFF"/>
              </w:rPr>
              <w:t>mecanismului</w:t>
            </w:r>
            <w:proofErr w:type="spellEnd"/>
            <w:r w:rsidRPr="0066519A">
              <w:rPr>
                <w:rFonts w:ascii="Times New Roman" w:eastAsia="Arial Unicode MS" w:hAnsi="Times New Roman"/>
                <w:color w:val="000000" w:themeColor="text1"/>
                <w:sz w:val="20"/>
                <w:szCs w:val="20"/>
                <w:shd w:val="clear" w:color="auto" w:fill="FFFFFF"/>
              </w:rPr>
              <w:t xml:space="preserve"> de transfer de </w:t>
            </w:r>
            <w:proofErr w:type="spellStart"/>
            <w:r w:rsidRPr="0066519A">
              <w:rPr>
                <w:rFonts w:ascii="Times New Roman" w:eastAsia="Arial Unicode MS" w:hAnsi="Times New Roman"/>
                <w:color w:val="000000" w:themeColor="text1"/>
                <w:sz w:val="20"/>
                <w:szCs w:val="20"/>
                <w:shd w:val="clear" w:color="auto" w:fill="FFFFFF"/>
              </w:rPr>
              <w:t>titluri</w:t>
            </w:r>
            <w:proofErr w:type="spellEnd"/>
            <w:r w:rsidRPr="0066519A">
              <w:rPr>
                <w:rFonts w:ascii="Times New Roman" w:eastAsia="Arial Unicode MS" w:hAnsi="Times New Roman"/>
                <w:color w:val="000000" w:themeColor="text1"/>
                <w:sz w:val="20"/>
                <w:szCs w:val="20"/>
                <w:shd w:val="clear" w:color="auto" w:fill="FFFFFF"/>
              </w:rPr>
              <w:t xml:space="preserve"> (TTF), </w:t>
            </w:r>
            <w:proofErr w:type="spellStart"/>
            <w:r w:rsidRPr="0066519A">
              <w:rPr>
                <w:rFonts w:ascii="Times New Roman" w:eastAsia="Arial Unicode MS" w:hAnsi="Times New Roman"/>
                <w:color w:val="000000" w:themeColor="text1"/>
                <w:sz w:val="20"/>
                <w:szCs w:val="20"/>
                <w:shd w:val="clear" w:color="auto" w:fill="FFFFFF"/>
              </w:rPr>
              <w:t>exploatat</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Gasunie</w:t>
            </w:r>
            <w:proofErr w:type="spellEnd"/>
            <w:r w:rsidRPr="0066519A">
              <w:rPr>
                <w:rFonts w:ascii="Times New Roman" w:eastAsia="Arial Unicode MS" w:hAnsi="Times New Roman"/>
                <w:color w:val="000000" w:themeColor="text1"/>
                <w:sz w:val="20"/>
                <w:szCs w:val="20"/>
                <w:shd w:val="clear" w:color="auto" w:fill="FFFFFF"/>
              </w:rPr>
              <w:t xml:space="preserve"> Transport Services </w:t>
            </w:r>
            <w:proofErr w:type="gramStart"/>
            <w:r w:rsidRPr="0066519A">
              <w:rPr>
                <w:rFonts w:ascii="Times New Roman" w:eastAsia="Arial Unicode MS" w:hAnsi="Times New Roman"/>
                <w:color w:val="000000" w:themeColor="text1"/>
                <w:sz w:val="20"/>
                <w:szCs w:val="20"/>
                <w:shd w:val="clear" w:color="auto" w:fill="FFFFFF"/>
              </w:rPr>
              <w:t>B.V.;</w:t>
            </w:r>
            <w:proofErr w:type="gramEnd"/>
          </w:p>
          <w:p w14:paraId="73C62355" w14:textId="77777777" w:rsidR="00124364" w:rsidRPr="0066519A" w:rsidRDefault="00000000">
            <w:pPr>
              <w:pStyle w:val="af8"/>
              <w:numPr>
                <w:ilvl w:val="0"/>
                <w:numId w:val="13"/>
              </w:numPr>
              <w:spacing w:after="0" w:line="240" w:lineRule="auto"/>
              <w:jc w:val="both"/>
              <w:rPr>
                <w:rFonts w:ascii="Times New Roman" w:hAnsi="Times New Roman"/>
                <w:color w:val="000000" w:themeColor="text1"/>
                <w:sz w:val="20"/>
                <w:szCs w:val="20"/>
              </w:rPr>
            </w:pPr>
            <w:r w:rsidRPr="0066519A">
              <w:rPr>
                <w:rFonts w:ascii="Times New Roman" w:eastAsia="Arial Unicode MS" w:hAnsi="Times New Roman"/>
                <w:color w:val="000000" w:themeColor="text1"/>
                <w:sz w:val="20"/>
                <w:szCs w:val="20"/>
                <w:shd w:val="clear" w:color="auto" w:fill="FFFFFF"/>
              </w:rPr>
              <w:t>„</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Brent al </w:t>
            </w:r>
            <w:proofErr w:type="spellStart"/>
            <w:r w:rsidRPr="0066519A">
              <w:rPr>
                <w:rFonts w:ascii="Times New Roman" w:eastAsia="Arial Unicode MS" w:hAnsi="Times New Roman"/>
                <w:color w:val="000000" w:themeColor="text1"/>
                <w:sz w:val="20"/>
                <w:szCs w:val="20"/>
                <w:shd w:val="clear" w:color="auto" w:fill="FFFFFF"/>
              </w:rPr>
              <w:t>țițeiului</w:t>
            </w:r>
            <w:proofErr w:type="spellEnd"/>
            <w:r w:rsidRPr="0066519A">
              <w:rPr>
                <w:rFonts w:ascii="Times New Roman" w:eastAsia="Arial Unicode MS" w:hAnsi="Times New Roman"/>
                <w:color w:val="000000" w:themeColor="text1"/>
                <w:sz w:val="20"/>
                <w:szCs w:val="20"/>
                <w:shd w:val="clear" w:color="auto" w:fill="FFFFFF"/>
              </w:rPr>
              <w:t xml:space="preserve">”, în </w:t>
            </w:r>
            <w:proofErr w:type="spellStart"/>
            <w:r w:rsidRPr="0066519A">
              <w:rPr>
                <w:rFonts w:ascii="Times New Roman" w:eastAsia="Arial Unicode MS" w:hAnsi="Times New Roman"/>
                <w:color w:val="000000" w:themeColor="text1"/>
                <w:sz w:val="20"/>
                <w:szCs w:val="20"/>
                <w:shd w:val="clear" w:color="auto" w:fill="FFFFFF"/>
              </w:rPr>
              <w:t>sensul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capitolului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IVa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înseamnă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prețul</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țițeiului</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luna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următoare</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utilizat</w:t>
            </w:r>
            <w:proofErr w:type="spellEnd"/>
            <w:r w:rsidRPr="0066519A">
              <w:rPr>
                <w:rFonts w:ascii="Times New Roman" w:eastAsia="Arial Unicode MS" w:hAnsi="Times New Roman"/>
                <w:color w:val="000000" w:themeColor="text1"/>
                <w:sz w:val="20"/>
                <w:szCs w:val="20"/>
                <w:shd w:val="clear" w:color="auto" w:fill="FFFFFF"/>
              </w:rPr>
              <w:t xml:space="preserve"> ca </w:t>
            </w:r>
            <w:proofErr w:type="spellStart"/>
            <w:r w:rsidRPr="0066519A">
              <w:rPr>
                <w:rFonts w:ascii="Times New Roman" w:eastAsia="Arial Unicode MS" w:hAnsi="Times New Roman"/>
                <w:color w:val="000000" w:themeColor="text1"/>
                <w:sz w:val="20"/>
                <w:szCs w:val="20"/>
                <w:shd w:val="clear" w:color="auto" w:fill="FFFFFF"/>
              </w:rPr>
              <w:t>preț</w:t>
            </w:r>
            <w:proofErr w:type="spellEnd"/>
            <w:r w:rsidRPr="0066519A">
              <w:rPr>
                <w:rFonts w:ascii="Times New Roman" w:eastAsia="Arial Unicode MS" w:hAnsi="Times New Roman"/>
                <w:color w:val="000000" w:themeColor="text1"/>
                <w:sz w:val="20"/>
                <w:szCs w:val="20"/>
                <w:shd w:val="clear" w:color="auto" w:fill="FFFFFF"/>
              </w:rPr>
              <w:t xml:space="preserve"> de </w:t>
            </w:r>
            <w:proofErr w:type="spellStart"/>
            <w:r w:rsidRPr="0066519A">
              <w:rPr>
                <w:rFonts w:ascii="Times New Roman" w:eastAsia="Arial Unicode MS" w:hAnsi="Times New Roman"/>
                <w:color w:val="000000" w:themeColor="text1"/>
                <w:sz w:val="20"/>
                <w:szCs w:val="20"/>
                <w:shd w:val="clear" w:color="auto" w:fill="FFFFFF"/>
              </w:rPr>
              <w:t>referință</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pentru</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achiziționarea</w:t>
            </w:r>
            <w:proofErr w:type="spellEnd"/>
            <w:r w:rsidRPr="0066519A">
              <w:rPr>
                <w:rFonts w:ascii="Times New Roman" w:eastAsia="Arial Unicode MS" w:hAnsi="Times New Roman"/>
                <w:color w:val="000000" w:themeColor="text1"/>
                <w:sz w:val="20"/>
                <w:szCs w:val="20"/>
                <w:shd w:val="clear" w:color="auto" w:fill="FFFFFF"/>
              </w:rPr>
              <w:t xml:space="preserve"> </w:t>
            </w:r>
            <w:proofErr w:type="spellStart"/>
            <w:r w:rsidRPr="0066519A">
              <w:rPr>
                <w:rFonts w:ascii="Times New Roman" w:eastAsia="Arial Unicode MS" w:hAnsi="Times New Roman"/>
                <w:color w:val="000000" w:themeColor="text1"/>
                <w:sz w:val="20"/>
                <w:szCs w:val="20"/>
                <w:shd w:val="clear" w:color="auto" w:fill="FFFFFF"/>
              </w:rPr>
              <w:t>țițeiului</w:t>
            </w:r>
            <w:proofErr w:type="spellEnd"/>
            <w:r w:rsidRPr="0066519A">
              <w:rPr>
                <w:rFonts w:ascii="Times New Roman" w:eastAsia="Arial Unicode MS" w:hAnsi="Times New Roman"/>
                <w:color w:val="000000" w:themeColor="text1"/>
                <w:sz w:val="20"/>
                <w:szCs w:val="20"/>
                <w:shd w:val="clear" w:color="auto" w:fill="FFFFFF"/>
              </w:rPr>
              <w:t>.</w:t>
            </w:r>
          </w:p>
          <w:p w14:paraId="13466AA5" w14:textId="77777777" w:rsidR="00124364" w:rsidRDefault="00000000">
            <w:pPr>
              <w:spacing w:after="0" w:line="240" w:lineRule="auto"/>
              <w:ind w:left="360"/>
              <w:jc w:val="both"/>
              <w:rPr>
                <w:rFonts w:ascii="Times New Roman" w:hAnsi="Times New Roman"/>
                <w:sz w:val="20"/>
                <w:szCs w:val="20"/>
                <w:shd w:val="clear" w:color="auto" w:fill="FFFFFF"/>
                <w:lang w:val="ro-RO"/>
              </w:rPr>
            </w:pPr>
            <w:hyperlink r:id="rId40" w:tooltip="32008L0101: INSERTED" w:history="1">
              <w:r>
                <w:rPr>
                  <w:rStyle w:val="af3"/>
                  <w:rFonts w:ascii="Times New Roman" w:eastAsia="Arial Unicode MS" w:hAnsi="Times New Roman"/>
                  <w:b/>
                  <w:bCs/>
                  <w:color w:val="4472C4" w:themeColor="accent1"/>
                  <w:sz w:val="20"/>
                  <w:szCs w:val="20"/>
                </w:rPr>
                <w:t>▼M2</w:t>
              </w:r>
            </w:hyperlink>
          </w:p>
        </w:tc>
        <w:tc>
          <w:tcPr>
            <w:tcW w:w="4394" w:type="dxa"/>
            <w:shd w:val="clear" w:color="auto" w:fill="auto"/>
          </w:tcPr>
          <w:p w14:paraId="31361B3F" w14:textId="2FDBBCA7" w:rsidR="00124364" w:rsidRDefault="00BC487D" w:rsidP="00BC487D">
            <w:pPr>
              <w:pStyle w:val="af8"/>
              <w:spacing w:after="0" w:line="240" w:lineRule="auto"/>
              <w:ind w:left="0" w:firstLine="426"/>
              <w:contextualSpacing w:val="0"/>
              <w:jc w:val="both"/>
              <w:rPr>
                <w:rFonts w:ascii="Times New Roman" w:hAnsi="Times New Roman"/>
                <w:b/>
                <w:sz w:val="20"/>
                <w:szCs w:val="20"/>
                <w:lang w:val="ro-MD"/>
              </w:rPr>
            </w:pPr>
            <w:r w:rsidRPr="0066519A">
              <w:rPr>
                <w:rFonts w:ascii="Times New Roman" w:hAnsi="Times New Roman"/>
                <w:b/>
                <w:sz w:val="20"/>
                <w:szCs w:val="20"/>
                <w:lang w:val="ro-MD"/>
              </w:rPr>
              <w:lastRenderedPageBreak/>
              <w:t xml:space="preserve">Articolul </w:t>
            </w:r>
            <w:r>
              <w:rPr>
                <w:rFonts w:ascii="Times New Roman" w:hAnsi="Times New Roman"/>
                <w:b/>
                <w:sz w:val="20"/>
                <w:szCs w:val="20"/>
                <w:lang w:val="ro-MD"/>
              </w:rPr>
              <w:t>3</w:t>
            </w:r>
            <w:r w:rsidRPr="0066519A">
              <w:rPr>
                <w:rFonts w:ascii="Times New Roman" w:hAnsi="Times New Roman"/>
                <w:b/>
                <w:sz w:val="20"/>
                <w:szCs w:val="20"/>
                <w:lang w:val="ro-MD"/>
              </w:rPr>
              <w:t>.</w:t>
            </w:r>
            <w:r>
              <w:rPr>
                <w:rFonts w:ascii="Times New Roman" w:hAnsi="Times New Roman"/>
                <w:b/>
                <w:sz w:val="20"/>
                <w:szCs w:val="20"/>
                <w:lang w:val="ro-MD"/>
              </w:rPr>
              <w:t xml:space="preserve"> Noțiuni principale</w:t>
            </w:r>
          </w:p>
          <w:p w14:paraId="71A733BA" w14:textId="24178D49" w:rsidR="00BC487D" w:rsidRPr="00BC487D" w:rsidRDefault="00BC487D" w:rsidP="00BC487D">
            <w:pPr>
              <w:pStyle w:val="af8"/>
              <w:spacing w:after="0" w:line="240" w:lineRule="auto"/>
              <w:ind w:left="0" w:firstLine="426"/>
              <w:contextualSpacing w:val="0"/>
              <w:jc w:val="both"/>
              <w:rPr>
                <w:rFonts w:ascii="Times New Roman" w:hAnsi="Times New Roman"/>
                <w:sz w:val="20"/>
                <w:szCs w:val="20"/>
                <w:lang w:val="ro-MD" w:eastAsia="zh-CN"/>
              </w:rPr>
            </w:pPr>
            <w:r w:rsidRPr="00BC487D">
              <w:rPr>
                <w:rFonts w:ascii="Times New Roman" w:hAnsi="Times New Roman"/>
                <w:bCs/>
                <w:sz w:val="20"/>
                <w:szCs w:val="20"/>
                <w:shd w:val="clear" w:color="auto" w:fill="FFFFFF"/>
                <w:lang w:val="ro-MD"/>
              </w:rPr>
              <w:t xml:space="preserve">În sensul prezentei legi, </w:t>
            </w:r>
            <w:r w:rsidRPr="00BC487D">
              <w:rPr>
                <w:rFonts w:ascii="Times New Roman" w:hAnsi="Times New Roman"/>
                <w:color w:val="000000"/>
                <w:sz w:val="20"/>
                <w:szCs w:val="20"/>
                <w:shd w:val="clear" w:color="auto" w:fill="FFFFFF"/>
                <w:lang w:val="ro-MD"/>
              </w:rPr>
              <w:t>următoarele noțiuni semnifică:</w:t>
            </w:r>
          </w:p>
          <w:p w14:paraId="03C01229" w14:textId="77777777" w:rsidR="00BC487D" w:rsidRPr="00BC487D" w:rsidRDefault="00BC487D" w:rsidP="00BC487D">
            <w:pPr>
              <w:spacing w:after="0" w:line="240" w:lineRule="auto"/>
              <w:contextualSpacing/>
              <w:jc w:val="both"/>
              <w:rPr>
                <w:rFonts w:ascii="Times New Roman" w:hAnsi="Times New Roman"/>
                <w:sz w:val="20"/>
                <w:szCs w:val="20"/>
                <w:lang w:val="ro-MD"/>
              </w:rPr>
            </w:pPr>
            <w:r w:rsidRPr="00BC487D">
              <w:rPr>
                <w:rFonts w:ascii="Times New Roman" w:hAnsi="Times New Roman"/>
                <w:i/>
                <w:iCs/>
                <w:sz w:val="20"/>
                <w:szCs w:val="20"/>
                <w:lang w:val="ro-MD"/>
              </w:rPr>
              <w:t>călătorie</w:t>
            </w:r>
            <w:r w:rsidRPr="00BC487D">
              <w:rPr>
                <w:rFonts w:ascii="Times New Roman" w:hAnsi="Times New Roman"/>
                <w:sz w:val="20"/>
                <w:szCs w:val="20"/>
                <w:lang w:val="ro-MD"/>
              </w:rPr>
              <w:t xml:space="preserve"> - deplasare a unei nave care începe sau se termină într-un port de escală și servește scopului de a transporta pasageri sau mărfuri în scopuri comerciale;</w:t>
            </w:r>
          </w:p>
          <w:p w14:paraId="1A199013" w14:textId="77777777" w:rsidR="00BC487D" w:rsidRPr="00D95D4D" w:rsidRDefault="00BC487D">
            <w:pPr>
              <w:pStyle w:val="af8"/>
              <w:spacing w:after="120"/>
              <w:ind w:left="0" w:firstLine="426"/>
              <w:contextualSpacing w:val="0"/>
              <w:jc w:val="both"/>
              <w:rPr>
                <w:rFonts w:ascii="Times New Roman" w:hAnsi="Times New Roman"/>
                <w:sz w:val="20"/>
                <w:szCs w:val="20"/>
                <w:lang w:val="zh-CN" w:eastAsia="zh-CN"/>
              </w:rPr>
            </w:pPr>
          </w:p>
          <w:p w14:paraId="61B8ED89" w14:textId="77777777" w:rsidR="00D95D4D" w:rsidRPr="00D95D4D" w:rsidRDefault="00D95D4D" w:rsidP="00D95D4D">
            <w:pPr>
              <w:contextualSpacing/>
              <w:jc w:val="both"/>
              <w:rPr>
                <w:rFonts w:ascii="Times New Roman" w:hAnsi="Times New Roman"/>
                <w:color w:val="000000"/>
                <w:sz w:val="20"/>
                <w:szCs w:val="20"/>
                <w:lang w:val="ro-MD"/>
              </w:rPr>
            </w:pPr>
            <w:r w:rsidRPr="00D95D4D">
              <w:rPr>
                <w:rFonts w:ascii="Times New Roman" w:hAnsi="Times New Roman"/>
                <w:i/>
                <w:iCs/>
                <w:color w:val="000000"/>
                <w:sz w:val="20"/>
                <w:szCs w:val="20"/>
                <w:lang w:val="ro-MD"/>
              </w:rPr>
              <w:t>emisiile antropice</w:t>
            </w:r>
            <w:r w:rsidRPr="00D95D4D">
              <w:rPr>
                <w:rFonts w:ascii="Times New Roman" w:hAnsi="Times New Roman"/>
                <w:color w:val="000000"/>
                <w:sz w:val="20"/>
                <w:szCs w:val="20"/>
                <w:lang w:val="ro-MD"/>
              </w:rPr>
              <w:t xml:space="preserve"> – eliberarea în atmosferă de gaze cu efect de seră sau de precursori ale acestora, atribuită activităților umane, inclusiv emisiile provenite din surse de la instalații, de la aeronave ce efectuează activități de aviație sau de la nave care desfășoară călătorii de transport maritim;</w:t>
            </w:r>
          </w:p>
          <w:p w14:paraId="15CF3032" w14:textId="77777777" w:rsidR="00D95D4D" w:rsidRDefault="00D95D4D" w:rsidP="00D95D4D">
            <w:pPr>
              <w:contextualSpacing/>
              <w:jc w:val="both"/>
              <w:rPr>
                <w:rFonts w:ascii="Times New Roman" w:hAnsi="Times New Roman"/>
                <w:i/>
                <w:iCs/>
                <w:color w:val="000000"/>
                <w:sz w:val="20"/>
                <w:szCs w:val="20"/>
                <w:lang w:val="ro-MD"/>
              </w:rPr>
            </w:pPr>
          </w:p>
          <w:p w14:paraId="4DA98932" w14:textId="7884B2E0" w:rsidR="00D95D4D" w:rsidRPr="00D95D4D" w:rsidRDefault="00D95D4D" w:rsidP="00D95D4D">
            <w:pPr>
              <w:contextualSpacing/>
              <w:jc w:val="both"/>
              <w:rPr>
                <w:rFonts w:ascii="Times New Roman" w:hAnsi="Times New Roman"/>
                <w:color w:val="000000"/>
                <w:sz w:val="20"/>
                <w:szCs w:val="20"/>
                <w:lang w:val="ro-MD"/>
              </w:rPr>
            </w:pPr>
            <w:r w:rsidRPr="00D95D4D">
              <w:rPr>
                <w:rFonts w:ascii="Times New Roman" w:hAnsi="Times New Roman"/>
                <w:i/>
                <w:iCs/>
                <w:color w:val="000000"/>
                <w:sz w:val="20"/>
                <w:szCs w:val="20"/>
                <w:lang w:val="ro-MD"/>
              </w:rPr>
              <w:t>gaze cu efect de seră</w:t>
            </w:r>
            <w:r w:rsidRPr="00D95D4D">
              <w:rPr>
                <w:rFonts w:ascii="Times New Roman" w:hAnsi="Times New Roman"/>
                <w:color w:val="000000"/>
                <w:sz w:val="20"/>
                <w:szCs w:val="20"/>
                <w:lang w:val="ro-MD"/>
              </w:rPr>
              <w:t xml:space="preserve"> (în continuare - GES) - constituenți gazoși ai atmosferei, de origine naturali sau antropice, care absorb și reemit radiația infraroșie.</w:t>
            </w:r>
          </w:p>
          <w:p w14:paraId="58CE2C0E" w14:textId="77777777" w:rsidR="00D95D4D" w:rsidRDefault="00D95D4D" w:rsidP="00D95D4D">
            <w:pPr>
              <w:contextualSpacing/>
              <w:jc w:val="both"/>
              <w:rPr>
                <w:rFonts w:ascii="Times New Roman" w:hAnsi="Times New Roman"/>
                <w:bCs/>
                <w:i/>
                <w:sz w:val="20"/>
                <w:szCs w:val="20"/>
                <w:shd w:val="clear" w:color="auto" w:fill="FFFFFF"/>
                <w:lang w:val="ro-MD"/>
              </w:rPr>
            </w:pPr>
          </w:p>
          <w:p w14:paraId="00FC63E7" w14:textId="0187FBA9" w:rsidR="00D95D4D" w:rsidRPr="00D95D4D" w:rsidRDefault="00D95D4D" w:rsidP="00D95D4D">
            <w:pPr>
              <w:contextualSpacing/>
              <w:jc w:val="both"/>
              <w:rPr>
                <w:rFonts w:ascii="Times New Roman" w:hAnsi="Times New Roman"/>
                <w:sz w:val="20"/>
                <w:szCs w:val="20"/>
                <w:shd w:val="clear" w:color="auto" w:fill="FFFFFF"/>
                <w:lang w:val="ro-MD"/>
              </w:rPr>
            </w:pPr>
            <w:r w:rsidRPr="00D95D4D">
              <w:rPr>
                <w:rFonts w:ascii="Times New Roman" w:hAnsi="Times New Roman"/>
                <w:bCs/>
                <w:i/>
                <w:sz w:val="20"/>
                <w:szCs w:val="20"/>
                <w:shd w:val="clear" w:color="auto" w:fill="FFFFFF"/>
                <w:lang w:val="ro-MD"/>
              </w:rPr>
              <w:t>instalație</w:t>
            </w:r>
            <w:r w:rsidRPr="00D95D4D">
              <w:rPr>
                <w:rFonts w:ascii="Times New Roman" w:hAnsi="Times New Roman"/>
                <w:bCs/>
                <w:sz w:val="20"/>
                <w:szCs w:val="20"/>
                <w:shd w:val="clear" w:color="auto" w:fill="FFFFFF"/>
                <w:lang w:val="ro-MD"/>
              </w:rPr>
              <w:t xml:space="preserve"> </w:t>
            </w:r>
            <w:r w:rsidRPr="00D95D4D">
              <w:rPr>
                <w:rFonts w:ascii="Times New Roman" w:hAnsi="Times New Roman"/>
                <w:sz w:val="20"/>
                <w:szCs w:val="20"/>
                <w:shd w:val="clear" w:color="auto" w:fill="FFFFFF"/>
                <w:lang w:val="ro-MD"/>
              </w:rPr>
              <w:t xml:space="preserve">- orice unitate tehnică staționară, în care se desfășoară una sau mai multe activități </w:t>
            </w:r>
            <w:r w:rsidRPr="00D95D4D">
              <w:rPr>
                <w:rFonts w:ascii="Times New Roman" w:hAnsi="Times New Roman"/>
                <w:sz w:val="20"/>
                <w:szCs w:val="20"/>
                <w:lang w:val="ro-MD"/>
              </w:rPr>
              <w:t>enumerate</w:t>
            </w:r>
            <w:r w:rsidRPr="00D95D4D">
              <w:rPr>
                <w:rFonts w:ascii="Times New Roman" w:hAnsi="Times New Roman"/>
                <w:sz w:val="20"/>
                <w:szCs w:val="20"/>
                <w:shd w:val="clear" w:color="auto" w:fill="FFFFFF"/>
                <w:lang w:val="ro-MD"/>
              </w:rPr>
              <w:t xml:space="preserve"> în Anexa </w:t>
            </w:r>
            <w:r w:rsidRPr="00D95D4D">
              <w:rPr>
                <w:rFonts w:ascii="Times New Roman" w:hAnsi="Times New Roman"/>
                <w:sz w:val="20"/>
                <w:szCs w:val="20"/>
                <w:lang w:val="ro-MD"/>
              </w:rPr>
              <w:t>nr.</w:t>
            </w:r>
            <w:r w:rsidRPr="00D95D4D">
              <w:rPr>
                <w:rFonts w:ascii="Times New Roman" w:hAnsi="Times New Roman"/>
                <w:sz w:val="20"/>
                <w:szCs w:val="20"/>
                <w:shd w:val="clear" w:color="auto" w:fill="FFFFFF"/>
                <w:lang w:val="ro-MD"/>
              </w:rPr>
              <w:t>1, precum și orice activitate direct legată tehnic de activitățile desfășurate pe acel amplasament și care pot genera emisii și poluare;</w:t>
            </w:r>
          </w:p>
          <w:p w14:paraId="5ECC9106" w14:textId="77777777" w:rsidR="00D95D4D" w:rsidRPr="00D95D4D" w:rsidRDefault="00D95D4D" w:rsidP="00D95D4D">
            <w:pPr>
              <w:contextualSpacing/>
              <w:jc w:val="both"/>
              <w:rPr>
                <w:rFonts w:ascii="Times New Roman" w:hAnsi="Times New Roman"/>
                <w:sz w:val="20"/>
                <w:szCs w:val="20"/>
                <w:lang w:val="ro-MD"/>
              </w:rPr>
            </w:pPr>
          </w:p>
          <w:p w14:paraId="68E46A52" w14:textId="77777777" w:rsidR="00D95D4D" w:rsidRPr="00D95D4D" w:rsidRDefault="00D95D4D" w:rsidP="00D95D4D">
            <w:pPr>
              <w:pStyle w:val="af8"/>
              <w:ind w:left="0"/>
              <w:jc w:val="both"/>
              <w:rPr>
                <w:rFonts w:ascii="Times New Roman" w:hAnsi="Times New Roman"/>
                <w:bCs/>
                <w:color w:val="000000"/>
                <w:sz w:val="20"/>
                <w:szCs w:val="20"/>
                <w:shd w:val="clear" w:color="auto" w:fill="FFFFFF"/>
                <w:lang w:val="ro-MD"/>
              </w:rPr>
            </w:pPr>
            <w:r w:rsidRPr="00D95D4D">
              <w:rPr>
                <w:rFonts w:ascii="Times New Roman" w:hAnsi="Times New Roman"/>
                <w:bCs/>
                <w:i/>
                <w:color w:val="000000"/>
                <w:sz w:val="20"/>
                <w:szCs w:val="20"/>
                <w:shd w:val="clear" w:color="auto" w:fill="FFFFFF"/>
                <w:lang w:val="ro-MD"/>
              </w:rPr>
              <w:t>operator</w:t>
            </w:r>
            <w:r w:rsidRPr="00D95D4D">
              <w:rPr>
                <w:rFonts w:ascii="Times New Roman" w:hAnsi="Times New Roman"/>
                <w:bCs/>
                <w:color w:val="000000"/>
                <w:sz w:val="20"/>
                <w:szCs w:val="20"/>
                <w:shd w:val="clear" w:color="auto" w:fill="FFFFFF"/>
                <w:lang w:val="ro-MD"/>
              </w:rPr>
              <w:t xml:space="preserve"> - orice persoană </w:t>
            </w:r>
            <w:r w:rsidRPr="00D95D4D">
              <w:rPr>
                <w:rFonts w:ascii="Times New Roman" w:hAnsi="Times New Roman"/>
                <w:bCs/>
                <w:color w:val="000000"/>
                <w:sz w:val="20"/>
                <w:szCs w:val="20"/>
                <w:lang w:val="ro-MD"/>
              </w:rPr>
              <w:t>fizică sau juridică</w:t>
            </w:r>
            <w:r w:rsidRPr="00D95D4D">
              <w:rPr>
                <w:rFonts w:ascii="Times New Roman" w:hAnsi="Times New Roman"/>
                <w:bCs/>
                <w:color w:val="000000"/>
                <w:sz w:val="20"/>
                <w:szCs w:val="20"/>
                <w:shd w:val="clear" w:color="auto" w:fill="FFFFFF"/>
                <w:lang w:val="ro-MD"/>
              </w:rPr>
              <w:t xml:space="preserve"> care controlează </w:t>
            </w:r>
            <w:r w:rsidRPr="00D95D4D">
              <w:rPr>
                <w:rFonts w:ascii="Times New Roman" w:hAnsi="Times New Roman"/>
                <w:color w:val="000000"/>
                <w:sz w:val="20"/>
                <w:szCs w:val="20"/>
                <w:shd w:val="clear" w:color="auto" w:fill="FFFFFF"/>
                <w:lang w:val="ro-MD"/>
              </w:rPr>
              <w:t xml:space="preserve">funcționarea din punct de vedere tehnic a </w:t>
            </w:r>
            <w:r w:rsidRPr="00D95D4D">
              <w:rPr>
                <w:rFonts w:ascii="Times New Roman" w:hAnsi="Times New Roman"/>
                <w:bCs/>
                <w:color w:val="000000"/>
                <w:sz w:val="20"/>
                <w:szCs w:val="20"/>
                <w:shd w:val="clear" w:color="auto" w:fill="FFFFFF"/>
                <w:lang w:val="ro-MD"/>
              </w:rPr>
              <w:t xml:space="preserve">instalației or </w:t>
            </w:r>
            <w:r w:rsidRPr="00D95D4D">
              <w:rPr>
                <w:rFonts w:ascii="Times New Roman" w:hAnsi="Times New Roman"/>
                <w:color w:val="000000"/>
                <w:sz w:val="20"/>
                <w:szCs w:val="20"/>
                <w:shd w:val="clear" w:color="auto" w:fill="FFFFFF"/>
                <w:lang w:val="ro-MD"/>
              </w:rPr>
              <w:t>a unei părți ai acesteia</w:t>
            </w:r>
            <w:r w:rsidRPr="00D95D4D">
              <w:rPr>
                <w:rFonts w:ascii="Times New Roman" w:hAnsi="Times New Roman"/>
                <w:bCs/>
                <w:color w:val="000000"/>
                <w:sz w:val="20"/>
                <w:szCs w:val="20"/>
                <w:shd w:val="clear" w:color="auto" w:fill="FFFFFF"/>
                <w:lang w:val="ro-MD"/>
              </w:rPr>
              <w:t xml:space="preserve"> sau persoanei căreia i-a fost delegată cu putere economică decisivă asupra funcționării tehnice a instalației;</w:t>
            </w:r>
          </w:p>
          <w:p w14:paraId="1DCFAF25" w14:textId="77777777" w:rsidR="00D95D4D" w:rsidRPr="00D95D4D" w:rsidRDefault="00D95D4D" w:rsidP="00D95D4D">
            <w:pPr>
              <w:pStyle w:val="af8"/>
              <w:ind w:left="0"/>
              <w:jc w:val="both"/>
              <w:rPr>
                <w:rFonts w:ascii="Times New Roman" w:hAnsi="Times New Roman"/>
                <w:bCs/>
                <w:sz w:val="20"/>
                <w:szCs w:val="20"/>
                <w:shd w:val="clear" w:color="auto" w:fill="FFFFFF"/>
                <w:lang w:val="ro-MD"/>
              </w:rPr>
            </w:pPr>
          </w:p>
          <w:p w14:paraId="437EF2BC" w14:textId="77777777" w:rsidR="00D95D4D" w:rsidRPr="00D95D4D" w:rsidRDefault="00D95D4D" w:rsidP="00D95D4D">
            <w:pPr>
              <w:contextualSpacing/>
              <w:jc w:val="both"/>
              <w:rPr>
                <w:rFonts w:ascii="Times New Roman" w:hAnsi="Times New Roman"/>
                <w:sz w:val="20"/>
                <w:szCs w:val="20"/>
                <w:shd w:val="clear" w:color="auto" w:fill="FFFFFF"/>
                <w:lang w:val="ro-MD"/>
              </w:rPr>
            </w:pPr>
            <w:r w:rsidRPr="00D95D4D">
              <w:rPr>
                <w:rFonts w:ascii="Times New Roman" w:hAnsi="Times New Roman"/>
                <w:i/>
                <w:iCs/>
                <w:sz w:val="20"/>
                <w:szCs w:val="20"/>
                <w:shd w:val="clear" w:color="auto" w:fill="FFFFFF"/>
                <w:lang w:val="ro-MD"/>
              </w:rPr>
              <w:t>operator de aeronavă-</w:t>
            </w:r>
            <w:r w:rsidRPr="00D95D4D">
              <w:rPr>
                <w:rFonts w:ascii="Times New Roman" w:eastAsia="Calibri" w:hAnsi="Times New Roman"/>
                <w:sz w:val="20"/>
                <w:szCs w:val="20"/>
                <w:shd w:val="clear" w:color="auto" w:fill="FFFFFF"/>
                <w:lang w:val="ro-MD"/>
              </w:rPr>
              <w:t xml:space="preserve"> orice persoană juridică sau fizică înregistrată în modul stabilit de lege care operează o aeronavă sau proprietarul aeronavei</w:t>
            </w:r>
            <w:r w:rsidRPr="00D95D4D">
              <w:rPr>
                <w:rFonts w:ascii="Times New Roman" w:hAnsi="Times New Roman"/>
                <w:sz w:val="20"/>
                <w:szCs w:val="20"/>
                <w:shd w:val="clear" w:color="auto" w:fill="FFFFFF"/>
                <w:lang w:val="ro-MD"/>
              </w:rPr>
              <w:t>;</w:t>
            </w:r>
          </w:p>
          <w:p w14:paraId="0F75EBAD" w14:textId="77777777" w:rsidR="00D95D4D" w:rsidRDefault="00D95D4D">
            <w:pPr>
              <w:pStyle w:val="af8"/>
              <w:spacing w:after="120"/>
              <w:ind w:left="0" w:firstLine="426"/>
              <w:contextualSpacing w:val="0"/>
              <w:jc w:val="both"/>
              <w:rPr>
                <w:rFonts w:ascii="Times New Roman" w:hAnsi="Times New Roman" w:hint="eastAsia"/>
                <w:sz w:val="20"/>
                <w:szCs w:val="20"/>
                <w:lang w:val="zh-CN" w:eastAsia="zh-CN"/>
              </w:rPr>
            </w:pPr>
          </w:p>
        </w:tc>
        <w:tc>
          <w:tcPr>
            <w:tcW w:w="1276" w:type="dxa"/>
            <w:shd w:val="clear" w:color="auto" w:fill="auto"/>
          </w:tcPr>
          <w:p w14:paraId="39DEF403" w14:textId="1C7C50D0" w:rsidR="00124364" w:rsidRDefault="0066519A">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w:t>
            </w:r>
            <w:r w:rsidR="00000000">
              <w:rPr>
                <w:rFonts w:ascii="Times New Roman" w:hAnsi="Times New Roman"/>
                <w:bCs/>
                <w:color w:val="000000" w:themeColor="text1"/>
                <w:sz w:val="20"/>
                <w:szCs w:val="20"/>
                <w:lang w:val="ro-RO"/>
              </w:rPr>
              <w:t>ompatibil</w:t>
            </w:r>
          </w:p>
          <w:p w14:paraId="3943D85A"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ACFD68C"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DC60C69" w14:textId="798AA9C9" w:rsidR="00D95D4D" w:rsidRPr="00D95D4D" w:rsidRDefault="00D95D4D" w:rsidP="00D95D4D">
            <w:pPr>
              <w:pStyle w:val="Para"/>
              <w:tabs>
                <w:tab w:val="clear" w:pos="1361"/>
                <w:tab w:val="left" w:pos="1422"/>
              </w:tabs>
              <w:spacing w:before="60" w:after="0"/>
              <w:ind w:right="0"/>
              <w:rPr>
                <w:rFonts w:ascii="Times New Roman" w:hAnsi="Times New Roman"/>
                <w:color w:val="000000" w:themeColor="text1"/>
              </w:rPr>
            </w:pPr>
            <w:r w:rsidRPr="00D95D4D">
              <w:rPr>
                <w:rFonts w:ascii="Times New Roman" w:hAnsi="Times New Roman"/>
                <w:color w:val="000000" w:themeColor="text1"/>
              </w:rPr>
              <w:t xml:space="preserve">Noțiunile ne transpuse în proiectul legii vor fi reglementate în </w:t>
            </w:r>
            <w:r w:rsidRPr="00D95D4D">
              <w:rPr>
                <w:rFonts w:ascii="Times New Roman" w:hAnsi="Times New Roman"/>
                <w:color w:val="000000" w:themeColor="text1"/>
              </w:rPr>
              <w:t>Regulamentul privind monitorizare, raportare și verificare a emisiilor de gaze cu efect de sera de la instalațiile staționare și activitățile din domeniul aviației</w:t>
            </w:r>
            <w:r w:rsidRPr="00D95D4D">
              <w:rPr>
                <w:rFonts w:ascii="Times New Roman" w:hAnsi="Times New Roman"/>
                <w:color w:val="000000" w:themeColor="text1"/>
              </w:rPr>
              <w:t xml:space="preserve"> sau în </w:t>
            </w:r>
            <w:r w:rsidRPr="00D95D4D">
              <w:rPr>
                <w:rFonts w:ascii="Times New Roman" w:hAnsi="Times New Roman"/>
                <w:color w:val="000000" w:themeColor="text1"/>
                <w:lang w:val="ro-MD"/>
              </w:rPr>
              <w:t>Regulamentul privind monitorizarea, raportarea și verificarea emisiilor de dioxid de carbon generate de transportul maritim;</w:t>
            </w:r>
          </w:p>
          <w:p w14:paraId="4CB351C5" w14:textId="41D6FAAD" w:rsidR="00D95D4D" w:rsidRPr="00D95D4D" w:rsidRDefault="00D95D4D" w:rsidP="00D95D4D">
            <w:pPr>
              <w:pStyle w:val="Para"/>
              <w:tabs>
                <w:tab w:val="clear" w:pos="1361"/>
                <w:tab w:val="left" w:pos="1422"/>
              </w:tabs>
              <w:spacing w:before="60" w:after="0"/>
              <w:ind w:right="0"/>
              <w:rPr>
                <w:rFonts w:ascii="Times New Roman" w:hAnsi="Times New Roman"/>
                <w:color w:val="000000" w:themeColor="text1"/>
              </w:rPr>
            </w:pPr>
          </w:p>
          <w:p w14:paraId="1266C19B"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B1E1DD2"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D6AB1D8" w14:textId="77777777" w:rsidR="00124364" w:rsidRDefault="00124364">
            <w:pPr>
              <w:autoSpaceDE w:val="0"/>
              <w:spacing w:after="0" w:line="240" w:lineRule="auto"/>
              <w:rPr>
                <w:rFonts w:ascii="Times New Roman" w:hAnsi="Times New Roman"/>
                <w:sz w:val="20"/>
                <w:szCs w:val="20"/>
                <w:lang w:val="fr-FR"/>
              </w:rPr>
            </w:pPr>
          </w:p>
          <w:p w14:paraId="213579EC" w14:textId="44EFBF2C" w:rsidR="00124364" w:rsidRDefault="0066519A">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 de Mediu</w:t>
            </w:r>
          </w:p>
          <w:p w14:paraId="1B930D08" w14:textId="77777777" w:rsidR="00124364" w:rsidRDefault="00124364">
            <w:pPr>
              <w:autoSpaceDE w:val="0"/>
              <w:spacing w:after="0" w:line="240" w:lineRule="auto"/>
              <w:rPr>
                <w:rFonts w:ascii="Times New Roman" w:hAnsi="Times New Roman"/>
                <w:sz w:val="20"/>
                <w:szCs w:val="20"/>
                <w:shd w:val="clear" w:color="auto" w:fill="FFFFFF"/>
                <w:lang w:val="ro-RO"/>
              </w:rPr>
            </w:pPr>
          </w:p>
          <w:p w14:paraId="7367AB84" w14:textId="77777777" w:rsidR="00124364" w:rsidRDefault="00124364">
            <w:pPr>
              <w:autoSpaceDE w:val="0"/>
              <w:spacing w:after="0" w:line="240" w:lineRule="auto"/>
              <w:rPr>
                <w:rFonts w:ascii="Times New Roman" w:hAnsi="Times New Roman"/>
                <w:b/>
                <w:bCs/>
                <w:sz w:val="20"/>
                <w:szCs w:val="20"/>
                <w:lang w:val="ro-RO"/>
              </w:rPr>
            </w:pPr>
          </w:p>
        </w:tc>
      </w:tr>
      <w:tr w:rsidR="00124364" w14:paraId="6BC04C52" w14:textId="77777777">
        <w:trPr>
          <w:trHeight w:val="558"/>
        </w:trPr>
        <w:tc>
          <w:tcPr>
            <w:tcW w:w="4957" w:type="dxa"/>
            <w:shd w:val="clear" w:color="auto" w:fill="auto"/>
          </w:tcPr>
          <w:p w14:paraId="0F890D1C" w14:textId="77777777" w:rsidR="00124364" w:rsidRPr="00E34C2B" w:rsidRDefault="00000000">
            <w:pPr>
              <w:pStyle w:val="ti-art"/>
              <w:shd w:val="clear" w:color="auto" w:fill="FFFFFF"/>
              <w:spacing w:before="0" w:beforeAutospacing="0" w:after="0" w:afterAutospacing="0"/>
              <w:jc w:val="center"/>
              <w:rPr>
                <w:rFonts w:eastAsia="Arial Unicode MS"/>
                <w:color w:val="333333"/>
                <w:sz w:val="20"/>
                <w:szCs w:val="20"/>
                <w:shd w:val="clear" w:color="auto" w:fill="FFFFFF"/>
                <w:lang w:val="en-US"/>
              </w:rPr>
            </w:pPr>
            <w:r w:rsidRPr="00E34C2B">
              <w:rPr>
                <w:rFonts w:eastAsia="Arial Unicode MS"/>
                <w:color w:val="333333"/>
                <w:sz w:val="20"/>
                <w:szCs w:val="20"/>
                <w:shd w:val="clear" w:color="auto" w:fill="FFFFFF"/>
                <w:lang w:val="en-US"/>
              </w:rPr>
              <w:lastRenderedPageBreak/>
              <w:t>CAPITOLUL II</w:t>
            </w:r>
          </w:p>
          <w:p w14:paraId="17C8A971"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41" w:tooltip="32023L0959: REPLACED" w:history="1">
              <w:r w:rsidRPr="00E34C2B">
                <w:rPr>
                  <w:rStyle w:val="af3"/>
                  <w:rFonts w:eastAsia="Arial Unicode MS"/>
                  <w:b/>
                  <w:bCs/>
                  <w:color w:val="4472C4" w:themeColor="accent1"/>
                  <w:sz w:val="20"/>
                  <w:szCs w:val="20"/>
                  <w:lang w:val="en-US"/>
                </w:rPr>
                <w:t>▼M15</w:t>
              </w:r>
            </w:hyperlink>
          </w:p>
          <w:p w14:paraId="0819055B" w14:textId="77777777" w:rsidR="00124364" w:rsidRPr="0066519A"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66519A">
              <w:rPr>
                <w:rFonts w:eastAsia="Arial Unicode MS"/>
                <w:b/>
                <w:bCs/>
                <w:color w:val="000000" w:themeColor="text1"/>
                <w:sz w:val="20"/>
                <w:szCs w:val="20"/>
                <w:shd w:val="clear" w:color="auto" w:fill="FFFFFF"/>
                <w:lang w:val="en-US"/>
              </w:rPr>
              <w:t>AVIAȚIE ȘI TRANSPORT MARITIM</w:t>
            </w:r>
          </w:p>
          <w:p w14:paraId="42EF3B77" w14:textId="3D4894F7" w:rsidR="00124364" w:rsidRPr="0066519A"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66519A">
              <w:rPr>
                <w:rFonts w:eastAsia="Arial Unicode MS"/>
                <w:i/>
                <w:iCs/>
                <w:color w:val="000000" w:themeColor="text1"/>
                <w:sz w:val="20"/>
                <w:szCs w:val="20"/>
                <w:shd w:val="clear" w:color="auto" w:fill="FFFFFF"/>
                <w:lang w:val="en-US"/>
              </w:rPr>
              <w:t>Articolul</w:t>
            </w:r>
            <w:proofErr w:type="spellEnd"/>
            <w:r w:rsidR="0066519A" w:rsidRPr="0066519A">
              <w:rPr>
                <w:rFonts w:eastAsia="Arial Unicode MS"/>
                <w:i/>
                <w:iCs/>
                <w:color w:val="000000" w:themeColor="text1"/>
                <w:sz w:val="20"/>
                <w:szCs w:val="20"/>
                <w:shd w:val="clear" w:color="auto" w:fill="FFFFFF"/>
                <w:lang w:val="en-US"/>
              </w:rPr>
              <w:t xml:space="preserve"> </w:t>
            </w:r>
            <w:r w:rsidRPr="0066519A">
              <w:rPr>
                <w:rFonts w:eastAsia="Arial Unicode MS"/>
                <w:i/>
                <w:iCs/>
                <w:color w:val="000000" w:themeColor="text1"/>
                <w:sz w:val="20"/>
                <w:szCs w:val="20"/>
                <w:shd w:val="clear" w:color="auto" w:fill="FFFFFF"/>
                <w:lang w:val="en-US"/>
              </w:rPr>
              <w:t>3a</w:t>
            </w:r>
          </w:p>
          <w:p w14:paraId="6EC9220A" w14:textId="77777777" w:rsidR="00124364" w:rsidRPr="0066519A"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66519A">
              <w:rPr>
                <w:rFonts w:eastAsia="Arial Unicode MS"/>
                <w:b/>
                <w:bCs/>
                <w:color w:val="000000" w:themeColor="text1"/>
                <w:sz w:val="20"/>
                <w:szCs w:val="20"/>
                <w:shd w:val="clear" w:color="auto" w:fill="FFFFFF"/>
                <w:lang w:val="en-US"/>
              </w:rPr>
              <w:t>Domeniu</w:t>
            </w:r>
            <w:proofErr w:type="spellEnd"/>
            <w:r w:rsidRPr="0066519A">
              <w:rPr>
                <w:rFonts w:eastAsia="Arial Unicode MS"/>
                <w:b/>
                <w:bCs/>
                <w:color w:val="000000" w:themeColor="text1"/>
                <w:sz w:val="20"/>
                <w:szCs w:val="20"/>
                <w:shd w:val="clear" w:color="auto" w:fill="FFFFFF"/>
                <w:lang w:val="en-US"/>
              </w:rPr>
              <w:t xml:space="preserve"> de </w:t>
            </w:r>
            <w:proofErr w:type="spellStart"/>
            <w:r w:rsidRPr="0066519A">
              <w:rPr>
                <w:rFonts w:eastAsia="Arial Unicode MS"/>
                <w:b/>
                <w:bCs/>
                <w:color w:val="000000" w:themeColor="text1"/>
                <w:sz w:val="20"/>
                <w:szCs w:val="20"/>
                <w:shd w:val="clear" w:color="auto" w:fill="FFFFFF"/>
                <w:lang w:val="en-US"/>
              </w:rPr>
              <w:t>aplicare</w:t>
            </w:r>
            <w:proofErr w:type="spellEnd"/>
          </w:p>
          <w:p w14:paraId="352BC35C" w14:textId="0532102D" w:rsidR="00124364" w:rsidRPr="0066519A"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66519A">
              <w:rPr>
                <w:rFonts w:eastAsia="Arial Unicode MS"/>
                <w:color w:val="000000" w:themeColor="text1"/>
                <w:sz w:val="20"/>
                <w:szCs w:val="20"/>
                <w:shd w:val="clear" w:color="auto" w:fill="FFFFFF"/>
                <w:lang w:val="en-US"/>
              </w:rPr>
              <w:t>Articolele</w:t>
            </w:r>
            <w:proofErr w:type="spellEnd"/>
            <w:r w:rsidR="0066519A" w:rsidRPr="0066519A">
              <w:rPr>
                <w:rFonts w:eastAsia="Arial Unicode MS"/>
                <w:color w:val="000000" w:themeColor="text1"/>
                <w:sz w:val="20"/>
                <w:szCs w:val="20"/>
                <w:shd w:val="clear" w:color="auto" w:fill="FFFFFF"/>
                <w:lang w:val="en-US"/>
              </w:rPr>
              <w:t xml:space="preserve"> </w:t>
            </w:r>
            <w:r w:rsidRPr="0066519A">
              <w:rPr>
                <w:rFonts w:eastAsia="Arial Unicode MS"/>
                <w:color w:val="000000" w:themeColor="text1"/>
                <w:sz w:val="20"/>
                <w:szCs w:val="20"/>
                <w:shd w:val="clear" w:color="auto" w:fill="FFFFFF"/>
                <w:lang w:val="en-US"/>
              </w:rPr>
              <w:t xml:space="preserve">3b-3g se </w:t>
            </w:r>
            <w:proofErr w:type="spellStart"/>
            <w:r w:rsidRPr="0066519A">
              <w:rPr>
                <w:rFonts w:eastAsia="Arial Unicode MS"/>
                <w:color w:val="000000" w:themeColor="text1"/>
                <w:sz w:val="20"/>
                <w:szCs w:val="20"/>
                <w:shd w:val="clear" w:color="auto" w:fill="FFFFFF"/>
                <w:lang w:val="en-US"/>
              </w:rPr>
              <w:t>aplică</w:t>
            </w:r>
            <w:proofErr w:type="spellEnd"/>
            <w:r w:rsidRPr="0066519A">
              <w:rPr>
                <w:rFonts w:eastAsia="Arial Unicode MS"/>
                <w:color w:val="000000" w:themeColor="text1"/>
                <w:sz w:val="20"/>
                <w:szCs w:val="20"/>
                <w:shd w:val="clear" w:color="auto" w:fill="FFFFFF"/>
                <w:lang w:val="en-US"/>
              </w:rPr>
              <w:t xml:space="preserve"> </w:t>
            </w:r>
            <w:proofErr w:type="spellStart"/>
            <w:r w:rsidRPr="0066519A">
              <w:rPr>
                <w:rFonts w:eastAsia="Arial Unicode MS"/>
                <w:color w:val="000000" w:themeColor="text1"/>
                <w:sz w:val="20"/>
                <w:szCs w:val="20"/>
                <w:shd w:val="clear" w:color="auto" w:fill="FFFFFF"/>
                <w:lang w:val="en-US"/>
              </w:rPr>
              <w:t>alocării</w:t>
            </w:r>
            <w:proofErr w:type="spellEnd"/>
            <w:r w:rsidRPr="0066519A">
              <w:rPr>
                <w:rFonts w:eastAsia="Arial Unicode MS"/>
                <w:color w:val="000000" w:themeColor="text1"/>
                <w:sz w:val="20"/>
                <w:szCs w:val="20"/>
                <w:shd w:val="clear" w:color="auto" w:fill="FFFFFF"/>
                <w:lang w:val="en-US"/>
              </w:rPr>
              <w:t xml:space="preserve"> și </w:t>
            </w:r>
            <w:proofErr w:type="spellStart"/>
            <w:r w:rsidRPr="0066519A">
              <w:rPr>
                <w:rFonts w:eastAsia="Arial Unicode MS"/>
                <w:color w:val="000000" w:themeColor="text1"/>
                <w:sz w:val="20"/>
                <w:szCs w:val="20"/>
                <w:shd w:val="clear" w:color="auto" w:fill="FFFFFF"/>
                <w:lang w:val="en-US"/>
              </w:rPr>
              <w:t>emiterii</w:t>
            </w:r>
            <w:proofErr w:type="spellEnd"/>
            <w:r w:rsidRPr="0066519A">
              <w:rPr>
                <w:rFonts w:eastAsia="Arial Unicode MS"/>
                <w:color w:val="000000" w:themeColor="text1"/>
                <w:sz w:val="20"/>
                <w:szCs w:val="20"/>
                <w:shd w:val="clear" w:color="auto" w:fill="FFFFFF"/>
                <w:lang w:val="en-US"/>
              </w:rPr>
              <w:t xml:space="preserve"> de certificate </w:t>
            </w:r>
            <w:proofErr w:type="spellStart"/>
            <w:r w:rsidRPr="0066519A">
              <w:rPr>
                <w:rFonts w:eastAsia="Arial Unicode MS"/>
                <w:color w:val="000000" w:themeColor="text1"/>
                <w:sz w:val="20"/>
                <w:szCs w:val="20"/>
                <w:shd w:val="clear" w:color="auto" w:fill="FFFFFF"/>
                <w:lang w:val="en-US"/>
              </w:rPr>
              <w:t>pentru</w:t>
            </w:r>
            <w:proofErr w:type="spellEnd"/>
            <w:r w:rsidRPr="0066519A">
              <w:rPr>
                <w:rFonts w:eastAsia="Arial Unicode MS"/>
                <w:color w:val="000000" w:themeColor="text1"/>
                <w:sz w:val="20"/>
                <w:szCs w:val="20"/>
                <w:shd w:val="clear" w:color="auto" w:fill="FFFFFF"/>
                <w:lang w:val="en-US"/>
              </w:rPr>
              <w:t xml:space="preserve"> </w:t>
            </w:r>
            <w:proofErr w:type="spellStart"/>
            <w:r w:rsidRPr="0066519A">
              <w:rPr>
                <w:rFonts w:eastAsia="Arial Unicode MS"/>
                <w:color w:val="000000" w:themeColor="text1"/>
                <w:sz w:val="20"/>
                <w:szCs w:val="20"/>
                <w:shd w:val="clear" w:color="auto" w:fill="FFFFFF"/>
                <w:lang w:val="en-US"/>
              </w:rPr>
              <w:t>activitățile</w:t>
            </w:r>
            <w:proofErr w:type="spellEnd"/>
            <w:r w:rsidRPr="0066519A">
              <w:rPr>
                <w:rFonts w:eastAsia="Arial Unicode MS"/>
                <w:color w:val="000000" w:themeColor="text1"/>
                <w:sz w:val="20"/>
                <w:szCs w:val="20"/>
                <w:shd w:val="clear" w:color="auto" w:fill="FFFFFF"/>
                <w:lang w:val="en-US"/>
              </w:rPr>
              <w:t xml:space="preserve"> de </w:t>
            </w:r>
            <w:proofErr w:type="spellStart"/>
            <w:r w:rsidRPr="0066519A">
              <w:rPr>
                <w:rFonts w:eastAsia="Arial Unicode MS"/>
                <w:color w:val="000000" w:themeColor="text1"/>
                <w:sz w:val="20"/>
                <w:szCs w:val="20"/>
                <w:shd w:val="clear" w:color="auto" w:fill="FFFFFF"/>
                <w:lang w:val="en-US"/>
              </w:rPr>
              <w:t>aviație</w:t>
            </w:r>
            <w:proofErr w:type="spellEnd"/>
            <w:r w:rsidRPr="0066519A">
              <w:rPr>
                <w:rFonts w:eastAsia="Arial Unicode MS"/>
                <w:color w:val="000000" w:themeColor="text1"/>
                <w:sz w:val="20"/>
                <w:szCs w:val="20"/>
                <w:shd w:val="clear" w:color="auto" w:fill="FFFFFF"/>
                <w:lang w:val="en-US"/>
              </w:rPr>
              <w:t xml:space="preserve"> enumerate în </w:t>
            </w:r>
            <w:proofErr w:type="spellStart"/>
            <w:r w:rsidRPr="0066519A">
              <w:rPr>
                <w:rFonts w:eastAsia="Arial Unicode MS"/>
                <w:color w:val="000000" w:themeColor="text1"/>
                <w:sz w:val="20"/>
                <w:szCs w:val="20"/>
                <w:shd w:val="clear" w:color="auto" w:fill="FFFFFF"/>
                <w:lang w:val="en-US"/>
              </w:rPr>
              <w:t>anexa</w:t>
            </w:r>
            <w:proofErr w:type="spellEnd"/>
            <w:r w:rsidR="0066519A" w:rsidRPr="0066519A">
              <w:rPr>
                <w:rFonts w:eastAsia="Arial Unicode MS"/>
                <w:color w:val="000000" w:themeColor="text1"/>
                <w:sz w:val="20"/>
                <w:szCs w:val="20"/>
                <w:shd w:val="clear" w:color="auto" w:fill="FFFFFF"/>
                <w:lang w:val="en-US"/>
              </w:rPr>
              <w:t xml:space="preserve"> </w:t>
            </w:r>
            <w:r w:rsidRPr="0066519A">
              <w:rPr>
                <w:rFonts w:eastAsia="Arial Unicode MS"/>
                <w:color w:val="000000" w:themeColor="text1"/>
                <w:sz w:val="20"/>
                <w:szCs w:val="20"/>
                <w:shd w:val="clear" w:color="auto" w:fill="FFFFFF"/>
                <w:lang w:val="en-US"/>
              </w:rPr>
              <w:t xml:space="preserve">I. </w:t>
            </w:r>
            <w:proofErr w:type="spellStart"/>
            <w:r w:rsidRPr="0066519A">
              <w:rPr>
                <w:rFonts w:eastAsia="Arial Unicode MS"/>
                <w:color w:val="000000" w:themeColor="text1"/>
                <w:sz w:val="20"/>
                <w:szCs w:val="20"/>
                <w:shd w:val="clear" w:color="auto" w:fill="FFFFFF"/>
                <w:lang w:val="en-US"/>
              </w:rPr>
              <w:t>Articolele</w:t>
            </w:r>
            <w:proofErr w:type="spellEnd"/>
            <w:r w:rsidR="0066519A" w:rsidRPr="0066519A">
              <w:rPr>
                <w:rFonts w:eastAsia="Arial Unicode MS"/>
                <w:color w:val="000000" w:themeColor="text1"/>
                <w:sz w:val="20"/>
                <w:szCs w:val="20"/>
                <w:shd w:val="clear" w:color="auto" w:fill="FFFFFF"/>
                <w:lang w:val="en-US"/>
              </w:rPr>
              <w:t xml:space="preserve"> </w:t>
            </w:r>
            <w:r w:rsidRPr="0066519A">
              <w:rPr>
                <w:rFonts w:eastAsia="Arial Unicode MS"/>
                <w:color w:val="000000" w:themeColor="text1"/>
                <w:sz w:val="20"/>
                <w:szCs w:val="20"/>
                <w:shd w:val="clear" w:color="auto" w:fill="FFFFFF"/>
                <w:lang w:val="en-US"/>
              </w:rPr>
              <w:t xml:space="preserve">3ga-3gg se </w:t>
            </w:r>
            <w:proofErr w:type="spellStart"/>
            <w:r w:rsidRPr="0066519A">
              <w:rPr>
                <w:rFonts w:eastAsia="Arial Unicode MS"/>
                <w:color w:val="000000" w:themeColor="text1"/>
                <w:sz w:val="20"/>
                <w:szCs w:val="20"/>
                <w:shd w:val="clear" w:color="auto" w:fill="FFFFFF"/>
                <w:lang w:val="en-US"/>
              </w:rPr>
              <w:t>aplică</w:t>
            </w:r>
            <w:proofErr w:type="spellEnd"/>
            <w:r w:rsidRPr="0066519A">
              <w:rPr>
                <w:rFonts w:eastAsia="Arial Unicode MS"/>
                <w:color w:val="000000" w:themeColor="text1"/>
                <w:sz w:val="20"/>
                <w:szCs w:val="20"/>
                <w:shd w:val="clear" w:color="auto" w:fill="FFFFFF"/>
                <w:lang w:val="en-US"/>
              </w:rPr>
              <w:t xml:space="preserve"> </w:t>
            </w:r>
            <w:proofErr w:type="spellStart"/>
            <w:r w:rsidRPr="0066519A">
              <w:rPr>
                <w:rFonts w:eastAsia="Arial Unicode MS"/>
                <w:color w:val="000000" w:themeColor="text1"/>
                <w:sz w:val="20"/>
                <w:szCs w:val="20"/>
                <w:shd w:val="clear" w:color="auto" w:fill="FFFFFF"/>
                <w:lang w:val="en-US"/>
              </w:rPr>
              <w:t>pentru</w:t>
            </w:r>
            <w:proofErr w:type="spellEnd"/>
            <w:r w:rsidRPr="0066519A">
              <w:rPr>
                <w:rFonts w:eastAsia="Arial Unicode MS"/>
                <w:color w:val="000000" w:themeColor="text1"/>
                <w:sz w:val="20"/>
                <w:szCs w:val="20"/>
                <w:shd w:val="clear" w:color="auto" w:fill="FFFFFF"/>
                <w:lang w:val="en-US"/>
              </w:rPr>
              <w:t xml:space="preserve"> </w:t>
            </w:r>
            <w:proofErr w:type="spellStart"/>
            <w:r w:rsidRPr="0066519A">
              <w:rPr>
                <w:rFonts w:eastAsia="Arial Unicode MS"/>
                <w:color w:val="000000" w:themeColor="text1"/>
                <w:sz w:val="20"/>
                <w:szCs w:val="20"/>
                <w:shd w:val="clear" w:color="auto" w:fill="FFFFFF"/>
                <w:lang w:val="en-US"/>
              </w:rPr>
              <w:t>activitățile</w:t>
            </w:r>
            <w:proofErr w:type="spellEnd"/>
            <w:r w:rsidRPr="0066519A">
              <w:rPr>
                <w:rFonts w:eastAsia="Arial Unicode MS"/>
                <w:color w:val="000000" w:themeColor="text1"/>
                <w:sz w:val="20"/>
                <w:szCs w:val="20"/>
                <w:shd w:val="clear" w:color="auto" w:fill="FFFFFF"/>
                <w:lang w:val="en-US"/>
              </w:rPr>
              <w:t xml:space="preserve"> de transport maritim enumerate în </w:t>
            </w:r>
            <w:proofErr w:type="spellStart"/>
            <w:r w:rsidRPr="0066519A">
              <w:rPr>
                <w:rFonts w:eastAsia="Arial Unicode MS"/>
                <w:color w:val="000000" w:themeColor="text1"/>
                <w:sz w:val="20"/>
                <w:szCs w:val="20"/>
                <w:shd w:val="clear" w:color="auto" w:fill="FFFFFF"/>
                <w:lang w:val="en-US"/>
              </w:rPr>
              <w:t>anexa</w:t>
            </w:r>
            <w:proofErr w:type="spellEnd"/>
            <w:r w:rsidR="0066519A">
              <w:rPr>
                <w:rFonts w:eastAsia="Arial Unicode MS"/>
                <w:color w:val="000000" w:themeColor="text1"/>
                <w:sz w:val="20"/>
                <w:szCs w:val="20"/>
                <w:shd w:val="clear" w:color="auto" w:fill="FFFFFF"/>
                <w:lang w:val="en-US"/>
              </w:rPr>
              <w:t xml:space="preserve"> </w:t>
            </w:r>
            <w:r w:rsidRPr="0066519A">
              <w:rPr>
                <w:rFonts w:eastAsia="Arial Unicode MS"/>
                <w:color w:val="000000" w:themeColor="text1"/>
                <w:sz w:val="20"/>
                <w:szCs w:val="20"/>
                <w:shd w:val="clear" w:color="auto" w:fill="FFFFFF"/>
                <w:lang w:val="en-US"/>
              </w:rPr>
              <w:t>I.</w:t>
            </w:r>
          </w:p>
          <w:p w14:paraId="6AF25F49"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42" w:tooltip="32008L0101: INSERTED" w:history="1">
              <w:r>
                <w:rPr>
                  <w:rStyle w:val="af3"/>
                  <w:rFonts w:eastAsia="Arial Unicode MS"/>
                  <w:b/>
                  <w:bCs/>
                  <w:color w:val="4472C4" w:themeColor="accent1"/>
                  <w:sz w:val="20"/>
                  <w:szCs w:val="20"/>
                </w:rPr>
                <w:t>▼M2</w:t>
              </w:r>
            </w:hyperlink>
          </w:p>
        </w:tc>
        <w:tc>
          <w:tcPr>
            <w:tcW w:w="4394" w:type="dxa"/>
            <w:shd w:val="clear" w:color="auto" w:fill="auto"/>
          </w:tcPr>
          <w:p w14:paraId="671D95C2" w14:textId="77777777" w:rsidR="00C33A2F" w:rsidRPr="0066519A" w:rsidRDefault="00C33A2F" w:rsidP="00C33A2F">
            <w:pPr>
              <w:pStyle w:val="af8"/>
              <w:ind w:left="1506"/>
              <w:jc w:val="center"/>
              <w:rPr>
                <w:rFonts w:ascii="Times New Roman" w:hAnsi="Times New Roman"/>
                <w:b/>
                <w:sz w:val="20"/>
                <w:szCs w:val="20"/>
                <w:lang w:val="ro-MD"/>
              </w:rPr>
            </w:pPr>
            <w:r w:rsidRPr="0066519A">
              <w:rPr>
                <w:rFonts w:ascii="Times New Roman" w:hAnsi="Times New Roman"/>
                <w:b/>
                <w:sz w:val="20"/>
                <w:szCs w:val="20"/>
                <w:lang w:val="ro-MD"/>
              </w:rPr>
              <w:t>Secţiunea a 3-a</w:t>
            </w:r>
          </w:p>
          <w:p w14:paraId="750731E1" w14:textId="77777777" w:rsidR="00C33A2F" w:rsidRPr="0066519A" w:rsidRDefault="00C33A2F" w:rsidP="00C33A2F">
            <w:pPr>
              <w:pStyle w:val="af8"/>
              <w:spacing w:after="0" w:line="240" w:lineRule="auto"/>
              <w:ind w:left="1506"/>
              <w:jc w:val="center"/>
              <w:rPr>
                <w:rFonts w:ascii="Times New Roman" w:hAnsi="Times New Roman"/>
                <w:b/>
                <w:sz w:val="20"/>
                <w:szCs w:val="20"/>
                <w:lang w:val="ro-MD"/>
              </w:rPr>
            </w:pPr>
            <w:r w:rsidRPr="0066519A">
              <w:rPr>
                <w:rFonts w:ascii="Times New Roman" w:hAnsi="Times New Roman"/>
                <w:b/>
                <w:sz w:val="20"/>
                <w:szCs w:val="20"/>
                <w:lang w:val="ro-MD"/>
              </w:rPr>
              <w:t>Monitorizare, raportare și verificare</w:t>
            </w:r>
          </w:p>
          <w:p w14:paraId="472D86B3" w14:textId="3A525C83" w:rsidR="00C33A2F" w:rsidRPr="00C33A2F" w:rsidRDefault="00C33A2F" w:rsidP="00C33A2F">
            <w:pPr>
              <w:suppressAutoHyphens w:val="0"/>
              <w:autoSpaceDN/>
              <w:spacing w:after="0" w:line="240" w:lineRule="auto"/>
              <w:textAlignment w:val="auto"/>
              <w:rPr>
                <w:rFonts w:ascii="Times New Roman" w:hAnsi="Times New Roman"/>
                <w:b/>
                <w:color w:val="000000" w:themeColor="text1"/>
                <w:sz w:val="20"/>
                <w:szCs w:val="20"/>
                <w:lang w:val="ro-MD"/>
              </w:rPr>
            </w:pPr>
            <w:r w:rsidRPr="00C33A2F">
              <w:rPr>
                <w:rFonts w:ascii="Times New Roman" w:hAnsi="Times New Roman"/>
                <w:b/>
                <w:color w:val="000000" w:themeColor="text1"/>
                <w:sz w:val="20"/>
                <w:szCs w:val="20"/>
                <w:lang w:val="ro-MD"/>
              </w:rPr>
              <w:t xml:space="preserve">Articolul </w:t>
            </w:r>
            <w:r w:rsidRPr="00C33A2F">
              <w:rPr>
                <w:rFonts w:ascii="Times New Roman" w:hAnsi="Times New Roman"/>
                <w:b/>
                <w:color w:val="000000" w:themeColor="text1"/>
                <w:sz w:val="20"/>
                <w:szCs w:val="20"/>
                <w:lang w:val="ro-MD"/>
              </w:rPr>
              <w:t>45</w:t>
            </w:r>
            <w:r w:rsidRPr="00C33A2F">
              <w:rPr>
                <w:rFonts w:ascii="Times New Roman" w:hAnsi="Times New Roman"/>
                <w:b/>
                <w:color w:val="000000" w:themeColor="text1"/>
                <w:sz w:val="20"/>
                <w:szCs w:val="20"/>
                <w:lang w:val="ro-MD"/>
              </w:rPr>
              <w:t>.</w:t>
            </w:r>
            <w:r w:rsidRPr="00C33A2F">
              <w:rPr>
                <w:rFonts w:ascii="Times New Roman" w:hAnsi="Times New Roman"/>
                <w:b/>
                <w:color w:val="000000" w:themeColor="text1"/>
                <w:sz w:val="20"/>
                <w:szCs w:val="20"/>
                <w:lang w:val="ro-MD"/>
              </w:rPr>
              <w:t xml:space="preserve"> </w:t>
            </w:r>
            <w:r w:rsidRPr="00C33A2F">
              <w:rPr>
                <w:rFonts w:ascii="Times New Roman" w:hAnsi="Times New Roman"/>
                <w:bCs/>
                <w:color w:val="000000" w:themeColor="text1"/>
                <w:sz w:val="20"/>
                <w:szCs w:val="20"/>
                <w:lang w:val="ro-MD"/>
              </w:rPr>
              <w:t>Cadrul general privind managementul datelor emisiilor de GES</w:t>
            </w:r>
          </w:p>
          <w:p w14:paraId="76076157" w14:textId="6BB4A00E" w:rsidR="00C33A2F" w:rsidRPr="00C33A2F" w:rsidRDefault="00C33A2F" w:rsidP="00C33A2F">
            <w:pPr>
              <w:suppressAutoHyphens w:val="0"/>
              <w:autoSpaceDN/>
              <w:spacing w:after="0" w:line="240" w:lineRule="auto"/>
              <w:jc w:val="both"/>
              <w:textAlignment w:val="auto"/>
              <w:rPr>
                <w:rFonts w:ascii="Times New Roman" w:hAnsi="Times New Roman"/>
                <w:bCs/>
                <w:color w:val="000000" w:themeColor="text1"/>
                <w:sz w:val="20"/>
                <w:szCs w:val="20"/>
                <w:lang w:val="ro-MD"/>
              </w:rPr>
            </w:pPr>
            <w:r w:rsidRPr="00C33A2F">
              <w:rPr>
                <w:rFonts w:ascii="Times New Roman" w:hAnsi="Times New Roman"/>
                <w:color w:val="000000" w:themeColor="text1"/>
                <w:sz w:val="20"/>
                <w:szCs w:val="20"/>
                <w:lang w:val="ro-MD" w:eastAsia="ro-RO" w:bidi="or-IN"/>
              </w:rPr>
              <w:t>(4)</w:t>
            </w:r>
            <w:r w:rsidRPr="00C33A2F">
              <w:rPr>
                <w:rFonts w:ascii="Times New Roman" w:hAnsi="Times New Roman"/>
                <w:color w:val="000000" w:themeColor="text1"/>
                <w:sz w:val="20"/>
                <w:szCs w:val="20"/>
                <w:lang w:val="ro-MD" w:eastAsia="ro-RO" w:bidi="or-IN"/>
              </w:rPr>
              <w:t xml:space="preserve">Monitorizarea completă, transparentă, exactă, coerentă și comparabilă în timp și raportarea integrală a emisiilor de </w:t>
            </w:r>
            <w:r w:rsidRPr="00C33A2F">
              <w:rPr>
                <w:rFonts w:ascii="Times New Roman" w:hAnsi="Times New Roman"/>
                <w:bCs/>
                <w:color w:val="000000" w:themeColor="text1"/>
                <w:sz w:val="20"/>
                <w:szCs w:val="20"/>
                <w:lang w:val="ro-MD"/>
              </w:rPr>
              <w:t>GES</w:t>
            </w:r>
            <w:r w:rsidRPr="00C33A2F">
              <w:rPr>
                <w:rFonts w:ascii="Times New Roman" w:hAnsi="Times New Roman"/>
                <w:color w:val="000000" w:themeColor="text1"/>
                <w:sz w:val="20"/>
                <w:szCs w:val="20"/>
                <w:lang w:val="ro-MD" w:eastAsia="ro-RO" w:bidi="or-IN"/>
              </w:rPr>
              <w:t xml:space="preserve"> legate de activitățile enumerate </w:t>
            </w:r>
            <w:r w:rsidRPr="00C33A2F">
              <w:rPr>
                <w:rFonts w:ascii="Times New Roman" w:hAnsi="Times New Roman"/>
                <w:color w:val="000000" w:themeColor="text1"/>
                <w:sz w:val="20"/>
                <w:szCs w:val="20"/>
                <w:lang w:val="ro-MD"/>
              </w:rPr>
              <w:t>în Anexa nr. 1</w:t>
            </w:r>
            <w:r w:rsidRPr="00C33A2F">
              <w:rPr>
                <w:rFonts w:ascii="Times New Roman" w:hAnsi="Times New Roman"/>
                <w:color w:val="000000" w:themeColor="text1"/>
                <w:sz w:val="20"/>
                <w:szCs w:val="20"/>
                <w:lang w:val="ro-MD" w:eastAsia="ro-RO" w:bidi="or-IN"/>
              </w:rPr>
              <w:t xml:space="preserve">, precum și a datelor privind activitatea instalațiilor staționare și celor din domeniul </w:t>
            </w:r>
            <w:r w:rsidRPr="00C33A2F">
              <w:rPr>
                <w:rFonts w:ascii="Times New Roman" w:hAnsi="Times New Roman"/>
                <w:color w:val="000000" w:themeColor="text1"/>
                <w:sz w:val="20"/>
                <w:szCs w:val="20"/>
                <w:shd w:val="clear" w:color="auto" w:fill="FFFFFF"/>
                <w:lang w:val="ro-MD"/>
              </w:rPr>
              <w:t xml:space="preserve">aviației civile, transportului maritim și </w:t>
            </w:r>
            <w:r w:rsidRPr="00C33A2F">
              <w:rPr>
                <w:rFonts w:ascii="Times New Roman" w:hAnsi="Times New Roman"/>
                <w:color w:val="000000" w:themeColor="text1"/>
                <w:sz w:val="20"/>
                <w:szCs w:val="20"/>
                <w:lang w:val="ro-MD"/>
              </w:rPr>
              <w:t xml:space="preserve">informaților privind </w:t>
            </w:r>
            <w:r w:rsidRPr="00C33A2F">
              <w:rPr>
                <w:rFonts w:ascii="Times New Roman" w:hAnsi="Times New Roman"/>
                <w:bCs/>
                <w:color w:val="000000" w:themeColor="text1"/>
                <w:sz w:val="20"/>
                <w:szCs w:val="20"/>
                <w:lang w:val="ro-MD"/>
              </w:rPr>
              <w:t xml:space="preserve">emisiile de carbon provenite din aviația internațională </w:t>
            </w:r>
            <w:r w:rsidRPr="00C33A2F">
              <w:rPr>
                <w:rFonts w:ascii="Times New Roman" w:hAnsi="Times New Roman"/>
                <w:color w:val="000000" w:themeColor="text1"/>
                <w:sz w:val="20"/>
                <w:szCs w:val="20"/>
                <w:shd w:val="clear" w:color="auto" w:fill="FFFFFF"/>
                <w:lang w:val="ro-MD"/>
              </w:rPr>
              <w:t xml:space="preserve">se realizează </w:t>
            </w:r>
            <w:r w:rsidRPr="00C33A2F">
              <w:rPr>
                <w:rFonts w:ascii="Times New Roman" w:hAnsi="Times New Roman"/>
                <w:color w:val="000000" w:themeColor="text1"/>
                <w:sz w:val="20"/>
                <w:szCs w:val="20"/>
                <w:lang w:val="ro-MD" w:eastAsia="ro-RO" w:bidi="or-IN"/>
              </w:rPr>
              <w:t>prin monitorizarea, raportarea și verificarea</w:t>
            </w:r>
            <w:r w:rsidRPr="00C33A2F">
              <w:rPr>
                <w:rFonts w:ascii="Times New Roman" w:hAnsi="Times New Roman"/>
                <w:bCs/>
                <w:color w:val="000000" w:themeColor="text1"/>
                <w:sz w:val="20"/>
                <w:szCs w:val="20"/>
                <w:lang w:val="ro-MD"/>
              </w:rPr>
              <w:t xml:space="preserve"> </w:t>
            </w:r>
            <w:r w:rsidRPr="00C33A2F">
              <w:rPr>
                <w:rFonts w:ascii="Times New Roman" w:hAnsi="Times New Roman"/>
                <w:color w:val="000000" w:themeColor="text1"/>
                <w:sz w:val="20"/>
                <w:szCs w:val="20"/>
                <w:lang w:val="ro-MD" w:eastAsia="ro-RO" w:bidi="or-IN"/>
              </w:rPr>
              <w:t xml:space="preserve">(în continuare – MRV) </w:t>
            </w:r>
            <w:r w:rsidRPr="00C33A2F">
              <w:rPr>
                <w:rFonts w:ascii="Times New Roman" w:hAnsi="Times New Roman"/>
                <w:color w:val="000000" w:themeColor="text1"/>
                <w:sz w:val="20"/>
                <w:szCs w:val="20"/>
                <w:lang w:val="ro-MD"/>
              </w:rPr>
              <w:t>a emisiilor de GES de către operator</w:t>
            </w:r>
            <w:r w:rsidRPr="00C33A2F">
              <w:rPr>
                <w:rFonts w:ascii="Times New Roman" w:hAnsi="Times New Roman"/>
                <w:bCs/>
                <w:color w:val="000000" w:themeColor="text1"/>
                <w:sz w:val="20"/>
                <w:szCs w:val="20"/>
                <w:lang w:val="ro-MD"/>
              </w:rPr>
              <w:t>.</w:t>
            </w:r>
          </w:p>
          <w:p w14:paraId="525084E7" w14:textId="77777777" w:rsidR="00C33A2F" w:rsidRDefault="00C33A2F" w:rsidP="00C33A2F">
            <w:pPr>
              <w:suppressAutoHyphens w:val="0"/>
              <w:autoSpaceDN/>
              <w:spacing w:after="0" w:line="240" w:lineRule="auto"/>
              <w:textAlignment w:val="auto"/>
              <w:rPr>
                <w:rFonts w:ascii="Times New Roman" w:hAnsi="Times New Roman"/>
                <w:b/>
                <w:sz w:val="20"/>
                <w:szCs w:val="20"/>
                <w:lang w:val="ro-MD"/>
              </w:rPr>
            </w:pPr>
          </w:p>
          <w:p w14:paraId="30116EFD" w14:textId="38954A4F" w:rsidR="00C33A2F" w:rsidRPr="0066519A" w:rsidRDefault="00C33A2F" w:rsidP="00C33A2F">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52.</w:t>
            </w:r>
            <w:r w:rsidRPr="0066519A">
              <w:rPr>
                <w:rFonts w:ascii="Times New Roman" w:hAnsi="Times New Roman"/>
                <w:bCs/>
                <w:sz w:val="20"/>
                <w:szCs w:val="20"/>
                <w:lang w:val="ro-MD"/>
              </w:rPr>
              <w:t>Monitorizarea, raportarea și verificarea emisiilor de GES de la instalațiile staționare</w:t>
            </w:r>
          </w:p>
          <w:p w14:paraId="6F3E5C91" w14:textId="2188670E" w:rsidR="00124364" w:rsidRPr="00C33A2F" w:rsidRDefault="00A72916" w:rsidP="00C33A2F">
            <w:pPr>
              <w:spacing w:after="120"/>
              <w:jc w:val="both"/>
              <w:rPr>
                <w:rFonts w:ascii="Times New Roman" w:hAnsi="Times New Roman" w:hint="eastAsia"/>
                <w:sz w:val="20"/>
                <w:szCs w:val="20"/>
                <w:lang w:val="zh-CN" w:eastAsia="zh-CN"/>
              </w:rPr>
            </w:pPr>
            <w:r>
              <w:rPr>
                <w:rFonts w:ascii="Times New Roman" w:hAnsi="Times New Roman"/>
                <w:sz w:val="20"/>
                <w:szCs w:val="20"/>
                <w:lang w:val="ro-MD"/>
              </w:rPr>
              <w:t>(1)</w:t>
            </w:r>
            <w:r w:rsidR="00C33A2F" w:rsidRPr="0066519A">
              <w:rPr>
                <w:rFonts w:ascii="Times New Roman" w:hAnsi="Times New Roman"/>
                <w:sz w:val="20"/>
                <w:szCs w:val="20"/>
                <w:lang w:val="ro-MD"/>
              </w:rPr>
              <w:t xml:space="preserve">Operatorul instalației staționare, </w:t>
            </w:r>
            <w:r w:rsidR="00C33A2F"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00C33A2F" w:rsidRPr="0066519A">
              <w:rPr>
                <w:rFonts w:ascii="Times New Roman" w:hAnsi="Times New Roman"/>
                <w:sz w:val="20"/>
                <w:szCs w:val="20"/>
                <w:lang w:val="ro-MD"/>
              </w:rPr>
              <w:t xml:space="preserve">deține </w:t>
            </w:r>
            <w:r w:rsidR="00C33A2F" w:rsidRPr="0066519A">
              <w:rPr>
                <w:rFonts w:ascii="Times New Roman" w:hAnsi="Times New Roman"/>
                <w:color w:val="000000"/>
                <w:sz w:val="20"/>
                <w:szCs w:val="20"/>
                <w:shd w:val="clear" w:color="auto" w:fill="FFFFFF"/>
                <w:lang w:val="ro-MD"/>
              </w:rPr>
              <w:t>autorizația integrată de mediu pentru desfășurarea</w:t>
            </w:r>
            <w:r w:rsidR="00C33A2F" w:rsidRPr="0066519A">
              <w:rPr>
                <w:rFonts w:ascii="Times New Roman" w:hAnsi="Times New Roman"/>
                <w:bCs/>
                <w:sz w:val="20"/>
                <w:szCs w:val="20"/>
                <w:lang w:val="ro-MD"/>
              </w:rPr>
              <w:t xml:space="preserve">  activității, </w:t>
            </w:r>
            <w:r w:rsidR="00C33A2F" w:rsidRPr="0066519A">
              <w:rPr>
                <w:rFonts w:ascii="Times New Roman" w:hAnsi="Times New Roman"/>
                <w:sz w:val="20"/>
                <w:szCs w:val="20"/>
                <w:lang w:val="ro-MD"/>
              </w:rPr>
              <w:t xml:space="preserve">asigură monitorizarea și raportarea emisiilor de GES </w:t>
            </w:r>
            <w:r w:rsidR="00C33A2F" w:rsidRPr="0066519A">
              <w:rPr>
                <w:rFonts w:ascii="Times New Roman" w:hAnsi="Times New Roman"/>
                <w:sz w:val="20"/>
                <w:szCs w:val="20"/>
                <w:shd w:val="clear" w:color="auto" w:fill="FFFFFF"/>
                <w:lang w:val="ro-MD"/>
              </w:rPr>
              <w:t xml:space="preserve">pe baza PM, care este partea integrantă a </w:t>
            </w:r>
            <w:r w:rsidR="00C33A2F" w:rsidRPr="0066519A">
              <w:rPr>
                <w:rFonts w:ascii="Times New Roman" w:hAnsi="Times New Roman"/>
                <w:color w:val="000000"/>
                <w:sz w:val="20"/>
                <w:szCs w:val="20"/>
                <w:shd w:val="clear" w:color="auto" w:fill="FFFFFF"/>
                <w:lang w:val="ro-MD"/>
              </w:rPr>
              <w:t>autorizației integrate de mediu emisă de către Agenția de Mediu</w:t>
            </w:r>
            <w:r>
              <w:rPr>
                <w:rFonts w:ascii="Times New Roman" w:hAnsi="Times New Roman"/>
                <w:color w:val="000000"/>
                <w:sz w:val="20"/>
                <w:szCs w:val="20"/>
                <w:shd w:val="clear" w:color="auto" w:fill="FFFFFF"/>
                <w:lang w:val="ro-MD"/>
              </w:rPr>
              <w:t>.</w:t>
            </w:r>
          </w:p>
        </w:tc>
        <w:tc>
          <w:tcPr>
            <w:tcW w:w="1276" w:type="dxa"/>
            <w:shd w:val="clear" w:color="auto" w:fill="auto"/>
          </w:tcPr>
          <w:p w14:paraId="467219D7" w14:textId="0C377B58" w:rsidR="00124364" w:rsidRDefault="00C33A2F">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compatibil</w:t>
            </w:r>
          </w:p>
          <w:p w14:paraId="22562DFD"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F2F176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0545E99" w14:textId="77777777" w:rsidR="00C33A2F" w:rsidRPr="0066519A" w:rsidRDefault="00C33A2F" w:rsidP="00C33A2F">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2CA2AC9B"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7C8B0C5" w14:textId="77777777" w:rsidR="00C33A2F" w:rsidRDefault="00C33A2F" w:rsidP="00C33A2F">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EDB4861" w14:textId="77777777" w:rsidR="00124364" w:rsidRDefault="00124364" w:rsidP="00C33A2F">
            <w:pPr>
              <w:autoSpaceDE w:val="0"/>
              <w:spacing w:after="0" w:line="240" w:lineRule="auto"/>
              <w:rPr>
                <w:rFonts w:ascii="Times New Roman" w:hAnsi="Times New Roman"/>
                <w:sz w:val="20"/>
                <w:szCs w:val="20"/>
                <w:lang w:val="fr-FR"/>
              </w:rPr>
            </w:pPr>
          </w:p>
          <w:p w14:paraId="48A48CF4" w14:textId="57B47E5A" w:rsidR="00C33A2F" w:rsidRDefault="00C33A2F" w:rsidP="00C33A2F">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5CADFCC3" w14:textId="77777777">
        <w:trPr>
          <w:trHeight w:val="558"/>
        </w:trPr>
        <w:tc>
          <w:tcPr>
            <w:tcW w:w="4957" w:type="dxa"/>
            <w:shd w:val="clear" w:color="auto" w:fill="auto"/>
          </w:tcPr>
          <w:p w14:paraId="4B3CE445"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3b</w:t>
            </w:r>
          </w:p>
          <w:p w14:paraId="7A0DF5EB" w14:textId="7777777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Activitățile</w:t>
            </w:r>
            <w:proofErr w:type="spellEnd"/>
            <w:r w:rsidRPr="00E34C2B">
              <w:rPr>
                <w:rFonts w:eastAsia="Arial Unicode MS"/>
                <w:b/>
                <w:bCs/>
                <w:color w:val="333333"/>
                <w:sz w:val="20"/>
                <w:szCs w:val="20"/>
                <w:shd w:val="clear" w:color="auto" w:fill="FFFFFF"/>
                <w:lang w:val="en-US"/>
              </w:rPr>
              <w:t xml:space="preserve"> de </w:t>
            </w:r>
            <w:proofErr w:type="spellStart"/>
            <w:r w:rsidRPr="00E34C2B">
              <w:rPr>
                <w:rFonts w:eastAsia="Arial Unicode MS"/>
                <w:b/>
                <w:bCs/>
                <w:color w:val="333333"/>
                <w:sz w:val="20"/>
                <w:szCs w:val="20"/>
                <w:shd w:val="clear" w:color="auto" w:fill="FFFFFF"/>
                <w:lang w:val="en-US"/>
              </w:rPr>
              <w:t>aviație</w:t>
            </w:r>
            <w:proofErr w:type="spellEnd"/>
          </w:p>
          <w:p w14:paraId="04A023D2" w14:textId="7E18D172"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sidRPr="00BC487D">
              <w:rPr>
                <w:rFonts w:eastAsia="Arial Unicode MS"/>
                <w:color w:val="000000" w:themeColor="text1"/>
                <w:sz w:val="20"/>
                <w:szCs w:val="20"/>
                <w:shd w:val="clear" w:color="auto" w:fill="FFFFFF"/>
                <w:lang w:val="en-US"/>
              </w:rPr>
              <w:t>Până</w:t>
            </w:r>
            <w:proofErr w:type="spellEnd"/>
            <w:r w:rsidRPr="00BC487D">
              <w:rPr>
                <w:rFonts w:eastAsia="Arial Unicode MS"/>
                <w:color w:val="000000" w:themeColor="text1"/>
                <w:sz w:val="20"/>
                <w:szCs w:val="20"/>
                <w:shd w:val="clear" w:color="auto" w:fill="FFFFFF"/>
                <w:lang w:val="en-US"/>
              </w:rPr>
              <w:t xml:space="preserve"> la 2 august 2009, </w:t>
            </w:r>
            <w:proofErr w:type="spellStart"/>
            <w:r w:rsidRPr="00BC487D">
              <w:rPr>
                <w:rFonts w:eastAsia="Arial Unicode MS"/>
                <w:color w:val="000000" w:themeColor="text1"/>
                <w:sz w:val="20"/>
                <w:szCs w:val="20"/>
                <w:shd w:val="clear" w:color="auto" w:fill="FFFFFF"/>
                <w:lang w:val="en-US"/>
              </w:rPr>
              <w:t>Comisia</w:t>
            </w:r>
            <w:proofErr w:type="spellEnd"/>
            <w:r w:rsidRPr="00BC487D">
              <w:rPr>
                <w:rFonts w:eastAsia="Arial Unicode MS"/>
                <w:color w:val="000000" w:themeColor="text1"/>
                <w:sz w:val="20"/>
                <w:szCs w:val="20"/>
                <w:shd w:val="clear" w:color="auto" w:fill="FFFFFF"/>
                <w:lang w:val="en-US"/>
              </w:rPr>
              <w:t>, în conformitate cu</w:t>
            </w:r>
            <w:r w:rsidR="00BC487D" w:rsidRPr="00BC487D">
              <w:rPr>
                <w:rStyle w:val="apple-converted-space"/>
                <w:rFonts w:eastAsia="Arial Unicode MS"/>
                <w:color w:val="000000" w:themeColor="text1"/>
                <w:lang w:val="en-US"/>
              </w:rPr>
              <w:t xml:space="preserve"> </w:t>
            </w:r>
            <w:hyperlink r:id="rId43" w:tooltip="32018L0410: REPLACED" w:history="1">
              <w:r>
                <w:rPr>
                  <w:rStyle w:val="boldface"/>
                  <w:rFonts w:eastAsia="Arial Unicode MS"/>
                  <w:b/>
                  <w:bCs/>
                  <w:color w:val="4472C4" w:themeColor="accent1"/>
                  <w:sz w:val="20"/>
                  <w:szCs w:val="20"/>
                  <w:lang w:val="en-US"/>
                </w:rPr>
                <w:t>►M9</w:t>
              </w:r>
            </w:hyperlink>
            <w:r w:rsidR="00BC487D">
              <w:rPr>
                <w:rStyle w:val="apple-converted-space"/>
                <w:rFonts w:eastAsia="Arial Unicode MS"/>
                <w:color w:val="4472C4" w:themeColor="accent1"/>
                <w:sz w:val="20"/>
                <w:szCs w:val="20"/>
                <w:lang w:val="en-US"/>
              </w:rPr>
              <w:t xml:space="preserve"> </w:t>
            </w:r>
            <w:proofErr w:type="spellStart"/>
            <w:r w:rsidRPr="00BC487D">
              <w:rPr>
                <w:rFonts w:eastAsia="Arial Unicode MS"/>
                <w:color w:val="000000" w:themeColor="text1"/>
                <w:sz w:val="20"/>
                <w:szCs w:val="20"/>
                <w:shd w:val="clear" w:color="auto" w:fill="FFFFFF"/>
                <w:lang w:val="en-US"/>
              </w:rPr>
              <w:t>procedura</w:t>
            </w:r>
            <w:proofErr w:type="spellEnd"/>
            <w:r w:rsidRPr="00BC487D">
              <w:rPr>
                <w:rFonts w:eastAsia="Arial Unicode MS"/>
                <w:color w:val="000000" w:themeColor="text1"/>
                <w:sz w:val="20"/>
                <w:szCs w:val="20"/>
                <w:shd w:val="clear" w:color="auto" w:fill="FFFFFF"/>
                <w:lang w:val="en-US"/>
              </w:rPr>
              <w:t xml:space="preserve"> de </w:t>
            </w:r>
            <w:proofErr w:type="spellStart"/>
            <w:r w:rsidRPr="00BC487D">
              <w:rPr>
                <w:rFonts w:eastAsia="Arial Unicode MS"/>
                <w:color w:val="000000" w:themeColor="text1"/>
                <w:sz w:val="20"/>
                <w:szCs w:val="20"/>
                <w:shd w:val="clear" w:color="auto" w:fill="FFFFFF"/>
                <w:lang w:val="en-US"/>
              </w:rPr>
              <w:t>examinare</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menționată</w:t>
            </w:r>
            <w:proofErr w:type="spellEnd"/>
            <w:r w:rsidRPr="00BC487D">
              <w:rPr>
                <w:rFonts w:eastAsia="Arial Unicode MS"/>
                <w:color w:val="000000" w:themeColor="text1"/>
                <w:sz w:val="20"/>
                <w:szCs w:val="20"/>
                <w:shd w:val="clear" w:color="auto" w:fill="FFFFFF"/>
                <w:lang w:val="en-US"/>
              </w:rPr>
              <w:t xml:space="preserve"> la </w:t>
            </w:r>
            <w:proofErr w:type="spellStart"/>
            <w:r w:rsidRPr="00BC487D">
              <w:rPr>
                <w:rFonts w:eastAsia="Arial Unicode MS"/>
                <w:color w:val="000000" w:themeColor="text1"/>
                <w:sz w:val="20"/>
                <w:szCs w:val="20"/>
                <w:shd w:val="clear" w:color="auto" w:fill="FFFFFF"/>
                <w:lang w:val="en-US"/>
              </w:rPr>
              <w:t>articolul</w:t>
            </w:r>
            <w:proofErr w:type="spellEnd"/>
            <w:r w:rsidRPr="00BC487D">
              <w:rPr>
                <w:rFonts w:eastAsia="Arial Unicode MS"/>
                <w:color w:val="000000" w:themeColor="text1"/>
                <w:sz w:val="20"/>
                <w:szCs w:val="20"/>
                <w:shd w:val="clear" w:color="auto" w:fill="FFFFFF"/>
                <w:lang w:val="en-US"/>
              </w:rPr>
              <w:t xml:space="preserve"> 22a </w:t>
            </w:r>
            <w:proofErr w:type="spellStart"/>
            <w:r w:rsidRPr="00BC487D">
              <w:rPr>
                <w:rFonts w:eastAsia="Arial Unicode MS"/>
                <w:color w:val="000000" w:themeColor="text1"/>
                <w:sz w:val="20"/>
                <w:szCs w:val="20"/>
                <w:shd w:val="clear" w:color="auto" w:fill="FFFFFF"/>
                <w:lang w:val="en-US"/>
              </w:rPr>
              <w:t>alineatul</w:t>
            </w:r>
            <w:proofErr w:type="spellEnd"/>
            <w:r w:rsidRPr="00BC487D">
              <w:rPr>
                <w:rFonts w:eastAsia="Arial Unicode MS"/>
                <w:color w:val="000000" w:themeColor="text1"/>
                <w:sz w:val="20"/>
                <w:szCs w:val="20"/>
                <w:shd w:val="clear" w:color="auto" w:fill="FFFFFF"/>
                <w:lang w:val="en-US"/>
              </w:rPr>
              <w:t xml:space="preserve"> (2)</w:t>
            </w:r>
            <w:r w:rsidRPr="00BC487D">
              <w:rPr>
                <w:rStyle w:val="boldface"/>
                <w:rFonts w:eastAsia="Arial Unicode MS"/>
                <w:b/>
                <w:bCs/>
                <w:color w:val="000000" w:themeColor="text1"/>
                <w:sz w:val="20"/>
                <w:szCs w:val="20"/>
                <w:lang w:val="en-US"/>
              </w:rPr>
              <w:t>◄</w:t>
            </w:r>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elaborează</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linii</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directoare</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privind</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interpretarea</w:t>
            </w:r>
            <w:proofErr w:type="spellEnd"/>
            <w:r w:rsidRPr="00BC487D">
              <w:rPr>
                <w:rFonts w:eastAsia="Arial Unicode MS"/>
                <w:color w:val="000000" w:themeColor="text1"/>
                <w:sz w:val="20"/>
                <w:szCs w:val="20"/>
                <w:shd w:val="clear" w:color="auto" w:fill="FFFFFF"/>
                <w:lang w:val="en-US"/>
              </w:rPr>
              <w:t xml:space="preserve"> în </w:t>
            </w:r>
            <w:proofErr w:type="spellStart"/>
            <w:r w:rsidRPr="00BC487D">
              <w:rPr>
                <w:rFonts w:eastAsia="Arial Unicode MS"/>
                <w:color w:val="000000" w:themeColor="text1"/>
                <w:sz w:val="20"/>
                <w:szCs w:val="20"/>
                <w:shd w:val="clear" w:color="auto" w:fill="FFFFFF"/>
                <w:lang w:val="en-US"/>
              </w:rPr>
              <w:t>detaliu</w:t>
            </w:r>
            <w:proofErr w:type="spellEnd"/>
            <w:r w:rsidRPr="00BC487D">
              <w:rPr>
                <w:rFonts w:eastAsia="Arial Unicode MS"/>
                <w:color w:val="000000" w:themeColor="text1"/>
                <w:sz w:val="20"/>
                <w:szCs w:val="20"/>
                <w:shd w:val="clear" w:color="auto" w:fill="FFFFFF"/>
                <w:lang w:val="en-US"/>
              </w:rPr>
              <w:t xml:space="preserve"> a </w:t>
            </w:r>
            <w:proofErr w:type="spellStart"/>
            <w:r w:rsidRPr="00BC487D">
              <w:rPr>
                <w:rFonts w:eastAsia="Arial Unicode MS"/>
                <w:color w:val="000000" w:themeColor="text1"/>
                <w:sz w:val="20"/>
                <w:szCs w:val="20"/>
                <w:shd w:val="clear" w:color="auto" w:fill="FFFFFF"/>
                <w:lang w:val="en-US"/>
              </w:rPr>
              <w:t>activităților</w:t>
            </w:r>
            <w:proofErr w:type="spellEnd"/>
            <w:r w:rsidRPr="00BC487D">
              <w:rPr>
                <w:rFonts w:eastAsia="Arial Unicode MS"/>
                <w:color w:val="000000" w:themeColor="text1"/>
                <w:sz w:val="20"/>
                <w:szCs w:val="20"/>
                <w:shd w:val="clear" w:color="auto" w:fill="FFFFFF"/>
                <w:lang w:val="en-US"/>
              </w:rPr>
              <w:t xml:space="preserve"> de </w:t>
            </w:r>
            <w:proofErr w:type="spellStart"/>
            <w:r w:rsidRPr="00BC487D">
              <w:rPr>
                <w:rFonts w:eastAsia="Arial Unicode MS"/>
                <w:color w:val="000000" w:themeColor="text1"/>
                <w:sz w:val="20"/>
                <w:szCs w:val="20"/>
                <w:shd w:val="clear" w:color="auto" w:fill="FFFFFF"/>
                <w:lang w:val="en-US"/>
              </w:rPr>
              <w:t>aviație</w:t>
            </w:r>
            <w:proofErr w:type="spellEnd"/>
            <w:r w:rsidRPr="00BC487D">
              <w:rPr>
                <w:rFonts w:eastAsia="Arial Unicode MS"/>
                <w:color w:val="000000" w:themeColor="text1"/>
                <w:sz w:val="20"/>
                <w:szCs w:val="20"/>
                <w:shd w:val="clear" w:color="auto" w:fill="FFFFFF"/>
                <w:lang w:val="en-US"/>
              </w:rPr>
              <w:t xml:space="preserve"> enumerate în </w:t>
            </w:r>
            <w:proofErr w:type="spellStart"/>
            <w:r w:rsidRPr="00BC487D">
              <w:rPr>
                <w:rFonts w:eastAsia="Arial Unicode MS"/>
                <w:color w:val="000000" w:themeColor="text1"/>
                <w:sz w:val="20"/>
                <w:szCs w:val="20"/>
                <w:shd w:val="clear" w:color="auto" w:fill="FFFFFF"/>
                <w:lang w:val="en-US"/>
              </w:rPr>
              <w:t>anexa</w:t>
            </w:r>
            <w:proofErr w:type="spellEnd"/>
            <w:r w:rsidRPr="00BC487D">
              <w:rPr>
                <w:rFonts w:eastAsia="Arial Unicode MS"/>
                <w:color w:val="000000" w:themeColor="text1"/>
                <w:sz w:val="20"/>
                <w:szCs w:val="20"/>
                <w:shd w:val="clear" w:color="auto" w:fill="FFFFFF"/>
                <w:lang w:val="en-US"/>
              </w:rPr>
              <w:t xml:space="preserve"> I.</w:t>
            </w:r>
          </w:p>
          <w:p w14:paraId="0E8AF4E7"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44" w:tooltip="32008L0101R(04): REPLACED" w:history="1">
              <w:r>
                <w:rPr>
                  <w:rStyle w:val="af3"/>
                  <w:rFonts w:eastAsia="Arial Unicode MS"/>
                  <w:b/>
                  <w:bCs/>
                  <w:color w:val="4472C4" w:themeColor="accent1"/>
                  <w:sz w:val="20"/>
                  <w:szCs w:val="20"/>
                </w:rPr>
                <w:t>▼C4</w:t>
              </w:r>
            </w:hyperlink>
          </w:p>
        </w:tc>
        <w:tc>
          <w:tcPr>
            <w:tcW w:w="4394" w:type="dxa"/>
            <w:shd w:val="clear" w:color="auto" w:fill="auto"/>
          </w:tcPr>
          <w:p w14:paraId="03E1EB9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5BC9A7F" w14:textId="74693069" w:rsidR="00124364" w:rsidRDefault="00D37830" w:rsidP="00C33A2F">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3F7FE403"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69E3A4A" w14:textId="77777777" w:rsidR="00D37830" w:rsidRPr="000643DF" w:rsidRDefault="00D37830" w:rsidP="00D37830">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285B13D1"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220BAE1" w14:textId="77777777" w:rsidR="00124364" w:rsidRDefault="00124364" w:rsidP="00D37830">
            <w:pPr>
              <w:autoSpaceDE w:val="0"/>
              <w:spacing w:after="0" w:line="240" w:lineRule="auto"/>
              <w:rPr>
                <w:rFonts w:ascii="Times New Roman" w:hAnsi="Times New Roman"/>
                <w:sz w:val="20"/>
                <w:szCs w:val="20"/>
                <w:lang w:val="fr-FR"/>
              </w:rPr>
            </w:pPr>
          </w:p>
        </w:tc>
      </w:tr>
      <w:tr w:rsidR="00124364" w14:paraId="37D37FBE" w14:textId="77777777">
        <w:trPr>
          <w:trHeight w:val="558"/>
        </w:trPr>
        <w:tc>
          <w:tcPr>
            <w:tcW w:w="4957" w:type="dxa"/>
            <w:shd w:val="clear" w:color="auto" w:fill="auto"/>
          </w:tcPr>
          <w:p w14:paraId="19C6B96E" w14:textId="2FC82FD6"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BC487D">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3c</w:t>
            </w:r>
          </w:p>
          <w:p w14:paraId="77C47CB6"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Cantitatea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totală</w:t>
            </w:r>
            <w:proofErr w:type="spellEnd"/>
            <w:r>
              <w:rPr>
                <w:rFonts w:eastAsia="Arial Unicode MS"/>
                <w:b/>
                <w:bCs/>
                <w:color w:val="333333"/>
                <w:sz w:val="20"/>
                <w:szCs w:val="20"/>
                <w:shd w:val="clear" w:color="auto" w:fill="FFFFFF"/>
                <w:lang w:val="en-US"/>
              </w:rPr>
              <w:t xml:space="preserve"> de certificate </w:t>
            </w:r>
            <w:proofErr w:type="spellStart"/>
            <w:r>
              <w:rPr>
                <w:rFonts w:eastAsia="Arial Unicode MS"/>
                <w:b/>
                <w:bCs/>
                <w:color w:val="333333"/>
                <w:sz w:val="20"/>
                <w:szCs w:val="20"/>
                <w:shd w:val="clear" w:color="auto" w:fill="FFFFFF"/>
                <w:lang w:val="en-US"/>
              </w:rPr>
              <w:t>pentru</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aviație</w:t>
            </w:r>
            <w:proofErr w:type="spellEnd"/>
          </w:p>
          <w:p w14:paraId="47F14475" w14:textId="673587F1" w:rsidR="00124364" w:rsidRPr="00BC487D" w:rsidRDefault="00000000" w:rsidP="00BC487D">
            <w:pPr>
              <w:pStyle w:val="ti-art"/>
              <w:numPr>
                <w:ilvl w:val="0"/>
                <w:numId w:val="1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487D">
              <w:rPr>
                <w:rFonts w:eastAsia="Arial Unicode MS"/>
                <w:color w:val="000000" w:themeColor="text1"/>
                <w:sz w:val="20"/>
                <w:szCs w:val="20"/>
                <w:shd w:val="clear" w:color="auto" w:fill="FFFFFF"/>
                <w:lang w:val="en-US"/>
              </w:rPr>
              <w:t>În perioada 1</w:t>
            </w:r>
            <w:r w:rsidR="00BC487D"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ianuarie</w:t>
            </w:r>
            <w:proofErr w:type="spellEnd"/>
            <w:r w:rsidRPr="00BC487D">
              <w:rPr>
                <w:rFonts w:eastAsia="Arial Unicode MS"/>
                <w:color w:val="000000" w:themeColor="text1"/>
                <w:sz w:val="20"/>
                <w:szCs w:val="20"/>
                <w:shd w:val="clear" w:color="auto" w:fill="FFFFFF"/>
                <w:lang w:val="en-US"/>
              </w:rPr>
              <w:t xml:space="preserve"> 2012-31</w:t>
            </w:r>
            <w:r w:rsidR="00BC487D"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decembrie</w:t>
            </w:r>
            <w:proofErr w:type="spellEnd"/>
            <w:r w:rsidRPr="00BC487D">
              <w:rPr>
                <w:rFonts w:eastAsia="Arial Unicode MS"/>
                <w:color w:val="000000" w:themeColor="text1"/>
                <w:sz w:val="20"/>
                <w:szCs w:val="20"/>
                <w:shd w:val="clear" w:color="auto" w:fill="FFFFFF"/>
                <w:lang w:val="en-US"/>
              </w:rPr>
              <w:t xml:space="preserve"> 2012, </w:t>
            </w:r>
            <w:proofErr w:type="spellStart"/>
            <w:r w:rsidRPr="00BC487D">
              <w:rPr>
                <w:rFonts w:eastAsia="Arial Unicode MS"/>
                <w:color w:val="000000" w:themeColor="text1"/>
                <w:sz w:val="20"/>
                <w:szCs w:val="20"/>
                <w:shd w:val="clear" w:color="auto" w:fill="FFFFFF"/>
                <w:lang w:val="en-US"/>
              </w:rPr>
              <w:t>cantitatea</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totală</w:t>
            </w:r>
            <w:proofErr w:type="spellEnd"/>
            <w:r w:rsidRPr="00BC487D">
              <w:rPr>
                <w:rFonts w:eastAsia="Arial Unicode MS"/>
                <w:color w:val="000000" w:themeColor="text1"/>
                <w:sz w:val="20"/>
                <w:szCs w:val="20"/>
                <w:shd w:val="clear" w:color="auto" w:fill="FFFFFF"/>
                <w:lang w:val="en-US"/>
              </w:rPr>
              <w:t xml:space="preserve"> de certificate care se </w:t>
            </w:r>
            <w:proofErr w:type="spellStart"/>
            <w:r w:rsidRPr="00BC487D">
              <w:rPr>
                <w:rFonts w:eastAsia="Arial Unicode MS"/>
                <w:color w:val="000000" w:themeColor="text1"/>
                <w:sz w:val="20"/>
                <w:szCs w:val="20"/>
                <w:shd w:val="clear" w:color="auto" w:fill="FFFFFF"/>
                <w:lang w:val="en-US"/>
              </w:rPr>
              <w:t>alocă</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operatorilor</w:t>
            </w:r>
            <w:proofErr w:type="spellEnd"/>
            <w:r w:rsidRPr="00BC487D">
              <w:rPr>
                <w:rFonts w:eastAsia="Arial Unicode MS"/>
                <w:color w:val="000000" w:themeColor="text1"/>
                <w:sz w:val="20"/>
                <w:szCs w:val="20"/>
                <w:shd w:val="clear" w:color="auto" w:fill="FFFFFF"/>
                <w:lang w:val="en-US"/>
              </w:rPr>
              <w:t xml:space="preserve"> de </w:t>
            </w:r>
            <w:proofErr w:type="spellStart"/>
            <w:r w:rsidRPr="00BC487D">
              <w:rPr>
                <w:rFonts w:eastAsia="Arial Unicode MS"/>
                <w:color w:val="000000" w:themeColor="text1"/>
                <w:sz w:val="20"/>
                <w:szCs w:val="20"/>
                <w:shd w:val="clear" w:color="auto" w:fill="FFFFFF"/>
                <w:lang w:val="en-US"/>
              </w:rPr>
              <w:t>aeronave</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este</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echivalentă</w:t>
            </w:r>
            <w:proofErr w:type="spellEnd"/>
            <w:r w:rsidRPr="00BC487D">
              <w:rPr>
                <w:rFonts w:eastAsia="Arial Unicode MS"/>
                <w:color w:val="000000" w:themeColor="text1"/>
                <w:sz w:val="20"/>
                <w:szCs w:val="20"/>
                <w:shd w:val="clear" w:color="auto" w:fill="FFFFFF"/>
                <w:lang w:val="en-US"/>
              </w:rPr>
              <w:t xml:space="preserve"> cu 97</w:t>
            </w:r>
            <w:r w:rsidR="00BC487D" w:rsidRPr="00BC487D">
              <w:rPr>
                <w:rFonts w:eastAsia="Arial Unicode MS"/>
                <w:color w:val="000000" w:themeColor="text1"/>
                <w:sz w:val="20"/>
                <w:szCs w:val="20"/>
                <w:shd w:val="clear" w:color="auto" w:fill="FFFFFF"/>
                <w:lang w:val="en-US"/>
              </w:rPr>
              <w:t xml:space="preserve"> </w:t>
            </w:r>
            <w:r w:rsidRPr="00BC487D">
              <w:rPr>
                <w:rFonts w:eastAsia="Arial Unicode MS"/>
                <w:color w:val="000000" w:themeColor="text1"/>
                <w:sz w:val="20"/>
                <w:szCs w:val="20"/>
                <w:shd w:val="clear" w:color="auto" w:fill="FFFFFF"/>
                <w:lang w:val="en-US"/>
              </w:rPr>
              <w:t xml:space="preserve">% din </w:t>
            </w:r>
            <w:proofErr w:type="spellStart"/>
            <w:r w:rsidRPr="00BC487D">
              <w:rPr>
                <w:rFonts w:eastAsia="Arial Unicode MS"/>
                <w:color w:val="000000" w:themeColor="text1"/>
                <w:sz w:val="20"/>
                <w:szCs w:val="20"/>
                <w:shd w:val="clear" w:color="auto" w:fill="FFFFFF"/>
                <w:lang w:val="en-US"/>
              </w:rPr>
              <w:t>emisiile</w:t>
            </w:r>
            <w:proofErr w:type="spellEnd"/>
            <w:r w:rsidRPr="00BC487D">
              <w:rPr>
                <w:rFonts w:eastAsia="Arial Unicode MS"/>
                <w:color w:val="000000" w:themeColor="text1"/>
                <w:sz w:val="20"/>
                <w:szCs w:val="20"/>
                <w:shd w:val="clear" w:color="auto" w:fill="FFFFFF"/>
                <w:lang w:val="en-US"/>
              </w:rPr>
              <w:t xml:space="preserve"> </w:t>
            </w:r>
            <w:proofErr w:type="spellStart"/>
            <w:r w:rsidRPr="00BC487D">
              <w:rPr>
                <w:rFonts w:eastAsia="Arial Unicode MS"/>
                <w:color w:val="000000" w:themeColor="text1"/>
                <w:sz w:val="20"/>
                <w:szCs w:val="20"/>
                <w:shd w:val="clear" w:color="auto" w:fill="FFFFFF"/>
                <w:lang w:val="en-US"/>
              </w:rPr>
              <w:t>istorice</w:t>
            </w:r>
            <w:proofErr w:type="spellEnd"/>
            <w:r w:rsidRPr="00BC487D">
              <w:rPr>
                <w:rFonts w:eastAsia="Arial Unicode MS"/>
                <w:color w:val="000000" w:themeColor="text1"/>
                <w:sz w:val="20"/>
                <w:szCs w:val="20"/>
                <w:shd w:val="clear" w:color="auto" w:fill="FFFFFF"/>
                <w:lang w:val="en-US"/>
              </w:rPr>
              <w:t xml:space="preserve"> din </w:t>
            </w:r>
            <w:proofErr w:type="spellStart"/>
            <w:r w:rsidRPr="00BC487D">
              <w:rPr>
                <w:rFonts w:eastAsia="Arial Unicode MS"/>
                <w:color w:val="000000" w:themeColor="text1"/>
                <w:sz w:val="20"/>
                <w:szCs w:val="20"/>
                <w:shd w:val="clear" w:color="auto" w:fill="FFFFFF"/>
                <w:lang w:val="en-US"/>
              </w:rPr>
              <w:t>aviație</w:t>
            </w:r>
            <w:proofErr w:type="spellEnd"/>
            <w:r w:rsidRPr="00BC487D">
              <w:rPr>
                <w:rFonts w:eastAsia="Arial Unicode MS"/>
                <w:color w:val="000000" w:themeColor="text1"/>
                <w:sz w:val="20"/>
                <w:szCs w:val="20"/>
                <w:shd w:val="clear" w:color="auto" w:fill="FFFFFF"/>
                <w:lang w:val="en-US"/>
              </w:rPr>
              <w:t>.</w:t>
            </w:r>
          </w:p>
          <w:p w14:paraId="0DDC1D64" w14:textId="61E1BE51"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45" w:tooltip="32023L0958: DELETED" w:history="1">
              <w:r>
                <w:rPr>
                  <w:rStyle w:val="af3"/>
                  <w:rFonts w:eastAsia="Arial Unicode MS"/>
                  <w:b/>
                  <w:bCs/>
                  <w:color w:val="4472C4" w:themeColor="accent1"/>
                  <w:sz w:val="20"/>
                  <w:szCs w:val="20"/>
                </w:rPr>
                <w:t>▼M14</w:t>
              </w:r>
            </w:hyperlink>
            <w:r w:rsidR="00BC487D">
              <w:rPr>
                <w:rFonts w:ascii="Arial Unicode MS" w:eastAsia="Arial Unicode MS" w:hAnsi="Arial Unicode MS" w:cs="Arial Unicode MS"/>
                <w:b/>
                <w:bCs/>
                <w:color w:val="4472C4" w:themeColor="accent1"/>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5060337C"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46" w:tooltip="32008L0101R(04): REPLACED" w:history="1">
              <w:r>
                <w:rPr>
                  <w:rStyle w:val="af3"/>
                  <w:rFonts w:eastAsia="Arial Unicode MS"/>
                  <w:b/>
                  <w:bCs/>
                  <w:color w:val="4472C4" w:themeColor="accent1"/>
                  <w:sz w:val="20"/>
                  <w:szCs w:val="20"/>
                </w:rPr>
                <w:t>▼C4</w:t>
              </w:r>
            </w:hyperlink>
          </w:p>
          <w:p w14:paraId="15A3F1B1" w14:textId="0B2CBADE" w:rsidR="00124364" w:rsidRPr="00BC487D" w:rsidRDefault="00000000" w:rsidP="00BC487D">
            <w:pPr>
              <w:pStyle w:val="af8"/>
              <w:numPr>
                <w:ilvl w:val="0"/>
                <w:numId w:val="15"/>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BC487D">
              <w:rPr>
                <w:rFonts w:ascii="Times New Roman" w:eastAsia="Arial Unicode MS" w:hAnsi="Times New Roman"/>
                <w:color w:val="000000" w:themeColor="text1"/>
                <w:sz w:val="20"/>
                <w:szCs w:val="20"/>
              </w:rPr>
              <w:t>Comisia</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revizuiește</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cantitatea</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totală</w:t>
            </w:r>
            <w:proofErr w:type="spellEnd"/>
            <w:r w:rsidRPr="00BC487D">
              <w:rPr>
                <w:rFonts w:ascii="Times New Roman" w:eastAsia="Arial Unicode MS" w:hAnsi="Times New Roman"/>
                <w:color w:val="000000" w:themeColor="text1"/>
                <w:sz w:val="20"/>
                <w:szCs w:val="20"/>
              </w:rPr>
              <w:t xml:space="preserve"> de certificate care se </w:t>
            </w:r>
            <w:proofErr w:type="spellStart"/>
            <w:r w:rsidRPr="00BC487D">
              <w:rPr>
                <w:rFonts w:ascii="Times New Roman" w:eastAsia="Arial Unicode MS" w:hAnsi="Times New Roman"/>
                <w:color w:val="000000" w:themeColor="text1"/>
                <w:sz w:val="20"/>
                <w:szCs w:val="20"/>
              </w:rPr>
              <w:t>alocă</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operatorilor</w:t>
            </w:r>
            <w:proofErr w:type="spellEnd"/>
            <w:r w:rsidRPr="00BC487D">
              <w:rPr>
                <w:rFonts w:ascii="Times New Roman" w:eastAsia="Arial Unicode MS" w:hAnsi="Times New Roman"/>
                <w:color w:val="000000" w:themeColor="text1"/>
                <w:sz w:val="20"/>
                <w:szCs w:val="20"/>
              </w:rPr>
              <w:t xml:space="preserve"> de </w:t>
            </w:r>
            <w:proofErr w:type="spellStart"/>
            <w:r w:rsidRPr="00BC487D">
              <w:rPr>
                <w:rFonts w:ascii="Times New Roman" w:eastAsia="Arial Unicode MS" w:hAnsi="Times New Roman"/>
                <w:color w:val="000000" w:themeColor="text1"/>
                <w:sz w:val="20"/>
                <w:szCs w:val="20"/>
              </w:rPr>
              <w:t>aeronave</w:t>
            </w:r>
            <w:proofErr w:type="spellEnd"/>
            <w:r w:rsidRPr="00BC487D">
              <w:rPr>
                <w:rFonts w:ascii="Times New Roman" w:eastAsia="Arial Unicode MS" w:hAnsi="Times New Roman"/>
                <w:color w:val="000000" w:themeColor="text1"/>
                <w:sz w:val="20"/>
                <w:szCs w:val="20"/>
              </w:rPr>
              <w:t xml:space="preserve"> în conformitate cu </w:t>
            </w:r>
            <w:proofErr w:type="spellStart"/>
            <w:r w:rsidRPr="00BC487D">
              <w:rPr>
                <w:rFonts w:ascii="Times New Roman" w:eastAsia="Arial Unicode MS" w:hAnsi="Times New Roman"/>
                <w:color w:val="000000" w:themeColor="text1"/>
                <w:sz w:val="20"/>
                <w:szCs w:val="20"/>
              </w:rPr>
              <w:t>articolul</w:t>
            </w:r>
            <w:proofErr w:type="spellEnd"/>
            <w:r w:rsidR="00BC487D" w:rsidRPr="00BC487D">
              <w:rPr>
                <w:rFonts w:ascii="Times New Roman" w:eastAsia="Arial Unicode MS" w:hAnsi="Times New Roman"/>
                <w:color w:val="000000" w:themeColor="text1"/>
                <w:sz w:val="20"/>
                <w:szCs w:val="20"/>
              </w:rPr>
              <w:t xml:space="preserve"> </w:t>
            </w:r>
            <w:r w:rsidRPr="00BC487D">
              <w:rPr>
                <w:rFonts w:ascii="Times New Roman" w:eastAsia="Arial Unicode MS" w:hAnsi="Times New Roman"/>
                <w:color w:val="000000" w:themeColor="text1"/>
                <w:sz w:val="20"/>
                <w:szCs w:val="20"/>
              </w:rPr>
              <w:t xml:space="preserve">30 </w:t>
            </w:r>
            <w:proofErr w:type="spellStart"/>
            <w:r w:rsidRPr="00BC487D">
              <w:rPr>
                <w:rFonts w:ascii="Times New Roman" w:eastAsia="Arial Unicode MS" w:hAnsi="Times New Roman"/>
                <w:color w:val="000000" w:themeColor="text1"/>
                <w:sz w:val="20"/>
                <w:szCs w:val="20"/>
              </w:rPr>
              <w:t>alineatul</w:t>
            </w:r>
            <w:proofErr w:type="spellEnd"/>
            <w:r w:rsidRPr="00BC487D">
              <w:rPr>
                <w:rFonts w:ascii="Times New Roman" w:eastAsia="Arial Unicode MS" w:hAnsi="Times New Roman"/>
                <w:color w:val="000000" w:themeColor="text1"/>
                <w:sz w:val="20"/>
                <w:szCs w:val="20"/>
              </w:rPr>
              <w:t xml:space="preserve"> (4).</w:t>
            </w:r>
          </w:p>
          <w:p w14:paraId="4D7BDE61"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47" w:tooltip="32017R2392: INSERTED" w:history="1">
              <w:r>
                <w:rPr>
                  <w:rStyle w:val="af3"/>
                  <w:rFonts w:ascii="Times New Roman" w:eastAsia="Arial Unicode MS" w:hAnsi="Times New Roman"/>
                  <w:b/>
                  <w:bCs/>
                  <w:color w:val="4472C4" w:themeColor="accent1"/>
                  <w:sz w:val="20"/>
                  <w:szCs w:val="20"/>
                </w:rPr>
                <w:t>▼M8</w:t>
              </w:r>
            </w:hyperlink>
          </w:p>
          <w:p w14:paraId="240F093B" w14:textId="303D0E57" w:rsidR="00124364" w:rsidRPr="00BC487D" w:rsidRDefault="00000000">
            <w:pPr>
              <w:pStyle w:val="af8"/>
              <w:numPr>
                <w:ilvl w:val="0"/>
                <w:numId w:val="16"/>
              </w:numPr>
              <w:suppressAutoHyphens w:val="0"/>
              <w:autoSpaceDN/>
              <w:spacing w:after="0" w:line="240" w:lineRule="auto"/>
              <w:textAlignment w:val="auto"/>
              <w:rPr>
                <w:rFonts w:ascii="Times New Roman" w:hAnsi="Times New Roman"/>
                <w:color w:val="000000" w:themeColor="text1"/>
                <w:sz w:val="20"/>
                <w:szCs w:val="20"/>
              </w:rPr>
            </w:pPr>
            <w:proofErr w:type="spellStart"/>
            <w:r w:rsidRPr="00BC487D">
              <w:rPr>
                <w:rFonts w:ascii="Times New Roman" w:eastAsia="Arial Unicode MS" w:hAnsi="Times New Roman"/>
                <w:color w:val="000000" w:themeColor="text1"/>
                <w:sz w:val="20"/>
                <w:szCs w:val="20"/>
              </w:rPr>
              <w:lastRenderedPageBreak/>
              <w:t>Orice</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alocare</w:t>
            </w:r>
            <w:proofErr w:type="spellEnd"/>
            <w:r w:rsidRPr="00BC487D">
              <w:rPr>
                <w:rFonts w:ascii="Times New Roman" w:eastAsia="Arial Unicode MS" w:hAnsi="Times New Roman"/>
                <w:color w:val="000000" w:themeColor="text1"/>
                <w:sz w:val="20"/>
                <w:szCs w:val="20"/>
              </w:rPr>
              <w:t xml:space="preserve"> de certificate </w:t>
            </w:r>
            <w:proofErr w:type="spellStart"/>
            <w:r w:rsidRPr="00BC487D">
              <w:rPr>
                <w:rFonts w:ascii="Times New Roman" w:eastAsia="Arial Unicode MS" w:hAnsi="Times New Roman"/>
                <w:color w:val="000000" w:themeColor="text1"/>
                <w:sz w:val="20"/>
                <w:szCs w:val="20"/>
              </w:rPr>
              <w:t>pentru</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activitățile</w:t>
            </w:r>
            <w:proofErr w:type="spellEnd"/>
            <w:r w:rsidRPr="00BC487D">
              <w:rPr>
                <w:rFonts w:ascii="Times New Roman" w:eastAsia="Arial Unicode MS" w:hAnsi="Times New Roman"/>
                <w:color w:val="000000" w:themeColor="text1"/>
                <w:sz w:val="20"/>
                <w:szCs w:val="20"/>
              </w:rPr>
              <w:t xml:space="preserve"> de </w:t>
            </w:r>
            <w:proofErr w:type="spellStart"/>
            <w:r w:rsidRPr="00BC487D">
              <w:rPr>
                <w:rFonts w:ascii="Times New Roman" w:eastAsia="Arial Unicode MS" w:hAnsi="Times New Roman"/>
                <w:color w:val="000000" w:themeColor="text1"/>
                <w:sz w:val="20"/>
                <w:szCs w:val="20"/>
              </w:rPr>
              <w:t>aviație</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înspre</w:t>
            </w:r>
            <w:proofErr w:type="spellEnd"/>
            <w:r w:rsidRPr="00BC487D">
              <w:rPr>
                <w:rFonts w:ascii="Times New Roman" w:eastAsia="Arial Unicode MS" w:hAnsi="Times New Roman"/>
                <w:color w:val="000000" w:themeColor="text1"/>
                <w:sz w:val="20"/>
                <w:szCs w:val="20"/>
              </w:rPr>
              <w:t xml:space="preserve"> și </w:t>
            </w:r>
            <w:proofErr w:type="spellStart"/>
            <w:r w:rsidRPr="00BC487D">
              <w:rPr>
                <w:rFonts w:ascii="Times New Roman" w:eastAsia="Arial Unicode MS" w:hAnsi="Times New Roman"/>
                <w:color w:val="000000" w:themeColor="text1"/>
                <w:sz w:val="20"/>
                <w:szCs w:val="20"/>
              </w:rPr>
              <w:t>dinspre</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aerodromurile</w:t>
            </w:r>
            <w:proofErr w:type="spellEnd"/>
            <w:r w:rsidRPr="00BC487D">
              <w:rPr>
                <w:rFonts w:ascii="Times New Roman" w:eastAsia="Arial Unicode MS" w:hAnsi="Times New Roman"/>
                <w:color w:val="000000" w:themeColor="text1"/>
                <w:sz w:val="20"/>
                <w:szCs w:val="20"/>
              </w:rPr>
              <w:t xml:space="preserve"> situate în </w:t>
            </w:r>
            <w:proofErr w:type="spellStart"/>
            <w:r w:rsidRPr="00BC487D">
              <w:rPr>
                <w:rFonts w:ascii="Times New Roman" w:eastAsia="Arial Unicode MS" w:hAnsi="Times New Roman"/>
                <w:color w:val="000000" w:themeColor="text1"/>
                <w:sz w:val="20"/>
                <w:szCs w:val="20"/>
              </w:rPr>
              <w:t>țări</w:t>
            </w:r>
            <w:proofErr w:type="spellEnd"/>
            <w:r w:rsidRPr="00BC487D">
              <w:rPr>
                <w:rFonts w:ascii="Times New Roman" w:eastAsia="Arial Unicode MS" w:hAnsi="Times New Roman"/>
                <w:color w:val="000000" w:themeColor="text1"/>
                <w:sz w:val="20"/>
                <w:szCs w:val="20"/>
              </w:rPr>
              <w:t xml:space="preserve"> din afara </w:t>
            </w:r>
            <w:proofErr w:type="spellStart"/>
            <w:r w:rsidRPr="00BC487D">
              <w:rPr>
                <w:rFonts w:ascii="Times New Roman" w:eastAsia="Arial Unicode MS" w:hAnsi="Times New Roman"/>
                <w:color w:val="000000" w:themeColor="text1"/>
                <w:sz w:val="20"/>
                <w:szCs w:val="20"/>
              </w:rPr>
              <w:t>Spațiului</w:t>
            </w:r>
            <w:proofErr w:type="spellEnd"/>
            <w:r w:rsidRPr="00BC487D">
              <w:rPr>
                <w:rFonts w:ascii="Times New Roman" w:eastAsia="Arial Unicode MS" w:hAnsi="Times New Roman"/>
                <w:color w:val="000000" w:themeColor="text1"/>
                <w:sz w:val="20"/>
                <w:szCs w:val="20"/>
              </w:rPr>
              <w:t xml:space="preserve"> Economic European (SEE) </w:t>
            </w:r>
            <w:proofErr w:type="spellStart"/>
            <w:r w:rsidRPr="00BC487D">
              <w:rPr>
                <w:rFonts w:ascii="Times New Roman" w:eastAsia="Arial Unicode MS" w:hAnsi="Times New Roman"/>
                <w:color w:val="000000" w:themeColor="text1"/>
                <w:sz w:val="20"/>
                <w:szCs w:val="20"/>
              </w:rPr>
              <w:t>după</w:t>
            </w:r>
            <w:proofErr w:type="spellEnd"/>
            <w:r w:rsidRPr="00BC487D">
              <w:rPr>
                <w:rFonts w:ascii="Times New Roman" w:eastAsia="Arial Unicode MS" w:hAnsi="Times New Roman"/>
                <w:color w:val="000000" w:themeColor="text1"/>
                <w:sz w:val="20"/>
                <w:szCs w:val="20"/>
              </w:rPr>
              <w:t xml:space="preserve"> 31</w:t>
            </w:r>
            <w:r w:rsidR="00BC487D"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decembrie</w:t>
            </w:r>
            <w:proofErr w:type="spellEnd"/>
            <w:r w:rsidRPr="00BC487D">
              <w:rPr>
                <w:rFonts w:ascii="Times New Roman" w:eastAsia="Arial Unicode MS" w:hAnsi="Times New Roman"/>
                <w:color w:val="000000" w:themeColor="text1"/>
                <w:sz w:val="20"/>
                <w:szCs w:val="20"/>
              </w:rPr>
              <w:t xml:space="preserve"> 2023 face </w:t>
            </w:r>
            <w:proofErr w:type="spellStart"/>
            <w:r w:rsidRPr="00BC487D">
              <w:rPr>
                <w:rFonts w:ascii="Times New Roman" w:eastAsia="Arial Unicode MS" w:hAnsi="Times New Roman"/>
                <w:color w:val="000000" w:themeColor="text1"/>
                <w:sz w:val="20"/>
                <w:szCs w:val="20"/>
              </w:rPr>
              <w:t>obiectul</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revizuirii</w:t>
            </w:r>
            <w:proofErr w:type="spellEnd"/>
            <w:r w:rsidRPr="00BC487D">
              <w:rPr>
                <w:rFonts w:ascii="Times New Roman" w:eastAsia="Arial Unicode MS" w:hAnsi="Times New Roman"/>
                <w:color w:val="000000" w:themeColor="text1"/>
                <w:sz w:val="20"/>
                <w:szCs w:val="20"/>
              </w:rPr>
              <w:t xml:space="preserve"> </w:t>
            </w:r>
            <w:proofErr w:type="spellStart"/>
            <w:r w:rsidRPr="00BC487D">
              <w:rPr>
                <w:rFonts w:ascii="Times New Roman" w:eastAsia="Arial Unicode MS" w:hAnsi="Times New Roman"/>
                <w:color w:val="000000" w:themeColor="text1"/>
                <w:sz w:val="20"/>
                <w:szCs w:val="20"/>
              </w:rPr>
              <w:t>menționate</w:t>
            </w:r>
            <w:proofErr w:type="spellEnd"/>
            <w:r w:rsidRPr="00BC487D">
              <w:rPr>
                <w:rFonts w:ascii="Times New Roman" w:eastAsia="Arial Unicode MS" w:hAnsi="Times New Roman"/>
                <w:color w:val="000000" w:themeColor="text1"/>
                <w:sz w:val="20"/>
                <w:szCs w:val="20"/>
              </w:rPr>
              <w:t xml:space="preserve"> la </w:t>
            </w:r>
            <w:proofErr w:type="spellStart"/>
            <w:r w:rsidRPr="00BC487D">
              <w:rPr>
                <w:rFonts w:ascii="Times New Roman" w:eastAsia="Arial Unicode MS" w:hAnsi="Times New Roman"/>
                <w:color w:val="000000" w:themeColor="text1"/>
                <w:sz w:val="20"/>
                <w:szCs w:val="20"/>
              </w:rPr>
              <w:t>articolul</w:t>
            </w:r>
            <w:proofErr w:type="spellEnd"/>
            <w:r w:rsidR="00BC487D" w:rsidRPr="00BC487D">
              <w:rPr>
                <w:rFonts w:ascii="Times New Roman" w:eastAsia="Arial Unicode MS" w:hAnsi="Times New Roman"/>
                <w:color w:val="000000" w:themeColor="text1"/>
                <w:sz w:val="20"/>
                <w:szCs w:val="20"/>
              </w:rPr>
              <w:t xml:space="preserve"> </w:t>
            </w:r>
            <w:r w:rsidRPr="00BC487D">
              <w:rPr>
                <w:rFonts w:ascii="Times New Roman" w:eastAsia="Arial Unicode MS" w:hAnsi="Times New Roman"/>
                <w:color w:val="000000" w:themeColor="text1"/>
                <w:sz w:val="20"/>
                <w:szCs w:val="20"/>
              </w:rPr>
              <w:t>28b.</w:t>
            </w:r>
          </w:p>
          <w:p w14:paraId="6FE1D5AD"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48" w:tooltip="32008L0101R(04): REPLACED" w:history="1">
              <w:r>
                <w:rPr>
                  <w:rStyle w:val="af3"/>
                  <w:rFonts w:ascii="Times New Roman" w:eastAsia="Arial Unicode MS" w:hAnsi="Times New Roman"/>
                  <w:b/>
                  <w:bCs/>
                  <w:color w:val="4472C4" w:themeColor="accent1"/>
                  <w:sz w:val="20"/>
                  <w:szCs w:val="20"/>
                </w:rPr>
                <w:t>▼C4</w:t>
              </w:r>
            </w:hyperlink>
          </w:p>
          <w:p w14:paraId="45CF455C" w14:textId="5D2B26C9" w:rsidR="00124364" w:rsidRPr="00BC487D" w:rsidRDefault="00000000" w:rsidP="00BC487D">
            <w:pPr>
              <w:pStyle w:val="af8"/>
              <w:numPr>
                <w:ilvl w:val="0"/>
                <w:numId w:val="17"/>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BC487D">
              <w:rPr>
                <w:rFonts w:ascii="Times New Roman" w:eastAsia="Arial Unicode MS" w:hAnsi="Times New Roman"/>
                <w:color w:val="000000" w:themeColor="text1"/>
                <w:sz w:val="20"/>
                <w:szCs w:val="20"/>
                <w:shd w:val="clear" w:color="auto" w:fill="FFFFFF"/>
              </w:rPr>
              <w:t>Până</w:t>
            </w:r>
            <w:proofErr w:type="spellEnd"/>
            <w:r w:rsidRPr="00BC487D">
              <w:rPr>
                <w:rFonts w:ascii="Times New Roman" w:eastAsia="Arial Unicode MS" w:hAnsi="Times New Roman"/>
                <w:color w:val="000000" w:themeColor="text1"/>
                <w:sz w:val="20"/>
                <w:szCs w:val="20"/>
                <w:shd w:val="clear" w:color="auto" w:fill="FFFFFF"/>
              </w:rPr>
              <w:t xml:space="preserve"> la 2</w:t>
            </w:r>
            <w:r w:rsidR="00BC487D" w:rsidRPr="00BC487D">
              <w:rPr>
                <w:rFonts w:ascii="Times New Roman" w:eastAsia="Arial Unicode MS" w:hAnsi="Times New Roman"/>
                <w:color w:val="000000" w:themeColor="text1"/>
                <w:sz w:val="20"/>
                <w:szCs w:val="20"/>
                <w:shd w:val="clear" w:color="auto" w:fill="FFFFFF"/>
              </w:rPr>
              <w:t xml:space="preserve"> </w:t>
            </w:r>
            <w:r w:rsidRPr="00BC487D">
              <w:rPr>
                <w:rFonts w:ascii="Times New Roman" w:eastAsia="Arial Unicode MS" w:hAnsi="Times New Roman"/>
                <w:color w:val="000000" w:themeColor="text1"/>
                <w:sz w:val="20"/>
                <w:szCs w:val="20"/>
                <w:shd w:val="clear" w:color="auto" w:fill="FFFFFF"/>
              </w:rPr>
              <w:t xml:space="preserve">august 2009, </w:t>
            </w:r>
            <w:proofErr w:type="spellStart"/>
            <w:r w:rsidRPr="00BC487D">
              <w:rPr>
                <w:rFonts w:ascii="Times New Roman" w:eastAsia="Arial Unicode MS" w:hAnsi="Times New Roman"/>
                <w:color w:val="000000" w:themeColor="text1"/>
                <w:sz w:val="20"/>
                <w:szCs w:val="20"/>
                <w:shd w:val="clear" w:color="auto" w:fill="FFFFFF"/>
              </w:rPr>
              <w:t>Comisia</w:t>
            </w:r>
            <w:proofErr w:type="spellEnd"/>
            <w:r w:rsidRPr="00BC487D">
              <w:rPr>
                <w:rFonts w:ascii="Times New Roman" w:eastAsia="Arial Unicode MS" w:hAnsi="Times New Roman"/>
                <w:color w:val="000000" w:themeColor="text1"/>
                <w:sz w:val="20"/>
                <w:szCs w:val="20"/>
                <w:shd w:val="clear" w:color="auto" w:fill="FFFFFF"/>
              </w:rPr>
              <w:t xml:space="preserve"> decide cu </w:t>
            </w:r>
            <w:proofErr w:type="spellStart"/>
            <w:r w:rsidRPr="00BC487D">
              <w:rPr>
                <w:rFonts w:ascii="Times New Roman" w:eastAsia="Arial Unicode MS" w:hAnsi="Times New Roman"/>
                <w:color w:val="000000" w:themeColor="text1"/>
                <w:sz w:val="20"/>
                <w:szCs w:val="20"/>
                <w:shd w:val="clear" w:color="auto" w:fill="FFFFFF"/>
              </w:rPr>
              <w:t>privire</w:t>
            </w:r>
            <w:proofErr w:type="spellEnd"/>
            <w:r w:rsidRPr="00BC487D">
              <w:rPr>
                <w:rFonts w:ascii="Times New Roman" w:eastAsia="Arial Unicode MS" w:hAnsi="Times New Roman"/>
                <w:color w:val="000000" w:themeColor="text1"/>
                <w:sz w:val="20"/>
                <w:szCs w:val="20"/>
                <w:shd w:val="clear" w:color="auto" w:fill="FFFFFF"/>
              </w:rPr>
              <w:t xml:space="preserve"> la </w:t>
            </w:r>
            <w:proofErr w:type="spellStart"/>
            <w:r w:rsidRPr="00BC487D">
              <w:rPr>
                <w:rFonts w:ascii="Times New Roman" w:eastAsia="Arial Unicode MS" w:hAnsi="Times New Roman"/>
                <w:color w:val="000000" w:themeColor="text1"/>
                <w:sz w:val="20"/>
                <w:szCs w:val="20"/>
                <w:shd w:val="clear" w:color="auto" w:fill="FFFFFF"/>
              </w:rPr>
              <w:t>emisiile</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istorice</w:t>
            </w:r>
            <w:proofErr w:type="spellEnd"/>
            <w:r w:rsidRPr="00BC487D">
              <w:rPr>
                <w:rFonts w:ascii="Times New Roman" w:eastAsia="Arial Unicode MS" w:hAnsi="Times New Roman"/>
                <w:color w:val="000000" w:themeColor="text1"/>
                <w:sz w:val="20"/>
                <w:szCs w:val="20"/>
                <w:shd w:val="clear" w:color="auto" w:fill="FFFFFF"/>
              </w:rPr>
              <w:t xml:space="preserve"> din </w:t>
            </w:r>
            <w:proofErr w:type="spellStart"/>
            <w:r w:rsidRPr="00BC487D">
              <w:rPr>
                <w:rFonts w:ascii="Times New Roman" w:eastAsia="Arial Unicode MS" w:hAnsi="Times New Roman"/>
                <w:color w:val="000000" w:themeColor="text1"/>
                <w:sz w:val="20"/>
                <w:szCs w:val="20"/>
                <w:shd w:val="clear" w:color="auto" w:fill="FFFFFF"/>
              </w:rPr>
              <w:t>aviație</w:t>
            </w:r>
            <w:proofErr w:type="spellEnd"/>
            <w:r w:rsidRPr="00BC487D">
              <w:rPr>
                <w:rFonts w:ascii="Times New Roman" w:eastAsia="Arial Unicode MS" w:hAnsi="Times New Roman"/>
                <w:color w:val="000000" w:themeColor="text1"/>
                <w:sz w:val="20"/>
                <w:szCs w:val="20"/>
                <w:shd w:val="clear" w:color="auto" w:fill="FFFFFF"/>
              </w:rPr>
              <w:t xml:space="preserve">, pe </w:t>
            </w:r>
            <w:proofErr w:type="spellStart"/>
            <w:r w:rsidRPr="00BC487D">
              <w:rPr>
                <w:rFonts w:ascii="Times New Roman" w:eastAsia="Arial Unicode MS" w:hAnsi="Times New Roman"/>
                <w:color w:val="000000" w:themeColor="text1"/>
                <w:sz w:val="20"/>
                <w:szCs w:val="20"/>
                <w:shd w:val="clear" w:color="auto" w:fill="FFFFFF"/>
              </w:rPr>
              <w:t>baza</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celor</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mai</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fiabile</w:t>
            </w:r>
            <w:proofErr w:type="spellEnd"/>
            <w:r w:rsidRPr="00BC487D">
              <w:rPr>
                <w:rFonts w:ascii="Times New Roman" w:eastAsia="Arial Unicode MS" w:hAnsi="Times New Roman"/>
                <w:color w:val="000000" w:themeColor="text1"/>
                <w:sz w:val="20"/>
                <w:szCs w:val="20"/>
                <w:shd w:val="clear" w:color="auto" w:fill="FFFFFF"/>
              </w:rPr>
              <w:t xml:space="preserve"> date </w:t>
            </w:r>
            <w:proofErr w:type="spellStart"/>
            <w:r w:rsidRPr="00BC487D">
              <w:rPr>
                <w:rFonts w:ascii="Times New Roman" w:eastAsia="Arial Unicode MS" w:hAnsi="Times New Roman"/>
                <w:color w:val="000000" w:themeColor="text1"/>
                <w:sz w:val="20"/>
                <w:szCs w:val="20"/>
                <w:shd w:val="clear" w:color="auto" w:fill="FFFFFF"/>
              </w:rPr>
              <w:t>disponibile</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inclusiv</w:t>
            </w:r>
            <w:proofErr w:type="spellEnd"/>
            <w:r w:rsidRPr="00BC487D">
              <w:rPr>
                <w:rFonts w:ascii="Times New Roman" w:eastAsia="Arial Unicode MS" w:hAnsi="Times New Roman"/>
                <w:color w:val="000000" w:themeColor="text1"/>
                <w:sz w:val="20"/>
                <w:szCs w:val="20"/>
                <w:shd w:val="clear" w:color="auto" w:fill="FFFFFF"/>
              </w:rPr>
              <w:t xml:space="preserve"> </w:t>
            </w:r>
            <w:proofErr w:type="gramStart"/>
            <w:r w:rsidRPr="00BC487D">
              <w:rPr>
                <w:rFonts w:ascii="Times New Roman" w:eastAsia="Arial Unicode MS" w:hAnsi="Times New Roman"/>
                <w:color w:val="000000" w:themeColor="text1"/>
                <w:sz w:val="20"/>
                <w:szCs w:val="20"/>
                <w:shd w:val="clear" w:color="auto" w:fill="FFFFFF"/>
              </w:rPr>
              <w:t>a</w:t>
            </w:r>
            <w:proofErr w:type="gram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estimărilor</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bazate</w:t>
            </w:r>
            <w:proofErr w:type="spellEnd"/>
            <w:r w:rsidRPr="00BC487D">
              <w:rPr>
                <w:rFonts w:ascii="Times New Roman" w:eastAsia="Arial Unicode MS" w:hAnsi="Times New Roman"/>
                <w:color w:val="000000" w:themeColor="text1"/>
                <w:sz w:val="20"/>
                <w:szCs w:val="20"/>
                <w:shd w:val="clear" w:color="auto" w:fill="FFFFFF"/>
              </w:rPr>
              <w:t xml:space="preserve"> pe </w:t>
            </w:r>
            <w:proofErr w:type="spellStart"/>
            <w:r w:rsidRPr="00BC487D">
              <w:rPr>
                <w:rFonts w:ascii="Times New Roman" w:eastAsia="Arial Unicode MS" w:hAnsi="Times New Roman"/>
                <w:color w:val="000000" w:themeColor="text1"/>
                <w:sz w:val="20"/>
                <w:szCs w:val="20"/>
                <w:shd w:val="clear" w:color="auto" w:fill="FFFFFF"/>
              </w:rPr>
              <w:t>informații</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privind</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traficul</w:t>
            </w:r>
            <w:proofErr w:type="spellEnd"/>
            <w:r w:rsidRPr="00BC487D">
              <w:rPr>
                <w:rFonts w:ascii="Times New Roman" w:eastAsia="Arial Unicode MS" w:hAnsi="Times New Roman"/>
                <w:color w:val="000000" w:themeColor="text1"/>
                <w:sz w:val="20"/>
                <w:szCs w:val="20"/>
                <w:shd w:val="clear" w:color="auto" w:fill="FFFFFF"/>
              </w:rPr>
              <w:t xml:space="preserve"> real. </w:t>
            </w:r>
            <w:proofErr w:type="spellStart"/>
            <w:r w:rsidRPr="00BC487D">
              <w:rPr>
                <w:rFonts w:ascii="Times New Roman" w:eastAsia="Arial Unicode MS" w:hAnsi="Times New Roman"/>
                <w:color w:val="000000" w:themeColor="text1"/>
                <w:sz w:val="20"/>
                <w:szCs w:val="20"/>
                <w:shd w:val="clear" w:color="auto" w:fill="FFFFFF"/>
              </w:rPr>
              <w:t>Respectiva</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decizie</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este</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deliberată</w:t>
            </w:r>
            <w:proofErr w:type="spellEnd"/>
            <w:r w:rsidRPr="00BC487D">
              <w:rPr>
                <w:rFonts w:ascii="Times New Roman" w:eastAsia="Arial Unicode MS" w:hAnsi="Times New Roman"/>
                <w:color w:val="000000" w:themeColor="text1"/>
                <w:sz w:val="20"/>
                <w:szCs w:val="20"/>
                <w:shd w:val="clear" w:color="auto" w:fill="FFFFFF"/>
              </w:rPr>
              <w:t xml:space="preserve"> în </w:t>
            </w:r>
            <w:proofErr w:type="spellStart"/>
            <w:r w:rsidRPr="00BC487D">
              <w:rPr>
                <w:rFonts w:ascii="Times New Roman" w:eastAsia="Arial Unicode MS" w:hAnsi="Times New Roman"/>
                <w:color w:val="000000" w:themeColor="text1"/>
                <w:sz w:val="20"/>
                <w:szCs w:val="20"/>
                <w:shd w:val="clear" w:color="auto" w:fill="FFFFFF"/>
              </w:rPr>
              <w:t>cadrul</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comitetului</w:t>
            </w:r>
            <w:proofErr w:type="spellEnd"/>
            <w:r w:rsidRPr="00BC487D">
              <w:rPr>
                <w:rFonts w:ascii="Times New Roman" w:eastAsia="Arial Unicode MS" w:hAnsi="Times New Roman"/>
                <w:color w:val="000000" w:themeColor="text1"/>
                <w:sz w:val="20"/>
                <w:szCs w:val="20"/>
                <w:shd w:val="clear" w:color="auto" w:fill="FFFFFF"/>
              </w:rPr>
              <w:t xml:space="preserve"> </w:t>
            </w:r>
            <w:proofErr w:type="spellStart"/>
            <w:r w:rsidRPr="00BC487D">
              <w:rPr>
                <w:rFonts w:ascii="Times New Roman" w:eastAsia="Arial Unicode MS" w:hAnsi="Times New Roman"/>
                <w:color w:val="000000" w:themeColor="text1"/>
                <w:sz w:val="20"/>
                <w:szCs w:val="20"/>
                <w:shd w:val="clear" w:color="auto" w:fill="FFFFFF"/>
              </w:rPr>
              <w:t>menționat</w:t>
            </w:r>
            <w:proofErr w:type="spellEnd"/>
            <w:r w:rsidRPr="00BC487D">
              <w:rPr>
                <w:rFonts w:ascii="Times New Roman" w:eastAsia="Arial Unicode MS" w:hAnsi="Times New Roman"/>
                <w:color w:val="000000" w:themeColor="text1"/>
                <w:sz w:val="20"/>
                <w:szCs w:val="20"/>
                <w:shd w:val="clear" w:color="auto" w:fill="FFFFFF"/>
              </w:rPr>
              <w:t xml:space="preserve"> la </w:t>
            </w:r>
            <w:proofErr w:type="spellStart"/>
            <w:r w:rsidRPr="00BC487D">
              <w:rPr>
                <w:rFonts w:ascii="Times New Roman" w:eastAsia="Arial Unicode MS" w:hAnsi="Times New Roman"/>
                <w:color w:val="000000" w:themeColor="text1"/>
                <w:sz w:val="20"/>
                <w:szCs w:val="20"/>
                <w:shd w:val="clear" w:color="auto" w:fill="FFFFFF"/>
              </w:rPr>
              <w:t>articolul</w:t>
            </w:r>
            <w:proofErr w:type="spellEnd"/>
            <w:r w:rsidR="00BC487D" w:rsidRPr="00BC487D">
              <w:rPr>
                <w:rFonts w:ascii="Times New Roman" w:eastAsia="Arial Unicode MS" w:hAnsi="Times New Roman"/>
                <w:color w:val="000000" w:themeColor="text1"/>
                <w:sz w:val="20"/>
                <w:szCs w:val="20"/>
                <w:shd w:val="clear" w:color="auto" w:fill="FFFFFF"/>
              </w:rPr>
              <w:t xml:space="preserve"> </w:t>
            </w:r>
            <w:r w:rsidRPr="00BC487D">
              <w:rPr>
                <w:rFonts w:ascii="Times New Roman" w:eastAsia="Arial Unicode MS" w:hAnsi="Times New Roman"/>
                <w:color w:val="000000" w:themeColor="text1"/>
                <w:sz w:val="20"/>
                <w:szCs w:val="20"/>
                <w:shd w:val="clear" w:color="auto" w:fill="FFFFFF"/>
              </w:rPr>
              <w:t xml:space="preserve">23 </w:t>
            </w:r>
            <w:proofErr w:type="spellStart"/>
            <w:r w:rsidRPr="00BC487D">
              <w:rPr>
                <w:rFonts w:ascii="Times New Roman" w:eastAsia="Arial Unicode MS" w:hAnsi="Times New Roman"/>
                <w:color w:val="000000" w:themeColor="text1"/>
                <w:sz w:val="20"/>
                <w:szCs w:val="20"/>
                <w:shd w:val="clear" w:color="auto" w:fill="FFFFFF"/>
              </w:rPr>
              <w:t>alineatul</w:t>
            </w:r>
            <w:proofErr w:type="spellEnd"/>
            <w:r w:rsidR="00BC487D" w:rsidRPr="00BC487D">
              <w:rPr>
                <w:rFonts w:ascii="Times New Roman" w:eastAsia="Arial Unicode MS" w:hAnsi="Times New Roman"/>
                <w:color w:val="000000" w:themeColor="text1"/>
                <w:sz w:val="20"/>
                <w:szCs w:val="20"/>
                <w:shd w:val="clear" w:color="auto" w:fill="FFFFFF"/>
              </w:rPr>
              <w:t xml:space="preserve"> </w:t>
            </w:r>
            <w:r w:rsidRPr="00BC487D">
              <w:rPr>
                <w:rFonts w:ascii="Times New Roman" w:eastAsia="Arial Unicode MS" w:hAnsi="Times New Roman"/>
                <w:color w:val="000000" w:themeColor="text1"/>
                <w:sz w:val="20"/>
                <w:szCs w:val="20"/>
                <w:shd w:val="clear" w:color="auto" w:fill="FFFFFF"/>
              </w:rPr>
              <w:t>(1).</w:t>
            </w:r>
          </w:p>
          <w:p w14:paraId="3BA4A979"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49" w:tooltip="32023L0958: INSERTED" w:history="1">
              <w:r>
                <w:rPr>
                  <w:rStyle w:val="af3"/>
                  <w:rFonts w:ascii="Times New Roman" w:eastAsia="Arial Unicode MS" w:hAnsi="Times New Roman"/>
                  <w:b/>
                  <w:bCs/>
                  <w:color w:val="4472C4" w:themeColor="accent1"/>
                  <w:sz w:val="20"/>
                  <w:szCs w:val="20"/>
                </w:rPr>
                <w:t>▼M14</w:t>
              </w:r>
            </w:hyperlink>
          </w:p>
          <w:p w14:paraId="370652A3" w14:textId="33670F8B" w:rsidR="00124364" w:rsidRPr="00D37830" w:rsidRDefault="00000000" w:rsidP="00D37830">
            <w:pPr>
              <w:pStyle w:val="af8"/>
              <w:numPr>
                <w:ilvl w:val="0"/>
                <w:numId w:val="17"/>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stabilește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totală</w:t>
            </w:r>
            <w:proofErr w:type="spellEnd"/>
            <w:r w:rsidRPr="00D37830">
              <w:rPr>
                <w:rFonts w:ascii="Times New Roman" w:eastAsia="Arial Unicode MS" w:hAnsi="Times New Roman"/>
                <w:color w:val="000000" w:themeColor="text1"/>
                <w:sz w:val="20"/>
                <w:szCs w:val="20"/>
                <w:shd w:val="clear" w:color="auto" w:fill="FFFFFF"/>
              </w:rPr>
              <w:t xml:space="preserve"> de certificate care </w:t>
            </w:r>
            <w:proofErr w:type="spellStart"/>
            <w:r w:rsidRPr="00D37830">
              <w:rPr>
                <w:rFonts w:ascii="Times New Roman" w:eastAsia="Arial Unicode MS" w:hAnsi="Times New Roman"/>
                <w:color w:val="000000" w:themeColor="text1"/>
                <w:sz w:val="20"/>
                <w:szCs w:val="20"/>
                <w:shd w:val="clear" w:color="auto" w:fill="FFFFFF"/>
              </w:rPr>
              <w:t>urmează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fie </w:t>
            </w:r>
            <w:proofErr w:type="spellStart"/>
            <w:r w:rsidRPr="00D37830">
              <w:rPr>
                <w:rFonts w:ascii="Times New Roman" w:eastAsia="Arial Unicode MS" w:hAnsi="Times New Roman"/>
                <w:color w:val="000000" w:themeColor="text1"/>
                <w:sz w:val="20"/>
                <w:szCs w:val="20"/>
                <w:shd w:val="clear" w:color="auto" w:fill="FFFFFF"/>
              </w:rPr>
              <w:t>alocate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anul 2024 pe </w:t>
            </w:r>
            <w:proofErr w:type="spellStart"/>
            <w:r w:rsidRPr="00D37830">
              <w:rPr>
                <w:rFonts w:ascii="Times New Roman" w:eastAsia="Arial Unicode MS" w:hAnsi="Times New Roman"/>
                <w:color w:val="000000" w:themeColor="text1"/>
                <w:sz w:val="20"/>
                <w:szCs w:val="20"/>
                <w:shd w:val="clear" w:color="auto" w:fill="FFFFFF"/>
              </w:rPr>
              <w:t>baza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alocării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totale</w:t>
            </w:r>
            <w:proofErr w:type="spellEnd"/>
            <w:r w:rsidRPr="00D37830">
              <w:rPr>
                <w:rFonts w:ascii="Times New Roman" w:eastAsia="Arial Unicode MS" w:hAnsi="Times New Roman"/>
                <w:color w:val="000000" w:themeColor="text1"/>
                <w:sz w:val="20"/>
                <w:szCs w:val="20"/>
                <w:shd w:val="clear" w:color="auto" w:fill="FFFFFF"/>
              </w:rPr>
              <w:t xml:space="preserve"> de certificate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desfășurau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activități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enumerate în </w:t>
            </w:r>
            <w:proofErr w:type="spellStart"/>
            <w:r w:rsidRPr="00D37830">
              <w:rPr>
                <w:rFonts w:ascii="Times New Roman" w:eastAsia="Arial Unicode MS" w:hAnsi="Times New Roman"/>
                <w:color w:val="000000" w:themeColor="text1"/>
                <w:sz w:val="20"/>
                <w:szCs w:val="20"/>
                <w:shd w:val="clear" w:color="auto" w:fill="FFFFFF"/>
              </w:rPr>
              <w:t>anexa</w:t>
            </w:r>
            <w:proofErr w:type="spellEnd"/>
            <w:r w:rsidRPr="00D37830">
              <w:rPr>
                <w:rFonts w:ascii="Times New Roman" w:eastAsia="Arial Unicode MS" w:hAnsi="Times New Roman"/>
                <w:color w:val="000000" w:themeColor="text1"/>
                <w:sz w:val="20"/>
                <w:szCs w:val="20"/>
                <w:shd w:val="clear" w:color="auto" w:fill="FFFFFF"/>
              </w:rPr>
              <w:t xml:space="preserve"> I în anul 2023, </w:t>
            </w:r>
            <w:proofErr w:type="spellStart"/>
            <w:r w:rsidRPr="00D37830">
              <w:rPr>
                <w:rFonts w:ascii="Times New Roman" w:eastAsia="Arial Unicode MS" w:hAnsi="Times New Roman"/>
                <w:color w:val="000000" w:themeColor="text1"/>
                <w:sz w:val="20"/>
                <w:szCs w:val="20"/>
                <w:shd w:val="clear" w:color="auto" w:fill="FFFFFF"/>
              </w:rPr>
              <w:t>redusă</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factorul</w:t>
            </w:r>
            <w:proofErr w:type="spellEnd"/>
            <w:r w:rsidRPr="00D37830">
              <w:rPr>
                <w:rFonts w:ascii="Times New Roman" w:eastAsia="Arial Unicode MS" w:hAnsi="Times New Roman"/>
                <w:color w:val="000000" w:themeColor="text1"/>
                <w:sz w:val="20"/>
                <w:szCs w:val="20"/>
                <w:shd w:val="clear" w:color="auto" w:fill="FFFFFF"/>
              </w:rPr>
              <w:t xml:space="preserve"> linear de </w:t>
            </w:r>
            <w:proofErr w:type="spellStart"/>
            <w:r w:rsidRPr="00D37830">
              <w:rPr>
                <w:rFonts w:ascii="Times New Roman" w:eastAsia="Arial Unicode MS" w:hAnsi="Times New Roman"/>
                <w:color w:val="000000" w:themeColor="text1"/>
                <w:sz w:val="20"/>
                <w:szCs w:val="20"/>
                <w:shd w:val="clear" w:color="auto" w:fill="FFFFFF"/>
              </w:rPr>
              <w:t>reducere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menționat</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9, și </w:t>
            </w:r>
            <w:proofErr w:type="spellStart"/>
            <w:r w:rsidRPr="00D37830">
              <w:rPr>
                <w:rFonts w:ascii="Times New Roman" w:eastAsia="Arial Unicode MS" w:hAnsi="Times New Roman"/>
                <w:color w:val="000000" w:themeColor="text1"/>
                <w:sz w:val="20"/>
                <w:szCs w:val="20"/>
                <w:shd w:val="clear" w:color="auto" w:fill="FFFFFF"/>
              </w:rPr>
              <w:t>publică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respectivă</w:t>
            </w:r>
            <w:proofErr w:type="spellEnd"/>
            <w:r w:rsidRPr="00D37830">
              <w:rPr>
                <w:rFonts w:ascii="Times New Roman" w:eastAsia="Arial Unicode MS" w:hAnsi="Times New Roman"/>
                <w:color w:val="000000" w:themeColor="text1"/>
                <w:sz w:val="20"/>
                <w:szCs w:val="20"/>
                <w:shd w:val="clear" w:color="auto" w:fill="FFFFFF"/>
              </w:rPr>
              <w:t xml:space="preserve">, precum și </w:t>
            </w:r>
            <w:proofErr w:type="spellStart"/>
            <w:r w:rsidRPr="00D37830">
              <w:rPr>
                <w:rFonts w:ascii="Times New Roman" w:eastAsia="Arial Unicode MS" w:hAnsi="Times New Roman"/>
                <w:color w:val="000000" w:themeColor="text1"/>
                <w:sz w:val="20"/>
                <w:szCs w:val="20"/>
                <w:shd w:val="clear" w:color="auto" w:fill="FFFFFF"/>
              </w:rPr>
              <w:t>volumul</w:t>
            </w:r>
            <w:proofErr w:type="spellEnd"/>
            <w:r w:rsidRPr="00D37830">
              <w:rPr>
                <w:rFonts w:ascii="Times New Roman" w:eastAsia="Arial Unicode MS" w:hAnsi="Times New Roman"/>
                <w:color w:val="000000" w:themeColor="text1"/>
                <w:sz w:val="20"/>
                <w:szCs w:val="20"/>
                <w:shd w:val="clear" w:color="auto" w:fill="FFFFFF"/>
              </w:rPr>
              <w:t xml:space="preserve"> de certificate care </w:t>
            </w:r>
            <w:proofErr w:type="spellStart"/>
            <w:r w:rsidRPr="00D37830">
              <w:rPr>
                <w:rFonts w:ascii="Times New Roman" w:eastAsia="Arial Unicode MS" w:hAnsi="Times New Roman"/>
                <w:color w:val="000000" w:themeColor="text1"/>
                <w:sz w:val="20"/>
                <w:szCs w:val="20"/>
                <w:shd w:val="clear" w:color="auto" w:fill="FFFFFF"/>
              </w:rPr>
              <w:t>ar</w:t>
            </w:r>
            <w:proofErr w:type="spellEnd"/>
            <w:r w:rsidRPr="00D37830">
              <w:rPr>
                <w:rFonts w:ascii="Times New Roman" w:eastAsia="Arial Unicode MS" w:hAnsi="Times New Roman"/>
                <w:color w:val="000000" w:themeColor="text1"/>
                <w:sz w:val="20"/>
                <w:szCs w:val="20"/>
                <w:shd w:val="clear" w:color="auto" w:fill="FFFFFF"/>
              </w:rPr>
              <w:t xml:space="preserve"> fi </w:t>
            </w:r>
            <w:proofErr w:type="spellStart"/>
            <w:r w:rsidRPr="00D37830">
              <w:rPr>
                <w:rFonts w:ascii="Times New Roman" w:eastAsia="Arial Unicode MS" w:hAnsi="Times New Roman"/>
                <w:color w:val="000000" w:themeColor="text1"/>
                <w:sz w:val="20"/>
                <w:szCs w:val="20"/>
                <w:shd w:val="clear" w:color="auto" w:fill="FFFFFF"/>
              </w:rPr>
              <w:t>fost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alocate</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titlu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gratuit</w:t>
            </w:r>
            <w:proofErr w:type="spellEnd"/>
            <w:r w:rsidRPr="00D37830">
              <w:rPr>
                <w:rFonts w:ascii="Times New Roman" w:eastAsia="Arial Unicode MS" w:hAnsi="Times New Roman"/>
                <w:color w:val="000000" w:themeColor="text1"/>
                <w:sz w:val="20"/>
                <w:szCs w:val="20"/>
                <w:shd w:val="clear" w:color="auto" w:fill="FFFFFF"/>
              </w:rPr>
              <w:t xml:space="preserve"> în 2024,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normelor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privind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alocarea</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titlu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gratuit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aflate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vigoare</w:t>
            </w:r>
            <w:proofErr w:type="spellEnd"/>
            <w:r w:rsidRPr="00D37830">
              <w:rPr>
                <w:rFonts w:ascii="Times New Roman" w:eastAsia="Arial Unicode MS" w:hAnsi="Times New Roman"/>
                <w:color w:val="000000" w:themeColor="text1"/>
                <w:sz w:val="20"/>
                <w:szCs w:val="20"/>
                <w:shd w:val="clear" w:color="auto" w:fill="FFFFFF"/>
              </w:rPr>
              <w:t xml:space="preserve"> anterior </w:t>
            </w:r>
            <w:proofErr w:type="spellStart"/>
            <w:r w:rsidRPr="00D37830">
              <w:rPr>
                <w:rFonts w:ascii="Times New Roman" w:eastAsia="Arial Unicode MS" w:hAnsi="Times New Roman"/>
                <w:color w:val="000000" w:themeColor="text1"/>
                <w:sz w:val="20"/>
                <w:szCs w:val="20"/>
                <w:shd w:val="clear" w:color="auto" w:fill="FFFFFF"/>
              </w:rPr>
              <w:t>introducerii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modificărilor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Directiva</w:t>
            </w:r>
            <w:proofErr w:type="spellEnd"/>
            <w:r w:rsidRPr="00D37830">
              <w:rPr>
                <w:rFonts w:ascii="Times New Roman" w:eastAsia="Arial Unicode MS" w:hAnsi="Times New Roman"/>
                <w:color w:val="000000" w:themeColor="text1"/>
                <w:sz w:val="20"/>
                <w:szCs w:val="20"/>
                <w:shd w:val="clear" w:color="auto" w:fill="FFFFFF"/>
              </w:rPr>
              <w:t xml:space="preserve"> (UE)</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2023/958 a </w:t>
            </w:r>
            <w:proofErr w:type="spellStart"/>
            <w:r w:rsidRPr="00D37830">
              <w:rPr>
                <w:rFonts w:ascii="Times New Roman" w:eastAsia="Arial Unicode MS" w:hAnsi="Times New Roman"/>
                <w:color w:val="000000" w:themeColor="text1"/>
                <w:sz w:val="20"/>
                <w:szCs w:val="20"/>
                <w:shd w:val="clear" w:color="auto" w:fill="FFFFFF"/>
              </w:rPr>
              <w:t>Parlamentului</w:t>
            </w:r>
            <w:proofErr w:type="spellEnd"/>
            <w:r w:rsidRPr="00D37830">
              <w:rPr>
                <w:rFonts w:ascii="Times New Roman" w:eastAsia="Arial Unicode MS" w:hAnsi="Times New Roman"/>
                <w:color w:val="000000" w:themeColor="text1"/>
                <w:sz w:val="20"/>
                <w:szCs w:val="20"/>
                <w:shd w:val="clear" w:color="auto" w:fill="FFFFFF"/>
              </w:rPr>
              <w:t xml:space="preserve"> European și a </w:t>
            </w:r>
            <w:proofErr w:type="spellStart"/>
            <w:r w:rsidRPr="00D37830">
              <w:rPr>
                <w:rFonts w:ascii="Times New Roman" w:eastAsia="Arial Unicode MS" w:hAnsi="Times New Roman"/>
                <w:color w:val="000000" w:themeColor="text1"/>
                <w:sz w:val="20"/>
                <w:szCs w:val="20"/>
                <w:shd w:val="clear" w:color="auto" w:fill="FFFFFF"/>
              </w:rPr>
              <w:t>Consiliului</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w:t>
            </w:r>
            <w:hyperlink r:id="rId50" w:anchor="E0008" w:history="1">
              <w:r w:rsidR="00D37830" w:rsidRPr="00D37830">
                <w:rPr>
                  <w:rStyle w:val="apple-converted-space"/>
                  <w:rFonts w:ascii="Times New Roman" w:eastAsia="Arial Unicode MS" w:hAnsi="Times New Roman"/>
                  <w:color w:val="000000" w:themeColor="text1"/>
                  <w:sz w:val="20"/>
                  <w:szCs w:val="20"/>
                </w:rPr>
                <w:t xml:space="preserve"> </w:t>
              </w:r>
              <w:r w:rsidRPr="00D37830">
                <w:rPr>
                  <w:rStyle w:val="superscript"/>
                  <w:rFonts w:ascii="Times New Roman" w:eastAsia="Arial Unicode MS" w:hAnsi="Times New Roman"/>
                  <w:color w:val="000000" w:themeColor="text1"/>
                  <w:sz w:val="20"/>
                  <w:szCs w:val="20"/>
                  <w:vertAlign w:val="superscript"/>
                </w:rPr>
                <w:t>8</w:t>
              </w:r>
            </w:hyperlink>
            <w:r w:rsidRPr="00D37830">
              <w:rPr>
                <w:rFonts w:ascii="Times New Roman" w:eastAsia="Arial Unicode MS" w:hAnsi="Times New Roman"/>
                <w:color w:val="000000" w:themeColor="text1"/>
                <w:sz w:val="20"/>
                <w:szCs w:val="20"/>
                <w:shd w:val="clear" w:color="auto" w:fill="FFFFFF"/>
              </w:rPr>
              <w:t>).</w:t>
            </w:r>
          </w:p>
          <w:p w14:paraId="089CFC3A" w14:textId="22CE0688" w:rsidR="00124364" w:rsidRPr="00D37830" w:rsidRDefault="00000000" w:rsidP="00D37830">
            <w:pPr>
              <w:pStyle w:val="af8"/>
              <w:numPr>
                <w:ilvl w:val="0"/>
                <w:numId w:val="17"/>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perioada </w:t>
            </w:r>
            <w:proofErr w:type="spellStart"/>
            <w:r w:rsidRPr="00D37830">
              <w:rPr>
                <w:rFonts w:ascii="Times New Roman" w:eastAsia="Arial Unicode MS" w:hAnsi="Times New Roman"/>
                <w:color w:val="000000" w:themeColor="text1"/>
                <w:sz w:val="20"/>
                <w:szCs w:val="20"/>
                <w:shd w:val="clear" w:color="auto" w:fill="FFFFFF"/>
              </w:rPr>
              <w:t>cuprinsă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între</w:t>
            </w:r>
            <w:proofErr w:type="spellEnd"/>
            <w:r w:rsidRPr="00D37830">
              <w:rPr>
                <w:rFonts w:ascii="Times New Roman" w:eastAsia="Arial Unicode MS" w:hAnsi="Times New Roman"/>
                <w:color w:val="000000" w:themeColor="text1"/>
                <w:sz w:val="20"/>
                <w:szCs w:val="20"/>
                <w:shd w:val="clear" w:color="auto" w:fill="FFFFFF"/>
              </w:rPr>
              <w:t xml:space="preserve"> 1</w:t>
            </w:r>
            <w:r w:rsidR="00D37830"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ianuarie</w:t>
            </w:r>
            <w:proofErr w:type="spellEnd"/>
            <w:r w:rsidRPr="00D37830">
              <w:rPr>
                <w:rFonts w:ascii="Times New Roman" w:eastAsia="Arial Unicode MS" w:hAnsi="Times New Roman"/>
                <w:color w:val="000000" w:themeColor="text1"/>
                <w:sz w:val="20"/>
                <w:szCs w:val="20"/>
                <w:shd w:val="clear" w:color="auto" w:fill="FFFFFF"/>
              </w:rPr>
              <w:t xml:space="preserve"> 2024 și 31</w:t>
            </w:r>
            <w:r w:rsidR="00D37830"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decembrie</w:t>
            </w:r>
            <w:proofErr w:type="spellEnd"/>
            <w:r w:rsidRPr="00D37830">
              <w:rPr>
                <w:rFonts w:ascii="Times New Roman" w:eastAsia="Arial Unicode MS" w:hAnsi="Times New Roman"/>
                <w:color w:val="000000" w:themeColor="text1"/>
                <w:sz w:val="20"/>
                <w:szCs w:val="20"/>
                <w:shd w:val="clear" w:color="auto" w:fill="FFFFFF"/>
              </w:rPr>
              <w:t xml:space="preserve"> 2030, o </w:t>
            </w:r>
            <w:proofErr w:type="spellStart"/>
            <w:r w:rsidRPr="00D37830">
              <w:rPr>
                <w:rFonts w:ascii="Times New Roman" w:eastAsia="Arial Unicode MS" w:hAnsi="Times New Roman"/>
                <w:color w:val="000000" w:themeColor="text1"/>
                <w:sz w:val="20"/>
                <w:szCs w:val="20"/>
                <w:shd w:val="clear" w:color="auto" w:fill="FFFFFF"/>
              </w:rPr>
              <w:t>cantitate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maximă</w:t>
            </w:r>
            <w:proofErr w:type="spellEnd"/>
            <w:r w:rsidRPr="00D37830">
              <w:rPr>
                <w:rFonts w:ascii="Times New Roman" w:eastAsia="Arial Unicode MS" w:hAnsi="Times New Roman"/>
                <w:color w:val="000000" w:themeColor="text1"/>
                <w:sz w:val="20"/>
                <w:szCs w:val="20"/>
                <w:shd w:val="clear" w:color="auto" w:fill="FFFFFF"/>
              </w:rPr>
              <w:t xml:space="preserve"> de 20 de </w:t>
            </w:r>
            <w:proofErr w:type="spellStart"/>
            <w:r w:rsidRPr="00D37830">
              <w:rPr>
                <w:rFonts w:ascii="Times New Roman" w:eastAsia="Arial Unicode MS" w:hAnsi="Times New Roman"/>
                <w:color w:val="000000" w:themeColor="text1"/>
                <w:sz w:val="20"/>
                <w:szCs w:val="20"/>
                <w:shd w:val="clear" w:color="auto" w:fill="FFFFFF"/>
              </w:rPr>
              <w:t>milioane</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totală</w:t>
            </w:r>
            <w:proofErr w:type="spellEnd"/>
            <w:r w:rsidRPr="00D37830">
              <w:rPr>
                <w:rFonts w:ascii="Times New Roman" w:eastAsia="Arial Unicode MS" w:hAnsi="Times New Roman"/>
                <w:color w:val="000000" w:themeColor="text1"/>
                <w:sz w:val="20"/>
                <w:szCs w:val="20"/>
                <w:shd w:val="clear" w:color="auto" w:fill="FFFFFF"/>
              </w:rPr>
              <w:t xml:space="preserve"> de certificate </w:t>
            </w:r>
            <w:proofErr w:type="spellStart"/>
            <w:r w:rsidRPr="00D37830">
              <w:rPr>
                <w:rFonts w:ascii="Times New Roman" w:eastAsia="Arial Unicode MS" w:hAnsi="Times New Roman"/>
                <w:color w:val="000000" w:themeColor="text1"/>
                <w:sz w:val="20"/>
                <w:szCs w:val="20"/>
                <w:shd w:val="clear" w:color="auto" w:fill="FFFFFF"/>
              </w:rPr>
              <w:t>menționată</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(5)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rezervată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comerciale</w:t>
            </w:r>
            <w:proofErr w:type="spellEnd"/>
            <w:r w:rsidRPr="00D37830">
              <w:rPr>
                <w:rFonts w:ascii="Times New Roman" w:eastAsia="Arial Unicode MS" w:hAnsi="Times New Roman"/>
                <w:color w:val="000000" w:themeColor="text1"/>
                <w:sz w:val="20"/>
                <w:szCs w:val="20"/>
                <w:shd w:val="clear" w:color="auto" w:fill="FFFFFF"/>
              </w:rPr>
              <w:t xml:space="preserve">, în mod transparent, egal și </w:t>
            </w:r>
            <w:proofErr w:type="spellStart"/>
            <w:r w:rsidRPr="00D37830">
              <w:rPr>
                <w:rFonts w:ascii="Times New Roman" w:eastAsia="Arial Unicode MS" w:hAnsi="Times New Roman"/>
                <w:color w:val="000000" w:themeColor="text1"/>
                <w:sz w:val="20"/>
                <w:szCs w:val="20"/>
                <w:shd w:val="clear" w:color="auto" w:fill="FFFFFF"/>
              </w:rPr>
              <w:t>nediscriminatoriu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durabili</w:t>
            </w:r>
            <w:proofErr w:type="spellEnd"/>
            <w:r w:rsidRPr="00D37830">
              <w:rPr>
                <w:rFonts w:ascii="Times New Roman" w:eastAsia="Arial Unicode MS" w:hAnsi="Times New Roman"/>
                <w:color w:val="000000" w:themeColor="text1"/>
                <w:sz w:val="20"/>
                <w:szCs w:val="20"/>
                <w:shd w:val="clear" w:color="auto" w:fill="FFFFFF"/>
              </w:rPr>
              <w:t xml:space="preserve"> și a </w:t>
            </w:r>
            <w:proofErr w:type="spellStart"/>
            <w:r w:rsidRPr="00D37830">
              <w:rPr>
                <w:rFonts w:ascii="Times New Roman" w:eastAsia="Arial Unicode MS" w:hAnsi="Times New Roman"/>
                <w:color w:val="000000" w:themeColor="text1"/>
                <w:sz w:val="20"/>
                <w:szCs w:val="20"/>
                <w:shd w:val="clear" w:color="auto" w:fill="FFFFFF"/>
              </w:rPr>
              <w:t>altor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care nu sunt </w:t>
            </w:r>
            <w:proofErr w:type="spellStart"/>
            <w:r w:rsidRPr="00D37830">
              <w:rPr>
                <w:rFonts w:ascii="Times New Roman" w:eastAsia="Arial Unicode MS" w:hAnsi="Times New Roman"/>
                <w:color w:val="000000" w:themeColor="text1"/>
                <w:sz w:val="20"/>
                <w:szCs w:val="20"/>
                <w:shd w:val="clear" w:color="auto" w:fill="FFFFFF"/>
              </w:rPr>
              <w:t>derivați</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combustibili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identificați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-un </w:t>
            </w:r>
            <w:proofErr w:type="spellStart"/>
            <w:r w:rsidRPr="00D37830">
              <w:rPr>
                <w:rFonts w:ascii="Times New Roman" w:eastAsia="Arial Unicode MS" w:hAnsi="Times New Roman"/>
                <w:color w:val="000000" w:themeColor="text1"/>
                <w:sz w:val="20"/>
                <w:szCs w:val="20"/>
                <w:shd w:val="clear" w:color="auto" w:fill="FFFFFF"/>
              </w:rPr>
              <w:t>regulament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privind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asigurarea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condiții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concurență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echitabile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un transport </w:t>
            </w:r>
            <w:proofErr w:type="spellStart"/>
            <w:r w:rsidRPr="00D37830">
              <w:rPr>
                <w:rFonts w:ascii="Times New Roman" w:eastAsia="Arial Unicode MS" w:hAnsi="Times New Roman"/>
                <w:color w:val="000000" w:themeColor="text1"/>
                <w:sz w:val="20"/>
                <w:szCs w:val="20"/>
                <w:shd w:val="clear" w:color="auto" w:fill="FFFFFF"/>
              </w:rPr>
              <w:t>aerian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durabil</w:t>
            </w:r>
            <w:proofErr w:type="spellEnd"/>
            <w:r w:rsidRPr="00D37830">
              <w:rPr>
                <w:rFonts w:ascii="Times New Roman" w:eastAsia="Arial Unicode MS" w:hAnsi="Times New Roman"/>
                <w:color w:val="000000" w:themeColor="text1"/>
                <w:sz w:val="20"/>
                <w:szCs w:val="20"/>
                <w:shd w:val="clear" w:color="auto" w:fill="FFFFFF"/>
              </w:rPr>
              <w:t xml:space="preserve">, ca </w:t>
            </w:r>
            <w:proofErr w:type="spellStart"/>
            <w:r w:rsidRPr="00D37830">
              <w:rPr>
                <w:rFonts w:ascii="Times New Roman" w:eastAsia="Arial Unicode MS" w:hAnsi="Times New Roman"/>
                <w:color w:val="000000" w:themeColor="text1"/>
                <w:sz w:val="20"/>
                <w:szCs w:val="20"/>
                <w:shd w:val="clear" w:color="auto" w:fill="FFFFFF"/>
              </w:rPr>
              <w:t>atingând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cota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minimă</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combustibili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durabili</w:t>
            </w:r>
            <w:proofErr w:type="spellEnd"/>
            <w:r w:rsidRPr="00D37830">
              <w:rPr>
                <w:rFonts w:ascii="Times New Roman" w:eastAsia="Arial Unicode MS" w:hAnsi="Times New Roman"/>
                <w:color w:val="000000" w:themeColor="text1"/>
                <w:sz w:val="20"/>
                <w:szCs w:val="20"/>
                <w:shd w:val="clear" w:color="auto" w:fill="FFFFFF"/>
              </w:rPr>
              <w:t xml:space="preserve"> pe care </w:t>
            </w:r>
            <w:proofErr w:type="spellStart"/>
            <w:r w:rsidRPr="00D37830">
              <w:rPr>
                <w:rFonts w:ascii="Times New Roman" w:eastAsia="Arial Unicode MS" w:hAnsi="Times New Roman"/>
                <w:color w:val="000000" w:themeColor="text1"/>
                <w:sz w:val="20"/>
                <w:szCs w:val="20"/>
                <w:shd w:val="clear" w:color="auto" w:fill="FFFFFF"/>
              </w:rPr>
              <w:t>trebuie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o </w:t>
            </w:r>
            <w:proofErr w:type="spellStart"/>
            <w:r w:rsidRPr="00D37830">
              <w:rPr>
                <w:rFonts w:ascii="Times New Roman" w:eastAsia="Arial Unicode MS" w:hAnsi="Times New Roman"/>
                <w:color w:val="000000" w:themeColor="text1"/>
                <w:sz w:val="20"/>
                <w:szCs w:val="20"/>
                <w:shd w:val="clear" w:color="auto" w:fill="FFFFFF"/>
              </w:rPr>
              <w:t>conțină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combustibilul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pus la </w:t>
            </w:r>
            <w:proofErr w:type="spellStart"/>
            <w:r w:rsidRPr="00D37830">
              <w:rPr>
                <w:rFonts w:ascii="Times New Roman" w:eastAsia="Arial Unicode MS" w:hAnsi="Times New Roman"/>
                <w:color w:val="000000" w:themeColor="text1"/>
                <w:sz w:val="20"/>
                <w:szCs w:val="20"/>
                <w:shd w:val="clear" w:color="auto" w:fill="FFFFFF"/>
              </w:rPr>
              <w:t>dispoziția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aeroporturile</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Uniune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către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furnizorii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combustibil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subsonice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trebuie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fie </w:t>
            </w:r>
            <w:proofErr w:type="spellStart"/>
            <w:r w:rsidRPr="00D37830">
              <w:rPr>
                <w:rFonts w:ascii="Times New Roman" w:eastAsia="Arial Unicode MS" w:hAnsi="Times New Roman"/>
                <w:color w:val="000000" w:themeColor="text1"/>
                <w:sz w:val="20"/>
                <w:szCs w:val="20"/>
                <w:shd w:val="clear" w:color="auto" w:fill="FFFFFF"/>
              </w:rPr>
              <w:t>restituite</w:t>
            </w:r>
            <w:proofErr w:type="spellEnd"/>
            <w:r w:rsidRPr="00D37830">
              <w:rPr>
                <w:rFonts w:ascii="Times New Roman" w:eastAsia="Arial Unicode MS" w:hAnsi="Times New Roman"/>
                <w:color w:val="000000" w:themeColor="text1"/>
                <w:sz w:val="20"/>
                <w:szCs w:val="20"/>
                <w:shd w:val="clear" w:color="auto" w:fill="FFFFFF"/>
              </w:rPr>
              <w:t xml:space="preserve"> certificate în conformitate cu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12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(3) din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cazul</w:t>
            </w:r>
            <w:proofErr w:type="spellEnd"/>
            <w:r w:rsidRPr="00D37830">
              <w:rPr>
                <w:rFonts w:ascii="Times New Roman" w:eastAsia="Arial Unicode MS" w:hAnsi="Times New Roman"/>
                <w:color w:val="000000" w:themeColor="text1"/>
                <w:sz w:val="20"/>
                <w:szCs w:val="20"/>
                <w:shd w:val="clear" w:color="auto" w:fill="FFFFFF"/>
              </w:rPr>
              <w:t xml:space="preserve"> în care </w:t>
            </w:r>
            <w:proofErr w:type="spellStart"/>
            <w:r w:rsidRPr="00D37830">
              <w:rPr>
                <w:rFonts w:ascii="Times New Roman" w:eastAsia="Arial Unicode MS" w:hAnsi="Times New Roman"/>
                <w:color w:val="000000" w:themeColor="text1"/>
                <w:sz w:val="20"/>
                <w:szCs w:val="20"/>
                <w:shd w:val="clear" w:color="auto" w:fill="FFFFFF"/>
              </w:rPr>
              <w:t>combustibilul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w:t>
            </w:r>
            <w:proofErr w:type="spellEnd"/>
            <w:r w:rsidRPr="00D37830">
              <w:rPr>
                <w:rFonts w:ascii="Times New Roman" w:eastAsia="Arial Unicode MS" w:hAnsi="Times New Roman"/>
                <w:color w:val="000000" w:themeColor="text1"/>
                <w:sz w:val="20"/>
                <w:szCs w:val="20"/>
                <w:shd w:val="clear" w:color="auto" w:fill="FFFFFF"/>
              </w:rPr>
              <w:t xml:space="preserve"> nu </w:t>
            </w:r>
            <w:proofErr w:type="spellStart"/>
            <w:r w:rsidRPr="00D37830">
              <w:rPr>
                <w:rFonts w:ascii="Times New Roman" w:eastAsia="Arial Unicode MS" w:hAnsi="Times New Roman"/>
                <w:color w:val="000000" w:themeColor="text1"/>
                <w:sz w:val="20"/>
                <w:szCs w:val="20"/>
                <w:shd w:val="clear" w:color="auto" w:fill="FFFFFF"/>
              </w:rPr>
              <w:t>poate</w:t>
            </w:r>
            <w:proofErr w:type="spellEnd"/>
            <w:r w:rsidRPr="00D37830">
              <w:rPr>
                <w:rFonts w:ascii="Times New Roman" w:eastAsia="Arial Unicode MS" w:hAnsi="Times New Roman"/>
                <w:color w:val="000000" w:themeColor="text1"/>
                <w:sz w:val="20"/>
                <w:szCs w:val="20"/>
                <w:shd w:val="clear" w:color="auto" w:fill="FFFFFF"/>
              </w:rPr>
              <w:t xml:space="preserve"> fi </w:t>
            </w:r>
            <w:proofErr w:type="spellStart"/>
            <w:r w:rsidRPr="00D37830">
              <w:rPr>
                <w:rFonts w:ascii="Times New Roman" w:eastAsia="Arial Unicode MS" w:hAnsi="Times New Roman"/>
                <w:color w:val="000000" w:themeColor="text1"/>
                <w:sz w:val="20"/>
                <w:szCs w:val="20"/>
                <w:shd w:val="clear" w:color="auto" w:fill="FFFFFF"/>
              </w:rPr>
              <w:t>atribuit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fizic</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-un </w:t>
            </w:r>
            <w:proofErr w:type="spellStart"/>
            <w:r w:rsidRPr="00D37830">
              <w:rPr>
                <w:rFonts w:ascii="Times New Roman" w:eastAsia="Arial Unicode MS" w:hAnsi="Times New Roman"/>
                <w:color w:val="000000" w:themeColor="text1"/>
                <w:sz w:val="20"/>
                <w:szCs w:val="20"/>
                <w:shd w:val="clear" w:color="auto" w:fill="FFFFFF"/>
              </w:rPr>
              <w:t>aeroport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anumit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certificatele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rezervate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subparagraf</w:t>
            </w:r>
            <w:proofErr w:type="spellEnd"/>
            <w:r w:rsidRPr="00D37830">
              <w:rPr>
                <w:rFonts w:ascii="Times New Roman" w:eastAsia="Arial Unicode MS" w:hAnsi="Times New Roman"/>
                <w:color w:val="000000" w:themeColor="text1"/>
                <w:sz w:val="20"/>
                <w:szCs w:val="20"/>
                <w:shd w:val="clear" w:color="auto" w:fill="FFFFFF"/>
              </w:rPr>
              <w:t xml:space="preserve"> sunt </w:t>
            </w:r>
            <w:proofErr w:type="spellStart"/>
            <w:r w:rsidRPr="00D37830">
              <w:rPr>
                <w:rFonts w:ascii="Times New Roman" w:eastAsia="Arial Unicode MS" w:hAnsi="Times New Roman"/>
                <w:color w:val="000000" w:themeColor="text1"/>
                <w:sz w:val="20"/>
                <w:szCs w:val="20"/>
                <w:shd w:val="clear" w:color="auto" w:fill="FFFFFF"/>
              </w:rPr>
              <w:t>disponibile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combustibilii</w:t>
            </w:r>
            <w:proofErr w:type="spellEnd"/>
            <w:r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lastRenderedPageBreak/>
              <w:t xml:space="preserve">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furnizați</w:t>
            </w:r>
            <w:proofErr w:type="spellEnd"/>
            <w:r w:rsidRPr="00D37830">
              <w:rPr>
                <w:rFonts w:ascii="Times New Roman" w:eastAsia="Arial Unicode MS" w:hAnsi="Times New Roman"/>
                <w:color w:val="000000" w:themeColor="text1"/>
                <w:sz w:val="20"/>
                <w:szCs w:val="20"/>
                <w:shd w:val="clear" w:color="auto" w:fill="FFFFFF"/>
              </w:rPr>
              <w:t xml:space="preserve"> pe </w:t>
            </w:r>
            <w:proofErr w:type="spellStart"/>
            <w:r w:rsidRPr="00D37830">
              <w:rPr>
                <w:rFonts w:ascii="Times New Roman" w:eastAsia="Arial Unicode MS" w:hAnsi="Times New Roman"/>
                <w:color w:val="000000" w:themeColor="text1"/>
                <w:sz w:val="20"/>
                <w:szCs w:val="20"/>
                <w:shd w:val="clear" w:color="auto" w:fill="FFFFFF"/>
              </w:rPr>
              <w:t>aeroportul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respectiv</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proporțional</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emisiile</w:t>
            </w:r>
            <w:proofErr w:type="spellEnd"/>
            <w:r w:rsidRPr="00D37830">
              <w:rPr>
                <w:rFonts w:ascii="Times New Roman" w:eastAsia="Arial Unicode MS" w:hAnsi="Times New Roman"/>
                <w:color w:val="000000" w:themeColor="text1"/>
                <w:sz w:val="20"/>
                <w:szCs w:val="20"/>
                <w:shd w:val="clear" w:color="auto" w:fill="FFFFFF"/>
              </w:rPr>
              <w:t xml:space="preserve"> generate de </w:t>
            </w:r>
            <w:proofErr w:type="spellStart"/>
            <w:r w:rsidRPr="00D37830">
              <w:rPr>
                <w:rFonts w:ascii="Times New Roman" w:eastAsia="Arial Unicode MS" w:hAnsi="Times New Roman"/>
                <w:color w:val="000000" w:themeColor="text1"/>
                <w:sz w:val="20"/>
                <w:szCs w:val="20"/>
                <w:shd w:val="clear" w:color="auto" w:fill="FFFFFF"/>
              </w:rPr>
              <w:t>zborurile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operatorului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de pe </w:t>
            </w:r>
            <w:proofErr w:type="spellStart"/>
            <w:r w:rsidRPr="00D37830">
              <w:rPr>
                <w:rFonts w:ascii="Times New Roman" w:eastAsia="Arial Unicode MS" w:hAnsi="Times New Roman"/>
                <w:color w:val="000000" w:themeColor="text1"/>
                <w:sz w:val="20"/>
                <w:szCs w:val="20"/>
                <w:shd w:val="clear" w:color="auto" w:fill="FFFFFF"/>
              </w:rPr>
              <w:t>aeroportul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respectiv</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trebuie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restituite</w:t>
            </w:r>
            <w:proofErr w:type="spellEnd"/>
            <w:r w:rsidRPr="00D37830">
              <w:rPr>
                <w:rFonts w:ascii="Times New Roman" w:eastAsia="Arial Unicode MS" w:hAnsi="Times New Roman"/>
                <w:color w:val="000000" w:themeColor="text1"/>
                <w:sz w:val="20"/>
                <w:szCs w:val="20"/>
                <w:shd w:val="clear" w:color="auto" w:fill="FFFFFF"/>
              </w:rPr>
              <w:t xml:space="preserve"> certificate în conformitate cu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12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(3) din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w:t>
            </w:r>
          </w:p>
          <w:p w14:paraId="0984FBB7" w14:textId="4A0AAADD" w:rsidR="00124364" w:rsidRPr="00D37830" w:rsidRDefault="00000000" w:rsidP="00D37830">
            <w:pPr>
              <w:pStyle w:val="af8"/>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Certificatele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rezervate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primului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se </w:t>
            </w:r>
            <w:proofErr w:type="spellStart"/>
            <w:r w:rsidRPr="00D37830">
              <w:rPr>
                <w:rFonts w:ascii="Times New Roman" w:eastAsia="Arial Unicode MS" w:hAnsi="Times New Roman"/>
                <w:color w:val="000000" w:themeColor="text1"/>
                <w:sz w:val="20"/>
                <w:szCs w:val="20"/>
                <w:shd w:val="clear" w:color="auto" w:fill="FFFFFF"/>
              </w:rPr>
              <w:t>alocă</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către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membre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gramStart"/>
            <w:r w:rsidRPr="00D37830">
              <w:rPr>
                <w:rFonts w:ascii="Times New Roman" w:eastAsia="Arial Unicode MS" w:hAnsi="Times New Roman"/>
                <w:color w:val="000000" w:themeColor="text1"/>
                <w:sz w:val="20"/>
                <w:szCs w:val="20"/>
                <w:shd w:val="clear" w:color="auto" w:fill="FFFFFF"/>
              </w:rPr>
              <w:t>a</w:t>
            </w:r>
            <w:proofErr w:type="gram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acoperi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parțial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integral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dintre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relevanți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ținând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seama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stimulentele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bazate</w:t>
            </w:r>
            <w:proofErr w:type="spellEnd"/>
            <w:r w:rsidRPr="00D37830">
              <w:rPr>
                <w:rFonts w:ascii="Times New Roman" w:eastAsia="Arial Unicode MS" w:hAnsi="Times New Roman"/>
                <w:color w:val="000000" w:themeColor="text1"/>
                <w:sz w:val="20"/>
                <w:szCs w:val="20"/>
                <w:shd w:val="clear" w:color="auto" w:fill="FFFFFF"/>
              </w:rPr>
              <w:t xml:space="preserve"> pe </w:t>
            </w:r>
            <w:proofErr w:type="spellStart"/>
            <w:r w:rsidRPr="00D37830">
              <w:rPr>
                <w:rFonts w:ascii="Times New Roman" w:eastAsia="Arial Unicode MS" w:hAnsi="Times New Roman"/>
                <w:color w:val="000000" w:themeColor="text1"/>
                <w:sz w:val="20"/>
                <w:szCs w:val="20"/>
                <w:shd w:val="clear" w:color="auto" w:fill="FFFFFF"/>
              </w:rPr>
              <w:t>prețul</w:t>
            </w:r>
            <w:proofErr w:type="spellEnd"/>
            <w:r w:rsidRPr="00D37830">
              <w:rPr>
                <w:rFonts w:ascii="Times New Roman" w:eastAsia="Arial Unicode MS" w:hAnsi="Times New Roman"/>
                <w:color w:val="000000" w:themeColor="text1"/>
                <w:sz w:val="20"/>
                <w:szCs w:val="20"/>
                <w:shd w:val="clear" w:color="auto" w:fill="FFFFFF"/>
              </w:rPr>
              <w:t xml:space="preserve"> carbonului și pe </w:t>
            </w:r>
            <w:proofErr w:type="spellStart"/>
            <w:r w:rsidRPr="00D37830">
              <w:rPr>
                <w:rFonts w:ascii="Times New Roman" w:eastAsia="Arial Unicode MS" w:hAnsi="Times New Roman"/>
                <w:color w:val="000000" w:themeColor="text1"/>
                <w:sz w:val="20"/>
                <w:szCs w:val="20"/>
                <w:shd w:val="clear" w:color="auto" w:fill="FFFFFF"/>
              </w:rPr>
              <w:t>nivelurile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minime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armonizate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impozitare</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calcularea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diferenței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respective, </w:t>
            </w: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ține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cont</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raportul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tehnic</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publicat</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Agenția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Uniunii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Europene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Siguranța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Aviației</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regulament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privind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asigurarea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condiții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concurență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echitabile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un transport </w:t>
            </w:r>
            <w:proofErr w:type="spellStart"/>
            <w:r w:rsidRPr="00D37830">
              <w:rPr>
                <w:rFonts w:ascii="Times New Roman" w:eastAsia="Arial Unicode MS" w:hAnsi="Times New Roman"/>
                <w:color w:val="000000" w:themeColor="text1"/>
                <w:sz w:val="20"/>
                <w:szCs w:val="20"/>
                <w:shd w:val="clear" w:color="auto" w:fill="FFFFFF"/>
              </w:rPr>
              <w:t>aerian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durabil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membre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asigură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vizibilitatea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finanțării</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-un mod </w:t>
            </w:r>
            <w:proofErr w:type="spellStart"/>
            <w:r w:rsidRPr="00D37830">
              <w:rPr>
                <w:rFonts w:ascii="Times New Roman" w:eastAsia="Arial Unicode MS" w:hAnsi="Times New Roman"/>
                <w:color w:val="000000" w:themeColor="text1"/>
                <w:sz w:val="20"/>
                <w:szCs w:val="20"/>
                <w:shd w:val="clear" w:color="auto" w:fill="FFFFFF"/>
              </w:rPr>
              <w:t>corespunzător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cerințelor</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30m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(1) </w:t>
            </w:r>
            <w:proofErr w:type="spellStart"/>
            <w:r w:rsidRPr="00D37830">
              <w:rPr>
                <w:rFonts w:ascii="Times New Roman" w:eastAsia="Arial Unicode MS" w:hAnsi="Times New Roman"/>
                <w:color w:val="000000" w:themeColor="text1"/>
                <w:sz w:val="20"/>
                <w:szCs w:val="20"/>
                <w:shd w:val="clear" w:color="auto" w:fill="FFFFFF"/>
              </w:rPr>
              <w:t>literele</w:t>
            </w:r>
            <w:proofErr w:type="spellEnd"/>
            <w:r w:rsidRPr="00D37830">
              <w:rPr>
                <w:rFonts w:ascii="Times New Roman" w:eastAsia="Arial Unicode MS" w:hAnsi="Times New Roman"/>
                <w:color w:val="000000" w:themeColor="text1"/>
                <w:sz w:val="20"/>
                <w:szCs w:val="20"/>
                <w:shd w:val="clear" w:color="auto" w:fill="FFFFFF"/>
              </w:rPr>
              <w:t xml:space="preserve"> (a) și (b) din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w:t>
            </w:r>
          </w:p>
          <w:p w14:paraId="4DB94943" w14:textId="77777777" w:rsidR="00124364" w:rsidRPr="00D37830" w:rsidRDefault="00000000" w:rsidP="00D37830">
            <w:pPr>
              <w:pStyle w:val="af8"/>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Certificatele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alocate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acoperă</w:t>
            </w:r>
            <w:proofErr w:type="spellEnd"/>
            <w:r w:rsidRPr="00D37830">
              <w:rPr>
                <w:rFonts w:ascii="Times New Roman" w:eastAsia="Arial Unicode MS" w:hAnsi="Times New Roman"/>
                <w:color w:val="000000" w:themeColor="text1"/>
                <w:sz w:val="20"/>
                <w:szCs w:val="20"/>
                <w:shd w:val="clear" w:color="auto" w:fill="FFFFFF"/>
              </w:rPr>
              <w:t>:</w:t>
            </w:r>
          </w:p>
          <w:p w14:paraId="583C6881" w14:textId="607F322A" w:rsidR="00124364" w:rsidRPr="00D37830" w:rsidRDefault="00000000" w:rsidP="00D37830">
            <w:pPr>
              <w:pStyle w:val="af8"/>
              <w:numPr>
                <w:ilvl w:val="0"/>
                <w:numId w:val="18"/>
              </w:numPr>
              <w:suppressAutoHyphens w:val="0"/>
              <w:autoSpaceDN/>
              <w:spacing w:after="0" w:line="240" w:lineRule="auto"/>
              <w:jc w:val="both"/>
              <w:textAlignment w:val="auto"/>
              <w:rPr>
                <w:rFonts w:ascii="Times New Roman" w:hAnsi="Times New Roman"/>
                <w:color w:val="000000" w:themeColor="text1"/>
                <w:sz w:val="20"/>
                <w:szCs w:val="20"/>
              </w:rPr>
            </w:pPr>
            <w:r w:rsidRPr="00D37830">
              <w:rPr>
                <w:rFonts w:ascii="Times New Roman" w:eastAsia="Arial Unicode MS" w:hAnsi="Times New Roman"/>
                <w:color w:val="000000" w:themeColor="text1"/>
                <w:sz w:val="20"/>
                <w:szCs w:val="20"/>
                <w:shd w:val="clear" w:color="auto" w:fill="FFFFFF"/>
              </w:rPr>
              <w:t>70</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rămasă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și a </w:t>
            </w:r>
            <w:proofErr w:type="spellStart"/>
            <w:r w:rsidRPr="00D37830">
              <w:rPr>
                <w:rFonts w:ascii="Times New Roman" w:eastAsia="Arial Unicode MS" w:hAnsi="Times New Roman"/>
                <w:color w:val="000000" w:themeColor="text1"/>
                <w:sz w:val="20"/>
                <w:szCs w:val="20"/>
                <w:shd w:val="clear" w:color="auto" w:fill="FFFFFF"/>
              </w:rPr>
              <w:t>hidrogenului</w:t>
            </w:r>
            <w:proofErr w:type="spellEnd"/>
            <w:r w:rsidRPr="00D37830">
              <w:rPr>
                <w:rFonts w:ascii="Times New Roman" w:eastAsia="Arial Unicode MS" w:hAnsi="Times New Roman"/>
                <w:color w:val="000000" w:themeColor="text1"/>
                <w:sz w:val="20"/>
                <w:szCs w:val="20"/>
                <w:shd w:val="clear" w:color="auto" w:fill="FFFFFF"/>
              </w:rPr>
              <w:t xml:space="preserve"> din surse </w:t>
            </w:r>
            <w:proofErr w:type="spellStart"/>
            <w:r w:rsidRPr="00D37830">
              <w:rPr>
                <w:rFonts w:ascii="Times New Roman" w:eastAsia="Arial Unicode MS" w:hAnsi="Times New Roman"/>
                <w:color w:val="000000" w:themeColor="text1"/>
                <w:sz w:val="20"/>
                <w:szCs w:val="20"/>
                <w:shd w:val="clear" w:color="auto" w:fill="FFFFFF"/>
              </w:rPr>
              <w:t>regenerabile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energie</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biocombustibilii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avansați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astfel</w:t>
            </w:r>
            <w:proofErr w:type="spellEnd"/>
            <w:r w:rsidRPr="00D37830">
              <w:rPr>
                <w:rFonts w:ascii="Times New Roman" w:eastAsia="Arial Unicode MS" w:hAnsi="Times New Roman"/>
                <w:color w:val="000000" w:themeColor="text1"/>
                <w:sz w:val="20"/>
                <w:szCs w:val="20"/>
                <w:shd w:val="clear" w:color="auto" w:fill="FFFFFF"/>
              </w:rPr>
              <w:t xml:space="preserve"> cum sunt </w:t>
            </w:r>
            <w:proofErr w:type="spellStart"/>
            <w:r w:rsidRPr="00D37830">
              <w:rPr>
                <w:rFonts w:ascii="Times New Roman" w:eastAsia="Arial Unicode MS" w:hAnsi="Times New Roman"/>
                <w:color w:val="000000" w:themeColor="text1"/>
                <w:sz w:val="20"/>
                <w:szCs w:val="20"/>
                <w:shd w:val="clear" w:color="auto" w:fill="FFFFFF"/>
              </w:rPr>
              <w:t>definiți</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 al </w:t>
            </w:r>
            <w:proofErr w:type="spellStart"/>
            <w:r w:rsidRPr="00D37830">
              <w:rPr>
                <w:rFonts w:ascii="Times New Roman" w:eastAsia="Arial Unicode MS" w:hAnsi="Times New Roman"/>
                <w:color w:val="000000" w:themeColor="text1"/>
                <w:sz w:val="20"/>
                <w:szCs w:val="20"/>
                <w:shd w:val="clear" w:color="auto" w:fill="FFFFFF"/>
              </w:rPr>
              <w:t>doilea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punctul</w:t>
            </w:r>
            <w:proofErr w:type="spellEnd"/>
            <w:r w:rsidRPr="00D37830">
              <w:rPr>
                <w:rFonts w:ascii="Times New Roman" w:eastAsia="Arial Unicode MS" w:hAnsi="Times New Roman"/>
                <w:color w:val="000000" w:themeColor="text1"/>
                <w:sz w:val="20"/>
                <w:szCs w:val="20"/>
                <w:shd w:val="clear" w:color="auto" w:fill="FFFFFF"/>
              </w:rPr>
              <w:t xml:space="preserve"> (34) din </w:t>
            </w:r>
            <w:proofErr w:type="spellStart"/>
            <w:r w:rsidRPr="00D37830">
              <w:rPr>
                <w:rFonts w:ascii="Times New Roman" w:eastAsia="Arial Unicode MS" w:hAnsi="Times New Roman"/>
                <w:color w:val="000000" w:themeColor="text1"/>
                <w:sz w:val="20"/>
                <w:szCs w:val="20"/>
                <w:shd w:val="clear" w:color="auto" w:fill="FFFFFF"/>
              </w:rPr>
              <w:t>Directiva</w:t>
            </w:r>
            <w:proofErr w:type="spellEnd"/>
            <w:r w:rsidRPr="00D37830">
              <w:rPr>
                <w:rFonts w:ascii="Times New Roman" w:eastAsia="Arial Unicode MS" w:hAnsi="Times New Roman"/>
                <w:color w:val="000000" w:themeColor="text1"/>
                <w:sz w:val="20"/>
                <w:szCs w:val="20"/>
                <w:shd w:val="clear" w:color="auto" w:fill="FFFFFF"/>
              </w:rPr>
              <w:t xml:space="preserve"> (UE)</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2018/2001 a </w:t>
            </w:r>
            <w:proofErr w:type="spellStart"/>
            <w:r w:rsidRPr="00D37830">
              <w:rPr>
                <w:rFonts w:ascii="Times New Roman" w:eastAsia="Arial Unicode MS" w:hAnsi="Times New Roman"/>
                <w:color w:val="000000" w:themeColor="text1"/>
                <w:sz w:val="20"/>
                <w:szCs w:val="20"/>
                <w:shd w:val="clear" w:color="auto" w:fill="FFFFFF"/>
              </w:rPr>
              <w:t>Parlamentului</w:t>
            </w:r>
            <w:proofErr w:type="spellEnd"/>
            <w:r w:rsidRPr="00D37830">
              <w:rPr>
                <w:rFonts w:ascii="Times New Roman" w:eastAsia="Arial Unicode MS" w:hAnsi="Times New Roman"/>
                <w:color w:val="000000" w:themeColor="text1"/>
                <w:sz w:val="20"/>
                <w:szCs w:val="20"/>
                <w:shd w:val="clear" w:color="auto" w:fill="FFFFFF"/>
              </w:rPr>
              <w:t xml:space="preserve"> European și a </w:t>
            </w:r>
            <w:proofErr w:type="spellStart"/>
            <w:r w:rsidRPr="00D37830">
              <w:rPr>
                <w:rFonts w:ascii="Times New Roman" w:eastAsia="Arial Unicode MS" w:hAnsi="Times New Roman"/>
                <w:color w:val="000000" w:themeColor="text1"/>
                <w:sz w:val="20"/>
                <w:szCs w:val="20"/>
                <w:shd w:val="clear" w:color="auto" w:fill="FFFFFF"/>
              </w:rPr>
              <w:t>Consiliului</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w:t>
            </w:r>
            <w:hyperlink r:id="rId51" w:anchor="E0009" w:history="1">
              <w:r w:rsidRPr="00D37830">
                <w:rPr>
                  <w:rStyle w:val="superscript"/>
                  <w:rFonts w:ascii="Times New Roman" w:eastAsia="Arial Unicode MS" w:hAnsi="Times New Roman"/>
                  <w:color w:val="000000" w:themeColor="text1"/>
                  <w:sz w:val="20"/>
                  <w:szCs w:val="20"/>
                  <w:vertAlign w:val="superscript"/>
                </w:rPr>
                <w:t>9</w:t>
              </w:r>
            </w:hyperlink>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factorul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emisii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zero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anexei</w:t>
            </w:r>
            <w:proofErr w:type="spellEnd"/>
            <w:r w:rsidRPr="00D37830">
              <w:rPr>
                <w:rFonts w:ascii="Times New Roman" w:eastAsia="Arial Unicode MS" w:hAnsi="Times New Roman"/>
                <w:color w:val="000000" w:themeColor="text1"/>
                <w:sz w:val="20"/>
                <w:szCs w:val="20"/>
                <w:shd w:val="clear" w:color="auto" w:fill="FFFFFF"/>
              </w:rPr>
              <w:t xml:space="preserve"> IV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al </w:t>
            </w:r>
            <w:proofErr w:type="spellStart"/>
            <w:r w:rsidRPr="00D37830">
              <w:rPr>
                <w:rFonts w:ascii="Times New Roman" w:eastAsia="Arial Unicode MS" w:hAnsi="Times New Roman"/>
                <w:color w:val="000000" w:themeColor="text1"/>
                <w:sz w:val="20"/>
                <w:szCs w:val="20"/>
                <w:shd w:val="clear" w:color="auto" w:fill="FFFFFF"/>
              </w:rPr>
              <w:t>actului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punere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aplicare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adoptat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14 din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w:t>
            </w:r>
          </w:p>
          <w:p w14:paraId="2081FC8D" w14:textId="2D5FAF00" w:rsidR="00124364" w:rsidRPr="00D37830" w:rsidRDefault="00000000" w:rsidP="00D37830">
            <w:pPr>
              <w:pStyle w:val="af8"/>
              <w:numPr>
                <w:ilvl w:val="0"/>
                <w:numId w:val="18"/>
              </w:numPr>
              <w:suppressAutoHyphens w:val="0"/>
              <w:autoSpaceDN/>
              <w:spacing w:after="0" w:line="240" w:lineRule="auto"/>
              <w:jc w:val="both"/>
              <w:textAlignment w:val="auto"/>
              <w:rPr>
                <w:rFonts w:ascii="Times New Roman" w:hAnsi="Times New Roman"/>
                <w:color w:val="000000" w:themeColor="text1"/>
                <w:sz w:val="20"/>
                <w:szCs w:val="20"/>
              </w:rPr>
            </w:pPr>
            <w:r w:rsidRPr="00D37830">
              <w:rPr>
                <w:rFonts w:ascii="Times New Roman" w:eastAsia="Arial Unicode MS" w:hAnsi="Times New Roman"/>
                <w:color w:val="000000" w:themeColor="text1"/>
                <w:sz w:val="20"/>
                <w:szCs w:val="20"/>
                <w:shd w:val="clear" w:color="auto" w:fill="FFFFFF"/>
              </w:rPr>
              <w:t>95</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rămasă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și a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din surse </w:t>
            </w:r>
            <w:proofErr w:type="spellStart"/>
            <w:r w:rsidRPr="00D37830">
              <w:rPr>
                <w:rFonts w:ascii="Times New Roman" w:eastAsia="Arial Unicode MS" w:hAnsi="Times New Roman"/>
                <w:color w:val="000000" w:themeColor="text1"/>
                <w:sz w:val="20"/>
                <w:szCs w:val="20"/>
                <w:shd w:val="clear" w:color="auto" w:fill="FFFFFF"/>
              </w:rPr>
              <w:t>regenerabile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origine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nebiologică</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respectă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25 din </w:t>
            </w:r>
            <w:proofErr w:type="spellStart"/>
            <w:r w:rsidRPr="00D37830">
              <w:rPr>
                <w:rFonts w:ascii="Times New Roman" w:eastAsia="Arial Unicode MS" w:hAnsi="Times New Roman"/>
                <w:color w:val="000000" w:themeColor="text1"/>
                <w:sz w:val="20"/>
                <w:szCs w:val="20"/>
                <w:shd w:val="clear" w:color="auto" w:fill="FFFFFF"/>
              </w:rPr>
              <w:t>Directiva</w:t>
            </w:r>
            <w:proofErr w:type="spellEnd"/>
            <w:r w:rsidRPr="00D37830">
              <w:rPr>
                <w:rFonts w:ascii="Times New Roman" w:eastAsia="Arial Unicode MS" w:hAnsi="Times New Roman"/>
                <w:color w:val="000000" w:themeColor="text1"/>
                <w:sz w:val="20"/>
                <w:szCs w:val="20"/>
                <w:shd w:val="clear" w:color="auto" w:fill="FFFFFF"/>
              </w:rPr>
              <w:t xml:space="preserve"> (UE)</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2018/2001, </w:t>
            </w:r>
            <w:proofErr w:type="spellStart"/>
            <w:r w:rsidRPr="00D37830">
              <w:rPr>
                <w:rFonts w:ascii="Times New Roman" w:eastAsia="Arial Unicode MS" w:hAnsi="Times New Roman"/>
                <w:color w:val="000000" w:themeColor="text1"/>
                <w:sz w:val="20"/>
                <w:szCs w:val="20"/>
                <w:shd w:val="clear" w:color="auto" w:fill="FFFFFF"/>
              </w:rPr>
              <w:t>utilizați</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factorul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emisii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zero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anexei</w:t>
            </w:r>
            <w:proofErr w:type="spellEnd"/>
            <w:r w:rsidRPr="00D37830">
              <w:rPr>
                <w:rFonts w:ascii="Times New Roman" w:eastAsia="Arial Unicode MS" w:hAnsi="Times New Roman"/>
                <w:color w:val="000000" w:themeColor="text1"/>
                <w:sz w:val="20"/>
                <w:szCs w:val="20"/>
                <w:shd w:val="clear" w:color="auto" w:fill="FFFFFF"/>
              </w:rPr>
              <w:t xml:space="preserve"> IV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al </w:t>
            </w:r>
            <w:proofErr w:type="spellStart"/>
            <w:r w:rsidRPr="00D37830">
              <w:rPr>
                <w:rFonts w:ascii="Times New Roman" w:eastAsia="Arial Unicode MS" w:hAnsi="Times New Roman"/>
                <w:color w:val="000000" w:themeColor="text1"/>
                <w:sz w:val="20"/>
                <w:szCs w:val="20"/>
                <w:shd w:val="clear" w:color="auto" w:fill="FFFFFF"/>
              </w:rPr>
              <w:t>actului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punere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aplicare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adoptat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14 din prezenta </w:t>
            </w:r>
            <w:proofErr w:type="spellStart"/>
            <w:proofErr w:type="gram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w:t>
            </w:r>
            <w:proofErr w:type="gramEnd"/>
          </w:p>
          <w:p w14:paraId="35C25EFA" w14:textId="0142C680" w:rsidR="00124364" w:rsidRPr="00D37830" w:rsidRDefault="00000000" w:rsidP="00D37830">
            <w:pPr>
              <w:pStyle w:val="af8"/>
              <w:numPr>
                <w:ilvl w:val="0"/>
                <w:numId w:val="18"/>
              </w:numPr>
              <w:suppressAutoHyphens w:val="0"/>
              <w:autoSpaceDN/>
              <w:spacing w:after="0" w:line="240" w:lineRule="auto"/>
              <w:jc w:val="both"/>
              <w:textAlignment w:val="auto"/>
              <w:rPr>
                <w:rFonts w:ascii="Times New Roman" w:hAnsi="Times New Roman"/>
                <w:color w:val="000000" w:themeColor="text1"/>
                <w:sz w:val="20"/>
                <w:szCs w:val="20"/>
              </w:rPr>
            </w:pPr>
            <w:r w:rsidRPr="00D37830">
              <w:rPr>
                <w:rFonts w:ascii="Times New Roman" w:eastAsia="Arial Unicode MS" w:hAnsi="Times New Roman"/>
                <w:color w:val="000000" w:themeColor="text1"/>
                <w:sz w:val="20"/>
                <w:szCs w:val="20"/>
                <w:shd w:val="clear" w:color="auto" w:fill="FFFFFF"/>
              </w:rPr>
              <w:t>100</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rămasă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și a </w:t>
            </w:r>
            <w:proofErr w:type="spellStart"/>
            <w:r w:rsidRPr="00D37830">
              <w:rPr>
                <w:rFonts w:ascii="Times New Roman" w:eastAsia="Arial Unicode MS" w:hAnsi="Times New Roman"/>
                <w:color w:val="000000" w:themeColor="text1"/>
                <w:sz w:val="20"/>
                <w:szCs w:val="20"/>
                <w:shd w:val="clear" w:color="auto" w:fill="FFFFFF"/>
              </w:rPr>
              <w:t>oricărui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lastRenderedPageBreak/>
              <w:t>combustibil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w:t>
            </w:r>
            <w:proofErr w:type="spellEnd"/>
            <w:r w:rsidRPr="00D37830">
              <w:rPr>
                <w:rFonts w:ascii="Times New Roman" w:eastAsia="Arial Unicode MS" w:hAnsi="Times New Roman"/>
                <w:color w:val="000000" w:themeColor="text1"/>
                <w:sz w:val="20"/>
                <w:szCs w:val="20"/>
                <w:shd w:val="clear" w:color="auto" w:fill="FFFFFF"/>
              </w:rPr>
              <w:t xml:space="preserve"> care nu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derivat</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combustibili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intră</w:t>
            </w:r>
            <w:proofErr w:type="spellEnd"/>
            <w:r w:rsidRPr="00D37830">
              <w:rPr>
                <w:rFonts w:ascii="Times New Roman" w:eastAsia="Arial Unicode MS" w:hAnsi="Times New Roman"/>
                <w:color w:val="000000" w:themeColor="text1"/>
                <w:sz w:val="20"/>
                <w:szCs w:val="20"/>
                <w:shd w:val="clear" w:color="auto" w:fill="FFFFFF"/>
              </w:rPr>
              <w:t xml:space="preserve"> sub </w:t>
            </w:r>
            <w:proofErr w:type="spellStart"/>
            <w:r w:rsidRPr="00D37830">
              <w:rPr>
                <w:rFonts w:ascii="Times New Roman" w:eastAsia="Arial Unicode MS" w:hAnsi="Times New Roman"/>
                <w:color w:val="000000" w:themeColor="text1"/>
                <w:sz w:val="20"/>
                <w:szCs w:val="20"/>
                <w:shd w:val="clear" w:color="auto" w:fill="FFFFFF"/>
              </w:rPr>
              <w:t>incidența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primului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pe </w:t>
            </w:r>
            <w:proofErr w:type="spellStart"/>
            <w:r w:rsidRPr="00D37830">
              <w:rPr>
                <w:rFonts w:ascii="Times New Roman" w:eastAsia="Arial Unicode MS" w:hAnsi="Times New Roman"/>
                <w:color w:val="000000" w:themeColor="text1"/>
                <w:sz w:val="20"/>
                <w:szCs w:val="20"/>
                <w:shd w:val="clear" w:color="auto" w:fill="FFFFFF"/>
              </w:rPr>
              <w:t>aeroporturile</w:t>
            </w:r>
            <w:proofErr w:type="spellEnd"/>
            <w:r w:rsidRPr="00D37830">
              <w:rPr>
                <w:rFonts w:ascii="Times New Roman" w:eastAsia="Arial Unicode MS" w:hAnsi="Times New Roman"/>
                <w:color w:val="000000" w:themeColor="text1"/>
                <w:sz w:val="20"/>
                <w:szCs w:val="20"/>
                <w:shd w:val="clear" w:color="auto" w:fill="FFFFFF"/>
              </w:rPr>
              <w:t xml:space="preserve"> situate pe </w:t>
            </w:r>
            <w:proofErr w:type="spellStart"/>
            <w:r w:rsidRPr="00D37830">
              <w:rPr>
                <w:rFonts w:ascii="Times New Roman" w:eastAsia="Arial Unicode MS" w:hAnsi="Times New Roman"/>
                <w:color w:val="000000" w:themeColor="text1"/>
                <w:sz w:val="20"/>
                <w:szCs w:val="20"/>
                <w:shd w:val="clear" w:color="auto" w:fill="FFFFFF"/>
              </w:rPr>
              <w:t>insule</w:t>
            </w:r>
            <w:proofErr w:type="spellEnd"/>
            <w:r w:rsidRPr="00D37830">
              <w:rPr>
                <w:rFonts w:ascii="Times New Roman" w:eastAsia="Arial Unicode MS" w:hAnsi="Times New Roman"/>
                <w:color w:val="000000" w:themeColor="text1"/>
                <w:sz w:val="20"/>
                <w:szCs w:val="20"/>
                <w:shd w:val="clear" w:color="auto" w:fill="FFFFFF"/>
              </w:rPr>
              <w:t xml:space="preserve"> cu o </w:t>
            </w:r>
            <w:proofErr w:type="spellStart"/>
            <w:r w:rsidRPr="00D37830">
              <w:rPr>
                <w:rFonts w:ascii="Times New Roman" w:eastAsia="Arial Unicode MS" w:hAnsi="Times New Roman"/>
                <w:color w:val="000000" w:themeColor="text1"/>
                <w:sz w:val="20"/>
                <w:szCs w:val="20"/>
                <w:shd w:val="clear" w:color="auto" w:fill="FFFFFF"/>
              </w:rPr>
              <w:t>suprafață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mai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mică</w:t>
            </w:r>
            <w:proofErr w:type="spellEnd"/>
            <w:r w:rsidRPr="00D37830">
              <w:rPr>
                <w:rFonts w:ascii="Times New Roman" w:eastAsia="Arial Unicode MS" w:hAnsi="Times New Roman"/>
                <w:color w:val="000000" w:themeColor="text1"/>
                <w:sz w:val="20"/>
                <w:szCs w:val="20"/>
                <w:shd w:val="clear" w:color="auto" w:fill="FFFFFF"/>
              </w:rPr>
              <w:t xml:space="preserve"> de 10</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000 </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km</w:t>
            </w:r>
            <w:r w:rsidRPr="00D37830">
              <w:rPr>
                <w:rStyle w:val="superscript"/>
                <w:rFonts w:ascii="Times New Roman" w:eastAsia="Arial Unicode MS" w:hAnsi="Times New Roman"/>
                <w:color w:val="000000" w:themeColor="text1"/>
                <w:sz w:val="20"/>
                <w:szCs w:val="20"/>
                <w:vertAlign w:val="superscript"/>
              </w:rPr>
              <w:t>2</w:t>
            </w:r>
            <w:r w:rsidR="00D37830" w:rsidRPr="00D37830">
              <w:rPr>
                <w:rStyle w:val="apple-converted-space"/>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și care nu au </w:t>
            </w:r>
            <w:proofErr w:type="spellStart"/>
            <w:r w:rsidRPr="00D37830">
              <w:rPr>
                <w:rFonts w:ascii="Times New Roman" w:eastAsia="Arial Unicode MS" w:hAnsi="Times New Roman"/>
                <w:color w:val="000000" w:themeColor="text1"/>
                <w:sz w:val="20"/>
                <w:szCs w:val="20"/>
                <w:shd w:val="clear" w:color="auto" w:fill="FFFFFF"/>
              </w:rPr>
              <w:t>legături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rutiere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feroviare</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continentul</w:t>
            </w:r>
            <w:proofErr w:type="spellEnd"/>
            <w:r w:rsidRPr="00D37830">
              <w:rPr>
                <w:rFonts w:ascii="Times New Roman" w:eastAsia="Arial Unicode MS" w:hAnsi="Times New Roman"/>
                <w:color w:val="000000" w:themeColor="text1"/>
                <w:sz w:val="20"/>
                <w:szCs w:val="20"/>
                <w:shd w:val="clear" w:color="auto" w:fill="FFFFFF"/>
              </w:rPr>
              <w:t xml:space="preserve">, pe </w:t>
            </w:r>
            <w:proofErr w:type="spellStart"/>
            <w:r w:rsidRPr="00D37830">
              <w:rPr>
                <w:rFonts w:ascii="Times New Roman" w:eastAsia="Arial Unicode MS" w:hAnsi="Times New Roman"/>
                <w:color w:val="000000" w:themeColor="text1"/>
                <w:sz w:val="20"/>
                <w:szCs w:val="20"/>
                <w:shd w:val="clear" w:color="auto" w:fill="FFFFFF"/>
              </w:rPr>
              <w:t>aeroporturile</w:t>
            </w:r>
            <w:proofErr w:type="spellEnd"/>
            <w:r w:rsidRPr="00D37830">
              <w:rPr>
                <w:rFonts w:ascii="Times New Roman" w:eastAsia="Arial Unicode MS" w:hAnsi="Times New Roman"/>
                <w:color w:val="000000" w:themeColor="text1"/>
                <w:sz w:val="20"/>
                <w:szCs w:val="20"/>
                <w:shd w:val="clear" w:color="auto" w:fill="FFFFFF"/>
              </w:rPr>
              <w:t xml:space="preserve"> care nu sunt </w:t>
            </w:r>
            <w:proofErr w:type="spellStart"/>
            <w:r w:rsidRPr="00D37830">
              <w:rPr>
                <w:rFonts w:ascii="Times New Roman" w:eastAsia="Arial Unicode MS" w:hAnsi="Times New Roman"/>
                <w:color w:val="000000" w:themeColor="text1"/>
                <w:sz w:val="20"/>
                <w:szCs w:val="20"/>
                <w:shd w:val="clear" w:color="auto" w:fill="FFFFFF"/>
              </w:rPr>
              <w:t>suficient</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mari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a fi definite ca </w:t>
            </w:r>
            <w:proofErr w:type="spellStart"/>
            <w:r w:rsidRPr="00D37830">
              <w:rPr>
                <w:rFonts w:ascii="Times New Roman" w:eastAsia="Arial Unicode MS" w:hAnsi="Times New Roman"/>
                <w:color w:val="000000" w:themeColor="text1"/>
                <w:sz w:val="20"/>
                <w:szCs w:val="20"/>
                <w:shd w:val="clear" w:color="auto" w:fill="FFFFFF"/>
              </w:rPr>
              <w:t>aeroporturi</w:t>
            </w:r>
            <w:proofErr w:type="spellEnd"/>
            <w:r w:rsidRPr="00D37830">
              <w:rPr>
                <w:rFonts w:ascii="Times New Roman" w:eastAsia="Arial Unicode MS" w:hAnsi="Times New Roman"/>
                <w:color w:val="000000" w:themeColor="text1"/>
                <w:sz w:val="20"/>
                <w:szCs w:val="20"/>
                <w:shd w:val="clear" w:color="auto" w:fill="FFFFFF"/>
              </w:rPr>
              <w:t xml:space="preserve"> ale </w:t>
            </w:r>
            <w:proofErr w:type="spellStart"/>
            <w:r w:rsidRPr="00D37830">
              <w:rPr>
                <w:rFonts w:ascii="Times New Roman" w:eastAsia="Arial Unicode MS" w:hAnsi="Times New Roman"/>
                <w:color w:val="000000" w:themeColor="text1"/>
                <w:sz w:val="20"/>
                <w:szCs w:val="20"/>
                <w:shd w:val="clear" w:color="auto" w:fill="FFFFFF"/>
              </w:rPr>
              <w:t>Uniunii</w:t>
            </w:r>
            <w:proofErr w:type="spellEnd"/>
            <w:r w:rsidRPr="00D37830">
              <w:rPr>
                <w:rFonts w:ascii="Times New Roman" w:eastAsia="Arial Unicode MS" w:hAnsi="Times New Roman"/>
                <w:color w:val="000000" w:themeColor="text1"/>
                <w:sz w:val="20"/>
                <w:szCs w:val="20"/>
                <w:shd w:val="clear" w:color="auto" w:fill="FFFFFF"/>
              </w:rPr>
              <w:t xml:space="preserve"> în conformitate cu un </w:t>
            </w:r>
            <w:proofErr w:type="spellStart"/>
            <w:r w:rsidRPr="00D37830">
              <w:rPr>
                <w:rFonts w:ascii="Times New Roman" w:eastAsia="Arial Unicode MS" w:hAnsi="Times New Roman"/>
                <w:color w:val="000000" w:themeColor="text1"/>
                <w:sz w:val="20"/>
                <w:szCs w:val="20"/>
                <w:shd w:val="clear" w:color="auto" w:fill="FFFFFF"/>
              </w:rPr>
              <w:t>regulament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privind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asigurarea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condiții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concurență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echitabile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un transport </w:t>
            </w:r>
            <w:proofErr w:type="spellStart"/>
            <w:r w:rsidRPr="00D37830">
              <w:rPr>
                <w:rFonts w:ascii="Times New Roman" w:eastAsia="Arial Unicode MS" w:hAnsi="Times New Roman"/>
                <w:color w:val="000000" w:themeColor="text1"/>
                <w:sz w:val="20"/>
                <w:szCs w:val="20"/>
                <w:shd w:val="clear" w:color="auto" w:fill="FFFFFF"/>
              </w:rPr>
              <w:t>aerian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durabil</w:t>
            </w:r>
            <w:proofErr w:type="spellEnd"/>
            <w:r w:rsidRPr="00D37830">
              <w:rPr>
                <w:rFonts w:ascii="Times New Roman" w:eastAsia="Arial Unicode MS" w:hAnsi="Times New Roman"/>
                <w:color w:val="000000" w:themeColor="text1"/>
                <w:sz w:val="20"/>
                <w:szCs w:val="20"/>
                <w:shd w:val="clear" w:color="auto" w:fill="FFFFFF"/>
              </w:rPr>
              <w:t xml:space="preserve"> și pe </w:t>
            </w:r>
            <w:proofErr w:type="spellStart"/>
            <w:r w:rsidRPr="00D37830">
              <w:rPr>
                <w:rFonts w:ascii="Times New Roman" w:eastAsia="Arial Unicode MS" w:hAnsi="Times New Roman"/>
                <w:color w:val="000000" w:themeColor="text1"/>
                <w:sz w:val="20"/>
                <w:szCs w:val="20"/>
                <w:shd w:val="clear" w:color="auto" w:fill="FFFFFF"/>
              </w:rPr>
              <w:t>aeroporturile</w:t>
            </w:r>
            <w:proofErr w:type="spellEnd"/>
            <w:r w:rsidRPr="00D37830">
              <w:rPr>
                <w:rFonts w:ascii="Times New Roman" w:eastAsia="Arial Unicode MS" w:hAnsi="Times New Roman"/>
                <w:color w:val="000000" w:themeColor="text1"/>
                <w:sz w:val="20"/>
                <w:szCs w:val="20"/>
                <w:shd w:val="clear" w:color="auto" w:fill="FFFFFF"/>
              </w:rPr>
              <w:t xml:space="preserve"> situate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-o </w:t>
            </w:r>
            <w:proofErr w:type="spellStart"/>
            <w:r w:rsidRPr="00D37830">
              <w:rPr>
                <w:rFonts w:ascii="Times New Roman" w:eastAsia="Arial Unicode MS" w:hAnsi="Times New Roman"/>
                <w:color w:val="000000" w:themeColor="text1"/>
                <w:sz w:val="20"/>
                <w:szCs w:val="20"/>
                <w:shd w:val="clear" w:color="auto" w:fill="FFFFFF"/>
              </w:rPr>
              <w:t>regiune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ultraperiferică</w:t>
            </w:r>
            <w:proofErr w:type="spellEnd"/>
            <w:r w:rsidRPr="00D37830">
              <w:rPr>
                <w:rFonts w:ascii="Times New Roman" w:eastAsia="Arial Unicode MS" w:hAnsi="Times New Roman"/>
                <w:color w:val="000000" w:themeColor="text1"/>
                <w:sz w:val="20"/>
                <w:szCs w:val="20"/>
                <w:shd w:val="clear" w:color="auto" w:fill="FFFFFF"/>
              </w:rPr>
              <w:t>;</w:t>
            </w:r>
          </w:p>
          <w:p w14:paraId="7CC267AC" w14:textId="76143BAC" w:rsidR="00124364" w:rsidRPr="00D37830" w:rsidRDefault="00000000" w:rsidP="00D37830">
            <w:pPr>
              <w:pStyle w:val="af8"/>
              <w:numPr>
                <w:ilvl w:val="0"/>
                <w:numId w:val="18"/>
              </w:numPr>
              <w:suppressAutoHyphens w:val="0"/>
              <w:autoSpaceDN/>
              <w:spacing w:after="0" w:line="240" w:lineRule="auto"/>
              <w:jc w:val="both"/>
              <w:textAlignment w:val="auto"/>
              <w:rPr>
                <w:rFonts w:ascii="Times New Roman" w:hAnsi="Times New Roman"/>
                <w:color w:val="000000" w:themeColor="text1"/>
                <w:sz w:val="20"/>
                <w:szCs w:val="20"/>
              </w:rPr>
            </w:pPr>
            <w:r w:rsidRPr="00D37830">
              <w:rPr>
                <w:rFonts w:ascii="Times New Roman" w:eastAsia="Arial Unicode MS" w:hAnsi="Times New Roman"/>
                <w:color w:val="000000" w:themeColor="text1"/>
                <w:sz w:val="20"/>
                <w:szCs w:val="20"/>
                <w:shd w:val="clear" w:color="auto" w:fill="FFFFFF"/>
              </w:rPr>
              <w:t xml:space="preserve">în </w:t>
            </w:r>
            <w:proofErr w:type="spellStart"/>
            <w:r w:rsidRPr="00D37830">
              <w:rPr>
                <w:rFonts w:ascii="Times New Roman" w:eastAsia="Arial Unicode MS" w:hAnsi="Times New Roman"/>
                <w:color w:val="000000" w:themeColor="text1"/>
                <w:sz w:val="20"/>
                <w:szCs w:val="20"/>
                <w:shd w:val="clear" w:color="auto" w:fill="FFFFFF"/>
              </w:rPr>
              <w:t>alte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cazuri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decât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menționate</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literele</w:t>
            </w:r>
            <w:proofErr w:type="spellEnd"/>
            <w:r w:rsidRPr="00D37830">
              <w:rPr>
                <w:rFonts w:ascii="Times New Roman" w:eastAsia="Arial Unicode MS" w:hAnsi="Times New Roman"/>
                <w:color w:val="000000" w:themeColor="text1"/>
                <w:sz w:val="20"/>
                <w:szCs w:val="20"/>
                <w:shd w:val="clear" w:color="auto" w:fill="FFFFFF"/>
              </w:rPr>
              <w:t xml:space="preserve"> (a), (b) și (c), 50</w:t>
            </w:r>
            <w:r w:rsidR="00D37830" w:rsidRP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preț</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rămasă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gramStart"/>
            <w:r w:rsidRPr="00D37830">
              <w:rPr>
                <w:rFonts w:ascii="Times New Roman" w:eastAsia="Arial Unicode MS" w:hAnsi="Times New Roman"/>
                <w:color w:val="000000" w:themeColor="text1"/>
                <w:sz w:val="20"/>
                <w:szCs w:val="20"/>
                <w:shd w:val="clear" w:color="auto" w:fill="FFFFFF"/>
              </w:rPr>
              <w:t>a</w:t>
            </w:r>
            <w:proofErr w:type="gram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oricărui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w:t>
            </w:r>
            <w:proofErr w:type="spellEnd"/>
            <w:r w:rsidRPr="00D37830">
              <w:rPr>
                <w:rFonts w:ascii="Times New Roman" w:eastAsia="Arial Unicode MS" w:hAnsi="Times New Roman"/>
                <w:color w:val="000000" w:themeColor="text1"/>
                <w:sz w:val="20"/>
                <w:szCs w:val="20"/>
                <w:shd w:val="clear" w:color="auto" w:fill="FFFFFF"/>
              </w:rPr>
              <w:t xml:space="preserve"> care nu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derivat</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combustibilii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intră</w:t>
            </w:r>
            <w:proofErr w:type="spellEnd"/>
            <w:r w:rsidRPr="00D37830">
              <w:rPr>
                <w:rFonts w:ascii="Times New Roman" w:eastAsia="Arial Unicode MS" w:hAnsi="Times New Roman"/>
                <w:color w:val="000000" w:themeColor="text1"/>
                <w:sz w:val="20"/>
                <w:szCs w:val="20"/>
                <w:shd w:val="clear" w:color="auto" w:fill="FFFFFF"/>
              </w:rPr>
              <w:t xml:space="preserve"> sub </w:t>
            </w:r>
            <w:proofErr w:type="spellStart"/>
            <w:r w:rsidRPr="00D37830">
              <w:rPr>
                <w:rFonts w:ascii="Times New Roman" w:eastAsia="Arial Unicode MS" w:hAnsi="Times New Roman"/>
                <w:color w:val="000000" w:themeColor="text1"/>
                <w:sz w:val="20"/>
                <w:szCs w:val="20"/>
                <w:shd w:val="clear" w:color="auto" w:fill="FFFFFF"/>
              </w:rPr>
              <w:t>incidența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primului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w:t>
            </w:r>
          </w:p>
          <w:p w14:paraId="49101CEE" w14:textId="77777777"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Alocarea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certificatelor</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poate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lua</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considerare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eventualul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sprijin</w:t>
            </w:r>
            <w:proofErr w:type="spellEnd"/>
            <w:r w:rsidRPr="00D37830">
              <w:rPr>
                <w:rFonts w:ascii="Times New Roman" w:eastAsia="Arial Unicode MS" w:hAnsi="Times New Roman"/>
                <w:color w:val="000000" w:themeColor="text1"/>
                <w:sz w:val="20"/>
                <w:szCs w:val="20"/>
                <w:shd w:val="clear" w:color="auto" w:fill="FFFFFF"/>
              </w:rPr>
              <w:t xml:space="preserve"> din </w:t>
            </w:r>
            <w:proofErr w:type="spellStart"/>
            <w:r w:rsidRPr="00D37830">
              <w:rPr>
                <w:rFonts w:ascii="Times New Roman" w:eastAsia="Arial Unicode MS" w:hAnsi="Times New Roman"/>
                <w:color w:val="000000" w:themeColor="text1"/>
                <w:sz w:val="20"/>
                <w:szCs w:val="20"/>
                <w:shd w:val="clear" w:color="auto" w:fill="FFFFFF"/>
              </w:rPr>
              <w:t>partea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altor</w:t>
            </w:r>
            <w:proofErr w:type="spellEnd"/>
            <w:r w:rsidRPr="00D37830">
              <w:rPr>
                <w:rFonts w:ascii="Times New Roman" w:eastAsia="Arial Unicode MS" w:hAnsi="Times New Roman"/>
                <w:color w:val="000000" w:themeColor="text1"/>
                <w:sz w:val="20"/>
                <w:szCs w:val="20"/>
                <w:shd w:val="clear" w:color="auto" w:fill="FFFFFF"/>
              </w:rPr>
              <w:t xml:space="preserve"> scheme de la </w:t>
            </w:r>
            <w:proofErr w:type="spellStart"/>
            <w:r w:rsidRPr="00D37830">
              <w:rPr>
                <w:rFonts w:ascii="Times New Roman" w:eastAsia="Arial Unicode MS" w:hAnsi="Times New Roman"/>
                <w:color w:val="000000" w:themeColor="text1"/>
                <w:sz w:val="20"/>
                <w:szCs w:val="20"/>
                <w:shd w:val="clear" w:color="auto" w:fill="FFFFFF"/>
              </w:rPr>
              <w:t>nivel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național</w:t>
            </w:r>
            <w:proofErr w:type="spellEnd"/>
            <w:r w:rsidRPr="00D37830">
              <w:rPr>
                <w:rFonts w:ascii="Times New Roman" w:eastAsia="Arial Unicode MS" w:hAnsi="Times New Roman"/>
                <w:color w:val="000000" w:themeColor="text1"/>
                <w:sz w:val="20"/>
                <w:szCs w:val="20"/>
                <w:shd w:val="clear" w:color="auto" w:fill="FFFFFF"/>
              </w:rPr>
              <w:t>.</w:t>
            </w:r>
          </w:p>
          <w:p w14:paraId="0A32C270" w14:textId="086969B7"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Anual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comerciale</w:t>
            </w:r>
            <w:proofErr w:type="spellEnd"/>
            <w:r w:rsidRPr="00D37830">
              <w:rPr>
                <w:rFonts w:ascii="Times New Roman" w:eastAsia="Arial Unicode MS" w:hAnsi="Times New Roman"/>
                <w:color w:val="000000" w:themeColor="text1"/>
                <w:sz w:val="20"/>
                <w:szCs w:val="20"/>
                <w:shd w:val="clear" w:color="auto" w:fill="FFFFFF"/>
              </w:rPr>
              <w:t xml:space="preserve"> pot </w:t>
            </w:r>
            <w:proofErr w:type="spellStart"/>
            <w:r w:rsidRPr="00D37830">
              <w:rPr>
                <w:rFonts w:ascii="Times New Roman" w:eastAsia="Arial Unicode MS" w:hAnsi="Times New Roman"/>
                <w:color w:val="000000" w:themeColor="text1"/>
                <w:sz w:val="20"/>
                <w:szCs w:val="20"/>
                <w:shd w:val="clear" w:color="auto" w:fill="FFFFFF"/>
              </w:rPr>
              <w:t>solicita</w:t>
            </w:r>
            <w:proofErr w:type="spellEnd"/>
            <w:r w:rsidRPr="00D37830">
              <w:rPr>
                <w:rFonts w:ascii="Times New Roman" w:eastAsia="Arial Unicode MS" w:hAnsi="Times New Roman"/>
                <w:color w:val="000000" w:themeColor="text1"/>
                <w:sz w:val="20"/>
                <w:szCs w:val="20"/>
                <w:shd w:val="clear" w:color="auto" w:fill="FFFFFF"/>
              </w:rPr>
              <w:t xml:space="preserve"> o </w:t>
            </w:r>
            <w:proofErr w:type="spellStart"/>
            <w:r w:rsidRPr="00D37830">
              <w:rPr>
                <w:rFonts w:ascii="Times New Roman" w:eastAsia="Arial Unicode MS" w:hAnsi="Times New Roman"/>
                <w:color w:val="000000" w:themeColor="text1"/>
                <w:sz w:val="20"/>
                <w:szCs w:val="20"/>
                <w:shd w:val="clear" w:color="auto" w:fill="FFFFFF"/>
              </w:rPr>
              <w:t>alocare</w:t>
            </w:r>
            <w:proofErr w:type="spellEnd"/>
            <w:r w:rsidRPr="00D37830">
              <w:rPr>
                <w:rFonts w:ascii="Times New Roman" w:eastAsia="Arial Unicode MS" w:hAnsi="Times New Roman"/>
                <w:color w:val="000000" w:themeColor="text1"/>
                <w:sz w:val="20"/>
                <w:szCs w:val="20"/>
                <w:shd w:val="clear" w:color="auto" w:fill="FFFFFF"/>
              </w:rPr>
              <w:t xml:space="preserve"> de certificate pe </w:t>
            </w:r>
            <w:proofErr w:type="spellStart"/>
            <w:r w:rsidRPr="00D37830">
              <w:rPr>
                <w:rFonts w:ascii="Times New Roman" w:eastAsia="Arial Unicode MS" w:hAnsi="Times New Roman"/>
                <w:color w:val="000000" w:themeColor="text1"/>
                <w:sz w:val="20"/>
                <w:szCs w:val="20"/>
                <w:shd w:val="clear" w:color="auto" w:fill="FFFFFF"/>
              </w:rPr>
              <w:t>baza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cantității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fiecărui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menționat</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trebuie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restituite</w:t>
            </w:r>
            <w:proofErr w:type="spellEnd"/>
            <w:r w:rsidRPr="00D37830">
              <w:rPr>
                <w:rFonts w:ascii="Times New Roman" w:eastAsia="Arial Unicode MS" w:hAnsi="Times New Roman"/>
                <w:color w:val="000000" w:themeColor="text1"/>
                <w:sz w:val="20"/>
                <w:szCs w:val="20"/>
                <w:shd w:val="clear" w:color="auto" w:fill="FFFFFF"/>
              </w:rPr>
              <w:t xml:space="preserve"> certificate în conformitate cu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12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(3) în perioada 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ianuarie</w:t>
            </w:r>
            <w:proofErr w:type="spellEnd"/>
            <w:r w:rsidRPr="00D37830">
              <w:rPr>
                <w:rFonts w:ascii="Times New Roman" w:eastAsia="Arial Unicode MS" w:hAnsi="Times New Roman"/>
                <w:color w:val="000000" w:themeColor="text1"/>
                <w:sz w:val="20"/>
                <w:szCs w:val="20"/>
                <w:shd w:val="clear" w:color="auto" w:fill="FFFFFF"/>
              </w:rPr>
              <w:t xml:space="preserve"> 2024-31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decembrie</w:t>
            </w:r>
            <w:proofErr w:type="spellEnd"/>
            <w:r w:rsidRPr="00D37830">
              <w:rPr>
                <w:rFonts w:ascii="Times New Roman" w:eastAsia="Arial Unicode MS" w:hAnsi="Times New Roman"/>
                <w:color w:val="000000" w:themeColor="text1"/>
                <w:sz w:val="20"/>
                <w:szCs w:val="20"/>
                <w:shd w:val="clear" w:color="auto" w:fill="FFFFFF"/>
              </w:rPr>
              <w:t xml:space="preserve"> 2030, cu </w:t>
            </w:r>
            <w:proofErr w:type="spellStart"/>
            <w:r w:rsidRPr="00D37830">
              <w:rPr>
                <w:rFonts w:ascii="Times New Roman" w:eastAsia="Arial Unicode MS" w:hAnsi="Times New Roman"/>
                <w:color w:val="000000" w:themeColor="text1"/>
                <w:sz w:val="20"/>
                <w:szCs w:val="20"/>
                <w:shd w:val="clear" w:color="auto" w:fill="FFFFFF"/>
              </w:rPr>
              <w:t>excepția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zborurilor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cerința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respectivă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considerată</w:t>
            </w:r>
            <w:proofErr w:type="spellEnd"/>
            <w:r w:rsidRPr="00D37830">
              <w:rPr>
                <w:rFonts w:ascii="Times New Roman" w:eastAsia="Arial Unicode MS" w:hAnsi="Times New Roman"/>
                <w:color w:val="000000" w:themeColor="text1"/>
                <w:sz w:val="20"/>
                <w:szCs w:val="20"/>
                <w:shd w:val="clear" w:color="auto" w:fill="FFFFFF"/>
              </w:rPr>
              <w:t xml:space="preserve"> a fi </w:t>
            </w:r>
            <w:proofErr w:type="spellStart"/>
            <w:r w:rsidRPr="00D37830">
              <w:rPr>
                <w:rFonts w:ascii="Times New Roman" w:eastAsia="Arial Unicode MS" w:hAnsi="Times New Roman"/>
                <w:color w:val="000000" w:themeColor="text1"/>
                <w:sz w:val="20"/>
                <w:szCs w:val="20"/>
                <w:shd w:val="clear" w:color="auto" w:fill="FFFFFF"/>
              </w:rPr>
              <w:t>îndeplinită</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28a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(1). În </w:t>
            </w:r>
            <w:proofErr w:type="spellStart"/>
            <w:r w:rsidRPr="00D37830">
              <w:rPr>
                <w:rFonts w:ascii="Times New Roman" w:eastAsia="Arial Unicode MS" w:hAnsi="Times New Roman"/>
                <w:color w:val="000000" w:themeColor="text1"/>
                <w:sz w:val="20"/>
                <w:szCs w:val="20"/>
                <w:shd w:val="clear" w:color="auto" w:fill="FFFFFF"/>
              </w:rPr>
              <w:t>cazul</w:t>
            </w:r>
            <w:proofErr w:type="spellEnd"/>
            <w:r w:rsidRPr="00D37830">
              <w:rPr>
                <w:rFonts w:ascii="Times New Roman" w:eastAsia="Arial Unicode MS" w:hAnsi="Times New Roman"/>
                <w:color w:val="000000" w:themeColor="text1"/>
                <w:sz w:val="20"/>
                <w:szCs w:val="20"/>
                <w:shd w:val="clear" w:color="auto" w:fill="FFFFFF"/>
              </w:rPr>
              <w:t xml:space="preserve"> în care,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un </w:t>
            </w:r>
            <w:proofErr w:type="spellStart"/>
            <w:r w:rsidRPr="00D37830">
              <w:rPr>
                <w:rFonts w:ascii="Times New Roman" w:eastAsia="Arial Unicode MS" w:hAnsi="Times New Roman"/>
                <w:color w:val="000000" w:themeColor="text1"/>
                <w:sz w:val="20"/>
                <w:szCs w:val="20"/>
                <w:shd w:val="clear" w:color="auto" w:fill="FFFFFF"/>
              </w:rPr>
              <w:t>anumit</w:t>
            </w:r>
            <w:proofErr w:type="spellEnd"/>
            <w:r w:rsidRPr="00D37830">
              <w:rPr>
                <w:rFonts w:ascii="Times New Roman" w:eastAsia="Arial Unicode MS" w:hAnsi="Times New Roman"/>
                <w:color w:val="000000" w:themeColor="text1"/>
                <w:sz w:val="20"/>
                <w:szCs w:val="20"/>
                <w:shd w:val="clear" w:color="auto" w:fill="FFFFFF"/>
              </w:rPr>
              <w:t xml:space="preserve"> an, </w:t>
            </w:r>
            <w:proofErr w:type="spellStart"/>
            <w:r w:rsidRPr="00D37830">
              <w:rPr>
                <w:rFonts w:ascii="Times New Roman" w:eastAsia="Arial Unicode MS" w:hAnsi="Times New Roman"/>
                <w:color w:val="000000" w:themeColor="text1"/>
                <w:sz w:val="20"/>
                <w:szCs w:val="20"/>
                <w:shd w:val="clear" w:color="auto" w:fill="FFFFFF"/>
              </w:rPr>
              <w:t>cererea</w:t>
            </w:r>
            <w:proofErr w:type="spellEnd"/>
            <w:r w:rsidRPr="00D37830">
              <w:rPr>
                <w:rFonts w:ascii="Times New Roman" w:eastAsia="Arial Unicode MS" w:hAnsi="Times New Roman"/>
                <w:color w:val="000000" w:themeColor="text1"/>
                <w:sz w:val="20"/>
                <w:szCs w:val="20"/>
                <w:shd w:val="clear" w:color="auto" w:fill="FFFFFF"/>
              </w:rPr>
              <w:t xml:space="preserve"> de certificate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unor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astfel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combustibili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mai</w:t>
            </w:r>
            <w:proofErr w:type="spellEnd"/>
            <w:r w:rsidRPr="00D37830">
              <w:rPr>
                <w:rFonts w:ascii="Times New Roman" w:eastAsia="Arial Unicode MS" w:hAnsi="Times New Roman"/>
                <w:color w:val="000000" w:themeColor="text1"/>
                <w:sz w:val="20"/>
                <w:szCs w:val="20"/>
                <w:shd w:val="clear" w:color="auto" w:fill="FFFFFF"/>
              </w:rPr>
              <w:t xml:space="preserve"> mare </w:t>
            </w:r>
            <w:proofErr w:type="spellStart"/>
            <w:r w:rsidRPr="00D37830">
              <w:rPr>
                <w:rFonts w:ascii="Times New Roman" w:eastAsia="Arial Unicode MS" w:hAnsi="Times New Roman"/>
                <w:color w:val="000000" w:themeColor="text1"/>
                <w:sz w:val="20"/>
                <w:szCs w:val="20"/>
                <w:shd w:val="clear" w:color="auto" w:fill="FFFFFF"/>
              </w:rPr>
              <w:t>decât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de certificate </w:t>
            </w:r>
            <w:proofErr w:type="spellStart"/>
            <w:r w:rsidRPr="00D37830">
              <w:rPr>
                <w:rFonts w:ascii="Times New Roman" w:eastAsia="Arial Unicode MS" w:hAnsi="Times New Roman"/>
                <w:color w:val="000000" w:themeColor="text1"/>
                <w:sz w:val="20"/>
                <w:szCs w:val="20"/>
                <w:shd w:val="clear" w:color="auto" w:fill="FFFFFF"/>
              </w:rPr>
              <w:t>disponibile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de certificate se reduce în mod uniform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toți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vizați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alocare</w:t>
            </w:r>
            <w:proofErr w:type="spellEnd"/>
            <w:r w:rsidRPr="00D37830">
              <w:rPr>
                <w:rFonts w:ascii="Times New Roman" w:eastAsia="Arial Unicode MS" w:hAnsi="Times New Roman"/>
                <w:color w:val="000000" w:themeColor="text1"/>
                <w:sz w:val="20"/>
                <w:szCs w:val="20"/>
                <w:shd w:val="clear" w:color="auto" w:fill="FFFFFF"/>
              </w:rPr>
              <w:t xml:space="preserve"> în anul </w:t>
            </w:r>
            <w:proofErr w:type="spellStart"/>
            <w:r w:rsidRPr="00D37830">
              <w:rPr>
                <w:rFonts w:ascii="Times New Roman" w:eastAsia="Arial Unicode MS" w:hAnsi="Times New Roman"/>
                <w:color w:val="000000" w:themeColor="text1"/>
                <w:sz w:val="20"/>
                <w:szCs w:val="20"/>
                <w:shd w:val="clear" w:color="auto" w:fill="FFFFFF"/>
              </w:rPr>
              <w:t>respectiv</w:t>
            </w:r>
            <w:proofErr w:type="spellEnd"/>
            <w:r w:rsidRPr="00D37830">
              <w:rPr>
                <w:rFonts w:ascii="Times New Roman" w:eastAsia="Arial Unicode MS" w:hAnsi="Times New Roman"/>
                <w:color w:val="000000" w:themeColor="text1"/>
                <w:sz w:val="20"/>
                <w:szCs w:val="20"/>
                <w:shd w:val="clear" w:color="auto" w:fill="FFFFFF"/>
              </w:rPr>
              <w:t>.</w:t>
            </w:r>
          </w:p>
          <w:p w14:paraId="5859EC59" w14:textId="679B6E25"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publică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anual</w:t>
            </w:r>
            <w:proofErr w:type="spellEnd"/>
            <w:r w:rsidRPr="00D37830">
              <w:rPr>
                <w:rFonts w:ascii="Times New Roman" w:eastAsia="Arial Unicode MS" w:hAnsi="Times New Roman"/>
                <w:color w:val="000000" w:themeColor="text1"/>
                <w:sz w:val="20"/>
                <w:szCs w:val="20"/>
                <w:shd w:val="clear" w:color="auto" w:fill="FFFFFF"/>
              </w:rPr>
              <w:t xml:space="preserve"> în</w:t>
            </w:r>
            <w:r w:rsidR="00D37830">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D37830">
              <w:rPr>
                <w:rStyle w:val="italics"/>
                <w:rFonts w:ascii="Times New Roman" w:eastAsia="Arial Unicode MS" w:hAnsi="Times New Roman"/>
                <w:i/>
                <w:iCs/>
                <w:color w:val="000000" w:themeColor="text1"/>
                <w:sz w:val="20"/>
                <w:szCs w:val="20"/>
              </w:rPr>
              <w:t>Jurnalul</w:t>
            </w:r>
            <w:proofErr w:type="spellEnd"/>
            <w:r w:rsidRPr="00D37830">
              <w:rPr>
                <w:rStyle w:val="italics"/>
                <w:rFonts w:ascii="Times New Roman" w:eastAsia="Arial Unicode MS" w:hAnsi="Times New Roman"/>
                <w:i/>
                <w:iCs/>
                <w:color w:val="000000" w:themeColor="text1"/>
                <w:sz w:val="20"/>
                <w:szCs w:val="20"/>
              </w:rPr>
              <w:t xml:space="preserve"> </w:t>
            </w:r>
            <w:proofErr w:type="spellStart"/>
            <w:r w:rsidRPr="00D37830">
              <w:rPr>
                <w:rStyle w:val="italics"/>
                <w:rFonts w:ascii="Times New Roman" w:eastAsia="Arial Unicode MS" w:hAnsi="Times New Roman"/>
                <w:i/>
                <w:iCs/>
                <w:color w:val="000000" w:themeColor="text1"/>
                <w:sz w:val="20"/>
                <w:szCs w:val="20"/>
              </w:rPr>
              <w:t>Oficial</w:t>
            </w:r>
            <w:proofErr w:type="spellEnd"/>
            <w:r w:rsidRPr="00D37830">
              <w:rPr>
                <w:rStyle w:val="italics"/>
                <w:rFonts w:ascii="Times New Roman" w:eastAsia="Arial Unicode MS" w:hAnsi="Times New Roman"/>
                <w:i/>
                <w:iCs/>
                <w:color w:val="000000" w:themeColor="text1"/>
                <w:sz w:val="20"/>
                <w:szCs w:val="20"/>
              </w:rPr>
              <w:t xml:space="preserve"> al </w:t>
            </w:r>
            <w:proofErr w:type="spellStart"/>
            <w:r w:rsidRPr="00D37830">
              <w:rPr>
                <w:rStyle w:val="italics"/>
                <w:rFonts w:ascii="Times New Roman" w:eastAsia="Arial Unicode MS" w:hAnsi="Times New Roman"/>
                <w:i/>
                <w:iCs/>
                <w:color w:val="000000" w:themeColor="text1"/>
                <w:sz w:val="20"/>
                <w:szCs w:val="20"/>
              </w:rPr>
              <w:t>Uniunii</w:t>
            </w:r>
            <w:proofErr w:type="spellEnd"/>
            <w:r w:rsidRPr="00D37830">
              <w:rPr>
                <w:rStyle w:val="italics"/>
                <w:rFonts w:ascii="Times New Roman" w:eastAsia="Arial Unicode MS" w:hAnsi="Times New Roman"/>
                <w:i/>
                <w:iCs/>
                <w:color w:val="000000" w:themeColor="text1"/>
                <w:sz w:val="20"/>
                <w:szCs w:val="20"/>
              </w:rPr>
              <w:t xml:space="preserve"> </w:t>
            </w:r>
            <w:proofErr w:type="spellStart"/>
            <w:r w:rsidRPr="00D37830">
              <w:rPr>
                <w:rStyle w:val="italics"/>
                <w:rFonts w:ascii="Times New Roman" w:eastAsia="Arial Unicode MS" w:hAnsi="Times New Roman"/>
                <w:i/>
                <w:iCs/>
                <w:color w:val="000000" w:themeColor="text1"/>
                <w:sz w:val="20"/>
                <w:szCs w:val="20"/>
              </w:rPr>
              <w:t>Europene</w:t>
            </w:r>
            <w:proofErr w:type="spellEnd"/>
            <w:r w:rsidR="00D37830">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informații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detaliate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privind</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diferența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medie</w:t>
            </w:r>
            <w:proofErr w:type="spellEnd"/>
            <w:r w:rsidRPr="00D37830">
              <w:rPr>
                <w:rFonts w:ascii="Times New Roman" w:eastAsia="Arial Unicode MS" w:hAnsi="Times New Roman"/>
                <w:color w:val="000000" w:themeColor="text1"/>
                <w:sz w:val="20"/>
                <w:szCs w:val="20"/>
                <w:shd w:val="clear" w:color="auto" w:fill="FFFFFF"/>
              </w:rPr>
              <w:t xml:space="preserve"> de cost,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anul precedent, </w:t>
            </w:r>
            <w:proofErr w:type="spellStart"/>
            <w:r w:rsidRPr="00D37830">
              <w:rPr>
                <w:rFonts w:ascii="Times New Roman" w:eastAsia="Arial Unicode MS" w:hAnsi="Times New Roman"/>
                <w:color w:val="000000" w:themeColor="text1"/>
                <w:sz w:val="20"/>
                <w:szCs w:val="20"/>
                <w:shd w:val="clear" w:color="auto" w:fill="FFFFFF"/>
              </w:rPr>
              <w:t>dintre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kerosenul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luând</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considerare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stimulentele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bazate</w:t>
            </w:r>
            <w:proofErr w:type="spellEnd"/>
            <w:r w:rsidRPr="00D37830">
              <w:rPr>
                <w:rFonts w:ascii="Times New Roman" w:eastAsia="Arial Unicode MS" w:hAnsi="Times New Roman"/>
                <w:color w:val="000000" w:themeColor="text1"/>
                <w:sz w:val="20"/>
                <w:szCs w:val="20"/>
                <w:shd w:val="clear" w:color="auto" w:fill="FFFFFF"/>
              </w:rPr>
              <w:t xml:space="preserve"> pe </w:t>
            </w:r>
            <w:proofErr w:type="spellStart"/>
            <w:r w:rsidRPr="00D37830">
              <w:rPr>
                <w:rFonts w:ascii="Times New Roman" w:eastAsia="Arial Unicode MS" w:hAnsi="Times New Roman"/>
                <w:color w:val="000000" w:themeColor="text1"/>
                <w:sz w:val="20"/>
                <w:szCs w:val="20"/>
                <w:shd w:val="clear" w:color="auto" w:fill="FFFFFF"/>
              </w:rPr>
              <w:t>prețul</w:t>
            </w:r>
            <w:proofErr w:type="spellEnd"/>
            <w:r w:rsidRPr="00D37830">
              <w:rPr>
                <w:rFonts w:ascii="Times New Roman" w:eastAsia="Arial Unicode MS" w:hAnsi="Times New Roman"/>
                <w:color w:val="000000" w:themeColor="text1"/>
                <w:sz w:val="20"/>
                <w:szCs w:val="20"/>
                <w:shd w:val="clear" w:color="auto" w:fill="FFFFFF"/>
              </w:rPr>
              <w:t xml:space="preserve"> carbonului și pe </w:t>
            </w:r>
            <w:proofErr w:type="spellStart"/>
            <w:r w:rsidRPr="00D37830">
              <w:rPr>
                <w:rFonts w:ascii="Times New Roman" w:eastAsia="Arial Unicode MS" w:hAnsi="Times New Roman"/>
                <w:color w:val="000000" w:themeColor="text1"/>
                <w:sz w:val="20"/>
                <w:szCs w:val="20"/>
                <w:shd w:val="clear" w:color="auto" w:fill="FFFFFF"/>
              </w:rPr>
              <w:t>nivelurile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minime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armonizate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impozitare</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combustibilii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eligibili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relevanți</w:t>
            </w:r>
            <w:proofErr w:type="spellEnd"/>
            <w:r w:rsidRPr="00D37830">
              <w:rPr>
                <w:rFonts w:ascii="Times New Roman" w:eastAsia="Arial Unicode MS" w:hAnsi="Times New Roman"/>
                <w:color w:val="000000" w:themeColor="text1"/>
                <w:sz w:val="20"/>
                <w:szCs w:val="20"/>
                <w:shd w:val="clear" w:color="auto" w:fill="FFFFFF"/>
              </w:rPr>
              <w:t>.</w:t>
            </w:r>
          </w:p>
          <w:p w14:paraId="0CCCEBE0" w14:textId="1DB4DF24"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împuternicită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adopte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acte</w:t>
            </w:r>
            <w:proofErr w:type="spellEnd"/>
            <w:r w:rsidRPr="00D37830">
              <w:rPr>
                <w:rFonts w:ascii="Times New Roman" w:eastAsia="Arial Unicode MS" w:hAnsi="Times New Roman"/>
                <w:color w:val="000000" w:themeColor="text1"/>
                <w:sz w:val="20"/>
                <w:szCs w:val="20"/>
                <w:shd w:val="clear" w:color="auto" w:fill="FFFFFF"/>
              </w:rPr>
              <w:t xml:space="preserve"> delegate în conformitate cu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23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completa</w:t>
            </w:r>
            <w:proofErr w:type="spellEnd"/>
            <w:r w:rsidRPr="00D37830">
              <w:rPr>
                <w:rFonts w:ascii="Times New Roman" w:eastAsia="Arial Unicode MS" w:hAnsi="Times New Roman"/>
                <w:color w:val="000000" w:themeColor="text1"/>
                <w:sz w:val="20"/>
                <w:szCs w:val="20"/>
                <w:shd w:val="clear" w:color="auto" w:fill="FFFFFF"/>
              </w:rPr>
              <w:t xml:space="preserve">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stabilirea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normelor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detaliate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calcularea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anuală</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diferenței</w:t>
            </w:r>
            <w:proofErr w:type="spellEnd"/>
            <w:r w:rsidRPr="00D37830">
              <w:rPr>
                <w:rFonts w:ascii="Times New Roman" w:eastAsia="Arial Unicode MS" w:hAnsi="Times New Roman"/>
                <w:color w:val="000000" w:themeColor="text1"/>
                <w:sz w:val="20"/>
                <w:szCs w:val="20"/>
                <w:shd w:val="clear" w:color="auto" w:fill="FFFFFF"/>
              </w:rPr>
              <w:t xml:space="preserve"> de cost </w:t>
            </w:r>
            <w:proofErr w:type="spellStart"/>
            <w:r w:rsidRPr="00D37830">
              <w:rPr>
                <w:rFonts w:ascii="Times New Roman" w:eastAsia="Arial Unicode MS" w:hAnsi="Times New Roman"/>
                <w:color w:val="000000" w:themeColor="text1"/>
                <w:sz w:val="20"/>
                <w:szCs w:val="20"/>
                <w:shd w:val="clear" w:color="auto" w:fill="FFFFFF"/>
              </w:rPr>
              <w:t>menționate</w:t>
            </w:r>
            <w:proofErr w:type="spellEnd"/>
            <w:r w:rsidRPr="00D37830">
              <w:rPr>
                <w:rFonts w:ascii="Times New Roman" w:eastAsia="Arial Unicode MS" w:hAnsi="Times New Roman"/>
                <w:color w:val="000000" w:themeColor="text1"/>
                <w:sz w:val="20"/>
                <w:szCs w:val="20"/>
                <w:shd w:val="clear" w:color="auto" w:fill="FFFFFF"/>
              </w:rPr>
              <w:t xml:space="preserve"> la al </w:t>
            </w:r>
            <w:proofErr w:type="spellStart"/>
            <w:r w:rsidRPr="00D37830">
              <w:rPr>
                <w:rFonts w:ascii="Times New Roman" w:eastAsia="Arial Unicode MS" w:hAnsi="Times New Roman"/>
                <w:color w:val="000000" w:themeColor="text1"/>
                <w:sz w:val="20"/>
                <w:szCs w:val="20"/>
                <w:shd w:val="clear" w:color="auto" w:fill="FFFFFF"/>
              </w:rPr>
              <w:t>șaselea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certificatelor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lastRenderedPageBreak/>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identificați</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primul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calcularea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emisiilor</w:t>
            </w:r>
            <w:proofErr w:type="spellEnd"/>
            <w:r w:rsidRPr="00D37830">
              <w:rPr>
                <w:rFonts w:ascii="Times New Roman" w:eastAsia="Arial Unicode MS" w:hAnsi="Times New Roman"/>
                <w:color w:val="000000" w:themeColor="text1"/>
                <w:sz w:val="20"/>
                <w:szCs w:val="20"/>
                <w:shd w:val="clear" w:color="auto" w:fill="FFFFFF"/>
              </w:rPr>
              <w:t xml:space="preserve"> de gaze cu </w:t>
            </w:r>
            <w:proofErr w:type="spellStart"/>
            <w:r w:rsidRPr="00D37830">
              <w:rPr>
                <w:rFonts w:ascii="Times New Roman" w:eastAsia="Arial Unicode MS" w:hAnsi="Times New Roman"/>
                <w:color w:val="000000" w:themeColor="text1"/>
                <w:sz w:val="20"/>
                <w:szCs w:val="20"/>
                <w:shd w:val="clear" w:color="auto" w:fill="FFFFFF"/>
              </w:rPr>
              <w:t>efect</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seră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economisite</w:t>
            </w:r>
            <w:proofErr w:type="spellEnd"/>
            <w:r w:rsidRPr="00D37830">
              <w:rPr>
                <w:rFonts w:ascii="Times New Roman" w:eastAsia="Arial Unicode MS" w:hAnsi="Times New Roman"/>
                <w:color w:val="000000" w:themeColor="text1"/>
                <w:sz w:val="20"/>
                <w:szCs w:val="20"/>
                <w:shd w:val="clear" w:color="auto" w:fill="FFFFFF"/>
              </w:rPr>
              <w:t xml:space="preserve"> ca </w:t>
            </w:r>
            <w:proofErr w:type="spellStart"/>
            <w:r w:rsidRPr="00D37830">
              <w:rPr>
                <w:rFonts w:ascii="Times New Roman" w:eastAsia="Arial Unicode MS" w:hAnsi="Times New Roman"/>
                <w:color w:val="000000" w:themeColor="text1"/>
                <w:sz w:val="20"/>
                <w:szCs w:val="20"/>
                <w:shd w:val="clear" w:color="auto" w:fill="FFFFFF"/>
              </w:rPr>
              <w:t>urmare</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utilizării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astfel</w:t>
            </w:r>
            <w:proofErr w:type="spellEnd"/>
            <w:r w:rsidRPr="00D37830">
              <w:rPr>
                <w:rFonts w:ascii="Times New Roman" w:eastAsia="Arial Unicode MS" w:hAnsi="Times New Roman"/>
                <w:color w:val="000000" w:themeColor="text1"/>
                <w:sz w:val="20"/>
                <w:szCs w:val="20"/>
                <w:shd w:val="clear" w:color="auto" w:fill="FFFFFF"/>
              </w:rPr>
              <w:t xml:space="preserve"> cum au </w:t>
            </w:r>
            <w:proofErr w:type="spellStart"/>
            <w:r w:rsidRPr="00D37830">
              <w:rPr>
                <w:rFonts w:ascii="Times New Roman" w:eastAsia="Arial Unicode MS" w:hAnsi="Times New Roman"/>
                <w:color w:val="000000" w:themeColor="text1"/>
                <w:sz w:val="20"/>
                <w:szCs w:val="20"/>
                <w:shd w:val="clear" w:color="auto" w:fill="FFFFFF"/>
              </w:rPr>
              <w:t>fost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raportate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actului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punere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aplicare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adoptat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14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(1), și </w:t>
            </w:r>
            <w:proofErr w:type="spellStart"/>
            <w:r w:rsidRPr="00D37830">
              <w:rPr>
                <w:rFonts w:ascii="Times New Roman" w:eastAsia="Arial Unicode MS" w:hAnsi="Times New Roman"/>
                <w:color w:val="000000" w:themeColor="text1"/>
                <w:sz w:val="20"/>
                <w:szCs w:val="20"/>
                <w:shd w:val="clear" w:color="auto" w:fill="FFFFFF"/>
              </w:rPr>
              <w:t>prin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stabilirea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modalităților</w:t>
            </w:r>
            <w:proofErr w:type="spellEnd"/>
            <w:r w:rsidRPr="00D37830">
              <w:rPr>
                <w:rFonts w:ascii="Times New Roman" w:eastAsia="Arial Unicode MS" w:hAnsi="Times New Roman"/>
                <w:color w:val="000000" w:themeColor="text1"/>
                <w:sz w:val="20"/>
                <w:szCs w:val="20"/>
                <w:shd w:val="clear" w:color="auto" w:fill="FFFFFF"/>
              </w:rPr>
              <w:t xml:space="preserve"> de a </w:t>
            </w:r>
            <w:proofErr w:type="spellStart"/>
            <w:r w:rsidRPr="00D37830">
              <w:rPr>
                <w:rFonts w:ascii="Times New Roman" w:eastAsia="Arial Unicode MS" w:hAnsi="Times New Roman"/>
                <w:color w:val="000000" w:themeColor="text1"/>
                <w:sz w:val="20"/>
                <w:szCs w:val="20"/>
                <w:shd w:val="clear" w:color="auto" w:fill="FFFFFF"/>
              </w:rPr>
              <w:t>ține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cont</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stimulentele</w:t>
            </w:r>
            <w:proofErr w:type="spellEnd"/>
            <w:r w:rsidRPr="00D37830">
              <w:rPr>
                <w:rFonts w:ascii="Times New Roman" w:eastAsia="Arial Unicode MS" w:hAnsi="Times New Roman"/>
                <w:color w:val="000000" w:themeColor="text1"/>
                <w:sz w:val="20"/>
                <w:szCs w:val="20"/>
                <w:shd w:val="clear" w:color="auto" w:fill="FFFFFF"/>
              </w:rPr>
              <w:t xml:space="preserve"> legate de </w:t>
            </w:r>
            <w:proofErr w:type="spellStart"/>
            <w:r w:rsidRPr="00D37830">
              <w:rPr>
                <w:rFonts w:ascii="Times New Roman" w:eastAsia="Arial Unicode MS" w:hAnsi="Times New Roman"/>
                <w:color w:val="000000" w:themeColor="text1"/>
                <w:sz w:val="20"/>
                <w:szCs w:val="20"/>
                <w:shd w:val="clear" w:color="auto" w:fill="FFFFFF"/>
              </w:rPr>
              <w:t>prețul</w:t>
            </w:r>
            <w:proofErr w:type="spellEnd"/>
            <w:r w:rsidRPr="00D37830">
              <w:rPr>
                <w:rFonts w:ascii="Times New Roman" w:eastAsia="Arial Unicode MS" w:hAnsi="Times New Roman"/>
                <w:color w:val="000000" w:themeColor="text1"/>
                <w:sz w:val="20"/>
                <w:szCs w:val="20"/>
                <w:shd w:val="clear" w:color="auto" w:fill="FFFFFF"/>
              </w:rPr>
              <w:t xml:space="preserve"> carbonului și de </w:t>
            </w:r>
            <w:proofErr w:type="spellStart"/>
            <w:r w:rsidRPr="00D37830">
              <w:rPr>
                <w:rFonts w:ascii="Times New Roman" w:eastAsia="Arial Unicode MS" w:hAnsi="Times New Roman"/>
                <w:color w:val="000000" w:themeColor="text1"/>
                <w:sz w:val="20"/>
                <w:szCs w:val="20"/>
                <w:shd w:val="clear" w:color="auto" w:fill="FFFFFF"/>
              </w:rPr>
              <w:t>nivelurile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minime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armonizate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impozitare</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fosili</w:t>
            </w:r>
            <w:proofErr w:type="spellEnd"/>
            <w:r w:rsidRPr="00D37830">
              <w:rPr>
                <w:rFonts w:ascii="Times New Roman" w:eastAsia="Arial Unicode MS" w:hAnsi="Times New Roman"/>
                <w:color w:val="000000" w:themeColor="text1"/>
                <w:sz w:val="20"/>
                <w:szCs w:val="20"/>
                <w:shd w:val="clear" w:color="auto" w:fill="FFFFFF"/>
              </w:rPr>
              <w:t>.</w:t>
            </w:r>
          </w:p>
          <w:p w14:paraId="2C81A62D" w14:textId="2B870B37"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Până</w:t>
            </w:r>
            <w:proofErr w:type="spellEnd"/>
            <w:r w:rsidRPr="00D37830">
              <w:rPr>
                <w:rFonts w:ascii="Times New Roman" w:eastAsia="Arial Unicode MS" w:hAnsi="Times New Roman"/>
                <w:color w:val="000000" w:themeColor="text1"/>
                <w:sz w:val="20"/>
                <w:szCs w:val="20"/>
                <w:shd w:val="clear" w:color="auto" w:fill="FFFFFF"/>
              </w:rPr>
              <w:t xml:space="preserve"> la 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ianuarie</w:t>
            </w:r>
            <w:proofErr w:type="spellEnd"/>
            <w:r w:rsidRPr="00D37830">
              <w:rPr>
                <w:rFonts w:ascii="Times New Roman" w:eastAsia="Arial Unicode MS" w:hAnsi="Times New Roman"/>
                <w:color w:val="000000" w:themeColor="text1"/>
                <w:sz w:val="20"/>
                <w:szCs w:val="20"/>
                <w:shd w:val="clear" w:color="auto" w:fill="FFFFFF"/>
              </w:rPr>
              <w:t xml:space="preserve"> 2028, </w:t>
            </w: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efectuează o </w:t>
            </w:r>
            <w:proofErr w:type="spellStart"/>
            <w:r w:rsidRPr="00D37830">
              <w:rPr>
                <w:rFonts w:ascii="Times New Roman" w:eastAsia="Arial Unicode MS" w:hAnsi="Times New Roman"/>
                <w:color w:val="000000" w:themeColor="text1"/>
                <w:sz w:val="20"/>
                <w:szCs w:val="20"/>
                <w:shd w:val="clear" w:color="auto" w:fill="FFFFFF"/>
              </w:rPr>
              <w:t>evaluare</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privire</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aplicarea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transmite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timp</w:t>
            </w:r>
            <w:proofErr w:type="spellEnd"/>
            <w:r w:rsidRPr="00D37830">
              <w:rPr>
                <w:rFonts w:ascii="Times New Roman" w:eastAsia="Arial Unicode MS" w:hAnsi="Times New Roman"/>
                <w:color w:val="000000" w:themeColor="text1"/>
                <w:sz w:val="20"/>
                <w:szCs w:val="20"/>
                <w:shd w:val="clear" w:color="auto" w:fill="FFFFFF"/>
              </w:rPr>
              <w:t xml:space="preserve"> util, </w:t>
            </w:r>
            <w:proofErr w:type="spellStart"/>
            <w:r w:rsidRPr="00D37830">
              <w:rPr>
                <w:rFonts w:ascii="Times New Roman" w:eastAsia="Arial Unicode MS" w:hAnsi="Times New Roman"/>
                <w:color w:val="000000" w:themeColor="text1"/>
                <w:sz w:val="20"/>
                <w:szCs w:val="20"/>
                <w:shd w:val="clear" w:color="auto" w:fill="FFFFFF"/>
              </w:rPr>
              <w:t>rezultatele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evaluării</w:t>
            </w:r>
            <w:proofErr w:type="spellEnd"/>
            <w:r w:rsidRPr="00D37830">
              <w:rPr>
                <w:rFonts w:ascii="Times New Roman" w:eastAsia="Arial Unicode MS" w:hAnsi="Times New Roman"/>
                <w:color w:val="000000" w:themeColor="text1"/>
                <w:sz w:val="20"/>
                <w:szCs w:val="20"/>
                <w:shd w:val="clear" w:color="auto" w:fill="FFFFFF"/>
              </w:rPr>
              <w:t xml:space="preserve"> respective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-un </w:t>
            </w:r>
            <w:proofErr w:type="spellStart"/>
            <w:r w:rsidRPr="00D37830">
              <w:rPr>
                <w:rFonts w:ascii="Times New Roman" w:eastAsia="Arial Unicode MS" w:hAnsi="Times New Roman"/>
                <w:color w:val="000000" w:themeColor="text1"/>
                <w:sz w:val="20"/>
                <w:szCs w:val="20"/>
                <w:shd w:val="clear" w:color="auto" w:fill="FFFFFF"/>
              </w:rPr>
              <w:t>raport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Parlamentului</w:t>
            </w:r>
            <w:proofErr w:type="spellEnd"/>
            <w:r w:rsidRPr="00D37830">
              <w:rPr>
                <w:rFonts w:ascii="Times New Roman" w:eastAsia="Arial Unicode MS" w:hAnsi="Times New Roman"/>
                <w:color w:val="000000" w:themeColor="text1"/>
                <w:sz w:val="20"/>
                <w:szCs w:val="20"/>
                <w:shd w:val="clear" w:color="auto" w:fill="FFFFFF"/>
              </w:rPr>
              <w:t xml:space="preserve"> European și </w:t>
            </w:r>
            <w:proofErr w:type="spellStart"/>
            <w:r w:rsidRPr="00D37830">
              <w:rPr>
                <w:rFonts w:ascii="Times New Roman" w:eastAsia="Arial Unicode MS" w:hAnsi="Times New Roman"/>
                <w:color w:val="000000" w:themeColor="text1"/>
                <w:sz w:val="20"/>
                <w:szCs w:val="20"/>
                <w:shd w:val="clear" w:color="auto" w:fill="FFFFFF"/>
              </w:rPr>
              <w:t>Consiliului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Raportul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poate</w:t>
            </w:r>
            <w:proofErr w:type="spellEnd"/>
            <w:r w:rsidRPr="00D37830">
              <w:rPr>
                <w:rFonts w:ascii="Times New Roman" w:eastAsia="Arial Unicode MS" w:hAnsi="Times New Roman"/>
                <w:color w:val="000000" w:themeColor="text1"/>
                <w:sz w:val="20"/>
                <w:szCs w:val="20"/>
                <w:shd w:val="clear" w:color="auto" w:fill="FFFFFF"/>
              </w:rPr>
              <w:t xml:space="preserve"> fi </w:t>
            </w:r>
            <w:proofErr w:type="spellStart"/>
            <w:r w:rsidRPr="00D37830">
              <w:rPr>
                <w:rFonts w:ascii="Times New Roman" w:eastAsia="Arial Unicode MS" w:hAnsi="Times New Roman"/>
                <w:color w:val="000000" w:themeColor="text1"/>
                <w:sz w:val="20"/>
                <w:szCs w:val="20"/>
                <w:shd w:val="clear" w:color="auto" w:fill="FFFFFF"/>
              </w:rPr>
              <w:t>însoțit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după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caz</w:t>
            </w:r>
            <w:proofErr w:type="spellEnd"/>
            <w:r w:rsidRPr="00D37830">
              <w:rPr>
                <w:rFonts w:ascii="Times New Roman" w:eastAsia="Arial Unicode MS" w:hAnsi="Times New Roman"/>
                <w:color w:val="000000" w:themeColor="text1"/>
                <w:sz w:val="20"/>
                <w:szCs w:val="20"/>
                <w:shd w:val="clear" w:color="auto" w:fill="FFFFFF"/>
              </w:rPr>
              <w:t xml:space="preserve">, de o </w:t>
            </w:r>
            <w:proofErr w:type="spellStart"/>
            <w:r w:rsidRPr="00D37830">
              <w:rPr>
                <w:rFonts w:ascii="Times New Roman" w:eastAsia="Arial Unicode MS" w:hAnsi="Times New Roman"/>
                <w:color w:val="000000" w:themeColor="text1"/>
                <w:sz w:val="20"/>
                <w:szCs w:val="20"/>
                <w:shd w:val="clear" w:color="auto" w:fill="FFFFFF"/>
              </w:rPr>
              <w:t>propunere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legislativă</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alocare</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unui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număr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plafonat</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limitat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timp</w:t>
            </w:r>
            <w:proofErr w:type="spellEnd"/>
            <w:r w:rsidRPr="00D37830">
              <w:rPr>
                <w:rFonts w:ascii="Times New Roman" w:eastAsia="Arial Unicode MS" w:hAnsi="Times New Roman"/>
                <w:color w:val="000000" w:themeColor="text1"/>
                <w:sz w:val="20"/>
                <w:szCs w:val="20"/>
                <w:shd w:val="clear" w:color="auto" w:fill="FFFFFF"/>
              </w:rPr>
              <w:t xml:space="preserve"> de certificate </w:t>
            </w:r>
            <w:proofErr w:type="spellStart"/>
            <w:r w:rsidRPr="00D37830">
              <w:rPr>
                <w:rFonts w:ascii="Times New Roman" w:eastAsia="Arial Unicode MS" w:hAnsi="Times New Roman"/>
                <w:color w:val="000000" w:themeColor="text1"/>
                <w:sz w:val="20"/>
                <w:szCs w:val="20"/>
                <w:shd w:val="clear" w:color="auto" w:fill="FFFFFF"/>
              </w:rPr>
              <w:t>până</w:t>
            </w:r>
            <w:proofErr w:type="spellEnd"/>
            <w:r w:rsidRPr="00D37830">
              <w:rPr>
                <w:rFonts w:ascii="Times New Roman" w:eastAsia="Arial Unicode MS" w:hAnsi="Times New Roman"/>
                <w:color w:val="000000" w:themeColor="text1"/>
                <w:sz w:val="20"/>
                <w:szCs w:val="20"/>
                <w:shd w:val="clear" w:color="auto" w:fill="FFFFFF"/>
              </w:rPr>
              <w:t xml:space="preserve"> la 31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decembrie</w:t>
            </w:r>
            <w:proofErr w:type="spellEnd"/>
            <w:r w:rsidRPr="00D37830">
              <w:rPr>
                <w:rFonts w:ascii="Times New Roman" w:eastAsia="Arial Unicode MS" w:hAnsi="Times New Roman"/>
                <w:color w:val="000000" w:themeColor="text1"/>
                <w:sz w:val="20"/>
                <w:szCs w:val="20"/>
                <w:shd w:val="clear" w:color="auto" w:fill="FFFFFF"/>
              </w:rPr>
              <w:t xml:space="preserve"> 2034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stimula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suplimentar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identificați</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primul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paragraf</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prezentul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în special </w:t>
            </w:r>
            <w:proofErr w:type="spellStart"/>
            <w:r w:rsidRPr="00D37830">
              <w:rPr>
                <w:rFonts w:ascii="Times New Roman" w:eastAsia="Arial Unicode MS" w:hAnsi="Times New Roman"/>
                <w:color w:val="000000" w:themeColor="text1"/>
                <w:sz w:val="20"/>
                <w:szCs w:val="20"/>
                <w:shd w:val="clear" w:color="auto" w:fill="FFFFFF"/>
              </w:rPr>
              <w:t>utilizarea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combustibililor</w:t>
            </w:r>
            <w:proofErr w:type="spellEnd"/>
            <w:r w:rsidRPr="00D37830">
              <w:rPr>
                <w:rFonts w:ascii="Times New Roman" w:eastAsia="Arial Unicode MS" w:hAnsi="Times New Roman"/>
                <w:color w:val="000000" w:themeColor="text1"/>
                <w:sz w:val="20"/>
                <w:szCs w:val="20"/>
                <w:shd w:val="clear" w:color="auto" w:fill="FFFFFF"/>
              </w:rPr>
              <w:t xml:space="preserve"> din surse </w:t>
            </w:r>
            <w:proofErr w:type="spellStart"/>
            <w:r w:rsidRPr="00D37830">
              <w:rPr>
                <w:rFonts w:ascii="Times New Roman" w:eastAsia="Arial Unicode MS" w:hAnsi="Times New Roman"/>
                <w:color w:val="000000" w:themeColor="text1"/>
                <w:sz w:val="20"/>
                <w:szCs w:val="20"/>
                <w:shd w:val="clear" w:color="auto" w:fill="FFFFFF"/>
              </w:rPr>
              <w:t>regenerabile</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origine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nebiologică</w:t>
            </w:r>
            <w:proofErr w:type="spellEnd"/>
            <w:r w:rsidRPr="00D37830">
              <w:rPr>
                <w:rFonts w:ascii="Times New Roman" w:eastAsia="Arial Unicode MS" w:hAnsi="Times New Roman"/>
                <w:color w:val="000000" w:themeColor="text1"/>
                <w:sz w:val="20"/>
                <w:szCs w:val="20"/>
                <w:shd w:val="clear" w:color="auto" w:fill="FFFFFF"/>
              </w:rPr>
              <w:t xml:space="preserve"> în conformitate cu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25 din </w:t>
            </w:r>
            <w:proofErr w:type="spellStart"/>
            <w:r w:rsidRPr="00D37830">
              <w:rPr>
                <w:rFonts w:ascii="Times New Roman" w:eastAsia="Arial Unicode MS" w:hAnsi="Times New Roman"/>
                <w:color w:val="000000" w:themeColor="text1"/>
                <w:sz w:val="20"/>
                <w:szCs w:val="20"/>
                <w:shd w:val="clear" w:color="auto" w:fill="FFFFFF"/>
              </w:rPr>
              <w:t>Directiva</w:t>
            </w:r>
            <w:proofErr w:type="spellEnd"/>
            <w:r w:rsidRPr="00D37830">
              <w:rPr>
                <w:rFonts w:ascii="Times New Roman" w:eastAsia="Arial Unicode MS" w:hAnsi="Times New Roman"/>
                <w:color w:val="000000" w:themeColor="text1"/>
                <w:sz w:val="20"/>
                <w:szCs w:val="20"/>
                <w:shd w:val="clear" w:color="auto" w:fill="FFFFFF"/>
              </w:rPr>
              <w:t xml:space="preserve"> (UE)</w:t>
            </w:r>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2018/2001, </w:t>
            </w:r>
            <w:proofErr w:type="spellStart"/>
            <w:r w:rsidRPr="00D37830">
              <w:rPr>
                <w:rFonts w:ascii="Times New Roman" w:eastAsia="Arial Unicode MS" w:hAnsi="Times New Roman"/>
                <w:color w:val="000000" w:themeColor="text1"/>
                <w:sz w:val="20"/>
                <w:szCs w:val="20"/>
                <w:shd w:val="clear" w:color="auto" w:fill="FFFFFF"/>
              </w:rPr>
              <w:t>utilizați</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aviație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pentru</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factorul</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emisie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este</w:t>
            </w:r>
            <w:proofErr w:type="spellEnd"/>
            <w:r w:rsidRPr="00D37830">
              <w:rPr>
                <w:rFonts w:ascii="Times New Roman" w:eastAsia="Arial Unicode MS" w:hAnsi="Times New Roman"/>
                <w:color w:val="000000" w:themeColor="text1"/>
                <w:sz w:val="20"/>
                <w:szCs w:val="20"/>
                <w:shd w:val="clear" w:color="auto" w:fill="FFFFFF"/>
              </w:rPr>
              <w:t xml:space="preserve"> egal cu zero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anexei</w:t>
            </w:r>
            <w:proofErr w:type="spellEnd"/>
            <w:r w:rsidRPr="00D37830">
              <w:rPr>
                <w:rFonts w:ascii="Times New Roman" w:eastAsia="Arial Unicode MS" w:hAnsi="Times New Roman"/>
                <w:color w:val="000000" w:themeColor="text1"/>
                <w:sz w:val="20"/>
                <w:szCs w:val="20"/>
                <w:shd w:val="clear" w:color="auto" w:fill="FFFFFF"/>
              </w:rPr>
              <w:t xml:space="preserve"> IV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al </w:t>
            </w:r>
            <w:proofErr w:type="spellStart"/>
            <w:r w:rsidRPr="00D37830">
              <w:rPr>
                <w:rFonts w:ascii="Times New Roman" w:eastAsia="Arial Unicode MS" w:hAnsi="Times New Roman"/>
                <w:color w:val="000000" w:themeColor="text1"/>
                <w:sz w:val="20"/>
                <w:szCs w:val="20"/>
                <w:shd w:val="clear" w:color="auto" w:fill="FFFFFF"/>
              </w:rPr>
              <w:t>actului</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punere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aplicare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adoptat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14 din prezenta </w:t>
            </w:r>
            <w:proofErr w:type="spellStart"/>
            <w:r w:rsidRPr="00D37830">
              <w:rPr>
                <w:rFonts w:ascii="Times New Roman" w:eastAsia="Arial Unicode MS" w:hAnsi="Times New Roman"/>
                <w:color w:val="000000" w:themeColor="text1"/>
                <w:sz w:val="20"/>
                <w:szCs w:val="20"/>
                <w:shd w:val="clear" w:color="auto" w:fill="FFFFFF"/>
              </w:rPr>
              <w:t>directivă</w:t>
            </w:r>
            <w:proofErr w:type="spellEnd"/>
            <w:r w:rsidRPr="00D37830">
              <w:rPr>
                <w:rFonts w:ascii="Times New Roman" w:eastAsia="Arial Unicode MS" w:hAnsi="Times New Roman"/>
                <w:color w:val="000000" w:themeColor="text1"/>
                <w:sz w:val="20"/>
                <w:szCs w:val="20"/>
                <w:shd w:val="clear" w:color="auto" w:fill="FFFFFF"/>
              </w:rPr>
              <w:t>.</w:t>
            </w:r>
          </w:p>
          <w:p w14:paraId="04D0CFDD" w14:textId="5AC221CB" w:rsidR="00124364" w:rsidRPr="00D37830" w:rsidRDefault="00000000" w:rsidP="00D3783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37830">
              <w:rPr>
                <w:rFonts w:ascii="Times New Roman" w:eastAsia="Arial Unicode MS" w:hAnsi="Times New Roman"/>
                <w:color w:val="000000" w:themeColor="text1"/>
                <w:sz w:val="20"/>
                <w:szCs w:val="20"/>
                <w:shd w:val="clear" w:color="auto" w:fill="FFFFFF"/>
              </w:rPr>
              <w:t>Începând</w:t>
            </w:r>
            <w:proofErr w:type="spellEnd"/>
            <w:r w:rsidRPr="00D37830">
              <w:rPr>
                <w:rFonts w:ascii="Times New Roman" w:eastAsia="Arial Unicode MS" w:hAnsi="Times New Roman"/>
                <w:color w:val="000000" w:themeColor="text1"/>
                <w:sz w:val="20"/>
                <w:szCs w:val="20"/>
                <w:shd w:val="clear" w:color="auto" w:fill="FFFFFF"/>
              </w:rPr>
              <w:t xml:space="preserve"> cu 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ianuarie</w:t>
            </w:r>
            <w:proofErr w:type="spellEnd"/>
            <w:r w:rsidRPr="00D37830">
              <w:rPr>
                <w:rFonts w:ascii="Times New Roman" w:eastAsia="Arial Unicode MS" w:hAnsi="Times New Roman"/>
                <w:color w:val="000000" w:themeColor="text1"/>
                <w:sz w:val="20"/>
                <w:szCs w:val="20"/>
                <w:shd w:val="clear" w:color="auto" w:fill="FFFFFF"/>
              </w:rPr>
              <w:t xml:space="preserve"> 2028, </w:t>
            </w:r>
            <w:proofErr w:type="spellStart"/>
            <w:r w:rsidRPr="00D37830">
              <w:rPr>
                <w:rFonts w:ascii="Times New Roman" w:eastAsia="Arial Unicode MS" w:hAnsi="Times New Roman"/>
                <w:color w:val="000000" w:themeColor="text1"/>
                <w:sz w:val="20"/>
                <w:szCs w:val="20"/>
                <w:shd w:val="clear" w:color="auto" w:fill="FFFFFF"/>
              </w:rPr>
              <w:t>Comisia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evaluează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aplicarea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prezentului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alineat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rapoartele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anuale</w:t>
            </w:r>
            <w:proofErr w:type="spellEnd"/>
            <w:r w:rsidRPr="00D37830">
              <w:rPr>
                <w:rFonts w:ascii="Times New Roman" w:eastAsia="Arial Unicode MS" w:hAnsi="Times New Roman"/>
                <w:color w:val="000000" w:themeColor="text1"/>
                <w:sz w:val="20"/>
                <w:szCs w:val="20"/>
                <w:shd w:val="clear" w:color="auto" w:fill="FFFFFF"/>
              </w:rPr>
              <w:t xml:space="preserve"> pe care </w:t>
            </w:r>
            <w:proofErr w:type="spellStart"/>
            <w:r w:rsidRPr="00D37830">
              <w:rPr>
                <w:rFonts w:ascii="Times New Roman" w:eastAsia="Arial Unicode MS" w:hAnsi="Times New Roman"/>
                <w:color w:val="000000" w:themeColor="text1"/>
                <w:sz w:val="20"/>
                <w:szCs w:val="20"/>
                <w:shd w:val="clear" w:color="auto" w:fill="FFFFFF"/>
              </w:rPr>
              <w:t>trebuie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le </w:t>
            </w:r>
            <w:proofErr w:type="spellStart"/>
            <w:r w:rsidRPr="00D37830">
              <w:rPr>
                <w:rFonts w:ascii="Times New Roman" w:eastAsia="Arial Unicode MS" w:hAnsi="Times New Roman"/>
                <w:color w:val="000000" w:themeColor="text1"/>
                <w:sz w:val="20"/>
                <w:szCs w:val="20"/>
                <w:shd w:val="clear" w:color="auto" w:fill="FFFFFF"/>
              </w:rPr>
              <w:t>trimită</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temeiul</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articolului</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10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(5).</w:t>
            </w:r>
          </w:p>
          <w:p w14:paraId="59C2F7A6" w14:textId="2FA062D1" w:rsidR="00124364" w:rsidRPr="00D37830" w:rsidRDefault="00000000" w:rsidP="00D37830">
            <w:pPr>
              <w:pStyle w:val="af8"/>
              <w:numPr>
                <w:ilvl w:val="0"/>
                <w:numId w:val="19"/>
              </w:numPr>
              <w:suppressAutoHyphens w:val="0"/>
              <w:autoSpaceDN/>
              <w:spacing w:after="0" w:line="240" w:lineRule="auto"/>
              <w:jc w:val="both"/>
              <w:textAlignment w:val="auto"/>
              <w:rPr>
                <w:rFonts w:ascii="Times New Roman" w:hAnsi="Times New Roman"/>
                <w:color w:val="000000" w:themeColor="text1"/>
                <w:sz w:val="20"/>
                <w:szCs w:val="20"/>
              </w:rPr>
            </w:pPr>
            <w:r w:rsidRPr="00D37830">
              <w:rPr>
                <w:rFonts w:ascii="Times New Roman" w:eastAsia="Arial Unicode MS" w:hAnsi="Times New Roman"/>
                <w:color w:val="000000" w:themeColor="text1"/>
                <w:sz w:val="20"/>
                <w:szCs w:val="20"/>
                <w:shd w:val="clear" w:color="auto" w:fill="FFFFFF"/>
              </w:rPr>
              <w:t xml:space="preserve">În </w:t>
            </w:r>
            <w:proofErr w:type="spellStart"/>
            <w:r w:rsidRPr="00D37830">
              <w:rPr>
                <w:rFonts w:ascii="Times New Roman" w:eastAsia="Arial Unicode MS" w:hAnsi="Times New Roman"/>
                <w:color w:val="000000" w:themeColor="text1"/>
                <w:sz w:val="20"/>
                <w:szCs w:val="20"/>
                <w:shd w:val="clear" w:color="auto" w:fill="FFFFFF"/>
              </w:rPr>
              <w:t>ceea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privește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zborurile</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pleacă</w:t>
            </w:r>
            <w:proofErr w:type="spellEnd"/>
            <w:r w:rsidRPr="00D37830">
              <w:rPr>
                <w:rFonts w:ascii="Times New Roman" w:eastAsia="Arial Unicode MS" w:hAnsi="Times New Roman"/>
                <w:color w:val="000000" w:themeColor="text1"/>
                <w:sz w:val="20"/>
                <w:szCs w:val="20"/>
                <w:shd w:val="clear" w:color="auto" w:fill="FFFFFF"/>
              </w:rPr>
              <w:t xml:space="preserve"> de pe un </w:t>
            </w:r>
            <w:proofErr w:type="spellStart"/>
            <w:r w:rsidRPr="00D37830">
              <w:rPr>
                <w:rFonts w:ascii="Times New Roman" w:eastAsia="Arial Unicode MS" w:hAnsi="Times New Roman"/>
                <w:color w:val="000000" w:themeColor="text1"/>
                <w:sz w:val="20"/>
                <w:szCs w:val="20"/>
                <w:shd w:val="clear" w:color="auto" w:fill="FFFFFF"/>
              </w:rPr>
              <w:t>aerodrom</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situat</w:t>
            </w:r>
            <w:proofErr w:type="spellEnd"/>
            <w:r w:rsidRPr="00D37830">
              <w:rPr>
                <w:rFonts w:ascii="Times New Roman" w:eastAsia="Arial Unicode MS" w:hAnsi="Times New Roman"/>
                <w:color w:val="000000" w:themeColor="text1"/>
                <w:sz w:val="20"/>
                <w:szCs w:val="20"/>
                <w:shd w:val="clear" w:color="auto" w:fill="FFFFFF"/>
              </w:rPr>
              <w:t xml:space="preserve"> în SEE și care </w:t>
            </w:r>
            <w:proofErr w:type="spellStart"/>
            <w:r w:rsidRPr="00D37830">
              <w:rPr>
                <w:rFonts w:ascii="Times New Roman" w:eastAsia="Arial Unicode MS" w:hAnsi="Times New Roman"/>
                <w:color w:val="000000" w:themeColor="text1"/>
                <w:sz w:val="20"/>
                <w:szCs w:val="20"/>
                <w:shd w:val="clear" w:color="auto" w:fill="FFFFFF"/>
              </w:rPr>
              <w:t>sosesc</w:t>
            </w:r>
            <w:proofErr w:type="spellEnd"/>
            <w:r w:rsidRPr="00D37830">
              <w:rPr>
                <w:rFonts w:ascii="Times New Roman" w:eastAsia="Arial Unicode MS" w:hAnsi="Times New Roman"/>
                <w:color w:val="000000" w:themeColor="text1"/>
                <w:sz w:val="20"/>
                <w:szCs w:val="20"/>
                <w:shd w:val="clear" w:color="auto" w:fill="FFFFFF"/>
              </w:rPr>
              <w:t xml:space="preserve"> pe un </w:t>
            </w:r>
            <w:proofErr w:type="spellStart"/>
            <w:r w:rsidRPr="00D37830">
              <w:rPr>
                <w:rFonts w:ascii="Times New Roman" w:eastAsia="Arial Unicode MS" w:hAnsi="Times New Roman"/>
                <w:color w:val="000000" w:themeColor="text1"/>
                <w:sz w:val="20"/>
                <w:szCs w:val="20"/>
                <w:shd w:val="clear" w:color="auto" w:fill="FFFFFF"/>
              </w:rPr>
              <w:t>aerodrom</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situat</w:t>
            </w:r>
            <w:proofErr w:type="spellEnd"/>
            <w:r w:rsidRPr="00D37830">
              <w:rPr>
                <w:rFonts w:ascii="Times New Roman" w:eastAsia="Arial Unicode MS" w:hAnsi="Times New Roman"/>
                <w:color w:val="000000" w:themeColor="text1"/>
                <w:sz w:val="20"/>
                <w:szCs w:val="20"/>
                <w:shd w:val="clear" w:color="auto" w:fill="FFFFFF"/>
              </w:rPr>
              <w:t xml:space="preserve"> în SEE, în </w:t>
            </w:r>
            <w:proofErr w:type="spellStart"/>
            <w:r w:rsidRPr="00D37830">
              <w:rPr>
                <w:rFonts w:ascii="Times New Roman" w:eastAsia="Arial Unicode MS" w:hAnsi="Times New Roman"/>
                <w:color w:val="000000" w:themeColor="text1"/>
                <w:sz w:val="20"/>
                <w:szCs w:val="20"/>
                <w:shd w:val="clear" w:color="auto" w:fill="FFFFFF"/>
              </w:rPr>
              <w:t>Elveția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Regatul</w:t>
            </w:r>
            <w:proofErr w:type="spellEnd"/>
            <w:r w:rsidRPr="00D37830">
              <w:rPr>
                <w:rFonts w:ascii="Times New Roman" w:eastAsia="Arial Unicode MS" w:hAnsi="Times New Roman"/>
                <w:color w:val="000000" w:themeColor="text1"/>
                <w:sz w:val="20"/>
                <w:szCs w:val="20"/>
                <w:shd w:val="clear" w:color="auto" w:fill="FFFFFF"/>
              </w:rPr>
              <w:t xml:space="preserve"> Unit, și care nu </w:t>
            </w:r>
            <w:proofErr w:type="spellStart"/>
            <w:r w:rsidRPr="00D37830">
              <w:rPr>
                <w:rFonts w:ascii="Times New Roman" w:eastAsia="Arial Unicode MS" w:hAnsi="Times New Roman"/>
                <w:color w:val="000000" w:themeColor="text1"/>
                <w:sz w:val="20"/>
                <w:szCs w:val="20"/>
                <w:shd w:val="clear" w:color="auto" w:fill="FFFFFF"/>
              </w:rPr>
              <w:t>făceau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obiectul</w:t>
            </w:r>
            <w:proofErr w:type="spellEnd"/>
            <w:r w:rsidRPr="00D37830">
              <w:rPr>
                <w:rFonts w:ascii="Times New Roman" w:eastAsia="Arial Unicode MS" w:hAnsi="Times New Roman"/>
                <w:color w:val="000000" w:themeColor="text1"/>
                <w:sz w:val="20"/>
                <w:szCs w:val="20"/>
                <w:shd w:val="clear" w:color="auto" w:fill="FFFFFF"/>
              </w:rPr>
              <w:t xml:space="preserve"> EU ETS în 2023, </w:t>
            </w:r>
            <w:proofErr w:type="spellStart"/>
            <w:r w:rsidRPr="00D37830">
              <w:rPr>
                <w:rFonts w:ascii="Times New Roman" w:eastAsia="Arial Unicode MS" w:hAnsi="Times New Roman"/>
                <w:color w:val="000000" w:themeColor="text1"/>
                <w:sz w:val="20"/>
                <w:szCs w:val="20"/>
                <w:shd w:val="clear" w:color="auto" w:fill="FFFFFF"/>
              </w:rPr>
              <w:t>cantitatea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totală</w:t>
            </w:r>
            <w:proofErr w:type="spellEnd"/>
            <w:r w:rsidRPr="00D37830">
              <w:rPr>
                <w:rFonts w:ascii="Times New Roman" w:eastAsia="Arial Unicode MS" w:hAnsi="Times New Roman"/>
                <w:color w:val="000000" w:themeColor="text1"/>
                <w:sz w:val="20"/>
                <w:szCs w:val="20"/>
                <w:shd w:val="clear" w:color="auto" w:fill="FFFFFF"/>
              </w:rPr>
              <w:t xml:space="preserve"> de certificate care </w:t>
            </w:r>
            <w:proofErr w:type="spellStart"/>
            <w:r w:rsidRPr="00D37830">
              <w:rPr>
                <w:rFonts w:ascii="Times New Roman" w:eastAsia="Arial Unicode MS" w:hAnsi="Times New Roman"/>
                <w:color w:val="000000" w:themeColor="text1"/>
                <w:sz w:val="20"/>
                <w:szCs w:val="20"/>
                <w:shd w:val="clear" w:color="auto" w:fill="FFFFFF"/>
              </w:rPr>
              <w:t>urmează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să</w:t>
            </w:r>
            <w:proofErr w:type="spellEnd"/>
            <w:r w:rsidRPr="00D37830">
              <w:rPr>
                <w:rFonts w:ascii="Times New Roman" w:eastAsia="Arial Unicode MS" w:hAnsi="Times New Roman"/>
                <w:color w:val="000000" w:themeColor="text1"/>
                <w:sz w:val="20"/>
                <w:szCs w:val="20"/>
                <w:shd w:val="clear" w:color="auto" w:fill="FFFFFF"/>
              </w:rPr>
              <w:t xml:space="preserve"> fie </w:t>
            </w:r>
            <w:proofErr w:type="spellStart"/>
            <w:r w:rsidRPr="00D37830">
              <w:rPr>
                <w:rFonts w:ascii="Times New Roman" w:eastAsia="Arial Unicode MS" w:hAnsi="Times New Roman"/>
                <w:color w:val="000000" w:themeColor="text1"/>
                <w:sz w:val="20"/>
                <w:szCs w:val="20"/>
                <w:shd w:val="clear" w:color="auto" w:fill="FFFFFF"/>
              </w:rPr>
              <w:t>alocate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se </w:t>
            </w:r>
            <w:proofErr w:type="spellStart"/>
            <w:r w:rsidRPr="00D37830">
              <w:rPr>
                <w:rFonts w:ascii="Times New Roman" w:eastAsia="Arial Unicode MS" w:hAnsi="Times New Roman"/>
                <w:color w:val="000000" w:themeColor="text1"/>
                <w:sz w:val="20"/>
                <w:szCs w:val="20"/>
                <w:shd w:val="clear" w:color="auto" w:fill="FFFFFF"/>
              </w:rPr>
              <w:t>majorează</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nivelurile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alocărilor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inclusiv</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alocarea</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titlu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gratuit</w:t>
            </w:r>
            <w:proofErr w:type="spellEnd"/>
            <w:r w:rsidRPr="00D37830">
              <w:rPr>
                <w:rFonts w:ascii="Times New Roman" w:eastAsia="Arial Unicode MS" w:hAnsi="Times New Roman"/>
                <w:color w:val="000000" w:themeColor="text1"/>
                <w:sz w:val="20"/>
                <w:szCs w:val="20"/>
                <w:shd w:val="clear" w:color="auto" w:fill="FFFFFF"/>
              </w:rPr>
              <w:t xml:space="preserve"> și </w:t>
            </w:r>
            <w:proofErr w:type="spellStart"/>
            <w:r w:rsidRPr="00D37830">
              <w:rPr>
                <w:rFonts w:ascii="Times New Roman" w:eastAsia="Arial Unicode MS" w:hAnsi="Times New Roman"/>
                <w:color w:val="000000" w:themeColor="text1"/>
                <w:sz w:val="20"/>
                <w:szCs w:val="20"/>
                <w:shd w:val="clear" w:color="auto" w:fill="FFFFFF"/>
              </w:rPr>
              <w:t>licitarea</w:t>
            </w:r>
            <w:proofErr w:type="spellEnd"/>
            <w:r w:rsidRPr="00D37830">
              <w:rPr>
                <w:rFonts w:ascii="Times New Roman" w:eastAsia="Arial Unicode MS" w:hAnsi="Times New Roman"/>
                <w:color w:val="000000" w:themeColor="text1"/>
                <w:sz w:val="20"/>
                <w:szCs w:val="20"/>
                <w:shd w:val="clear" w:color="auto" w:fill="FFFFFF"/>
              </w:rPr>
              <w:t xml:space="preserve">, care </w:t>
            </w:r>
            <w:proofErr w:type="spellStart"/>
            <w:r w:rsidRPr="00D37830">
              <w:rPr>
                <w:rFonts w:ascii="Times New Roman" w:eastAsia="Arial Unicode MS" w:hAnsi="Times New Roman"/>
                <w:color w:val="000000" w:themeColor="text1"/>
                <w:sz w:val="20"/>
                <w:szCs w:val="20"/>
                <w:shd w:val="clear" w:color="auto" w:fill="FFFFFF"/>
              </w:rPr>
              <w:t>ar</w:t>
            </w:r>
            <w:proofErr w:type="spellEnd"/>
            <w:r w:rsidRPr="00D37830">
              <w:rPr>
                <w:rFonts w:ascii="Times New Roman" w:eastAsia="Arial Unicode MS" w:hAnsi="Times New Roman"/>
                <w:color w:val="000000" w:themeColor="text1"/>
                <w:sz w:val="20"/>
                <w:szCs w:val="20"/>
                <w:shd w:val="clear" w:color="auto" w:fill="FFFFFF"/>
              </w:rPr>
              <w:t xml:space="preserve"> fi </w:t>
            </w:r>
            <w:proofErr w:type="spellStart"/>
            <w:r w:rsidRPr="00D37830">
              <w:rPr>
                <w:rFonts w:ascii="Times New Roman" w:eastAsia="Arial Unicode MS" w:hAnsi="Times New Roman"/>
                <w:color w:val="000000" w:themeColor="text1"/>
                <w:sz w:val="20"/>
                <w:szCs w:val="20"/>
                <w:shd w:val="clear" w:color="auto" w:fill="FFFFFF"/>
              </w:rPr>
              <w:t>fost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efectuate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dacă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ar</w:t>
            </w:r>
            <w:proofErr w:type="spellEnd"/>
            <w:r w:rsidRPr="00D37830">
              <w:rPr>
                <w:rFonts w:ascii="Times New Roman" w:eastAsia="Arial Unicode MS" w:hAnsi="Times New Roman"/>
                <w:color w:val="000000" w:themeColor="text1"/>
                <w:sz w:val="20"/>
                <w:szCs w:val="20"/>
                <w:shd w:val="clear" w:color="auto" w:fill="FFFFFF"/>
              </w:rPr>
              <w:t xml:space="preserve"> fi </w:t>
            </w:r>
            <w:proofErr w:type="spellStart"/>
            <w:r w:rsidRPr="00D37830">
              <w:rPr>
                <w:rFonts w:ascii="Times New Roman" w:eastAsia="Arial Unicode MS" w:hAnsi="Times New Roman"/>
                <w:color w:val="000000" w:themeColor="text1"/>
                <w:sz w:val="20"/>
                <w:szCs w:val="20"/>
                <w:shd w:val="clear" w:color="auto" w:fill="FFFFFF"/>
              </w:rPr>
              <w:t>făcut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obiectul</w:t>
            </w:r>
            <w:proofErr w:type="spellEnd"/>
            <w:r w:rsidRPr="00D37830">
              <w:rPr>
                <w:rFonts w:ascii="Times New Roman" w:eastAsia="Arial Unicode MS" w:hAnsi="Times New Roman"/>
                <w:color w:val="000000" w:themeColor="text1"/>
                <w:sz w:val="20"/>
                <w:szCs w:val="20"/>
                <w:shd w:val="clear" w:color="auto" w:fill="FFFFFF"/>
              </w:rPr>
              <w:t xml:space="preserve"> EU ETS în anul </w:t>
            </w:r>
            <w:proofErr w:type="spellStart"/>
            <w:r w:rsidRPr="00D37830">
              <w:rPr>
                <w:rFonts w:ascii="Times New Roman" w:eastAsia="Arial Unicode MS" w:hAnsi="Times New Roman"/>
                <w:color w:val="000000" w:themeColor="text1"/>
                <w:sz w:val="20"/>
                <w:szCs w:val="20"/>
                <w:shd w:val="clear" w:color="auto" w:fill="FFFFFF"/>
              </w:rPr>
              <w:t>respectiv</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reduse</w:t>
            </w:r>
            <w:proofErr w:type="spellEnd"/>
            <w:r w:rsidRPr="00D37830">
              <w:rPr>
                <w:rFonts w:ascii="Times New Roman" w:eastAsia="Arial Unicode MS" w:hAnsi="Times New Roman"/>
                <w:color w:val="000000" w:themeColor="text1"/>
                <w:sz w:val="20"/>
                <w:szCs w:val="20"/>
                <w:shd w:val="clear" w:color="auto" w:fill="FFFFFF"/>
              </w:rPr>
              <w:t xml:space="preserve"> cu </w:t>
            </w:r>
            <w:proofErr w:type="spellStart"/>
            <w:r w:rsidRPr="00D37830">
              <w:rPr>
                <w:rFonts w:ascii="Times New Roman" w:eastAsia="Arial Unicode MS" w:hAnsi="Times New Roman"/>
                <w:color w:val="000000" w:themeColor="text1"/>
                <w:sz w:val="20"/>
                <w:szCs w:val="20"/>
                <w:shd w:val="clear" w:color="auto" w:fill="FFFFFF"/>
              </w:rPr>
              <w:t>factorul</w:t>
            </w:r>
            <w:proofErr w:type="spellEnd"/>
            <w:r w:rsidRPr="00D37830">
              <w:rPr>
                <w:rFonts w:ascii="Times New Roman" w:eastAsia="Arial Unicode MS" w:hAnsi="Times New Roman"/>
                <w:color w:val="000000" w:themeColor="text1"/>
                <w:sz w:val="20"/>
                <w:szCs w:val="20"/>
                <w:shd w:val="clear" w:color="auto" w:fill="FFFFFF"/>
              </w:rPr>
              <w:t xml:space="preserve"> linear de </w:t>
            </w:r>
            <w:proofErr w:type="spellStart"/>
            <w:r w:rsidRPr="00D37830">
              <w:rPr>
                <w:rFonts w:ascii="Times New Roman" w:eastAsia="Arial Unicode MS" w:hAnsi="Times New Roman"/>
                <w:color w:val="000000" w:themeColor="text1"/>
                <w:sz w:val="20"/>
                <w:szCs w:val="20"/>
                <w:shd w:val="clear" w:color="auto" w:fill="FFFFFF"/>
              </w:rPr>
              <w:t>reducere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menționat</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9</w:t>
            </w:r>
            <w:r w:rsidRPr="00D37830">
              <w:rPr>
                <w:rFonts w:ascii="Arial Unicode MS" w:eastAsia="Arial Unicode MS" w:hAnsi="Arial Unicode MS" w:cs="Arial Unicode MS" w:hint="eastAsia"/>
                <w:color w:val="000000" w:themeColor="text1"/>
                <w:sz w:val="21"/>
                <w:szCs w:val="21"/>
                <w:shd w:val="clear" w:color="auto" w:fill="FFFFFF"/>
              </w:rPr>
              <w:t>.</w:t>
            </w:r>
          </w:p>
          <w:p w14:paraId="27A37525" w14:textId="04C50DC6" w:rsidR="00124364" w:rsidRPr="00D37830" w:rsidRDefault="00000000" w:rsidP="00D37830">
            <w:pPr>
              <w:pStyle w:val="af8"/>
              <w:numPr>
                <w:ilvl w:val="0"/>
                <w:numId w:val="19"/>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37830">
              <w:rPr>
                <w:rFonts w:ascii="Times New Roman" w:eastAsia="Arial Unicode MS" w:hAnsi="Times New Roman"/>
                <w:color w:val="000000" w:themeColor="text1"/>
                <w:sz w:val="20"/>
                <w:szCs w:val="20"/>
                <w:shd w:val="clear" w:color="auto" w:fill="FFFFFF"/>
              </w:rPr>
              <w:t>Prin</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derogare</w:t>
            </w:r>
            <w:proofErr w:type="spellEnd"/>
            <w:r w:rsidRPr="00D37830">
              <w:rPr>
                <w:rFonts w:ascii="Times New Roman" w:eastAsia="Arial Unicode MS" w:hAnsi="Times New Roman"/>
                <w:color w:val="000000" w:themeColor="text1"/>
                <w:sz w:val="20"/>
                <w:szCs w:val="20"/>
                <w:shd w:val="clear" w:color="auto" w:fill="FFFFFF"/>
              </w:rPr>
              <w:t xml:space="preserve"> de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12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(3), de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14 </w:t>
            </w:r>
            <w:proofErr w:type="spellStart"/>
            <w:r w:rsidRPr="00D37830">
              <w:rPr>
                <w:rFonts w:ascii="Times New Roman" w:eastAsia="Arial Unicode MS" w:hAnsi="Times New Roman"/>
                <w:color w:val="000000" w:themeColor="text1"/>
                <w:sz w:val="20"/>
                <w:szCs w:val="20"/>
                <w:shd w:val="clear" w:color="auto" w:fill="FFFFFF"/>
              </w:rPr>
              <w:t>alineatul</w:t>
            </w:r>
            <w:proofErr w:type="spellEnd"/>
            <w:r w:rsidRPr="00D37830">
              <w:rPr>
                <w:rFonts w:ascii="Times New Roman" w:eastAsia="Arial Unicode MS" w:hAnsi="Times New Roman"/>
                <w:color w:val="000000" w:themeColor="text1"/>
                <w:sz w:val="20"/>
                <w:szCs w:val="20"/>
                <w:shd w:val="clear" w:color="auto" w:fill="FFFFFF"/>
              </w:rPr>
              <w:t xml:space="preserve"> (3) și de la </w:t>
            </w:r>
            <w:proofErr w:type="spellStart"/>
            <w:r w:rsidRPr="00D37830">
              <w:rPr>
                <w:rFonts w:ascii="Times New Roman" w:eastAsia="Arial Unicode MS" w:hAnsi="Times New Roman"/>
                <w:color w:val="000000" w:themeColor="text1"/>
                <w:sz w:val="20"/>
                <w:szCs w:val="20"/>
                <w:shd w:val="clear" w:color="auto" w:fill="FFFFFF"/>
              </w:rPr>
              <w:t>articolul</w:t>
            </w:r>
            <w:proofErr w:type="spellEnd"/>
            <w:r w:rsidR="00D37830">
              <w:rPr>
                <w:rFonts w:ascii="Times New Roman" w:eastAsia="Arial Unicode MS" w:hAnsi="Times New Roman"/>
                <w:color w:val="000000" w:themeColor="text1"/>
                <w:sz w:val="20"/>
                <w:szCs w:val="20"/>
                <w:shd w:val="clear" w:color="auto" w:fill="FFFFFF"/>
              </w:rPr>
              <w:t xml:space="preserve"> </w:t>
            </w:r>
            <w:r w:rsidRPr="00D37830">
              <w:rPr>
                <w:rFonts w:ascii="Times New Roman" w:eastAsia="Arial Unicode MS" w:hAnsi="Times New Roman"/>
                <w:color w:val="000000" w:themeColor="text1"/>
                <w:sz w:val="20"/>
                <w:szCs w:val="20"/>
                <w:shd w:val="clear" w:color="auto" w:fill="FFFFFF"/>
              </w:rPr>
              <w:t xml:space="preserve">16, </w:t>
            </w:r>
            <w:proofErr w:type="spellStart"/>
            <w:r w:rsidRPr="00D37830">
              <w:rPr>
                <w:rFonts w:ascii="Times New Roman" w:eastAsia="Arial Unicode MS" w:hAnsi="Times New Roman"/>
                <w:color w:val="000000" w:themeColor="text1"/>
                <w:sz w:val="20"/>
                <w:szCs w:val="20"/>
                <w:shd w:val="clear" w:color="auto" w:fill="FFFFFF"/>
              </w:rPr>
              <w:t>statele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membre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consideră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cerințele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stabilite</w:t>
            </w:r>
            <w:proofErr w:type="spellEnd"/>
            <w:r w:rsidRPr="00D37830">
              <w:rPr>
                <w:rFonts w:ascii="Times New Roman" w:eastAsia="Arial Unicode MS" w:hAnsi="Times New Roman"/>
                <w:color w:val="000000" w:themeColor="text1"/>
                <w:sz w:val="20"/>
                <w:szCs w:val="20"/>
                <w:shd w:val="clear" w:color="auto" w:fill="FFFFFF"/>
              </w:rPr>
              <w:t xml:space="preserve"> la </w:t>
            </w:r>
            <w:proofErr w:type="spellStart"/>
            <w:r w:rsidRPr="00D37830">
              <w:rPr>
                <w:rFonts w:ascii="Times New Roman" w:eastAsia="Arial Unicode MS" w:hAnsi="Times New Roman"/>
                <w:color w:val="000000" w:themeColor="text1"/>
                <w:sz w:val="20"/>
                <w:szCs w:val="20"/>
                <w:shd w:val="clear" w:color="auto" w:fill="FFFFFF"/>
              </w:rPr>
              <w:t>dispozițiile</w:t>
            </w:r>
            <w:proofErr w:type="spellEnd"/>
            <w:r w:rsidRPr="00D37830">
              <w:rPr>
                <w:rFonts w:ascii="Times New Roman" w:eastAsia="Arial Unicode MS" w:hAnsi="Times New Roman"/>
                <w:color w:val="000000" w:themeColor="text1"/>
                <w:sz w:val="20"/>
                <w:szCs w:val="20"/>
                <w:shd w:val="clear" w:color="auto" w:fill="FFFFFF"/>
              </w:rPr>
              <w:t xml:space="preserve"> respective sunt </w:t>
            </w:r>
            <w:proofErr w:type="spellStart"/>
            <w:r w:rsidRPr="00D37830">
              <w:rPr>
                <w:rFonts w:ascii="Times New Roman" w:eastAsia="Arial Unicode MS" w:hAnsi="Times New Roman"/>
                <w:color w:val="000000" w:themeColor="text1"/>
                <w:sz w:val="20"/>
                <w:szCs w:val="20"/>
                <w:shd w:val="clear" w:color="auto" w:fill="FFFFFF"/>
              </w:rPr>
              <w:t>îndeplinite</w:t>
            </w:r>
            <w:proofErr w:type="spellEnd"/>
            <w:r w:rsidRPr="00D37830">
              <w:rPr>
                <w:rFonts w:ascii="Times New Roman" w:eastAsia="Arial Unicode MS" w:hAnsi="Times New Roman"/>
                <w:color w:val="000000" w:themeColor="text1"/>
                <w:sz w:val="20"/>
                <w:szCs w:val="20"/>
                <w:shd w:val="clear" w:color="auto" w:fill="FFFFFF"/>
              </w:rPr>
              <w:t xml:space="preserve"> și nu </w:t>
            </w:r>
            <w:proofErr w:type="spellStart"/>
            <w:r w:rsidRPr="00D37830">
              <w:rPr>
                <w:rFonts w:ascii="Times New Roman" w:eastAsia="Arial Unicode MS" w:hAnsi="Times New Roman"/>
                <w:color w:val="000000" w:themeColor="text1"/>
                <w:sz w:val="20"/>
                <w:szCs w:val="20"/>
                <w:shd w:val="clear" w:color="auto" w:fill="FFFFFF"/>
              </w:rPr>
              <w:t>iau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măsuri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împotriva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operatorilor</w:t>
            </w:r>
            <w:proofErr w:type="spellEnd"/>
            <w:r w:rsidRPr="00D37830">
              <w:rPr>
                <w:rFonts w:ascii="Times New Roman" w:eastAsia="Arial Unicode MS" w:hAnsi="Times New Roman"/>
                <w:color w:val="000000" w:themeColor="text1"/>
                <w:sz w:val="20"/>
                <w:szCs w:val="20"/>
                <w:shd w:val="clear" w:color="auto" w:fill="FFFFFF"/>
              </w:rPr>
              <w:t xml:space="preserve"> de </w:t>
            </w:r>
            <w:proofErr w:type="spellStart"/>
            <w:r w:rsidRPr="00D37830">
              <w:rPr>
                <w:rFonts w:ascii="Times New Roman" w:eastAsia="Arial Unicode MS" w:hAnsi="Times New Roman"/>
                <w:color w:val="000000" w:themeColor="text1"/>
                <w:sz w:val="20"/>
                <w:szCs w:val="20"/>
                <w:shd w:val="clear" w:color="auto" w:fill="FFFFFF"/>
              </w:rPr>
              <w:t>aeronave</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ceea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ce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privește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emisiile</w:t>
            </w:r>
            <w:proofErr w:type="spellEnd"/>
            <w:r w:rsidRPr="00D37830">
              <w:rPr>
                <w:rFonts w:ascii="Times New Roman" w:eastAsia="Arial Unicode MS" w:hAnsi="Times New Roman"/>
                <w:color w:val="000000" w:themeColor="text1"/>
                <w:sz w:val="20"/>
                <w:szCs w:val="20"/>
                <w:shd w:val="clear" w:color="auto" w:fill="FFFFFF"/>
              </w:rPr>
              <w:t xml:space="preserve"> generate </w:t>
            </w:r>
            <w:proofErr w:type="spellStart"/>
            <w:r w:rsidRPr="00D37830">
              <w:rPr>
                <w:rFonts w:ascii="Times New Roman" w:eastAsia="Arial Unicode MS" w:hAnsi="Times New Roman"/>
                <w:color w:val="000000" w:themeColor="text1"/>
                <w:sz w:val="20"/>
                <w:szCs w:val="20"/>
                <w:shd w:val="clear" w:color="auto" w:fill="FFFFFF"/>
              </w:rPr>
              <w:t>până</w:t>
            </w:r>
            <w:proofErr w:type="spellEnd"/>
            <w:r w:rsidRPr="00D37830">
              <w:rPr>
                <w:rFonts w:ascii="Times New Roman" w:eastAsia="Arial Unicode MS" w:hAnsi="Times New Roman"/>
                <w:color w:val="000000" w:themeColor="text1"/>
                <w:sz w:val="20"/>
                <w:szCs w:val="20"/>
                <w:shd w:val="clear" w:color="auto" w:fill="FFFFFF"/>
              </w:rPr>
              <w:t xml:space="preserve"> la 31</w:t>
            </w:r>
            <w:r w:rsid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decembrie</w:t>
            </w:r>
            <w:proofErr w:type="spellEnd"/>
            <w:r w:rsidRPr="00D37830">
              <w:rPr>
                <w:rFonts w:ascii="Times New Roman" w:eastAsia="Arial Unicode MS" w:hAnsi="Times New Roman"/>
                <w:color w:val="000000" w:themeColor="text1"/>
                <w:sz w:val="20"/>
                <w:szCs w:val="20"/>
                <w:shd w:val="clear" w:color="auto" w:fill="FFFFFF"/>
              </w:rPr>
              <w:t xml:space="preserve"> 2030 în </w:t>
            </w:r>
            <w:proofErr w:type="spellStart"/>
            <w:r w:rsidRPr="00D37830">
              <w:rPr>
                <w:rFonts w:ascii="Times New Roman" w:eastAsia="Arial Unicode MS" w:hAnsi="Times New Roman"/>
                <w:color w:val="000000" w:themeColor="text1"/>
                <w:sz w:val="20"/>
                <w:szCs w:val="20"/>
                <w:shd w:val="clear" w:color="auto" w:fill="FFFFFF"/>
              </w:rPr>
              <w:t>urma</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zborurilor</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dintre</w:t>
            </w:r>
            <w:proofErr w:type="spellEnd"/>
            <w:r w:rsidRPr="00D37830">
              <w:rPr>
                <w:rFonts w:ascii="Times New Roman" w:eastAsia="Arial Unicode MS" w:hAnsi="Times New Roman"/>
                <w:color w:val="000000" w:themeColor="text1"/>
                <w:sz w:val="20"/>
                <w:szCs w:val="20"/>
                <w:shd w:val="clear" w:color="auto" w:fill="FFFFFF"/>
              </w:rPr>
              <w:t xml:space="preserve"> un </w:t>
            </w:r>
            <w:proofErr w:type="spellStart"/>
            <w:r w:rsidRPr="00D37830">
              <w:rPr>
                <w:rFonts w:ascii="Times New Roman" w:eastAsia="Arial Unicode MS" w:hAnsi="Times New Roman"/>
                <w:color w:val="000000" w:themeColor="text1"/>
                <w:sz w:val="20"/>
                <w:szCs w:val="20"/>
                <w:shd w:val="clear" w:color="auto" w:fill="FFFFFF"/>
              </w:rPr>
              <w:t>aerodrom</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situat</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-o </w:t>
            </w:r>
            <w:proofErr w:type="spellStart"/>
            <w:r w:rsidRPr="00D37830">
              <w:rPr>
                <w:rFonts w:ascii="Times New Roman" w:eastAsia="Arial Unicode MS" w:hAnsi="Times New Roman"/>
                <w:color w:val="000000" w:themeColor="text1"/>
                <w:sz w:val="20"/>
                <w:szCs w:val="20"/>
                <w:shd w:val="clear" w:color="auto" w:fill="FFFFFF"/>
              </w:rPr>
              <w:t>regiune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ultraperiferică</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unui</w:t>
            </w:r>
            <w:proofErr w:type="spellEnd"/>
            <w:r w:rsidRPr="00D37830">
              <w:rPr>
                <w:rFonts w:ascii="Times New Roman" w:eastAsia="Arial Unicode MS" w:hAnsi="Times New Roman"/>
                <w:color w:val="000000" w:themeColor="text1"/>
                <w:sz w:val="20"/>
                <w:szCs w:val="20"/>
                <w:shd w:val="clear" w:color="auto" w:fill="FFFFFF"/>
              </w:rPr>
              <w:t xml:space="preserve"> stat </w:t>
            </w:r>
            <w:proofErr w:type="spellStart"/>
            <w:r w:rsidRPr="00D37830">
              <w:rPr>
                <w:rFonts w:ascii="Times New Roman" w:eastAsia="Arial Unicode MS" w:hAnsi="Times New Roman"/>
                <w:color w:val="000000" w:themeColor="text1"/>
                <w:sz w:val="20"/>
                <w:szCs w:val="20"/>
                <w:shd w:val="clear" w:color="auto" w:fill="FFFFFF"/>
              </w:rPr>
              <w:t>membru</w:t>
            </w:r>
            <w:proofErr w:type="spellEnd"/>
            <w:r w:rsidRPr="00D37830">
              <w:rPr>
                <w:rFonts w:ascii="Times New Roman" w:eastAsia="Arial Unicode MS" w:hAnsi="Times New Roman"/>
                <w:color w:val="000000" w:themeColor="text1"/>
                <w:sz w:val="20"/>
                <w:szCs w:val="20"/>
                <w:shd w:val="clear" w:color="auto" w:fill="FFFFFF"/>
              </w:rPr>
              <w:t xml:space="preserve"> și un </w:t>
            </w:r>
            <w:proofErr w:type="spellStart"/>
            <w:r w:rsidRPr="00D37830">
              <w:rPr>
                <w:rFonts w:ascii="Times New Roman" w:eastAsia="Arial Unicode MS" w:hAnsi="Times New Roman"/>
                <w:color w:val="000000" w:themeColor="text1"/>
                <w:sz w:val="20"/>
                <w:szCs w:val="20"/>
                <w:shd w:val="clear" w:color="auto" w:fill="FFFFFF"/>
              </w:rPr>
              <w:t>aerodrom</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situat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același</w:t>
            </w:r>
            <w:proofErr w:type="spellEnd"/>
            <w:r w:rsidRPr="00D37830">
              <w:rPr>
                <w:rFonts w:ascii="Times New Roman" w:eastAsia="Arial Unicode MS" w:hAnsi="Times New Roman"/>
                <w:color w:val="000000" w:themeColor="text1"/>
                <w:sz w:val="20"/>
                <w:szCs w:val="20"/>
                <w:shd w:val="clear" w:color="auto" w:fill="FFFFFF"/>
              </w:rPr>
              <w:t xml:space="preserve"> stat </w:t>
            </w:r>
            <w:proofErr w:type="spellStart"/>
            <w:r w:rsidRPr="00D37830">
              <w:rPr>
                <w:rFonts w:ascii="Times New Roman" w:eastAsia="Arial Unicode MS" w:hAnsi="Times New Roman"/>
                <w:color w:val="000000" w:themeColor="text1"/>
                <w:sz w:val="20"/>
                <w:szCs w:val="20"/>
                <w:shd w:val="clear" w:color="auto" w:fill="FFFFFF"/>
              </w:rPr>
              <w:t>membru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inclusiv</w:t>
            </w:r>
            <w:proofErr w:type="spellEnd"/>
            <w:r w:rsidRPr="00D37830">
              <w:rPr>
                <w:rFonts w:ascii="Times New Roman" w:eastAsia="Arial Unicode MS" w:hAnsi="Times New Roman"/>
                <w:color w:val="000000" w:themeColor="text1"/>
                <w:sz w:val="20"/>
                <w:szCs w:val="20"/>
                <w:shd w:val="clear" w:color="auto" w:fill="FFFFFF"/>
              </w:rPr>
              <w:t xml:space="preserve"> un alt </w:t>
            </w:r>
            <w:proofErr w:type="spellStart"/>
            <w:r w:rsidRPr="00D37830">
              <w:rPr>
                <w:rFonts w:ascii="Times New Roman" w:eastAsia="Arial Unicode MS" w:hAnsi="Times New Roman"/>
                <w:color w:val="000000" w:themeColor="text1"/>
                <w:sz w:val="20"/>
                <w:szCs w:val="20"/>
                <w:shd w:val="clear" w:color="auto" w:fill="FFFFFF"/>
              </w:rPr>
              <w:t>aerodrom</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situat</w:t>
            </w:r>
            <w:proofErr w:type="spellEnd"/>
            <w:r w:rsidRPr="00D37830">
              <w:rPr>
                <w:rFonts w:ascii="Times New Roman" w:eastAsia="Arial Unicode MS" w:hAnsi="Times New Roman"/>
                <w:color w:val="000000" w:themeColor="text1"/>
                <w:sz w:val="20"/>
                <w:szCs w:val="20"/>
                <w:shd w:val="clear" w:color="auto" w:fill="FFFFFF"/>
              </w:rPr>
              <w:t xml:space="preserve"> în </w:t>
            </w:r>
            <w:proofErr w:type="spellStart"/>
            <w:r w:rsidRPr="00D37830">
              <w:rPr>
                <w:rFonts w:ascii="Times New Roman" w:eastAsia="Arial Unicode MS" w:hAnsi="Times New Roman"/>
                <w:color w:val="000000" w:themeColor="text1"/>
                <w:sz w:val="20"/>
                <w:szCs w:val="20"/>
                <w:shd w:val="clear" w:color="auto" w:fill="FFFFFF"/>
              </w:rPr>
              <w:t>aceeași</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regiune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ultraperiferică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sau</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într</w:t>
            </w:r>
            <w:proofErr w:type="spellEnd"/>
            <w:r w:rsidRPr="00D37830">
              <w:rPr>
                <w:rFonts w:ascii="Times New Roman" w:eastAsia="Arial Unicode MS" w:hAnsi="Times New Roman"/>
                <w:color w:val="000000" w:themeColor="text1"/>
                <w:sz w:val="20"/>
                <w:szCs w:val="20"/>
                <w:shd w:val="clear" w:color="auto" w:fill="FFFFFF"/>
              </w:rPr>
              <w:t xml:space="preserve">-o </w:t>
            </w:r>
            <w:proofErr w:type="spellStart"/>
            <w:r w:rsidRPr="00D37830">
              <w:rPr>
                <w:rFonts w:ascii="Times New Roman" w:eastAsia="Arial Unicode MS" w:hAnsi="Times New Roman"/>
                <w:color w:val="000000" w:themeColor="text1"/>
                <w:sz w:val="20"/>
                <w:szCs w:val="20"/>
                <w:shd w:val="clear" w:color="auto" w:fill="FFFFFF"/>
              </w:rPr>
              <w:t>altă</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regiune</w:t>
            </w:r>
            <w:proofErr w:type="spellEnd"/>
            <w:r w:rsidRPr="00D37830">
              <w:rPr>
                <w:rFonts w:ascii="Times New Roman" w:eastAsia="Arial Unicode MS" w:hAnsi="Times New Roman"/>
                <w:color w:val="000000" w:themeColor="text1"/>
                <w:sz w:val="20"/>
                <w:szCs w:val="20"/>
                <w:shd w:val="clear" w:color="auto" w:fill="FFFFFF"/>
              </w:rPr>
              <w:t xml:space="preserve"> </w:t>
            </w:r>
            <w:proofErr w:type="spellStart"/>
            <w:r w:rsidRPr="00D37830">
              <w:rPr>
                <w:rFonts w:ascii="Times New Roman" w:eastAsia="Arial Unicode MS" w:hAnsi="Times New Roman"/>
                <w:color w:val="000000" w:themeColor="text1"/>
                <w:sz w:val="20"/>
                <w:szCs w:val="20"/>
                <w:shd w:val="clear" w:color="auto" w:fill="FFFFFF"/>
              </w:rPr>
              <w:t>ultraperiferică</w:t>
            </w:r>
            <w:proofErr w:type="spellEnd"/>
            <w:r w:rsidRPr="00D37830">
              <w:rPr>
                <w:rFonts w:ascii="Times New Roman" w:eastAsia="Arial Unicode MS" w:hAnsi="Times New Roman"/>
                <w:color w:val="000000" w:themeColor="text1"/>
                <w:sz w:val="20"/>
                <w:szCs w:val="20"/>
                <w:shd w:val="clear" w:color="auto" w:fill="FFFFFF"/>
              </w:rPr>
              <w:t xml:space="preserve"> a </w:t>
            </w:r>
            <w:proofErr w:type="spellStart"/>
            <w:r w:rsidRPr="00D37830">
              <w:rPr>
                <w:rFonts w:ascii="Times New Roman" w:eastAsia="Arial Unicode MS" w:hAnsi="Times New Roman"/>
                <w:color w:val="000000" w:themeColor="text1"/>
                <w:sz w:val="20"/>
                <w:szCs w:val="20"/>
                <w:shd w:val="clear" w:color="auto" w:fill="FFFFFF"/>
              </w:rPr>
              <w:t>aceluiași</w:t>
            </w:r>
            <w:proofErr w:type="spellEnd"/>
            <w:r w:rsidRPr="00D37830">
              <w:rPr>
                <w:rFonts w:ascii="Times New Roman" w:eastAsia="Arial Unicode MS" w:hAnsi="Times New Roman"/>
                <w:color w:val="000000" w:themeColor="text1"/>
                <w:sz w:val="20"/>
                <w:szCs w:val="20"/>
                <w:shd w:val="clear" w:color="auto" w:fill="FFFFFF"/>
              </w:rPr>
              <w:t xml:space="preserve"> stat </w:t>
            </w:r>
            <w:proofErr w:type="spellStart"/>
            <w:r w:rsidRPr="00D37830">
              <w:rPr>
                <w:rFonts w:ascii="Times New Roman" w:eastAsia="Arial Unicode MS" w:hAnsi="Times New Roman"/>
                <w:color w:val="000000" w:themeColor="text1"/>
                <w:sz w:val="20"/>
                <w:szCs w:val="20"/>
                <w:shd w:val="clear" w:color="auto" w:fill="FFFFFF"/>
              </w:rPr>
              <w:t>membru</w:t>
            </w:r>
            <w:proofErr w:type="spellEnd"/>
            <w:r w:rsidRPr="00D37830">
              <w:rPr>
                <w:rFonts w:ascii="Times New Roman" w:eastAsia="Arial Unicode MS" w:hAnsi="Times New Roman"/>
                <w:color w:val="000000" w:themeColor="text1"/>
                <w:sz w:val="20"/>
                <w:szCs w:val="20"/>
                <w:shd w:val="clear" w:color="auto" w:fill="FFFFFF"/>
              </w:rPr>
              <w:t>.</w:t>
            </w:r>
          </w:p>
          <w:p w14:paraId="44D1DE1D"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52" w:tooltip="32008L0101R(04): REPLACED" w:history="1">
              <w:r>
                <w:rPr>
                  <w:rStyle w:val="af3"/>
                  <w:rFonts w:ascii="Times New Roman" w:eastAsia="Arial Unicode MS" w:hAnsi="Times New Roman"/>
                  <w:b/>
                  <w:bCs/>
                  <w:color w:val="4472C4" w:themeColor="accent1"/>
                  <w:sz w:val="20"/>
                  <w:szCs w:val="20"/>
                </w:rPr>
                <w:t>▼C4</w:t>
              </w:r>
            </w:hyperlink>
          </w:p>
        </w:tc>
        <w:tc>
          <w:tcPr>
            <w:tcW w:w="4394" w:type="dxa"/>
            <w:shd w:val="clear" w:color="auto" w:fill="auto"/>
          </w:tcPr>
          <w:p w14:paraId="4242D7E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008D4E7" w14:textId="3B7BD788" w:rsidR="00124364" w:rsidRDefault="00D37830" w:rsidP="00D37830">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DDC9443"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835EE13" w14:textId="77777777" w:rsidR="00D37830" w:rsidRPr="000643DF" w:rsidRDefault="00D37830" w:rsidP="00D37830">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323088DC"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B8BA8B1" w14:textId="77777777" w:rsidR="00124364" w:rsidRDefault="00124364" w:rsidP="009B0DC5">
            <w:pPr>
              <w:autoSpaceDE w:val="0"/>
              <w:spacing w:after="0" w:line="240" w:lineRule="auto"/>
              <w:rPr>
                <w:rFonts w:ascii="Times New Roman" w:hAnsi="Times New Roman"/>
                <w:sz w:val="20"/>
                <w:szCs w:val="20"/>
                <w:lang w:val="fr-FR"/>
              </w:rPr>
            </w:pPr>
          </w:p>
        </w:tc>
      </w:tr>
      <w:tr w:rsidR="00124364" w14:paraId="66EF20EE" w14:textId="77777777">
        <w:trPr>
          <w:trHeight w:val="558"/>
        </w:trPr>
        <w:tc>
          <w:tcPr>
            <w:tcW w:w="4957" w:type="dxa"/>
            <w:shd w:val="clear" w:color="auto" w:fill="auto"/>
          </w:tcPr>
          <w:p w14:paraId="47D87603" w14:textId="7B0EDBB1" w:rsidR="00124364" w:rsidRPr="009B0DC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B0DC5">
              <w:rPr>
                <w:rFonts w:eastAsia="Arial Unicode MS"/>
                <w:i/>
                <w:iCs/>
                <w:color w:val="000000" w:themeColor="text1"/>
                <w:sz w:val="20"/>
                <w:szCs w:val="20"/>
                <w:shd w:val="clear" w:color="auto" w:fill="FFFFFF"/>
                <w:lang w:val="en-US"/>
              </w:rPr>
              <w:lastRenderedPageBreak/>
              <w:t>Articolul</w:t>
            </w:r>
            <w:proofErr w:type="spellEnd"/>
            <w:r w:rsidR="009B0DC5" w:rsidRPr="009B0DC5">
              <w:rPr>
                <w:rFonts w:eastAsia="Arial Unicode MS"/>
                <w:i/>
                <w:iCs/>
                <w:color w:val="000000" w:themeColor="text1"/>
                <w:sz w:val="20"/>
                <w:szCs w:val="20"/>
                <w:shd w:val="clear" w:color="auto" w:fill="FFFFFF"/>
                <w:lang w:val="en-US"/>
              </w:rPr>
              <w:t xml:space="preserve"> </w:t>
            </w:r>
            <w:r w:rsidRPr="009B0DC5">
              <w:rPr>
                <w:rFonts w:eastAsia="Arial Unicode MS"/>
                <w:i/>
                <w:iCs/>
                <w:color w:val="000000" w:themeColor="text1"/>
                <w:sz w:val="20"/>
                <w:szCs w:val="20"/>
                <w:shd w:val="clear" w:color="auto" w:fill="FFFFFF"/>
                <w:lang w:val="en-US"/>
              </w:rPr>
              <w:t>3d</w:t>
            </w:r>
          </w:p>
          <w:p w14:paraId="563430B3" w14:textId="77777777" w:rsidR="00124364" w:rsidRPr="009B0DC5"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B0DC5">
              <w:rPr>
                <w:rFonts w:eastAsia="Arial Unicode MS"/>
                <w:b/>
                <w:bCs/>
                <w:color w:val="000000" w:themeColor="text1"/>
                <w:sz w:val="20"/>
                <w:szCs w:val="20"/>
                <w:shd w:val="clear" w:color="auto" w:fill="FFFFFF"/>
                <w:lang w:val="en-US"/>
              </w:rPr>
              <w:t>Metoda</w:t>
            </w:r>
            <w:proofErr w:type="spellEnd"/>
            <w:r w:rsidRPr="009B0DC5">
              <w:rPr>
                <w:rFonts w:eastAsia="Arial Unicode MS"/>
                <w:b/>
                <w:bCs/>
                <w:color w:val="000000" w:themeColor="text1"/>
                <w:sz w:val="20"/>
                <w:szCs w:val="20"/>
                <w:shd w:val="clear" w:color="auto" w:fill="FFFFFF"/>
                <w:lang w:val="en-US"/>
              </w:rPr>
              <w:t xml:space="preserve"> de </w:t>
            </w:r>
            <w:proofErr w:type="spellStart"/>
            <w:r w:rsidRPr="009B0DC5">
              <w:rPr>
                <w:rFonts w:eastAsia="Arial Unicode MS"/>
                <w:b/>
                <w:bCs/>
                <w:color w:val="000000" w:themeColor="text1"/>
                <w:sz w:val="20"/>
                <w:szCs w:val="20"/>
                <w:shd w:val="clear" w:color="auto" w:fill="FFFFFF"/>
                <w:lang w:val="en-US"/>
              </w:rPr>
              <w:t>alocare</w:t>
            </w:r>
            <w:proofErr w:type="spellEnd"/>
            <w:r w:rsidRPr="009B0DC5">
              <w:rPr>
                <w:rFonts w:eastAsia="Arial Unicode MS"/>
                <w:b/>
                <w:bCs/>
                <w:color w:val="000000" w:themeColor="text1"/>
                <w:sz w:val="20"/>
                <w:szCs w:val="20"/>
                <w:shd w:val="clear" w:color="auto" w:fill="FFFFFF"/>
                <w:lang w:val="en-US"/>
              </w:rPr>
              <w:t xml:space="preserve"> </w:t>
            </w:r>
            <w:proofErr w:type="spellStart"/>
            <w:r w:rsidRPr="009B0DC5">
              <w:rPr>
                <w:rFonts w:eastAsia="Arial Unicode MS"/>
                <w:b/>
                <w:bCs/>
                <w:color w:val="000000" w:themeColor="text1"/>
                <w:sz w:val="20"/>
                <w:szCs w:val="20"/>
                <w:shd w:val="clear" w:color="auto" w:fill="FFFFFF"/>
                <w:lang w:val="en-US"/>
              </w:rPr>
              <w:t>prin</w:t>
            </w:r>
            <w:proofErr w:type="spellEnd"/>
            <w:r w:rsidRPr="009B0DC5">
              <w:rPr>
                <w:rFonts w:eastAsia="Arial Unicode MS"/>
                <w:b/>
                <w:bCs/>
                <w:color w:val="000000" w:themeColor="text1"/>
                <w:sz w:val="20"/>
                <w:szCs w:val="20"/>
                <w:shd w:val="clear" w:color="auto" w:fill="FFFFFF"/>
                <w:lang w:val="en-US"/>
              </w:rPr>
              <w:t xml:space="preserve"> </w:t>
            </w:r>
            <w:proofErr w:type="spellStart"/>
            <w:r w:rsidRPr="009B0DC5">
              <w:rPr>
                <w:rFonts w:eastAsia="Arial Unicode MS"/>
                <w:b/>
                <w:bCs/>
                <w:color w:val="000000" w:themeColor="text1"/>
                <w:sz w:val="20"/>
                <w:szCs w:val="20"/>
                <w:shd w:val="clear" w:color="auto" w:fill="FFFFFF"/>
                <w:lang w:val="en-US"/>
              </w:rPr>
              <w:t>licitație</w:t>
            </w:r>
            <w:proofErr w:type="spellEnd"/>
            <w:r w:rsidRPr="009B0DC5">
              <w:rPr>
                <w:rFonts w:eastAsia="Arial Unicode MS"/>
                <w:b/>
                <w:bCs/>
                <w:color w:val="000000" w:themeColor="text1"/>
                <w:sz w:val="20"/>
                <w:szCs w:val="20"/>
                <w:shd w:val="clear" w:color="auto" w:fill="FFFFFF"/>
                <w:lang w:val="en-US"/>
              </w:rPr>
              <w:t xml:space="preserve"> a </w:t>
            </w:r>
            <w:proofErr w:type="spellStart"/>
            <w:r w:rsidRPr="009B0DC5">
              <w:rPr>
                <w:rFonts w:eastAsia="Arial Unicode MS"/>
                <w:b/>
                <w:bCs/>
                <w:color w:val="000000" w:themeColor="text1"/>
                <w:sz w:val="20"/>
                <w:szCs w:val="20"/>
                <w:shd w:val="clear" w:color="auto" w:fill="FFFFFF"/>
                <w:lang w:val="en-US"/>
              </w:rPr>
              <w:t>certificatelor</w:t>
            </w:r>
            <w:proofErr w:type="spellEnd"/>
            <w:r w:rsidRPr="009B0DC5">
              <w:rPr>
                <w:rFonts w:eastAsia="Arial Unicode MS"/>
                <w:b/>
                <w:bCs/>
                <w:color w:val="000000" w:themeColor="text1"/>
                <w:sz w:val="20"/>
                <w:szCs w:val="20"/>
                <w:shd w:val="clear" w:color="auto" w:fill="FFFFFF"/>
                <w:lang w:val="en-US"/>
              </w:rPr>
              <w:t xml:space="preserve"> </w:t>
            </w:r>
            <w:proofErr w:type="spellStart"/>
            <w:r w:rsidRPr="009B0DC5">
              <w:rPr>
                <w:rFonts w:eastAsia="Arial Unicode MS"/>
                <w:b/>
                <w:bCs/>
                <w:color w:val="000000" w:themeColor="text1"/>
                <w:sz w:val="20"/>
                <w:szCs w:val="20"/>
                <w:shd w:val="clear" w:color="auto" w:fill="FFFFFF"/>
                <w:lang w:val="en-US"/>
              </w:rPr>
              <w:t>pentru</w:t>
            </w:r>
            <w:proofErr w:type="spellEnd"/>
            <w:r w:rsidRPr="009B0DC5">
              <w:rPr>
                <w:rFonts w:eastAsia="Arial Unicode MS"/>
                <w:b/>
                <w:bCs/>
                <w:color w:val="000000" w:themeColor="text1"/>
                <w:sz w:val="20"/>
                <w:szCs w:val="20"/>
                <w:shd w:val="clear" w:color="auto" w:fill="FFFFFF"/>
                <w:lang w:val="en-US"/>
              </w:rPr>
              <w:t xml:space="preserve"> </w:t>
            </w:r>
            <w:proofErr w:type="spellStart"/>
            <w:r w:rsidRPr="009B0DC5">
              <w:rPr>
                <w:rFonts w:eastAsia="Arial Unicode MS"/>
                <w:b/>
                <w:bCs/>
                <w:color w:val="000000" w:themeColor="text1"/>
                <w:sz w:val="20"/>
                <w:szCs w:val="20"/>
                <w:shd w:val="clear" w:color="auto" w:fill="FFFFFF"/>
                <w:lang w:val="en-US"/>
              </w:rPr>
              <w:t>aviație</w:t>
            </w:r>
            <w:proofErr w:type="spellEnd"/>
          </w:p>
          <w:p w14:paraId="2B3D142D" w14:textId="77777777" w:rsidR="00124364" w:rsidRDefault="00000000">
            <w:pPr>
              <w:pStyle w:val="ti-art"/>
              <w:shd w:val="clear" w:color="auto" w:fill="FFFFFF"/>
              <w:spacing w:before="0" w:beforeAutospacing="0" w:after="0" w:afterAutospacing="0"/>
              <w:rPr>
                <w:color w:val="4472C4" w:themeColor="accent1"/>
                <w:sz w:val="20"/>
                <w:szCs w:val="20"/>
              </w:rPr>
            </w:pPr>
            <w:hyperlink r:id="rId53" w:tooltip="32023L0958: REPLACED" w:history="1">
              <w:r>
                <w:rPr>
                  <w:rStyle w:val="af3"/>
                  <w:rFonts w:eastAsia="Arial Unicode MS"/>
                  <w:b/>
                  <w:bCs/>
                  <w:color w:val="4472C4" w:themeColor="accent1"/>
                  <w:sz w:val="20"/>
                  <w:szCs w:val="20"/>
                </w:rPr>
                <w:t>▼M14</w:t>
              </w:r>
            </w:hyperlink>
          </w:p>
          <w:p w14:paraId="613BD152" w14:textId="2063EA26" w:rsidR="00124364" w:rsidRPr="00786833" w:rsidRDefault="00000000" w:rsidP="00786833">
            <w:pPr>
              <w:pStyle w:val="af8"/>
              <w:numPr>
                <w:ilvl w:val="0"/>
                <w:numId w:val="20"/>
              </w:numPr>
              <w:suppressAutoHyphens w:val="0"/>
              <w:autoSpaceDN/>
              <w:spacing w:after="0" w:line="240" w:lineRule="auto"/>
              <w:jc w:val="both"/>
              <w:textAlignment w:val="auto"/>
              <w:rPr>
                <w:rFonts w:ascii="Times New Roman" w:hAnsi="Times New Roman"/>
                <w:color w:val="000000" w:themeColor="text1"/>
                <w:sz w:val="20"/>
                <w:szCs w:val="20"/>
                <w:lang w:val="en-US"/>
              </w:rPr>
            </w:pPr>
            <w:r w:rsidRPr="00786833">
              <w:rPr>
                <w:rFonts w:ascii="Times New Roman" w:eastAsia="Arial Unicode MS" w:hAnsi="Times New Roman"/>
                <w:color w:val="000000" w:themeColor="text1"/>
                <w:sz w:val="20"/>
                <w:szCs w:val="20"/>
              </w:rPr>
              <w:t xml:space="preserve">În </w:t>
            </w:r>
            <w:proofErr w:type="spellStart"/>
            <w:r w:rsidRPr="00786833">
              <w:rPr>
                <w:rFonts w:ascii="Times New Roman" w:eastAsia="Arial Unicode MS" w:hAnsi="Times New Roman"/>
                <w:color w:val="000000" w:themeColor="text1"/>
                <w:sz w:val="20"/>
                <w:szCs w:val="20"/>
              </w:rPr>
              <w:t>anii</w:t>
            </w:r>
            <w:proofErr w:type="spellEnd"/>
            <w:r w:rsidRPr="00786833">
              <w:rPr>
                <w:rFonts w:ascii="Times New Roman" w:eastAsia="Arial Unicode MS" w:hAnsi="Times New Roman"/>
                <w:color w:val="000000" w:themeColor="text1"/>
                <w:sz w:val="20"/>
                <w:szCs w:val="20"/>
              </w:rPr>
              <w:t xml:space="preserve"> 2024 și</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2025, 15</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 din </w:t>
            </w:r>
            <w:proofErr w:type="spellStart"/>
            <w:r w:rsidRPr="00786833">
              <w:rPr>
                <w:rFonts w:ascii="Times New Roman" w:eastAsia="Arial Unicode MS" w:hAnsi="Times New Roman"/>
                <w:color w:val="000000" w:themeColor="text1"/>
                <w:sz w:val="20"/>
                <w:szCs w:val="20"/>
              </w:rPr>
              <w:t>certificatele</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menționate</w:t>
            </w:r>
            <w:proofErr w:type="spellEnd"/>
            <w:r w:rsidRPr="00786833">
              <w:rPr>
                <w:rFonts w:ascii="Times New Roman" w:eastAsia="Arial Unicode MS" w:hAnsi="Times New Roman"/>
                <w:color w:val="000000" w:themeColor="text1"/>
                <w:sz w:val="20"/>
                <w:szCs w:val="20"/>
              </w:rPr>
              <w:t xml:space="preserve"> la </w:t>
            </w:r>
            <w:proofErr w:type="spellStart"/>
            <w:r w:rsidRPr="00786833">
              <w:rPr>
                <w:rFonts w:ascii="Times New Roman" w:eastAsia="Arial Unicode MS" w:hAnsi="Times New Roman"/>
                <w:color w:val="000000" w:themeColor="text1"/>
                <w:sz w:val="20"/>
                <w:szCs w:val="20"/>
              </w:rPr>
              <w:t>articolul</w:t>
            </w:r>
            <w:proofErr w:type="spellEnd"/>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3c </w:t>
            </w:r>
            <w:proofErr w:type="spellStart"/>
            <w:r w:rsidRPr="00786833">
              <w:rPr>
                <w:rFonts w:ascii="Times New Roman" w:eastAsia="Arial Unicode MS" w:hAnsi="Times New Roman"/>
                <w:color w:val="000000" w:themeColor="text1"/>
                <w:sz w:val="20"/>
                <w:szCs w:val="20"/>
              </w:rPr>
              <w:t>alineatele</w:t>
            </w:r>
            <w:proofErr w:type="spellEnd"/>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(5) și</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(7), precum și un </w:t>
            </w:r>
            <w:proofErr w:type="spellStart"/>
            <w:r w:rsidRPr="00786833">
              <w:rPr>
                <w:rFonts w:ascii="Times New Roman" w:eastAsia="Arial Unicode MS" w:hAnsi="Times New Roman"/>
                <w:color w:val="000000" w:themeColor="text1"/>
                <w:sz w:val="20"/>
                <w:szCs w:val="20"/>
              </w:rPr>
              <w:t>procent</w:t>
            </w:r>
            <w:proofErr w:type="spellEnd"/>
            <w:r w:rsidRPr="00786833">
              <w:rPr>
                <w:rFonts w:ascii="Times New Roman" w:eastAsia="Arial Unicode MS" w:hAnsi="Times New Roman"/>
                <w:color w:val="000000" w:themeColor="text1"/>
                <w:sz w:val="20"/>
                <w:szCs w:val="20"/>
              </w:rPr>
              <w:t xml:space="preserve"> de 25</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 în 2024 și </w:t>
            </w:r>
            <w:proofErr w:type="spellStart"/>
            <w:r w:rsidRPr="00786833">
              <w:rPr>
                <w:rFonts w:ascii="Times New Roman" w:eastAsia="Arial Unicode MS" w:hAnsi="Times New Roman"/>
                <w:color w:val="000000" w:themeColor="text1"/>
                <w:sz w:val="20"/>
                <w:szCs w:val="20"/>
              </w:rPr>
              <w:t>respectiv</w:t>
            </w:r>
            <w:proofErr w:type="spellEnd"/>
            <w:r w:rsidRPr="00786833">
              <w:rPr>
                <w:rFonts w:ascii="Times New Roman" w:eastAsia="Arial Unicode MS" w:hAnsi="Times New Roman"/>
                <w:color w:val="000000" w:themeColor="text1"/>
                <w:sz w:val="20"/>
                <w:szCs w:val="20"/>
              </w:rPr>
              <w:t xml:space="preserve"> de 50</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 în 2025, din </w:t>
            </w:r>
            <w:proofErr w:type="spellStart"/>
            <w:r w:rsidRPr="00786833">
              <w:rPr>
                <w:rFonts w:ascii="Times New Roman" w:eastAsia="Arial Unicode MS" w:hAnsi="Times New Roman"/>
                <w:color w:val="000000" w:themeColor="text1"/>
                <w:sz w:val="20"/>
                <w:szCs w:val="20"/>
              </w:rPr>
              <w:t>restul</w:t>
            </w:r>
            <w:proofErr w:type="spellEnd"/>
            <w:r w:rsidRPr="00786833">
              <w:rPr>
                <w:rFonts w:ascii="Times New Roman" w:eastAsia="Arial Unicode MS" w:hAnsi="Times New Roman"/>
                <w:color w:val="000000" w:themeColor="text1"/>
                <w:sz w:val="20"/>
                <w:szCs w:val="20"/>
              </w:rPr>
              <w:t xml:space="preserve"> de 85</w:t>
            </w:r>
            <w:r w:rsidR="009B0DC5"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 din </w:t>
            </w:r>
            <w:proofErr w:type="spellStart"/>
            <w:r w:rsidRPr="00786833">
              <w:rPr>
                <w:rFonts w:ascii="Times New Roman" w:eastAsia="Arial Unicode MS" w:hAnsi="Times New Roman"/>
                <w:color w:val="000000" w:themeColor="text1"/>
                <w:sz w:val="20"/>
                <w:szCs w:val="20"/>
              </w:rPr>
              <w:t>certificatele</w:t>
            </w:r>
            <w:proofErr w:type="spellEnd"/>
            <w:r w:rsidRPr="00786833">
              <w:rPr>
                <w:rFonts w:ascii="Times New Roman" w:eastAsia="Arial Unicode MS" w:hAnsi="Times New Roman"/>
                <w:color w:val="000000" w:themeColor="text1"/>
                <w:sz w:val="20"/>
                <w:szCs w:val="20"/>
              </w:rPr>
              <w:t xml:space="preserve"> respective, </w:t>
            </w:r>
            <w:proofErr w:type="spellStart"/>
            <w:r w:rsidRPr="00786833">
              <w:rPr>
                <w:rFonts w:ascii="Times New Roman" w:eastAsia="Arial Unicode MS" w:hAnsi="Times New Roman"/>
                <w:color w:val="000000" w:themeColor="text1"/>
                <w:sz w:val="20"/>
                <w:szCs w:val="20"/>
              </w:rPr>
              <w:t>pentru</w:t>
            </w:r>
            <w:proofErr w:type="spellEnd"/>
            <w:r w:rsidRPr="00786833">
              <w:rPr>
                <w:rFonts w:ascii="Times New Roman" w:eastAsia="Arial Unicode MS" w:hAnsi="Times New Roman"/>
                <w:color w:val="000000" w:themeColor="text1"/>
                <w:sz w:val="20"/>
                <w:szCs w:val="20"/>
              </w:rPr>
              <w:t xml:space="preserve"> care </w:t>
            </w:r>
            <w:proofErr w:type="spellStart"/>
            <w:r w:rsidRPr="00786833">
              <w:rPr>
                <w:rFonts w:ascii="Times New Roman" w:eastAsia="Arial Unicode MS" w:hAnsi="Times New Roman"/>
                <w:color w:val="000000" w:themeColor="text1"/>
                <w:sz w:val="20"/>
                <w:szCs w:val="20"/>
              </w:rPr>
              <w:t>ar</w:t>
            </w:r>
            <w:proofErr w:type="spellEnd"/>
            <w:r w:rsidRPr="00786833">
              <w:rPr>
                <w:rFonts w:ascii="Times New Roman" w:eastAsia="Arial Unicode MS" w:hAnsi="Times New Roman"/>
                <w:color w:val="000000" w:themeColor="text1"/>
                <w:sz w:val="20"/>
                <w:szCs w:val="20"/>
              </w:rPr>
              <w:t xml:space="preserve"> fi </w:t>
            </w:r>
            <w:proofErr w:type="spellStart"/>
            <w:r w:rsidRPr="00786833">
              <w:rPr>
                <w:rFonts w:ascii="Times New Roman" w:eastAsia="Arial Unicode MS" w:hAnsi="Times New Roman"/>
                <w:color w:val="000000" w:themeColor="text1"/>
                <w:sz w:val="20"/>
                <w:szCs w:val="20"/>
              </w:rPr>
              <w:t>avut</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loc</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alocarea</w:t>
            </w:r>
            <w:proofErr w:type="spellEnd"/>
            <w:r w:rsidRPr="00786833">
              <w:rPr>
                <w:rFonts w:ascii="Times New Roman" w:eastAsia="Arial Unicode MS" w:hAnsi="Times New Roman"/>
                <w:color w:val="000000" w:themeColor="text1"/>
                <w:sz w:val="20"/>
                <w:szCs w:val="20"/>
              </w:rPr>
              <w:t xml:space="preserve"> cu </w:t>
            </w:r>
            <w:proofErr w:type="spellStart"/>
            <w:r w:rsidRPr="00786833">
              <w:rPr>
                <w:rFonts w:ascii="Times New Roman" w:eastAsia="Arial Unicode MS" w:hAnsi="Times New Roman"/>
                <w:color w:val="000000" w:themeColor="text1"/>
                <w:sz w:val="20"/>
                <w:szCs w:val="20"/>
              </w:rPr>
              <w:t>titlu</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gratuit</w:t>
            </w:r>
            <w:proofErr w:type="spellEnd"/>
            <w:r w:rsidRPr="00786833">
              <w:rPr>
                <w:rFonts w:ascii="Times New Roman" w:eastAsia="Arial Unicode MS" w:hAnsi="Times New Roman"/>
                <w:color w:val="000000" w:themeColor="text1"/>
                <w:sz w:val="20"/>
                <w:szCs w:val="20"/>
              </w:rPr>
              <w:t xml:space="preserve">, sunt </w:t>
            </w:r>
            <w:proofErr w:type="spellStart"/>
            <w:r w:rsidRPr="00786833">
              <w:rPr>
                <w:rFonts w:ascii="Times New Roman" w:eastAsia="Arial Unicode MS" w:hAnsi="Times New Roman"/>
                <w:color w:val="000000" w:themeColor="text1"/>
                <w:sz w:val="20"/>
                <w:szCs w:val="20"/>
              </w:rPr>
              <w:t>scoase</w:t>
            </w:r>
            <w:proofErr w:type="spellEnd"/>
            <w:r w:rsidRPr="00786833">
              <w:rPr>
                <w:rFonts w:ascii="Times New Roman" w:eastAsia="Arial Unicode MS" w:hAnsi="Times New Roman"/>
                <w:color w:val="000000" w:themeColor="text1"/>
                <w:sz w:val="20"/>
                <w:szCs w:val="20"/>
              </w:rPr>
              <w:t xml:space="preserve"> la </w:t>
            </w:r>
            <w:proofErr w:type="spellStart"/>
            <w:r w:rsidRPr="00786833">
              <w:rPr>
                <w:rFonts w:ascii="Times New Roman" w:eastAsia="Arial Unicode MS" w:hAnsi="Times New Roman"/>
                <w:color w:val="000000" w:themeColor="text1"/>
                <w:sz w:val="20"/>
                <w:szCs w:val="20"/>
              </w:rPr>
              <w:t>licitație</w:t>
            </w:r>
            <w:proofErr w:type="spellEnd"/>
            <w:r w:rsidRPr="00786833">
              <w:rPr>
                <w:rFonts w:ascii="Times New Roman" w:eastAsia="Arial Unicode MS" w:hAnsi="Times New Roman"/>
                <w:color w:val="000000" w:themeColor="text1"/>
                <w:sz w:val="20"/>
                <w:szCs w:val="20"/>
              </w:rPr>
              <w:t xml:space="preserve">, cu </w:t>
            </w:r>
            <w:proofErr w:type="spellStart"/>
            <w:r w:rsidRPr="00786833">
              <w:rPr>
                <w:rFonts w:ascii="Times New Roman" w:eastAsia="Arial Unicode MS" w:hAnsi="Times New Roman"/>
                <w:color w:val="000000" w:themeColor="text1"/>
                <w:sz w:val="20"/>
                <w:szCs w:val="20"/>
              </w:rPr>
              <w:t>excepția</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cantităților</w:t>
            </w:r>
            <w:proofErr w:type="spellEnd"/>
            <w:r w:rsidRPr="00786833">
              <w:rPr>
                <w:rFonts w:ascii="Times New Roman" w:eastAsia="Arial Unicode MS" w:hAnsi="Times New Roman"/>
                <w:color w:val="000000" w:themeColor="text1"/>
                <w:sz w:val="20"/>
                <w:szCs w:val="20"/>
              </w:rPr>
              <w:t xml:space="preserve"> de certificate </w:t>
            </w:r>
            <w:proofErr w:type="spellStart"/>
            <w:r w:rsidRPr="00786833">
              <w:rPr>
                <w:rFonts w:ascii="Times New Roman" w:eastAsia="Arial Unicode MS" w:hAnsi="Times New Roman"/>
                <w:color w:val="000000" w:themeColor="text1"/>
                <w:sz w:val="20"/>
                <w:szCs w:val="20"/>
              </w:rPr>
              <w:t>menționate</w:t>
            </w:r>
            <w:proofErr w:type="spellEnd"/>
            <w:r w:rsidRPr="00786833">
              <w:rPr>
                <w:rFonts w:ascii="Times New Roman" w:eastAsia="Arial Unicode MS" w:hAnsi="Times New Roman"/>
                <w:color w:val="000000" w:themeColor="text1"/>
                <w:sz w:val="20"/>
                <w:szCs w:val="20"/>
              </w:rPr>
              <w:t xml:space="preserve"> la </w:t>
            </w:r>
            <w:proofErr w:type="spellStart"/>
            <w:r w:rsidRPr="00786833">
              <w:rPr>
                <w:rFonts w:ascii="Times New Roman" w:eastAsia="Arial Unicode MS" w:hAnsi="Times New Roman"/>
                <w:color w:val="000000" w:themeColor="text1"/>
                <w:sz w:val="20"/>
                <w:szCs w:val="20"/>
              </w:rPr>
              <w:t>articolul</w:t>
            </w:r>
            <w:proofErr w:type="spellEnd"/>
            <w:r w:rsidR="00786833"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3c </w:t>
            </w:r>
            <w:proofErr w:type="spellStart"/>
            <w:r w:rsidRPr="00786833">
              <w:rPr>
                <w:rFonts w:ascii="Times New Roman" w:eastAsia="Arial Unicode MS" w:hAnsi="Times New Roman"/>
                <w:color w:val="000000" w:themeColor="text1"/>
                <w:sz w:val="20"/>
                <w:szCs w:val="20"/>
              </w:rPr>
              <w:t>alineatul</w:t>
            </w:r>
            <w:proofErr w:type="spellEnd"/>
            <w:r w:rsidRPr="00786833">
              <w:rPr>
                <w:rFonts w:ascii="Times New Roman" w:eastAsia="Arial Unicode MS" w:hAnsi="Times New Roman"/>
                <w:color w:val="000000" w:themeColor="text1"/>
                <w:sz w:val="20"/>
                <w:szCs w:val="20"/>
              </w:rPr>
              <w:t xml:space="preserve"> (6) și la </w:t>
            </w:r>
            <w:proofErr w:type="spellStart"/>
            <w:r w:rsidRPr="00786833">
              <w:rPr>
                <w:rFonts w:ascii="Times New Roman" w:eastAsia="Arial Unicode MS" w:hAnsi="Times New Roman"/>
                <w:color w:val="000000" w:themeColor="text1"/>
                <w:sz w:val="20"/>
                <w:szCs w:val="20"/>
              </w:rPr>
              <w:t>articolul</w:t>
            </w:r>
            <w:proofErr w:type="spellEnd"/>
            <w:r w:rsidR="00786833" w:rsidRPr="00786833">
              <w:rPr>
                <w:rFonts w:ascii="Times New Roman" w:eastAsia="Arial Unicode MS" w:hAnsi="Times New Roman"/>
                <w:color w:val="000000" w:themeColor="text1"/>
                <w:sz w:val="20"/>
                <w:szCs w:val="20"/>
              </w:rPr>
              <w:t xml:space="preserve"> </w:t>
            </w:r>
            <w:r w:rsidRPr="00786833">
              <w:rPr>
                <w:rFonts w:ascii="Times New Roman" w:eastAsia="Arial Unicode MS" w:hAnsi="Times New Roman"/>
                <w:color w:val="000000" w:themeColor="text1"/>
                <w:sz w:val="20"/>
                <w:szCs w:val="20"/>
              </w:rPr>
              <w:t xml:space="preserve">10a </w:t>
            </w:r>
            <w:proofErr w:type="spellStart"/>
            <w:r w:rsidRPr="00786833">
              <w:rPr>
                <w:rFonts w:ascii="Times New Roman" w:eastAsia="Arial Unicode MS" w:hAnsi="Times New Roman"/>
                <w:color w:val="000000" w:themeColor="text1"/>
                <w:sz w:val="20"/>
                <w:szCs w:val="20"/>
              </w:rPr>
              <w:t>alineatul</w:t>
            </w:r>
            <w:proofErr w:type="spellEnd"/>
            <w:r w:rsidRPr="00786833">
              <w:rPr>
                <w:rFonts w:ascii="Times New Roman" w:eastAsia="Arial Unicode MS" w:hAnsi="Times New Roman"/>
                <w:color w:val="000000" w:themeColor="text1"/>
                <w:sz w:val="20"/>
                <w:szCs w:val="20"/>
              </w:rPr>
              <w:t xml:space="preserve"> (8) al </w:t>
            </w:r>
            <w:proofErr w:type="spellStart"/>
            <w:r w:rsidRPr="00786833">
              <w:rPr>
                <w:rFonts w:ascii="Times New Roman" w:eastAsia="Arial Unicode MS" w:hAnsi="Times New Roman"/>
                <w:color w:val="000000" w:themeColor="text1"/>
                <w:sz w:val="20"/>
                <w:szCs w:val="20"/>
              </w:rPr>
              <w:t>patrulea</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paragraf</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Restul</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certificatelor</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pentru</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anii</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respectivi</w:t>
            </w:r>
            <w:proofErr w:type="spellEnd"/>
            <w:r w:rsidRPr="00786833">
              <w:rPr>
                <w:rFonts w:ascii="Times New Roman" w:eastAsia="Arial Unicode MS" w:hAnsi="Times New Roman"/>
                <w:color w:val="000000" w:themeColor="text1"/>
                <w:sz w:val="20"/>
                <w:szCs w:val="20"/>
              </w:rPr>
              <w:t xml:space="preserve"> se </w:t>
            </w:r>
            <w:proofErr w:type="spellStart"/>
            <w:r w:rsidRPr="00786833">
              <w:rPr>
                <w:rFonts w:ascii="Times New Roman" w:eastAsia="Arial Unicode MS" w:hAnsi="Times New Roman"/>
                <w:color w:val="000000" w:themeColor="text1"/>
                <w:sz w:val="20"/>
                <w:szCs w:val="20"/>
              </w:rPr>
              <w:t>alocă</w:t>
            </w:r>
            <w:proofErr w:type="spellEnd"/>
            <w:r w:rsidRPr="00786833">
              <w:rPr>
                <w:rFonts w:ascii="Times New Roman" w:eastAsia="Arial Unicode MS" w:hAnsi="Times New Roman"/>
                <w:color w:val="000000" w:themeColor="text1"/>
                <w:sz w:val="20"/>
                <w:szCs w:val="20"/>
              </w:rPr>
              <w:t xml:space="preserve"> cu </w:t>
            </w:r>
            <w:proofErr w:type="spellStart"/>
            <w:r w:rsidRPr="00786833">
              <w:rPr>
                <w:rFonts w:ascii="Times New Roman" w:eastAsia="Arial Unicode MS" w:hAnsi="Times New Roman"/>
                <w:color w:val="000000" w:themeColor="text1"/>
                <w:sz w:val="20"/>
                <w:szCs w:val="20"/>
              </w:rPr>
              <w:t>titlu</w:t>
            </w:r>
            <w:proofErr w:type="spellEnd"/>
            <w:r w:rsidRPr="00786833">
              <w:rPr>
                <w:rFonts w:ascii="Times New Roman" w:eastAsia="Arial Unicode MS" w:hAnsi="Times New Roman"/>
                <w:color w:val="000000" w:themeColor="text1"/>
                <w:sz w:val="20"/>
                <w:szCs w:val="20"/>
              </w:rPr>
              <w:t xml:space="preserve"> </w:t>
            </w:r>
            <w:proofErr w:type="spellStart"/>
            <w:r w:rsidRPr="00786833">
              <w:rPr>
                <w:rFonts w:ascii="Times New Roman" w:eastAsia="Arial Unicode MS" w:hAnsi="Times New Roman"/>
                <w:color w:val="000000" w:themeColor="text1"/>
                <w:sz w:val="20"/>
                <w:szCs w:val="20"/>
              </w:rPr>
              <w:t>gratuit</w:t>
            </w:r>
            <w:proofErr w:type="spellEnd"/>
            <w:r w:rsidRPr="00786833">
              <w:rPr>
                <w:rFonts w:ascii="Times New Roman" w:eastAsia="Arial Unicode MS" w:hAnsi="Times New Roman"/>
                <w:color w:val="000000" w:themeColor="text1"/>
                <w:sz w:val="20"/>
                <w:szCs w:val="20"/>
              </w:rPr>
              <w:t>.</w:t>
            </w:r>
          </w:p>
          <w:p w14:paraId="4EDA21DC" w14:textId="334C180A" w:rsidR="00124364" w:rsidRPr="00786833" w:rsidRDefault="00000000" w:rsidP="00786833">
            <w:pPr>
              <w:pStyle w:val="af8"/>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786833">
              <w:rPr>
                <w:rFonts w:ascii="Times New Roman" w:eastAsia="Arial Unicode MS" w:hAnsi="Times New Roman"/>
                <w:color w:val="000000" w:themeColor="text1"/>
                <w:sz w:val="20"/>
                <w:szCs w:val="20"/>
                <w:shd w:val="clear" w:color="auto" w:fill="FFFFFF"/>
              </w:rPr>
              <w:t>Începând</w:t>
            </w:r>
            <w:proofErr w:type="spellEnd"/>
            <w:r w:rsidRPr="00786833">
              <w:rPr>
                <w:rFonts w:ascii="Times New Roman" w:eastAsia="Arial Unicode MS" w:hAnsi="Times New Roman"/>
                <w:color w:val="000000" w:themeColor="text1"/>
                <w:sz w:val="20"/>
                <w:szCs w:val="20"/>
                <w:shd w:val="clear" w:color="auto" w:fill="FFFFFF"/>
              </w:rPr>
              <w:t xml:space="preserve"> cu 1</w:t>
            </w:r>
            <w:r w:rsidR="00786833"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ianuarie</w:t>
            </w:r>
            <w:proofErr w:type="spellEnd"/>
            <w:r w:rsidRPr="00786833">
              <w:rPr>
                <w:rFonts w:ascii="Times New Roman" w:eastAsia="Arial Unicode MS" w:hAnsi="Times New Roman"/>
                <w:color w:val="000000" w:themeColor="text1"/>
                <w:sz w:val="20"/>
                <w:szCs w:val="20"/>
                <w:shd w:val="clear" w:color="auto" w:fill="FFFFFF"/>
              </w:rPr>
              <w:t xml:space="preserve"> 2026, </w:t>
            </w:r>
            <w:proofErr w:type="spellStart"/>
            <w:r w:rsidRPr="00786833">
              <w:rPr>
                <w:rFonts w:ascii="Times New Roman" w:eastAsia="Arial Unicode MS" w:hAnsi="Times New Roman"/>
                <w:color w:val="000000" w:themeColor="text1"/>
                <w:sz w:val="20"/>
                <w:szCs w:val="20"/>
                <w:shd w:val="clear" w:color="auto" w:fill="FFFFFF"/>
              </w:rPr>
              <w:t>întreaga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cantitate</w:t>
            </w:r>
            <w:proofErr w:type="spellEnd"/>
            <w:r w:rsidRPr="00786833">
              <w:rPr>
                <w:rFonts w:ascii="Times New Roman" w:eastAsia="Arial Unicode MS" w:hAnsi="Times New Roman"/>
                <w:color w:val="000000" w:themeColor="text1"/>
                <w:sz w:val="20"/>
                <w:szCs w:val="20"/>
                <w:shd w:val="clear" w:color="auto" w:fill="FFFFFF"/>
              </w:rPr>
              <w:t xml:space="preserve"> de certificate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care </w:t>
            </w:r>
            <w:proofErr w:type="spellStart"/>
            <w:r w:rsidRPr="00786833">
              <w:rPr>
                <w:rFonts w:ascii="Times New Roman" w:eastAsia="Arial Unicode MS" w:hAnsi="Times New Roman"/>
                <w:color w:val="000000" w:themeColor="text1"/>
                <w:sz w:val="20"/>
                <w:szCs w:val="20"/>
                <w:shd w:val="clear" w:color="auto" w:fill="FFFFFF"/>
              </w:rPr>
              <w:t>alocarea</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titlu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gratuit</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ar</w:t>
            </w:r>
            <w:proofErr w:type="spellEnd"/>
            <w:r w:rsidRPr="00786833">
              <w:rPr>
                <w:rFonts w:ascii="Times New Roman" w:eastAsia="Arial Unicode MS" w:hAnsi="Times New Roman"/>
                <w:color w:val="000000" w:themeColor="text1"/>
                <w:sz w:val="20"/>
                <w:szCs w:val="20"/>
                <w:shd w:val="clear" w:color="auto" w:fill="FFFFFF"/>
              </w:rPr>
              <w:t xml:space="preserve"> fi </w:t>
            </w:r>
            <w:proofErr w:type="spellStart"/>
            <w:r w:rsidRPr="00786833">
              <w:rPr>
                <w:rFonts w:ascii="Times New Roman" w:eastAsia="Arial Unicode MS" w:hAnsi="Times New Roman"/>
                <w:color w:val="000000" w:themeColor="text1"/>
                <w:sz w:val="20"/>
                <w:szCs w:val="20"/>
                <w:shd w:val="clear" w:color="auto" w:fill="FFFFFF"/>
              </w:rPr>
              <w:t>avut</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loc</w:t>
            </w:r>
            <w:proofErr w:type="spellEnd"/>
            <w:r w:rsidRPr="00786833">
              <w:rPr>
                <w:rFonts w:ascii="Times New Roman" w:eastAsia="Arial Unicode MS" w:hAnsi="Times New Roman"/>
                <w:color w:val="000000" w:themeColor="text1"/>
                <w:sz w:val="20"/>
                <w:szCs w:val="20"/>
                <w:shd w:val="clear" w:color="auto" w:fill="FFFFFF"/>
              </w:rPr>
              <w:t xml:space="preserve"> în anul </w:t>
            </w:r>
            <w:proofErr w:type="spellStart"/>
            <w:r w:rsidRPr="00786833">
              <w:rPr>
                <w:rFonts w:ascii="Times New Roman" w:eastAsia="Arial Unicode MS" w:hAnsi="Times New Roman"/>
                <w:color w:val="000000" w:themeColor="text1"/>
                <w:sz w:val="20"/>
                <w:szCs w:val="20"/>
                <w:shd w:val="clear" w:color="auto" w:fill="FFFFFF"/>
              </w:rPr>
              <w:t>respectiv</w:t>
            </w:r>
            <w:proofErr w:type="spellEnd"/>
            <w:r w:rsidRPr="00786833">
              <w:rPr>
                <w:rFonts w:ascii="Times New Roman" w:eastAsia="Arial Unicode MS" w:hAnsi="Times New Roman"/>
                <w:color w:val="000000" w:themeColor="text1"/>
                <w:sz w:val="20"/>
                <w:szCs w:val="20"/>
                <w:shd w:val="clear" w:color="auto" w:fill="FFFFFF"/>
              </w:rPr>
              <w:t xml:space="preserve"> se </w:t>
            </w:r>
            <w:proofErr w:type="spellStart"/>
            <w:r w:rsidRPr="00786833">
              <w:rPr>
                <w:rFonts w:ascii="Times New Roman" w:eastAsia="Arial Unicode MS" w:hAnsi="Times New Roman"/>
                <w:color w:val="000000" w:themeColor="text1"/>
                <w:sz w:val="20"/>
                <w:szCs w:val="20"/>
                <w:shd w:val="clear" w:color="auto" w:fill="FFFFFF"/>
              </w:rPr>
              <w:t>scoate</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licitație</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excepția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cantității</w:t>
            </w:r>
            <w:proofErr w:type="spellEnd"/>
            <w:r w:rsidRPr="00786833">
              <w:rPr>
                <w:rFonts w:ascii="Times New Roman" w:eastAsia="Arial Unicode MS" w:hAnsi="Times New Roman"/>
                <w:color w:val="000000" w:themeColor="text1"/>
                <w:sz w:val="20"/>
                <w:szCs w:val="20"/>
                <w:shd w:val="clear" w:color="auto" w:fill="FFFFFF"/>
              </w:rPr>
              <w:t xml:space="preserve"> de certificate </w:t>
            </w:r>
            <w:proofErr w:type="spellStart"/>
            <w:r w:rsidRPr="00786833">
              <w:rPr>
                <w:rFonts w:ascii="Times New Roman" w:eastAsia="Arial Unicode MS" w:hAnsi="Times New Roman"/>
                <w:color w:val="000000" w:themeColor="text1"/>
                <w:sz w:val="20"/>
                <w:szCs w:val="20"/>
                <w:shd w:val="clear" w:color="auto" w:fill="FFFFFF"/>
              </w:rPr>
              <w:t>menționate</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3c </w:t>
            </w:r>
            <w:proofErr w:type="spellStart"/>
            <w:r w:rsidRPr="00786833">
              <w:rPr>
                <w:rFonts w:ascii="Times New Roman" w:eastAsia="Arial Unicode MS" w:hAnsi="Times New Roman"/>
                <w:color w:val="000000" w:themeColor="text1"/>
                <w:sz w:val="20"/>
                <w:szCs w:val="20"/>
                <w:shd w:val="clear" w:color="auto" w:fill="FFFFFF"/>
              </w:rPr>
              <w:t>alineatul</w:t>
            </w:r>
            <w:proofErr w:type="spellEnd"/>
            <w:r w:rsidRPr="00786833">
              <w:rPr>
                <w:rFonts w:ascii="Times New Roman" w:eastAsia="Arial Unicode MS" w:hAnsi="Times New Roman"/>
                <w:color w:val="000000" w:themeColor="text1"/>
                <w:sz w:val="20"/>
                <w:szCs w:val="20"/>
                <w:shd w:val="clear" w:color="auto" w:fill="FFFFFF"/>
              </w:rPr>
              <w:t xml:space="preserve"> (6) și la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10a </w:t>
            </w:r>
            <w:proofErr w:type="spellStart"/>
            <w:r w:rsidRPr="00786833">
              <w:rPr>
                <w:rFonts w:ascii="Times New Roman" w:eastAsia="Arial Unicode MS" w:hAnsi="Times New Roman"/>
                <w:color w:val="000000" w:themeColor="text1"/>
                <w:sz w:val="20"/>
                <w:szCs w:val="20"/>
                <w:shd w:val="clear" w:color="auto" w:fill="FFFFFF"/>
              </w:rPr>
              <w:t>alineatul</w:t>
            </w:r>
            <w:proofErr w:type="spellEnd"/>
            <w:r w:rsidRPr="00786833">
              <w:rPr>
                <w:rFonts w:ascii="Times New Roman" w:eastAsia="Arial Unicode MS" w:hAnsi="Times New Roman"/>
                <w:color w:val="000000" w:themeColor="text1"/>
                <w:sz w:val="20"/>
                <w:szCs w:val="20"/>
                <w:shd w:val="clear" w:color="auto" w:fill="FFFFFF"/>
              </w:rPr>
              <w:t xml:space="preserve"> (8) al </w:t>
            </w:r>
            <w:proofErr w:type="spellStart"/>
            <w:r w:rsidRPr="00786833">
              <w:rPr>
                <w:rFonts w:ascii="Times New Roman" w:eastAsia="Arial Unicode MS" w:hAnsi="Times New Roman"/>
                <w:color w:val="000000" w:themeColor="text1"/>
                <w:sz w:val="20"/>
                <w:szCs w:val="20"/>
                <w:shd w:val="clear" w:color="auto" w:fill="FFFFFF"/>
              </w:rPr>
              <w:t>patrulea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paragraf</w:t>
            </w:r>
            <w:proofErr w:type="spellEnd"/>
            <w:r w:rsidRPr="00786833">
              <w:rPr>
                <w:rFonts w:ascii="Times New Roman" w:eastAsia="Arial Unicode MS" w:hAnsi="Times New Roman"/>
                <w:color w:val="000000" w:themeColor="text1"/>
                <w:sz w:val="20"/>
                <w:szCs w:val="20"/>
                <w:shd w:val="clear" w:color="auto" w:fill="FFFFFF"/>
              </w:rPr>
              <w:t>.</w:t>
            </w:r>
          </w:p>
          <w:p w14:paraId="2151E46B"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54" w:tooltip="32023L0958: INSERTED" w:history="1">
              <w:r>
                <w:rPr>
                  <w:rStyle w:val="af3"/>
                  <w:rFonts w:ascii="Times New Roman" w:eastAsia="Arial Unicode MS" w:hAnsi="Times New Roman"/>
                  <w:b/>
                  <w:bCs/>
                  <w:color w:val="4472C4" w:themeColor="accent1"/>
                  <w:sz w:val="20"/>
                  <w:szCs w:val="20"/>
                </w:rPr>
                <w:t>▼M14</w:t>
              </w:r>
            </w:hyperlink>
          </w:p>
          <w:p w14:paraId="5DB49B23" w14:textId="4C261EA3" w:rsidR="00124364" w:rsidRPr="00786833" w:rsidRDefault="00000000" w:rsidP="00786833">
            <w:pPr>
              <w:pStyle w:val="af8"/>
              <w:numPr>
                <w:ilvl w:val="0"/>
                <w:numId w:val="21"/>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786833">
              <w:rPr>
                <w:rFonts w:ascii="Times New Roman" w:eastAsia="Arial Unicode MS" w:hAnsi="Times New Roman"/>
                <w:color w:val="000000" w:themeColor="text1"/>
                <w:sz w:val="20"/>
                <w:szCs w:val="20"/>
                <w:shd w:val="clear" w:color="auto" w:fill="FFFFFF"/>
              </w:rPr>
              <w:t>Certificatele</w:t>
            </w:r>
            <w:proofErr w:type="spellEnd"/>
            <w:r w:rsidRPr="00786833">
              <w:rPr>
                <w:rFonts w:ascii="Times New Roman" w:eastAsia="Arial Unicode MS" w:hAnsi="Times New Roman"/>
                <w:color w:val="000000" w:themeColor="text1"/>
                <w:sz w:val="20"/>
                <w:szCs w:val="20"/>
                <w:shd w:val="clear" w:color="auto" w:fill="FFFFFF"/>
              </w:rPr>
              <w:t xml:space="preserve"> care sunt </w:t>
            </w:r>
            <w:proofErr w:type="spellStart"/>
            <w:r w:rsidRPr="00786833">
              <w:rPr>
                <w:rFonts w:ascii="Times New Roman" w:eastAsia="Arial Unicode MS" w:hAnsi="Times New Roman"/>
                <w:color w:val="000000" w:themeColor="text1"/>
                <w:sz w:val="20"/>
                <w:szCs w:val="20"/>
                <w:shd w:val="clear" w:color="auto" w:fill="FFFFFF"/>
              </w:rPr>
              <w:t>alocate</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titlu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gratuit</w:t>
            </w:r>
            <w:proofErr w:type="spellEnd"/>
            <w:r w:rsidRPr="00786833">
              <w:rPr>
                <w:rFonts w:ascii="Times New Roman" w:eastAsia="Arial Unicode MS" w:hAnsi="Times New Roman"/>
                <w:color w:val="000000" w:themeColor="text1"/>
                <w:sz w:val="20"/>
                <w:szCs w:val="20"/>
                <w:shd w:val="clear" w:color="auto" w:fill="FFFFFF"/>
              </w:rPr>
              <w:t xml:space="preserve"> se </w:t>
            </w:r>
            <w:proofErr w:type="spellStart"/>
            <w:r w:rsidRPr="00786833">
              <w:rPr>
                <w:rFonts w:ascii="Times New Roman" w:eastAsia="Arial Unicode MS" w:hAnsi="Times New Roman"/>
                <w:color w:val="000000" w:themeColor="text1"/>
                <w:sz w:val="20"/>
                <w:szCs w:val="20"/>
                <w:shd w:val="clear" w:color="auto" w:fill="FFFFFF"/>
              </w:rPr>
              <w:t>alocă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operatorilor</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aeronave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proporțional</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cota</w:t>
            </w:r>
            <w:proofErr w:type="spellEnd"/>
            <w:r w:rsidRPr="00786833">
              <w:rPr>
                <w:rFonts w:ascii="Times New Roman" w:eastAsia="Arial Unicode MS" w:hAnsi="Times New Roman"/>
                <w:color w:val="000000" w:themeColor="text1"/>
                <w:sz w:val="20"/>
                <w:szCs w:val="20"/>
                <w:shd w:val="clear" w:color="auto" w:fill="FFFFFF"/>
              </w:rPr>
              <w:t xml:space="preserve"> lor de </w:t>
            </w:r>
            <w:proofErr w:type="spellStart"/>
            <w:r w:rsidRPr="00786833">
              <w:rPr>
                <w:rFonts w:ascii="Times New Roman" w:eastAsia="Arial Unicode MS" w:hAnsi="Times New Roman"/>
                <w:color w:val="000000" w:themeColor="text1"/>
                <w:sz w:val="20"/>
                <w:szCs w:val="20"/>
                <w:shd w:val="clear" w:color="auto" w:fill="FFFFFF"/>
              </w:rPr>
              <w:t>emisii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verificate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provenite</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activități</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aviație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raportate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anul 2023. </w:t>
            </w:r>
            <w:proofErr w:type="spellStart"/>
            <w:r w:rsidRPr="00786833">
              <w:rPr>
                <w:rFonts w:ascii="Times New Roman" w:eastAsia="Arial Unicode MS" w:hAnsi="Times New Roman"/>
                <w:color w:val="000000" w:themeColor="text1"/>
                <w:sz w:val="20"/>
                <w:szCs w:val="20"/>
                <w:shd w:val="clear" w:color="auto" w:fill="FFFFFF"/>
              </w:rPr>
              <w:t>Calculul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respectiv</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ține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seama</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asemenea</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emisiile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verificate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provenite</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activitățile</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aviație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raportate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ceea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privește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zborurile</w:t>
            </w:r>
            <w:proofErr w:type="spellEnd"/>
            <w:r w:rsidRPr="00786833">
              <w:rPr>
                <w:rFonts w:ascii="Times New Roman" w:eastAsia="Arial Unicode MS" w:hAnsi="Times New Roman"/>
                <w:color w:val="000000" w:themeColor="text1"/>
                <w:sz w:val="20"/>
                <w:szCs w:val="20"/>
                <w:shd w:val="clear" w:color="auto" w:fill="FFFFFF"/>
              </w:rPr>
              <w:t xml:space="preserve"> care </w:t>
            </w:r>
            <w:proofErr w:type="spellStart"/>
            <w:r w:rsidRPr="00786833">
              <w:rPr>
                <w:rFonts w:ascii="Times New Roman" w:eastAsia="Arial Unicode MS" w:hAnsi="Times New Roman"/>
                <w:color w:val="000000" w:themeColor="text1"/>
                <w:sz w:val="20"/>
                <w:szCs w:val="20"/>
                <w:shd w:val="clear" w:color="auto" w:fill="FFFFFF"/>
              </w:rPr>
              <w:t>fac</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obiectul</w:t>
            </w:r>
            <w:proofErr w:type="spellEnd"/>
            <w:r w:rsidRPr="00786833">
              <w:rPr>
                <w:rFonts w:ascii="Times New Roman" w:eastAsia="Arial Unicode MS" w:hAnsi="Times New Roman"/>
                <w:color w:val="000000" w:themeColor="text1"/>
                <w:sz w:val="20"/>
                <w:szCs w:val="20"/>
                <w:shd w:val="clear" w:color="auto" w:fill="FFFFFF"/>
              </w:rPr>
              <w:t xml:space="preserve"> EU ETS </w:t>
            </w:r>
            <w:proofErr w:type="spellStart"/>
            <w:r w:rsidRPr="00786833">
              <w:rPr>
                <w:rFonts w:ascii="Times New Roman" w:eastAsia="Arial Unicode MS" w:hAnsi="Times New Roman"/>
                <w:color w:val="000000" w:themeColor="text1"/>
                <w:sz w:val="20"/>
                <w:szCs w:val="20"/>
                <w:shd w:val="clear" w:color="auto" w:fill="FFFFFF"/>
              </w:rPr>
              <w:t>numai</w:t>
            </w:r>
            <w:proofErr w:type="spellEnd"/>
            <w:r w:rsidRPr="00786833">
              <w:rPr>
                <w:rFonts w:ascii="Times New Roman" w:eastAsia="Arial Unicode MS" w:hAnsi="Times New Roman"/>
                <w:color w:val="000000" w:themeColor="text1"/>
                <w:sz w:val="20"/>
                <w:szCs w:val="20"/>
                <w:shd w:val="clear" w:color="auto" w:fill="FFFFFF"/>
              </w:rPr>
              <w:t xml:space="preserve"> de la 1</w:t>
            </w:r>
            <w:r w:rsidR="00786833"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ianuarie</w:t>
            </w:r>
            <w:proofErr w:type="spellEnd"/>
            <w:r w:rsidRPr="00786833">
              <w:rPr>
                <w:rFonts w:ascii="Times New Roman" w:eastAsia="Arial Unicode MS" w:hAnsi="Times New Roman"/>
                <w:color w:val="000000" w:themeColor="text1"/>
                <w:sz w:val="20"/>
                <w:szCs w:val="20"/>
                <w:shd w:val="clear" w:color="auto" w:fill="FFFFFF"/>
              </w:rPr>
              <w:t xml:space="preserve"> 2024. </w:t>
            </w:r>
            <w:proofErr w:type="spellStart"/>
            <w:r w:rsidRPr="00786833">
              <w:rPr>
                <w:rFonts w:ascii="Times New Roman" w:eastAsia="Arial Unicode MS" w:hAnsi="Times New Roman"/>
                <w:color w:val="000000" w:themeColor="text1"/>
                <w:sz w:val="20"/>
                <w:szCs w:val="20"/>
                <w:shd w:val="clear" w:color="auto" w:fill="FFFFFF"/>
              </w:rPr>
              <w:t>Până</w:t>
            </w:r>
            <w:proofErr w:type="spellEnd"/>
            <w:r w:rsidRPr="00786833">
              <w:rPr>
                <w:rFonts w:ascii="Times New Roman" w:eastAsia="Arial Unicode MS" w:hAnsi="Times New Roman"/>
                <w:color w:val="000000" w:themeColor="text1"/>
                <w:sz w:val="20"/>
                <w:szCs w:val="20"/>
                <w:shd w:val="clear" w:color="auto" w:fill="FFFFFF"/>
              </w:rPr>
              <w:t xml:space="preserve"> la data de 30 </w:t>
            </w:r>
            <w:proofErr w:type="spellStart"/>
            <w:r w:rsidRPr="00786833">
              <w:rPr>
                <w:rFonts w:ascii="Times New Roman" w:eastAsia="Arial Unicode MS" w:hAnsi="Times New Roman"/>
                <w:color w:val="000000" w:themeColor="text1"/>
                <w:sz w:val="20"/>
                <w:szCs w:val="20"/>
                <w:shd w:val="clear" w:color="auto" w:fill="FFFFFF"/>
              </w:rPr>
              <w:t>iunie</w:t>
            </w:r>
            <w:proofErr w:type="spellEnd"/>
            <w:r w:rsidRPr="00786833">
              <w:rPr>
                <w:rFonts w:ascii="Times New Roman" w:eastAsia="Arial Unicode MS" w:hAnsi="Times New Roman"/>
                <w:color w:val="000000" w:themeColor="text1"/>
                <w:sz w:val="20"/>
                <w:szCs w:val="20"/>
                <w:shd w:val="clear" w:color="auto" w:fill="FFFFFF"/>
              </w:rPr>
              <w:t xml:space="preserve"> </w:t>
            </w:r>
            <w:proofErr w:type="gramStart"/>
            <w:r w:rsidRPr="00786833">
              <w:rPr>
                <w:rFonts w:ascii="Times New Roman" w:eastAsia="Arial Unicode MS" w:hAnsi="Times New Roman"/>
                <w:color w:val="000000" w:themeColor="text1"/>
                <w:sz w:val="20"/>
                <w:szCs w:val="20"/>
                <w:shd w:val="clear" w:color="auto" w:fill="FFFFFF"/>
              </w:rPr>
              <w:t>a</w:t>
            </w:r>
            <w:proofErr w:type="gram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anului</w:t>
            </w:r>
            <w:proofErr w:type="spellEnd"/>
            <w:r w:rsidRPr="00786833">
              <w:rPr>
                <w:rFonts w:ascii="Times New Roman" w:eastAsia="Arial Unicode MS" w:hAnsi="Times New Roman"/>
                <w:color w:val="000000" w:themeColor="text1"/>
                <w:sz w:val="20"/>
                <w:szCs w:val="20"/>
                <w:shd w:val="clear" w:color="auto" w:fill="FFFFFF"/>
              </w:rPr>
              <w:t xml:space="preserve"> relevant, </w:t>
            </w:r>
            <w:proofErr w:type="spellStart"/>
            <w:r w:rsidRPr="00786833">
              <w:rPr>
                <w:rFonts w:ascii="Times New Roman" w:eastAsia="Arial Unicode MS" w:hAnsi="Times New Roman"/>
                <w:color w:val="000000" w:themeColor="text1"/>
                <w:sz w:val="20"/>
                <w:szCs w:val="20"/>
                <w:shd w:val="clear" w:color="auto" w:fill="FFFFFF"/>
              </w:rPr>
              <w:t>autoritățile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competente</w:t>
            </w:r>
            <w:proofErr w:type="spellEnd"/>
            <w:r w:rsidRPr="00786833">
              <w:rPr>
                <w:rFonts w:ascii="Times New Roman" w:eastAsia="Arial Unicode MS" w:hAnsi="Times New Roman"/>
                <w:color w:val="000000" w:themeColor="text1"/>
                <w:sz w:val="20"/>
                <w:szCs w:val="20"/>
                <w:shd w:val="clear" w:color="auto" w:fill="FFFFFF"/>
              </w:rPr>
              <w:t xml:space="preserve"> emit </w:t>
            </w:r>
            <w:proofErr w:type="spellStart"/>
            <w:r w:rsidRPr="00786833">
              <w:rPr>
                <w:rFonts w:ascii="Times New Roman" w:eastAsia="Arial Unicode MS" w:hAnsi="Times New Roman"/>
                <w:color w:val="000000" w:themeColor="text1"/>
                <w:sz w:val="20"/>
                <w:szCs w:val="20"/>
                <w:shd w:val="clear" w:color="auto" w:fill="FFFFFF"/>
              </w:rPr>
              <w:t>certificatele</w:t>
            </w:r>
            <w:proofErr w:type="spellEnd"/>
            <w:r w:rsidRPr="00786833">
              <w:rPr>
                <w:rFonts w:ascii="Times New Roman" w:eastAsia="Arial Unicode MS" w:hAnsi="Times New Roman"/>
                <w:color w:val="000000" w:themeColor="text1"/>
                <w:sz w:val="20"/>
                <w:szCs w:val="20"/>
                <w:shd w:val="clear" w:color="auto" w:fill="FFFFFF"/>
              </w:rPr>
              <w:t xml:space="preserve"> care sunt </w:t>
            </w:r>
            <w:proofErr w:type="spellStart"/>
            <w:r w:rsidRPr="00786833">
              <w:rPr>
                <w:rFonts w:ascii="Times New Roman" w:eastAsia="Arial Unicode MS" w:hAnsi="Times New Roman"/>
                <w:color w:val="000000" w:themeColor="text1"/>
                <w:sz w:val="20"/>
                <w:szCs w:val="20"/>
                <w:shd w:val="clear" w:color="auto" w:fill="FFFFFF"/>
              </w:rPr>
              <w:t>alocate</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titlu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gratuit</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anul </w:t>
            </w:r>
            <w:proofErr w:type="spellStart"/>
            <w:r w:rsidRPr="00786833">
              <w:rPr>
                <w:rFonts w:ascii="Times New Roman" w:eastAsia="Arial Unicode MS" w:hAnsi="Times New Roman"/>
                <w:color w:val="000000" w:themeColor="text1"/>
                <w:sz w:val="20"/>
                <w:szCs w:val="20"/>
                <w:shd w:val="clear" w:color="auto" w:fill="FFFFFF"/>
              </w:rPr>
              <w:t>respectiv</w:t>
            </w:r>
            <w:proofErr w:type="spellEnd"/>
            <w:r w:rsidRPr="00786833">
              <w:rPr>
                <w:rFonts w:ascii="Times New Roman" w:eastAsia="Arial Unicode MS" w:hAnsi="Times New Roman"/>
                <w:color w:val="000000" w:themeColor="text1"/>
                <w:sz w:val="20"/>
                <w:szCs w:val="20"/>
                <w:shd w:val="clear" w:color="auto" w:fill="FFFFFF"/>
              </w:rPr>
              <w:t>.</w:t>
            </w:r>
          </w:p>
          <w:p w14:paraId="74B06561" w14:textId="77777777" w:rsidR="00124364" w:rsidRDefault="00000000">
            <w:pPr>
              <w:pStyle w:val="af8"/>
              <w:suppressAutoHyphens w:val="0"/>
              <w:autoSpaceDN/>
              <w:spacing w:after="0" w:line="240" w:lineRule="auto"/>
              <w:textAlignment w:val="auto"/>
              <w:rPr>
                <w:rFonts w:ascii="Arial Unicode MS" w:eastAsia="Arial Unicode MS" w:hAnsi="Arial Unicode MS" w:cs="Arial Unicode MS"/>
                <w:b/>
                <w:bCs/>
                <w:color w:val="333333"/>
                <w:sz w:val="21"/>
                <w:szCs w:val="21"/>
                <w:shd w:val="clear" w:color="auto" w:fill="FFFFFF"/>
              </w:rPr>
            </w:pPr>
            <w:hyperlink r:id="rId55" w:tooltip="32023L0958: DELETED" w:history="1">
              <w:r>
                <w:rPr>
                  <w:rStyle w:val="af3"/>
                  <w:rFonts w:ascii="Times New Roman" w:eastAsia="Arial Unicode MS" w:hAnsi="Times New Roman"/>
                  <w:b/>
                  <w:bCs/>
                  <w:color w:val="4472C4" w:themeColor="accent1"/>
                  <w:sz w:val="20"/>
                  <w:szCs w:val="20"/>
                </w:rPr>
                <w:t>▼M14</w:t>
              </w:r>
            </w:hyperlink>
            <w:r>
              <w:rPr>
                <w:rFonts w:ascii="Arial Unicode MS" w:eastAsia="Arial Unicode MS" w:hAnsi="Arial Unicode MS" w:cs="Arial Unicode MS" w:hint="eastAsia"/>
                <w:b/>
                <w:bCs/>
                <w:color w:val="333333"/>
                <w:sz w:val="21"/>
                <w:szCs w:val="21"/>
                <w:shd w:val="clear" w:color="auto" w:fill="FFFFFF"/>
              </w:rPr>
              <w:t> —————</w:t>
            </w:r>
          </w:p>
          <w:p w14:paraId="2E2E2802"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56" w:tooltip="32023L0958: REPLACED" w:history="1">
              <w:r>
                <w:rPr>
                  <w:rStyle w:val="af3"/>
                  <w:rFonts w:ascii="Times New Roman" w:eastAsia="Arial Unicode MS" w:hAnsi="Times New Roman"/>
                  <w:b/>
                  <w:bCs/>
                  <w:color w:val="4472C4" w:themeColor="accent1"/>
                  <w:sz w:val="20"/>
                  <w:szCs w:val="20"/>
                </w:rPr>
                <w:t>▼M14</w:t>
              </w:r>
            </w:hyperlink>
          </w:p>
          <w:p w14:paraId="3BC1B29D" w14:textId="1A83281D" w:rsidR="00124364" w:rsidRPr="00786833" w:rsidRDefault="00000000" w:rsidP="00786833">
            <w:pPr>
              <w:pStyle w:val="af8"/>
              <w:numPr>
                <w:ilvl w:val="0"/>
                <w:numId w:val="22"/>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786833">
              <w:rPr>
                <w:rFonts w:ascii="Times New Roman" w:eastAsia="Arial Unicode MS" w:hAnsi="Times New Roman"/>
                <w:color w:val="000000" w:themeColor="text1"/>
                <w:sz w:val="20"/>
                <w:szCs w:val="20"/>
                <w:shd w:val="clear" w:color="auto" w:fill="FFFFFF"/>
              </w:rPr>
              <w:t>Comisia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este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împuternicită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adopte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acte</w:t>
            </w:r>
            <w:proofErr w:type="spellEnd"/>
            <w:r w:rsidRPr="00786833">
              <w:rPr>
                <w:rFonts w:ascii="Times New Roman" w:eastAsia="Arial Unicode MS" w:hAnsi="Times New Roman"/>
                <w:color w:val="000000" w:themeColor="text1"/>
                <w:sz w:val="20"/>
                <w:szCs w:val="20"/>
                <w:shd w:val="clear" w:color="auto" w:fill="FFFFFF"/>
              </w:rPr>
              <w:t xml:space="preserve"> delegate în conformitate cu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23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a </w:t>
            </w:r>
            <w:proofErr w:type="spellStart"/>
            <w:r w:rsidRPr="00786833">
              <w:rPr>
                <w:rFonts w:ascii="Times New Roman" w:eastAsia="Arial Unicode MS" w:hAnsi="Times New Roman"/>
                <w:color w:val="000000" w:themeColor="text1"/>
                <w:sz w:val="20"/>
                <w:szCs w:val="20"/>
                <w:shd w:val="clear" w:color="auto" w:fill="FFFFFF"/>
              </w:rPr>
              <w:t>completa</w:t>
            </w:r>
            <w:proofErr w:type="spellEnd"/>
            <w:r w:rsidRPr="00786833">
              <w:rPr>
                <w:rFonts w:ascii="Times New Roman" w:eastAsia="Arial Unicode MS" w:hAnsi="Times New Roman"/>
                <w:color w:val="000000" w:themeColor="text1"/>
                <w:sz w:val="20"/>
                <w:szCs w:val="20"/>
                <w:shd w:val="clear" w:color="auto" w:fill="FFFFFF"/>
              </w:rPr>
              <w:t xml:space="preserve"> prezenta </w:t>
            </w:r>
            <w:proofErr w:type="spellStart"/>
            <w:r w:rsidRPr="00786833">
              <w:rPr>
                <w:rFonts w:ascii="Times New Roman" w:eastAsia="Arial Unicode MS" w:hAnsi="Times New Roman"/>
                <w:color w:val="000000" w:themeColor="text1"/>
                <w:sz w:val="20"/>
                <w:szCs w:val="20"/>
                <w:shd w:val="clear" w:color="auto" w:fill="FFFFFF"/>
              </w:rPr>
              <w:t>directivă</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ceea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privește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dispozițiile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detaliate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scoaterea</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licitație</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către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statele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membre</w:t>
            </w:r>
            <w:proofErr w:type="spellEnd"/>
            <w:r w:rsidRPr="00786833">
              <w:rPr>
                <w:rFonts w:ascii="Times New Roman" w:eastAsia="Arial Unicode MS" w:hAnsi="Times New Roman"/>
                <w:color w:val="000000" w:themeColor="text1"/>
                <w:sz w:val="20"/>
                <w:szCs w:val="20"/>
                <w:shd w:val="clear" w:color="auto" w:fill="FFFFFF"/>
              </w:rPr>
              <w:t xml:space="preserve"> a </w:t>
            </w:r>
            <w:proofErr w:type="spellStart"/>
            <w:r w:rsidRPr="00786833">
              <w:rPr>
                <w:rFonts w:ascii="Times New Roman" w:eastAsia="Arial Unicode MS" w:hAnsi="Times New Roman"/>
                <w:color w:val="000000" w:themeColor="text1"/>
                <w:sz w:val="20"/>
                <w:szCs w:val="20"/>
                <w:shd w:val="clear" w:color="auto" w:fill="FFFFFF"/>
              </w:rPr>
              <w:t>certificatelor</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aviație</w:t>
            </w:r>
            <w:proofErr w:type="spellEnd"/>
            <w:r w:rsidRPr="00786833">
              <w:rPr>
                <w:rFonts w:ascii="Times New Roman" w:eastAsia="Arial Unicode MS" w:hAnsi="Times New Roman"/>
                <w:color w:val="000000" w:themeColor="text1"/>
                <w:sz w:val="20"/>
                <w:szCs w:val="20"/>
                <w:shd w:val="clear" w:color="auto" w:fill="FFFFFF"/>
              </w:rPr>
              <w:t xml:space="preserve"> în conformitate cu </w:t>
            </w:r>
            <w:proofErr w:type="spellStart"/>
            <w:r w:rsidRPr="00786833">
              <w:rPr>
                <w:rFonts w:ascii="Times New Roman" w:eastAsia="Arial Unicode MS" w:hAnsi="Times New Roman"/>
                <w:color w:val="000000" w:themeColor="text1"/>
                <w:sz w:val="20"/>
                <w:szCs w:val="20"/>
                <w:shd w:val="clear" w:color="auto" w:fill="FFFFFF"/>
              </w:rPr>
              <w:t>alineatele</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(1) și</w:t>
            </w:r>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(1a) de la </w:t>
            </w:r>
            <w:proofErr w:type="spellStart"/>
            <w:r w:rsidRPr="00786833">
              <w:rPr>
                <w:rFonts w:ascii="Times New Roman" w:eastAsia="Arial Unicode MS" w:hAnsi="Times New Roman"/>
                <w:color w:val="000000" w:themeColor="text1"/>
                <w:sz w:val="20"/>
                <w:szCs w:val="20"/>
                <w:shd w:val="clear" w:color="auto" w:fill="FFFFFF"/>
              </w:rPr>
              <w:t>prezentul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articol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inclusiv</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ceea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privește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dispozițiile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detaliate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licitare</w:t>
            </w:r>
            <w:proofErr w:type="spellEnd"/>
            <w:r w:rsidRPr="00786833">
              <w:rPr>
                <w:rFonts w:ascii="Times New Roman" w:eastAsia="Arial Unicode MS" w:hAnsi="Times New Roman"/>
                <w:color w:val="000000" w:themeColor="text1"/>
                <w:sz w:val="20"/>
                <w:szCs w:val="20"/>
                <w:shd w:val="clear" w:color="auto" w:fill="FFFFFF"/>
              </w:rPr>
              <w:t xml:space="preserve"> care sunt </w:t>
            </w:r>
            <w:proofErr w:type="spellStart"/>
            <w:r w:rsidRPr="00786833">
              <w:rPr>
                <w:rFonts w:ascii="Times New Roman" w:eastAsia="Arial Unicode MS" w:hAnsi="Times New Roman"/>
                <w:color w:val="000000" w:themeColor="text1"/>
                <w:sz w:val="20"/>
                <w:szCs w:val="20"/>
                <w:shd w:val="clear" w:color="auto" w:fill="FFFFFF"/>
              </w:rPr>
              <w:t>necesare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transferul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unei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părți</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veniturile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provenite</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licitarea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respectivă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către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bugetul</w:t>
            </w:r>
            <w:proofErr w:type="spellEnd"/>
            <w:r w:rsidRPr="00786833">
              <w:rPr>
                <w:rFonts w:ascii="Times New Roman" w:eastAsia="Arial Unicode MS" w:hAnsi="Times New Roman"/>
                <w:color w:val="000000" w:themeColor="text1"/>
                <w:sz w:val="20"/>
                <w:szCs w:val="20"/>
                <w:shd w:val="clear" w:color="auto" w:fill="FFFFFF"/>
              </w:rPr>
              <w:t xml:space="preserve"> general al </w:t>
            </w:r>
            <w:proofErr w:type="spellStart"/>
            <w:r w:rsidRPr="00786833">
              <w:rPr>
                <w:rFonts w:ascii="Times New Roman" w:eastAsia="Arial Unicode MS" w:hAnsi="Times New Roman"/>
                <w:color w:val="000000" w:themeColor="text1"/>
                <w:sz w:val="20"/>
                <w:szCs w:val="20"/>
                <w:shd w:val="clear" w:color="auto" w:fill="FFFFFF"/>
              </w:rPr>
              <w:t>Uniunii</w:t>
            </w:r>
            <w:proofErr w:type="spellEnd"/>
            <w:r w:rsidRPr="00786833">
              <w:rPr>
                <w:rFonts w:ascii="Times New Roman" w:eastAsia="Arial Unicode MS" w:hAnsi="Times New Roman"/>
                <w:color w:val="000000" w:themeColor="text1"/>
                <w:sz w:val="20"/>
                <w:szCs w:val="20"/>
                <w:shd w:val="clear" w:color="auto" w:fill="FFFFFF"/>
              </w:rPr>
              <w:t xml:space="preserve"> ca </w:t>
            </w:r>
            <w:proofErr w:type="spellStart"/>
            <w:r w:rsidRPr="00786833">
              <w:rPr>
                <w:rFonts w:ascii="Times New Roman" w:eastAsia="Arial Unicode MS" w:hAnsi="Times New Roman"/>
                <w:color w:val="000000" w:themeColor="text1"/>
                <w:sz w:val="20"/>
                <w:szCs w:val="20"/>
                <w:shd w:val="clear" w:color="auto" w:fill="FFFFFF"/>
              </w:rPr>
              <w:t>resurse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proprii</w:t>
            </w:r>
            <w:proofErr w:type="spellEnd"/>
            <w:r w:rsidRPr="00786833">
              <w:rPr>
                <w:rFonts w:ascii="Times New Roman" w:eastAsia="Arial Unicode MS" w:hAnsi="Times New Roman"/>
                <w:color w:val="000000" w:themeColor="text1"/>
                <w:sz w:val="20"/>
                <w:szCs w:val="20"/>
                <w:shd w:val="clear" w:color="auto" w:fill="FFFFFF"/>
              </w:rPr>
              <w:t xml:space="preserve"> în conformitate cu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311 </w:t>
            </w:r>
            <w:r w:rsidRPr="00786833">
              <w:rPr>
                <w:rFonts w:ascii="Times New Roman" w:eastAsia="Arial Unicode MS" w:hAnsi="Times New Roman"/>
                <w:color w:val="000000" w:themeColor="text1"/>
                <w:sz w:val="20"/>
                <w:szCs w:val="20"/>
                <w:shd w:val="clear" w:color="auto" w:fill="FFFFFF"/>
              </w:rPr>
              <w:lastRenderedPageBreak/>
              <w:t xml:space="preserve">al </w:t>
            </w:r>
            <w:proofErr w:type="spellStart"/>
            <w:r w:rsidRPr="00786833">
              <w:rPr>
                <w:rFonts w:ascii="Times New Roman" w:eastAsia="Arial Unicode MS" w:hAnsi="Times New Roman"/>
                <w:color w:val="000000" w:themeColor="text1"/>
                <w:sz w:val="20"/>
                <w:szCs w:val="20"/>
                <w:shd w:val="clear" w:color="auto" w:fill="FFFFFF"/>
              </w:rPr>
              <w:t>treilea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paragraf</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Tratatul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privind</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Funcționarea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Uniunii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Europene</w:t>
            </w:r>
            <w:proofErr w:type="spellEnd"/>
            <w:r w:rsidRPr="00786833">
              <w:rPr>
                <w:rFonts w:ascii="Times New Roman" w:eastAsia="Arial Unicode MS" w:hAnsi="Times New Roman"/>
                <w:color w:val="000000" w:themeColor="text1"/>
                <w:sz w:val="20"/>
                <w:szCs w:val="20"/>
                <w:shd w:val="clear" w:color="auto" w:fill="FFFFFF"/>
              </w:rPr>
              <w:t xml:space="preserve"> (TFUE). </w:t>
            </w:r>
            <w:proofErr w:type="spellStart"/>
            <w:r w:rsidRPr="00786833">
              <w:rPr>
                <w:rFonts w:ascii="Times New Roman" w:eastAsia="Arial Unicode MS" w:hAnsi="Times New Roman"/>
                <w:color w:val="000000" w:themeColor="text1"/>
                <w:sz w:val="20"/>
                <w:szCs w:val="20"/>
                <w:shd w:val="clear" w:color="auto" w:fill="FFFFFF"/>
              </w:rPr>
              <w:t>Cantitatea</w:t>
            </w:r>
            <w:proofErr w:type="spellEnd"/>
            <w:r w:rsidRPr="00786833">
              <w:rPr>
                <w:rFonts w:ascii="Times New Roman" w:eastAsia="Arial Unicode MS" w:hAnsi="Times New Roman"/>
                <w:color w:val="000000" w:themeColor="text1"/>
                <w:sz w:val="20"/>
                <w:szCs w:val="20"/>
                <w:shd w:val="clear" w:color="auto" w:fill="FFFFFF"/>
              </w:rPr>
              <w:t xml:space="preserve"> de certificate care </w:t>
            </w:r>
            <w:proofErr w:type="spellStart"/>
            <w:r w:rsidRPr="00786833">
              <w:rPr>
                <w:rFonts w:ascii="Times New Roman" w:eastAsia="Arial Unicode MS" w:hAnsi="Times New Roman"/>
                <w:color w:val="000000" w:themeColor="text1"/>
                <w:sz w:val="20"/>
                <w:szCs w:val="20"/>
                <w:shd w:val="clear" w:color="auto" w:fill="FFFFFF"/>
              </w:rPr>
              <w:t>urmează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să</w:t>
            </w:r>
            <w:proofErr w:type="spellEnd"/>
            <w:r w:rsidRPr="00786833">
              <w:rPr>
                <w:rFonts w:ascii="Times New Roman" w:eastAsia="Arial Unicode MS" w:hAnsi="Times New Roman"/>
                <w:color w:val="000000" w:themeColor="text1"/>
                <w:sz w:val="20"/>
                <w:szCs w:val="20"/>
                <w:shd w:val="clear" w:color="auto" w:fill="FFFFFF"/>
              </w:rPr>
              <w:t xml:space="preserve"> fie </w:t>
            </w:r>
            <w:proofErr w:type="spellStart"/>
            <w:r w:rsidRPr="00786833">
              <w:rPr>
                <w:rFonts w:ascii="Times New Roman" w:eastAsia="Arial Unicode MS" w:hAnsi="Times New Roman"/>
                <w:color w:val="000000" w:themeColor="text1"/>
                <w:sz w:val="20"/>
                <w:szCs w:val="20"/>
                <w:shd w:val="clear" w:color="auto" w:fill="FFFFFF"/>
              </w:rPr>
              <w:t>scoase</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licitație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fiecare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perioadă</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către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fiecare</w:t>
            </w:r>
            <w:proofErr w:type="spellEnd"/>
            <w:r w:rsidRPr="00786833">
              <w:rPr>
                <w:rFonts w:ascii="Times New Roman" w:eastAsia="Arial Unicode MS" w:hAnsi="Times New Roman"/>
                <w:color w:val="000000" w:themeColor="text1"/>
                <w:sz w:val="20"/>
                <w:szCs w:val="20"/>
                <w:shd w:val="clear" w:color="auto" w:fill="FFFFFF"/>
              </w:rPr>
              <w:t xml:space="preserve"> stat </w:t>
            </w:r>
            <w:proofErr w:type="spellStart"/>
            <w:r w:rsidRPr="00786833">
              <w:rPr>
                <w:rFonts w:ascii="Times New Roman" w:eastAsia="Arial Unicode MS" w:hAnsi="Times New Roman"/>
                <w:color w:val="000000" w:themeColor="text1"/>
                <w:sz w:val="20"/>
                <w:szCs w:val="20"/>
                <w:shd w:val="clear" w:color="auto" w:fill="FFFFFF"/>
              </w:rPr>
              <w:t>membru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este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proporțională</w:t>
            </w:r>
            <w:proofErr w:type="spellEnd"/>
            <w:r w:rsidRPr="00786833">
              <w:rPr>
                <w:rFonts w:ascii="Times New Roman" w:eastAsia="Arial Unicode MS" w:hAnsi="Times New Roman"/>
                <w:color w:val="000000" w:themeColor="text1"/>
                <w:sz w:val="20"/>
                <w:szCs w:val="20"/>
                <w:shd w:val="clear" w:color="auto" w:fill="FFFFFF"/>
              </w:rPr>
              <w:t xml:space="preserve"> cu </w:t>
            </w:r>
            <w:proofErr w:type="spellStart"/>
            <w:r w:rsidRPr="00786833">
              <w:rPr>
                <w:rFonts w:ascii="Times New Roman" w:eastAsia="Arial Unicode MS" w:hAnsi="Times New Roman"/>
                <w:color w:val="000000" w:themeColor="text1"/>
                <w:sz w:val="20"/>
                <w:szCs w:val="20"/>
                <w:shd w:val="clear" w:color="auto" w:fill="FFFFFF"/>
              </w:rPr>
              <w:t>partea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îi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revine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statului</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cauză</w:t>
            </w:r>
            <w:proofErr w:type="spellEnd"/>
            <w:r w:rsidRPr="00786833">
              <w:rPr>
                <w:rFonts w:ascii="Times New Roman" w:eastAsia="Arial Unicode MS" w:hAnsi="Times New Roman"/>
                <w:color w:val="000000" w:themeColor="text1"/>
                <w:sz w:val="20"/>
                <w:szCs w:val="20"/>
                <w:shd w:val="clear" w:color="auto" w:fill="FFFFFF"/>
              </w:rPr>
              <w:t xml:space="preserve"> din </w:t>
            </w:r>
            <w:proofErr w:type="spellStart"/>
            <w:r w:rsidRPr="00786833">
              <w:rPr>
                <w:rFonts w:ascii="Times New Roman" w:eastAsia="Arial Unicode MS" w:hAnsi="Times New Roman"/>
                <w:color w:val="000000" w:themeColor="text1"/>
                <w:sz w:val="20"/>
                <w:szCs w:val="20"/>
                <w:shd w:val="clear" w:color="auto" w:fill="FFFFFF"/>
              </w:rPr>
              <w:t>cantitatea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totală</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emisii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atribuite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aviației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toate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statele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membre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anul de </w:t>
            </w:r>
            <w:proofErr w:type="spellStart"/>
            <w:r w:rsidRPr="00786833">
              <w:rPr>
                <w:rFonts w:ascii="Times New Roman" w:eastAsia="Arial Unicode MS" w:hAnsi="Times New Roman"/>
                <w:color w:val="000000" w:themeColor="text1"/>
                <w:sz w:val="20"/>
                <w:szCs w:val="20"/>
                <w:shd w:val="clear" w:color="auto" w:fill="FFFFFF"/>
              </w:rPr>
              <w:t>referință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raportate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temeiul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articolului</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14 </w:t>
            </w:r>
            <w:proofErr w:type="spellStart"/>
            <w:r w:rsidRPr="00786833">
              <w:rPr>
                <w:rFonts w:ascii="Times New Roman" w:eastAsia="Arial Unicode MS" w:hAnsi="Times New Roman"/>
                <w:color w:val="000000" w:themeColor="text1"/>
                <w:sz w:val="20"/>
                <w:szCs w:val="20"/>
                <w:shd w:val="clear" w:color="auto" w:fill="FFFFFF"/>
              </w:rPr>
              <w:t>alineatul</w:t>
            </w:r>
            <w:proofErr w:type="spellEnd"/>
            <w:r w:rsidRPr="00786833">
              <w:rPr>
                <w:rFonts w:ascii="Times New Roman" w:eastAsia="Arial Unicode MS" w:hAnsi="Times New Roman"/>
                <w:color w:val="000000" w:themeColor="text1"/>
                <w:sz w:val="20"/>
                <w:szCs w:val="20"/>
                <w:shd w:val="clear" w:color="auto" w:fill="FFFFFF"/>
              </w:rPr>
              <w:t xml:space="preserve"> (3) și </w:t>
            </w:r>
            <w:proofErr w:type="spellStart"/>
            <w:r w:rsidRPr="00786833">
              <w:rPr>
                <w:rFonts w:ascii="Times New Roman" w:eastAsia="Arial Unicode MS" w:hAnsi="Times New Roman"/>
                <w:color w:val="000000" w:themeColor="text1"/>
                <w:sz w:val="20"/>
                <w:szCs w:val="20"/>
                <w:shd w:val="clear" w:color="auto" w:fill="FFFFFF"/>
              </w:rPr>
              <w:t>verificate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temeiul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articolului</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15. </w:t>
            </w:r>
            <w:proofErr w:type="spellStart"/>
            <w:r w:rsidRPr="00786833">
              <w:rPr>
                <w:rFonts w:ascii="Times New Roman" w:eastAsia="Arial Unicode MS" w:hAnsi="Times New Roman"/>
                <w:color w:val="000000" w:themeColor="text1"/>
                <w:sz w:val="20"/>
                <w:szCs w:val="20"/>
                <w:shd w:val="clear" w:color="auto" w:fill="FFFFFF"/>
              </w:rPr>
              <w:t>Pentru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fiecare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perioadă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menționată</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13, anul de </w:t>
            </w:r>
            <w:proofErr w:type="spellStart"/>
            <w:r w:rsidRPr="00786833">
              <w:rPr>
                <w:rFonts w:ascii="Times New Roman" w:eastAsia="Arial Unicode MS" w:hAnsi="Times New Roman"/>
                <w:color w:val="000000" w:themeColor="text1"/>
                <w:sz w:val="20"/>
                <w:szCs w:val="20"/>
                <w:shd w:val="clear" w:color="auto" w:fill="FFFFFF"/>
              </w:rPr>
              <w:t>referință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este</w:t>
            </w:r>
            <w:proofErr w:type="spellEnd"/>
            <w:r w:rsidRPr="00786833">
              <w:rPr>
                <w:rFonts w:ascii="Times New Roman" w:eastAsia="Arial Unicode MS" w:hAnsi="Times New Roman"/>
                <w:color w:val="000000" w:themeColor="text1"/>
                <w:sz w:val="20"/>
                <w:szCs w:val="20"/>
                <w:shd w:val="clear" w:color="auto" w:fill="FFFFFF"/>
              </w:rPr>
              <w:t xml:space="preserve"> anul </w:t>
            </w:r>
            <w:proofErr w:type="spellStart"/>
            <w:r w:rsidRPr="00786833">
              <w:rPr>
                <w:rFonts w:ascii="Times New Roman" w:eastAsia="Arial Unicode MS" w:hAnsi="Times New Roman"/>
                <w:color w:val="000000" w:themeColor="text1"/>
                <w:sz w:val="20"/>
                <w:szCs w:val="20"/>
                <w:shd w:val="clear" w:color="auto" w:fill="FFFFFF"/>
              </w:rPr>
              <w:t>calendaristic</w:t>
            </w:r>
            <w:proofErr w:type="spellEnd"/>
            <w:r w:rsidRPr="00786833">
              <w:rPr>
                <w:rFonts w:ascii="Times New Roman" w:eastAsia="Arial Unicode MS" w:hAnsi="Times New Roman"/>
                <w:color w:val="000000" w:themeColor="text1"/>
                <w:sz w:val="20"/>
                <w:szCs w:val="20"/>
                <w:shd w:val="clear" w:color="auto" w:fill="FFFFFF"/>
              </w:rPr>
              <w:t xml:space="preserve"> care se </w:t>
            </w:r>
            <w:proofErr w:type="spellStart"/>
            <w:r w:rsidRPr="00786833">
              <w:rPr>
                <w:rFonts w:ascii="Times New Roman" w:eastAsia="Arial Unicode MS" w:hAnsi="Times New Roman"/>
                <w:color w:val="000000" w:themeColor="text1"/>
                <w:sz w:val="20"/>
                <w:szCs w:val="20"/>
                <w:shd w:val="clear" w:color="auto" w:fill="FFFFFF"/>
              </w:rPr>
              <w:t>încheie</w:t>
            </w:r>
            <w:proofErr w:type="spellEnd"/>
            <w:r w:rsidRPr="00786833">
              <w:rPr>
                <w:rFonts w:ascii="Times New Roman" w:eastAsia="Arial Unicode MS" w:hAnsi="Times New Roman"/>
                <w:color w:val="000000" w:themeColor="text1"/>
                <w:sz w:val="20"/>
                <w:szCs w:val="20"/>
                <w:shd w:val="clear" w:color="auto" w:fill="FFFFFF"/>
              </w:rPr>
              <w:t xml:space="preserve"> cu 24 de </w:t>
            </w:r>
            <w:proofErr w:type="spellStart"/>
            <w:r w:rsidRPr="00786833">
              <w:rPr>
                <w:rFonts w:ascii="Times New Roman" w:eastAsia="Arial Unicode MS" w:hAnsi="Times New Roman"/>
                <w:color w:val="000000" w:themeColor="text1"/>
                <w:sz w:val="20"/>
                <w:szCs w:val="20"/>
                <w:shd w:val="clear" w:color="auto" w:fill="FFFFFF"/>
              </w:rPr>
              <w:t>luni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înainte</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începerea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perioadei</w:t>
            </w:r>
            <w:proofErr w:type="spellEnd"/>
            <w:r w:rsidRPr="00786833">
              <w:rPr>
                <w:rFonts w:ascii="Times New Roman" w:eastAsia="Arial Unicode MS" w:hAnsi="Times New Roman"/>
                <w:color w:val="000000" w:themeColor="text1"/>
                <w:sz w:val="20"/>
                <w:szCs w:val="20"/>
                <w:shd w:val="clear" w:color="auto" w:fill="FFFFFF"/>
              </w:rPr>
              <w:t xml:space="preserve"> care face </w:t>
            </w:r>
            <w:proofErr w:type="spellStart"/>
            <w:r w:rsidRPr="00786833">
              <w:rPr>
                <w:rFonts w:ascii="Times New Roman" w:eastAsia="Arial Unicode MS" w:hAnsi="Times New Roman"/>
                <w:color w:val="000000" w:themeColor="text1"/>
                <w:sz w:val="20"/>
                <w:szCs w:val="20"/>
                <w:shd w:val="clear" w:color="auto" w:fill="FFFFFF"/>
              </w:rPr>
              <w:t>obiectul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licitației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Actele</w:t>
            </w:r>
            <w:proofErr w:type="spellEnd"/>
            <w:r w:rsidRPr="00786833">
              <w:rPr>
                <w:rFonts w:ascii="Times New Roman" w:eastAsia="Arial Unicode MS" w:hAnsi="Times New Roman"/>
                <w:color w:val="000000" w:themeColor="text1"/>
                <w:sz w:val="20"/>
                <w:szCs w:val="20"/>
                <w:shd w:val="clear" w:color="auto" w:fill="FFFFFF"/>
              </w:rPr>
              <w:t xml:space="preserve"> delegate </w:t>
            </w:r>
            <w:proofErr w:type="spellStart"/>
            <w:r w:rsidRPr="00786833">
              <w:rPr>
                <w:rFonts w:ascii="Times New Roman" w:eastAsia="Arial Unicode MS" w:hAnsi="Times New Roman"/>
                <w:color w:val="000000" w:themeColor="text1"/>
                <w:sz w:val="20"/>
                <w:szCs w:val="20"/>
                <w:shd w:val="clear" w:color="auto" w:fill="FFFFFF"/>
              </w:rPr>
              <w:t>asigură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principiile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stabilite</w:t>
            </w:r>
            <w:proofErr w:type="spellEnd"/>
            <w:r w:rsidRPr="00786833">
              <w:rPr>
                <w:rFonts w:ascii="Times New Roman" w:eastAsia="Arial Unicode MS" w:hAnsi="Times New Roman"/>
                <w:color w:val="000000" w:themeColor="text1"/>
                <w:sz w:val="20"/>
                <w:szCs w:val="20"/>
                <w:shd w:val="clear" w:color="auto" w:fill="FFFFFF"/>
              </w:rPr>
              <w:t xml:space="preserve"> la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10 </w:t>
            </w:r>
            <w:proofErr w:type="spellStart"/>
            <w:r w:rsidRPr="00786833">
              <w:rPr>
                <w:rFonts w:ascii="Times New Roman" w:eastAsia="Arial Unicode MS" w:hAnsi="Times New Roman"/>
                <w:color w:val="000000" w:themeColor="text1"/>
                <w:sz w:val="20"/>
                <w:szCs w:val="20"/>
                <w:shd w:val="clear" w:color="auto" w:fill="FFFFFF"/>
              </w:rPr>
              <w:t>alineatul</w:t>
            </w:r>
            <w:proofErr w:type="spellEnd"/>
            <w:r w:rsidRPr="00786833">
              <w:rPr>
                <w:rFonts w:ascii="Times New Roman" w:eastAsia="Arial Unicode MS" w:hAnsi="Times New Roman"/>
                <w:color w:val="000000" w:themeColor="text1"/>
                <w:sz w:val="20"/>
                <w:szCs w:val="20"/>
                <w:shd w:val="clear" w:color="auto" w:fill="FFFFFF"/>
              </w:rPr>
              <w:t xml:space="preserve"> (4) </w:t>
            </w:r>
            <w:proofErr w:type="spellStart"/>
            <w:r w:rsidRPr="00786833">
              <w:rPr>
                <w:rFonts w:ascii="Times New Roman" w:eastAsia="Arial Unicode MS" w:hAnsi="Times New Roman"/>
                <w:color w:val="000000" w:themeColor="text1"/>
                <w:sz w:val="20"/>
                <w:szCs w:val="20"/>
                <w:shd w:val="clear" w:color="auto" w:fill="FFFFFF"/>
              </w:rPr>
              <w:t>primul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paragraf</w:t>
            </w:r>
            <w:proofErr w:type="spellEnd"/>
            <w:r w:rsidRPr="00786833">
              <w:rPr>
                <w:rFonts w:ascii="Times New Roman" w:eastAsia="Arial Unicode MS" w:hAnsi="Times New Roman"/>
                <w:color w:val="000000" w:themeColor="text1"/>
                <w:sz w:val="20"/>
                <w:szCs w:val="20"/>
                <w:shd w:val="clear" w:color="auto" w:fill="FFFFFF"/>
              </w:rPr>
              <w:t xml:space="preserve"> sunt </w:t>
            </w:r>
            <w:proofErr w:type="spellStart"/>
            <w:r w:rsidRPr="00786833">
              <w:rPr>
                <w:rFonts w:ascii="Times New Roman" w:eastAsia="Arial Unicode MS" w:hAnsi="Times New Roman"/>
                <w:color w:val="000000" w:themeColor="text1"/>
                <w:sz w:val="20"/>
                <w:szCs w:val="20"/>
                <w:shd w:val="clear" w:color="auto" w:fill="FFFFFF"/>
              </w:rPr>
              <w:t>respectate</w:t>
            </w:r>
            <w:proofErr w:type="spellEnd"/>
            <w:r w:rsidRPr="00786833">
              <w:rPr>
                <w:rFonts w:ascii="Times New Roman" w:eastAsia="Arial Unicode MS" w:hAnsi="Times New Roman"/>
                <w:color w:val="000000" w:themeColor="text1"/>
                <w:sz w:val="20"/>
                <w:szCs w:val="20"/>
                <w:shd w:val="clear" w:color="auto" w:fill="FFFFFF"/>
              </w:rPr>
              <w:t>.</w:t>
            </w:r>
          </w:p>
          <w:p w14:paraId="10EDFB5E" w14:textId="53968238" w:rsidR="00124364" w:rsidRPr="00786833" w:rsidRDefault="00000000" w:rsidP="00786833">
            <w:pPr>
              <w:pStyle w:val="af8"/>
              <w:numPr>
                <w:ilvl w:val="0"/>
                <w:numId w:val="22"/>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786833">
              <w:rPr>
                <w:rFonts w:ascii="Times New Roman" w:eastAsia="Arial Unicode MS" w:hAnsi="Times New Roman"/>
                <w:color w:val="000000" w:themeColor="text1"/>
                <w:sz w:val="20"/>
                <w:szCs w:val="20"/>
                <w:shd w:val="clear" w:color="auto" w:fill="FFFFFF"/>
              </w:rPr>
              <w:t>Statele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membre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determină</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destinația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veniturilor</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obținute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urma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licitării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certificatelor</w:t>
            </w:r>
            <w:proofErr w:type="spellEnd"/>
            <w:r w:rsidRPr="00786833">
              <w:rPr>
                <w:rFonts w:ascii="Times New Roman" w:eastAsia="Arial Unicode MS" w:hAnsi="Times New Roman"/>
                <w:color w:val="000000" w:themeColor="text1"/>
                <w:sz w:val="20"/>
                <w:szCs w:val="20"/>
                <w:shd w:val="clear" w:color="auto" w:fill="FFFFFF"/>
              </w:rPr>
              <w:t xml:space="preserve"> de </w:t>
            </w:r>
            <w:proofErr w:type="spellStart"/>
            <w:r w:rsidRPr="00786833">
              <w:rPr>
                <w:rFonts w:ascii="Times New Roman" w:eastAsia="Arial Unicode MS" w:hAnsi="Times New Roman"/>
                <w:color w:val="000000" w:themeColor="text1"/>
                <w:sz w:val="20"/>
                <w:szCs w:val="20"/>
                <w:shd w:val="clear" w:color="auto" w:fill="FFFFFF"/>
              </w:rPr>
              <w:t>emisii</w:t>
            </w:r>
            <w:proofErr w:type="spellEnd"/>
            <w:r w:rsidRPr="00786833">
              <w:rPr>
                <w:rFonts w:ascii="Times New Roman" w:eastAsia="Arial Unicode MS" w:hAnsi="Times New Roman"/>
                <w:color w:val="000000" w:themeColor="text1"/>
                <w:sz w:val="20"/>
                <w:szCs w:val="20"/>
                <w:shd w:val="clear" w:color="auto" w:fill="FFFFFF"/>
              </w:rPr>
              <w:t xml:space="preserve"> care </w:t>
            </w:r>
            <w:proofErr w:type="spellStart"/>
            <w:r w:rsidRPr="00786833">
              <w:rPr>
                <w:rFonts w:ascii="Times New Roman" w:eastAsia="Arial Unicode MS" w:hAnsi="Times New Roman"/>
                <w:color w:val="000000" w:themeColor="text1"/>
                <w:sz w:val="20"/>
                <w:szCs w:val="20"/>
                <w:shd w:val="clear" w:color="auto" w:fill="FFFFFF"/>
              </w:rPr>
              <w:t>fac</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obiectul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prezentului</w:t>
            </w:r>
            <w:proofErr w:type="spellEnd"/>
            <w:r w:rsidRPr="00786833">
              <w:rPr>
                <w:rFonts w:ascii="Times New Roman" w:eastAsia="Arial Unicode MS" w:hAnsi="Times New Roman"/>
                <w:color w:val="000000" w:themeColor="text1"/>
                <w:sz w:val="20"/>
                <w:szCs w:val="20"/>
                <w:shd w:val="clear" w:color="auto" w:fill="FFFFFF"/>
              </w:rPr>
              <w:t xml:space="preserve"> capitol, cu </w:t>
            </w:r>
            <w:proofErr w:type="spellStart"/>
            <w:r w:rsidRPr="00786833">
              <w:rPr>
                <w:rFonts w:ascii="Times New Roman" w:eastAsia="Arial Unicode MS" w:hAnsi="Times New Roman"/>
                <w:color w:val="000000" w:themeColor="text1"/>
                <w:sz w:val="20"/>
                <w:szCs w:val="20"/>
                <w:shd w:val="clear" w:color="auto" w:fill="FFFFFF"/>
              </w:rPr>
              <w:t>excepția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veniturilor</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stabilite</w:t>
            </w:r>
            <w:proofErr w:type="spellEnd"/>
            <w:r w:rsidRPr="00786833">
              <w:rPr>
                <w:rFonts w:ascii="Times New Roman" w:eastAsia="Arial Unicode MS" w:hAnsi="Times New Roman"/>
                <w:color w:val="000000" w:themeColor="text1"/>
                <w:sz w:val="20"/>
                <w:szCs w:val="20"/>
                <w:shd w:val="clear" w:color="auto" w:fill="FFFFFF"/>
              </w:rPr>
              <w:t xml:space="preserve"> ca </w:t>
            </w:r>
            <w:proofErr w:type="spellStart"/>
            <w:r w:rsidRPr="00786833">
              <w:rPr>
                <w:rFonts w:ascii="Times New Roman" w:eastAsia="Arial Unicode MS" w:hAnsi="Times New Roman"/>
                <w:color w:val="000000" w:themeColor="text1"/>
                <w:sz w:val="20"/>
                <w:szCs w:val="20"/>
                <w:shd w:val="clear" w:color="auto" w:fill="FFFFFF"/>
              </w:rPr>
              <w:t>resurse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proprii</w:t>
            </w:r>
            <w:proofErr w:type="spellEnd"/>
            <w:r w:rsidRPr="00786833">
              <w:rPr>
                <w:rFonts w:ascii="Times New Roman" w:eastAsia="Arial Unicode MS" w:hAnsi="Times New Roman"/>
                <w:color w:val="000000" w:themeColor="text1"/>
                <w:sz w:val="20"/>
                <w:szCs w:val="20"/>
                <w:shd w:val="clear" w:color="auto" w:fill="FFFFFF"/>
              </w:rPr>
              <w:t xml:space="preserve"> în conformitate cu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311 </w:t>
            </w:r>
            <w:proofErr w:type="spellStart"/>
            <w:r w:rsidRPr="00786833">
              <w:rPr>
                <w:rFonts w:ascii="Times New Roman" w:eastAsia="Arial Unicode MS" w:hAnsi="Times New Roman"/>
                <w:color w:val="000000" w:themeColor="text1"/>
                <w:sz w:val="20"/>
                <w:szCs w:val="20"/>
                <w:shd w:val="clear" w:color="auto" w:fill="FFFFFF"/>
              </w:rPr>
              <w:t>paragraful</w:t>
            </w:r>
            <w:proofErr w:type="spellEnd"/>
            <w:r w:rsidRPr="00786833">
              <w:rPr>
                <w:rFonts w:ascii="Times New Roman" w:eastAsia="Arial Unicode MS" w:hAnsi="Times New Roman"/>
                <w:color w:val="000000" w:themeColor="text1"/>
                <w:sz w:val="20"/>
                <w:szCs w:val="20"/>
                <w:shd w:val="clear" w:color="auto" w:fill="FFFFFF"/>
              </w:rPr>
              <w:t xml:space="preserve"> al </w:t>
            </w:r>
            <w:proofErr w:type="spellStart"/>
            <w:r w:rsidRPr="00786833">
              <w:rPr>
                <w:rFonts w:ascii="Times New Roman" w:eastAsia="Arial Unicode MS" w:hAnsi="Times New Roman"/>
                <w:color w:val="000000" w:themeColor="text1"/>
                <w:sz w:val="20"/>
                <w:szCs w:val="20"/>
                <w:shd w:val="clear" w:color="auto" w:fill="FFFFFF"/>
              </w:rPr>
              <w:t>treilea</w:t>
            </w:r>
            <w:proofErr w:type="spellEnd"/>
            <w:r w:rsidRPr="00786833">
              <w:rPr>
                <w:rFonts w:ascii="Times New Roman" w:eastAsia="Arial Unicode MS" w:hAnsi="Times New Roman"/>
                <w:color w:val="000000" w:themeColor="text1"/>
                <w:sz w:val="20"/>
                <w:szCs w:val="20"/>
                <w:shd w:val="clear" w:color="auto" w:fill="FFFFFF"/>
              </w:rPr>
              <w:t xml:space="preserve"> din TFUE și </w:t>
            </w:r>
            <w:proofErr w:type="spellStart"/>
            <w:r w:rsidRPr="00786833">
              <w:rPr>
                <w:rFonts w:ascii="Times New Roman" w:eastAsia="Arial Unicode MS" w:hAnsi="Times New Roman"/>
                <w:color w:val="000000" w:themeColor="text1"/>
                <w:sz w:val="20"/>
                <w:szCs w:val="20"/>
                <w:shd w:val="clear" w:color="auto" w:fill="FFFFFF"/>
              </w:rPr>
              <w:t>incluse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bugetul</w:t>
            </w:r>
            <w:proofErr w:type="spellEnd"/>
            <w:r w:rsidRPr="00786833">
              <w:rPr>
                <w:rFonts w:ascii="Times New Roman" w:eastAsia="Arial Unicode MS" w:hAnsi="Times New Roman"/>
                <w:color w:val="000000" w:themeColor="text1"/>
                <w:sz w:val="20"/>
                <w:szCs w:val="20"/>
                <w:shd w:val="clear" w:color="auto" w:fill="FFFFFF"/>
              </w:rPr>
              <w:t xml:space="preserve"> general al </w:t>
            </w:r>
            <w:proofErr w:type="spellStart"/>
            <w:r w:rsidRPr="00786833">
              <w:rPr>
                <w:rFonts w:ascii="Times New Roman" w:eastAsia="Arial Unicode MS" w:hAnsi="Times New Roman"/>
                <w:color w:val="000000" w:themeColor="text1"/>
                <w:sz w:val="20"/>
                <w:szCs w:val="20"/>
                <w:shd w:val="clear" w:color="auto" w:fill="FFFFFF"/>
              </w:rPr>
              <w:t>Uniunii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Statele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membre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folosesc</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veniturile</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obținute</w:t>
            </w:r>
            <w:proofErr w:type="spellEnd"/>
            <w:r w:rsidRPr="00786833">
              <w:rPr>
                <w:rFonts w:ascii="Times New Roman" w:eastAsia="Arial Unicode MS" w:hAnsi="Times New Roman"/>
                <w:color w:val="000000" w:themeColor="text1"/>
                <w:sz w:val="20"/>
                <w:szCs w:val="20"/>
                <w:shd w:val="clear" w:color="auto" w:fill="FFFFFF"/>
              </w:rPr>
              <w:t xml:space="preserve"> în </w:t>
            </w:r>
            <w:proofErr w:type="spellStart"/>
            <w:r w:rsidRPr="00786833">
              <w:rPr>
                <w:rFonts w:ascii="Times New Roman" w:eastAsia="Arial Unicode MS" w:hAnsi="Times New Roman"/>
                <w:color w:val="000000" w:themeColor="text1"/>
                <w:sz w:val="20"/>
                <w:szCs w:val="20"/>
                <w:shd w:val="clear" w:color="auto" w:fill="FFFFFF"/>
              </w:rPr>
              <w:t>urma</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licitării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certificatelor</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sau</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echivalentul</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valorii</w:t>
            </w:r>
            <w:proofErr w:type="spellEnd"/>
            <w:r w:rsidRPr="00786833">
              <w:rPr>
                <w:rFonts w:ascii="Times New Roman" w:eastAsia="Arial Unicode MS" w:hAnsi="Times New Roman"/>
                <w:color w:val="000000" w:themeColor="text1"/>
                <w:sz w:val="20"/>
                <w:szCs w:val="20"/>
                <w:shd w:val="clear" w:color="auto" w:fill="FFFFFF"/>
              </w:rPr>
              <w:t xml:space="preserve"> </w:t>
            </w:r>
            <w:proofErr w:type="spellStart"/>
            <w:r w:rsidRPr="00786833">
              <w:rPr>
                <w:rFonts w:ascii="Times New Roman" w:eastAsia="Arial Unicode MS" w:hAnsi="Times New Roman"/>
                <w:color w:val="000000" w:themeColor="text1"/>
                <w:sz w:val="20"/>
                <w:szCs w:val="20"/>
                <w:shd w:val="clear" w:color="auto" w:fill="FFFFFF"/>
              </w:rPr>
              <w:t>financiare</w:t>
            </w:r>
            <w:proofErr w:type="spellEnd"/>
            <w:r w:rsidRPr="00786833">
              <w:rPr>
                <w:rFonts w:ascii="Times New Roman" w:eastAsia="Arial Unicode MS" w:hAnsi="Times New Roman"/>
                <w:color w:val="000000" w:themeColor="text1"/>
                <w:sz w:val="20"/>
                <w:szCs w:val="20"/>
                <w:shd w:val="clear" w:color="auto" w:fill="FFFFFF"/>
              </w:rPr>
              <w:t xml:space="preserve"> a </w:t>
            </w:r>
            <w:proofErr w:type="spellStart"/>
            <w:r w:rsidRPr="00786833">
              <w:rPr>
                <w:rFonts w:ascii="Times New Roman" w:eastAsia="Arial Unicode MS" w:hAnsi="Times New Roman"/>
                <w:color w:val="000000" w:themeColor="text1"/>
                <w:sz w:val="20"/>
                <w:szCs w:val="20"/>
                <w:shd w:val="clear" w:color="auto" w:fill="FFFFFF"/>
              </w:rPr>
              <w:t>veniturilor</w:t>
            </w:r>
            <w:proofErr w:type="spellEnd"/>
            <w:r w:rsidRPr="00786833">
              <w:rPr>
                <w:rFonts w:ascii="Times New Roman" w:eastAsia="Arial Unicode MS" w:hAnsi="Times New Roman"/>
                <w:color w:val="000000" w:themeColor="text1"/>
                <w:sz w:val="20"/>
                <w:szCs w:val="20"/>
                <w:shd w:val="clear" w:color="auto" w:fill="FFFFFF"/>
              </w:rPr>
              <w:t xml:space="preserve"> respective în conformitate cu </w:t>
            </w:r>
            <w:proofErr w:type="spellStart"/>
            <w:r w:rsidRPr="00786833">
              <w:rPr>
                <w:rFonts w:ascii="Times New Roman" w:eastAsia="Arial Unicode MS" w:hAnsi="Times New Roman"/>
                <w:color w:val="000000" w:themeColor="text1"/>
                <w:sz w:val="20"/>
                <w:szCs w:val="20"/>
                <w:shd w:val="clear" w:color="auto" w:fill="FFFFFF"/>
              </w:rPr>
              <w:t>articolul</w:t>
            </w:r>
            <w:proofErr w:type="spellEnd"/>
            <w:r w:rsidR="00786833" w:rsidRPr="00786833">
              <w:rPr>
                <w:rFonts w:ascii="Times New Roman" w:eastAsia="Arial Unicode MS" w:hAnsi="Times New Roman"/>
                <w:color w:val="000000" w:themeColor="text1"/>
                <w:sz w:val="20"/>
                <w:szCs w:val="20"/>
                <w:shd w:val="clear" w:color="auto" w:fill="FFFFFF"/>
              </w:rPr>
              <w:t xml:space="preserve"> </w:t>
            </w:r>
            <w:r w:rsidRPr="00786833">
              <w:rPr>
                <w:rFonts w:ascii="Times New Roman" w:eastAsia="Arial Unicode MS" w:hAnsi="Times New Roman"/>
                <w:color w:val="000000" w:themeColor="text1"/>
                <w:sz w:val="20"/>
                <w:szCs w:val="20"/>
                <w:shd w:val="clear" w:color="auto" w:fill="FFFFFF"/>
              </w:rPr>
              <w:t xml:space="preserve">10 </w:t>
            </w:r>
            <w:proofErr w:type="spellStart"/>
            <w:r w:rsidRPr="00786833">
              <w:rPr>
                <w:rFonts w:ascii="Times New Roman" w:eastAsia="Arial Unicode MS" w:hAnsi="Times New Roman"/>
                <w:color w:val="000000" w:themeColor="text1"/>
                <w:sz w:val="20"/>
                <w:szCs w:val="20"/>
                <w:shd w:val="clear" w:color="auto" w:fill="FFFFFF"/>
              </w:rPr>
              <w:t>alineatul</w:t>
            </w:r>
            <w:proofErr w:type="spellEnd"/>
            <w:r w:rsidRPr="00786833">
              <w:rPr>
                <w:rFonts w:ascii="Times New Roman" w:eastAsia="Arial Unicode MS" w:hAnsi="Times New Roman"/>
                <w:color w:val="000000" w:themeColor="text1"/>
                <w:sz w:val="20"/>
                <w:szCs w:val="20"/>
                <w:shd w:val="clear" w:color="auto" w:fill="FFFFFF"/>
              </w:rPr>
              <w:t xml:space="preserve"> (3) din prezenta </w:t>
            </w:r>
            <w:proofErr w:type="spellStart"/>
            <w:r w:rsidRPr="00786833">
              <w:rPr>
                <w:rFonts w:ascii="Times New Roman" w:eastAsia="Arial Unicode MS" w:hAnsi="Times New Roman"/>
                <w:color w:val="000000" w:themeColor="text1"/>
                <w:sz w:val="20"/>
                <w:szCs w:val="20"/>
                <w:shd w:val="clear" w:color="auto" w:fill="FFFFFF"/>
              </w:rPr>
              <w:t>directivă</w:t>
            </w:r>
            <w:proofErr w:type="spellEnd"/>
            <w:r w:rsidRPr="00786833">
              <w:rPr>
                <w:rFonts w:ascii="Times New Roman" w:eastAsia="Arial Unicode MS" w:hAnsi="Times New Roman"/>
                <w:color w:val="000000" w:themeColor="text1"/>
                <w:sz w:val="20"/>
                <w:szCs w:val="20"/>
                <w:shd w:val="clear" w:color="auto" w:fill="FFFFFF"/>
              </w:rPr>
              <w:t>.</w:t>
            </w:r>
          </w:p>
          <w:p w14:paraId="14D0FFD2"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57" w:tooltip="32008L0101R(04): REPLACED" w:history="1">
              <w:r>
                <w:rPr>
                  <w:rStyle w:val="af3"/>
                  <w:rFonts w:ascii="Times New Roman" w:eastAsia="Arial Unicode MS" w:hAnsi="Times New Roman"/>
                  <w:b/>
                  <w:bCs/>
                  <w:color w:val="4472C4" w:themeColor="accent1"/>
                  <w:sz w:val="20"/>
                  <w:szCs w:val="20"/>
                </w:rPr>
                <w:t>▼C4</w:t>
              </w:r>
            </w:hyperlink>
          </w:p>
          <w:p w14:paraId="30F2D762" w14:textId="78CCBB93" w:rsidR="00124364" w:rsidRDefault="00000000">
            <w:pPr>
              <w:pStyle w:val="af8"/>
              <w:numPr>
                <w:ilvl w:val="0"/>
                <w:numId w:val="23"/>
              </w:numPr>
              <w:suppressAutoHyphens w:val="0"/>
              <w:autoSpaceDN/>
              <w:spacing w:after="0" w:line="240" w:lineRule="auto"/>
              <w:textAlignment w:val="auto"/>
              <w:rPr>
                <w:rFonts w:ascii="Times New Roman" w:hAnsi="Times New Roman"/>
                <w:sz w:val="20"/>
                <w:szCs w:val="20"/>
                <w:lang w:val="en-US"/>
              </w:rPr>
            </w:pPr>
            <w:proofErr w:type="spellStart"/>
            <w:r>
              <w:rPr>
                <w:rFonts w:ascii="Times New Roman" w:eastAsia="Arial Unicode MS" w:hAnsi="Times New Roman"/>
                <w:color w:val="333333"/>
                <w:sz w:val="20"/>
                <w:szCs w:val="20"/>
              </w:rPr>
              <w:t>Informațiile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furnizate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Comisiei</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temeiul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prezentei</w:t>
            </w:r>
            <w:proofErr w:type="spellEnd"/>
            <w:r>
              <w:rPr>
                <w:rFonts w:ascii="Times New Roman" w:eastAsia="Arial Unicode MS" w:hAnsi="Times New Roman"/>
                <w:color w:val="333333"/>
                <w:sz w:val="20"/>
                <w:szCs w:val="20"/>
              </w:rPr>
              <w:t xml:space="preserve"> directive nu </w:t>
            </w:r>
            <w:proofErr w:type="spellStart"/>
            <w:r>
              <w:rPr>
                <w:rFonts w:ascii="Times New Roman" w:eastAsia="Arial Unicode MS" w:hAnsi="Times New Roman"/>
                <w:color w:val="333333"/>
                <w:sz w:val="20"/>
                <w:szCs w:val="20"/>
              </w:rPr>
              <w:t>exonerează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statele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obligația</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notificare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prevăzută</w:t>
            </w:r>
            <w:proofErr w:type="spellEnd"/>
            <w:r>
              <w:rPr>
                <w:rFonts w:ascii="Times New Roman" w:eastAsia="Arial Unicode MS" w:hAnsi="Times New Roman"/>
                <w:color w:val="333333"/>
                <w:sz w:val="20"/>
                <w:szCs w:val="20"/>
              </w:rPr>
              <w:t xml:space="preserve"> la </w:t>
            </w:r>
            <w:proofErr w:type="spellStart"/>
            <w:r>
              <w:rPr>
                <w:rFonts w:ascii="Times New Roman" w:eastAsia="Arial Unicode MS" w:hAnsi="Times New Roman"/>
                <w:color w:val="333333"/>
                <w:sz w:val="20"/>
                <w:szCs w:val="20"/>
              </w:rPr>
              <w:t>articolul</w:t>
            </w:r>
            <w:proofErr w:type="spellEnd"/>
            <w:r w:rsidR="00786833">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88 </w:t>
            </w:r>
            <w:proofErr w:type="spellStart"/>
            <w:r>
              <w:rPr>
                <w:rFonts w:ascii="Times New Roman" w:eastAsia="Arial Unicode MS" w:hAnsi="Times New Roman"/>
                <w:color w:val="333333"/>
                <w:sz w:val="20"/>
                <w:szCs w:val="20"/>
              </w:rPr>
              <w:t>alineatul</w:t>
            </w:r>
            <w:proofErr w:type="spellEnd"/>
            <w:r>
              <w:rPr>
                <w:rFonts w:ascii="Times New Roman" w:eastAsia="Arial Unicode MS" w:hAnsi="Times New Roman"/>
                <w:color w:val="333333"/>
                <w:sz w:val="20"/>
                <w:szCs w:val="20"/>
              </w:rPr>
              <w:t xml:space="preserve"> (3) din </w:t>
            </w:r>
            <w:proofErr w:type="spellStart"/>
            <w:r>
              <w:rPr>
                <w:rFonts w:ascii="Times New Roman" w:eastAsia="Arial Unicode MS" w:hAnsi="Times New Roman"/>
                <w:color w:val="333333"/>
                <w:sz w:val="20"/>
                <w:szCs w:val="20"/>
              </w:rPr>
              <w:t>tratat</w:t>
            </w:r>
            <w:proofErr w:type="spellEnd"/>
            <w:r>
              <w:rPr>
                <w:rFonts w:ascii="Times New Roman" w:eastAsia="Arial Unicode MS" w:hAnsi="Times New Roman"/>
                <w:color w:val="333333"/>
                <w:sz w:val="20"/>
                <w:szCs w:val="20"/>
              </w:rPr>
              <w:t>.</w:t>
            </w:r>
          </w:p>
          <w:p w14:paraId="6F3D9800" w14:textId="59A36C86" w:rsidR="00124364" w:rsidRDefault="00000000">
            <w:pPr>
              <w:pStyle w:val="af8"/>
              <w:suppressAutoHyphens w:val="0"/>
              <w:autoSpaceDN/>
              <w:spacing w:after="0" w:line="240" w:lineRule="auto"/>
              <w:textAlignment w:val="auto"/>
              <w:rPr>
                <w:rFonts w:ascii="Arial Unicode MS" w:eastAsia="Arial Unicode MS" w:hAnsi="Arial Unicode MS" w:cs="Arial Unicode MS"/>
                <w:b/>
                <w:bCs/>
                <w:color w:val="333333"/>
                <w:sz w:val="21"/>
                <w:szCs w:val="21"/>
                <w:shd w:val="clear" w:color="auto" w:fill="FFFFFF"/>
              </w:rPr>
            </w:pPr>
            <w:hyperlink r:id="rId58" w:tooltip="32023L0958: DELETED" w:history="1">
              <w:r>
                <w:rPr>
                  <w:rStyle w:val="af3"/>
                  <w:rFonts w:ascii="Times New Roman" w:eastAsia="Arial Unicode MS" w:hAnsi="Times New Roman"/>
                  <w:b/>
                  <w:bCs/>
                  <w:color w:val="4472C4" w:themeColor="accent1"/>
                  <w:sz w:val="20"/>
                  <w:szCs w:val="20"/>
                </w:rPr>
                <w:t>▼M14</w:t>
              </w:r>
            </w:hyperlink>
            <w:r w:rsidR="00786833">
              <w:rPr>
                <w:rFonts w:ascii="Arial Unicode MS" w:eastAsia="Arial Unicode MS" w:hAnsi="Arial Unicode MS" w:cs="Arial Unicode MS"/>
                <w:b/>
                <w:bCs/>
                <w:color w:val="333333"/>
                <w:sz w:val="21"/>
                <w:szCs w:val="21"/>
                <w:shd w:val="clear" w:color="auto" w:fill="FFFFFF"/>
              </w:rPr>
              <w:t xml:space="preserve"> </w:t>
            </w:r>
            <w:r>
              <w:rPr>
                <w:rFonts w:ascii="Arial Unicode MS" w:eastAsia="Arial Unicode MS" w:hAnsi="Arial Unicode MS" w:cs="Arial Unicode MS" w:hint="eastAsia"/>
                <w:b/>
                <w:bCs/>
                <w:color w:val="333333"/>
                <w:sz w:val="21"/>
                <w:szCs w:val="21"/>
                <w:shd w:val="clear" w:color="auto" w:fill="FFFFFF"/>
              </w:rPr>
              <w:t>—————</w:t>
            </w:r>
          </w:p>
          <w:p w14:paraId="28FD2A31"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lang w:val="en-US"/>
              </w:rPr>
            </w:pPr>
            <w:hyperlink r:id="rId59" w:tooltip="32023L0959: REPLACED" w:history="1">
              <w:r>
                <w:rPr>
                  <w:rStyle w:val="af3"/>
                  <w:rFonts w:ascii="Times New Roman" w:eastAsia="Arial Unicode MS" w:hAnsi="Times New Roman"/>
                  <w:b/>
                  <w:bCs/>
                  <w:color w:val="4472C4" w:themeColor="accent1"/>
                  <w:sz w:val="20"/>
                  <w:szCs w:val="20"/>
                </w:rPr>
                <w:t>▼M15</w:t>
              </w:r>
            </w:hyperlink>
          </w:p>
        </w:tc>
        <w:tc>
          <w:tcPr>
            <w:tcW w:w="4394" w:type="dxa"/>
            <w:shd w:val="clear" w:color="auto" w:fill="auto"/>
          </w:tcPr>
          <w:p w14:paraId="13486CC0"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1255EB3" w14:textId="1475FBA6" w:rsidR="00124364" w:rsidRDefault="009B0DC5" w:rsidP="009B0DC5">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21AECB27"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FDC6DC0" w14:textId="77777777" w:rsidR="00786833" w:rsidRPr="0066519A" w:rsidRDefault="00786833" w:rsidP="00786833">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466B5716" w14:textId="77777777" w:rsidR="00786833" w:rsidRDefault="00786833" w:rsidP="00786833">
            <w:pPr>
              <w:pStyle w:val="Para"/>
              <w:tabs>
                <w:tab w:val="clear" w:pos="1361"/>
                <w:tab w:val="left" w:pos="1422"/>
              </w:tabs>
              <w:spacing w:before="60" w:after="0"/>
              <w:ind w:right="0"/>
              <w:rPr>
                <w:rFonts w:ascii="Times New Roman" w:eastAsiaTheme="minorHAnsi" w:hAnsi="Times New Roman"/>
                <w:color w:val="000000" w:themeColor="text1"/>
              </w:rPr>
            </w:pPr>
          </w:p>
          <w:p w14:paraId="49B44DA4"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49A850C" w14:textId="77777777" w:rsidR="00124364" w:rsidRDefault="00124364" w:rsidP="009B0DC5">
            <w:pPr>
              <w:autoSpaceDE w:val="0"/>
              <w:spacing w:after="0" w:line="240" w:lineRule="auto"/>
              <w:rPr>
                <w:rFonts w:ascii="Times New Roman" w:hAnsi="Times New Roman"/>
                <w:sz w:val="20"/>
                <w:szCs w:val="20"/>
                <w:lang w:val="fr-FR"/>
              </w:rPr>
            </w:pPr>
          </w:p>
        </w:tc>
      </w:tr>
      <w:tr w:rsidR="00124364" w14:paraId="7F7ACD8A" w14:textId="77777777">
        <w:trPr>
          <w:trHeight w:val="558"/>
        </w:trPr>
        <w:tc>
          <w:tcPr>
            <w:tcW w:w="4957" w:type="dxa"/>
            <w:shd w:val="clear" w:color="auto" w:fill="auto"/>
          </w:tcPr>
          <w:p w14:paraId="7ECF4929" w14:textId="7143D113" w:rsidR="00124364" w:rsidRPr="00786833"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786833">
              <w:rPr>
                <w:rFonts w:eastAsia="Arial Unicode MS"/>
                <w:i/>
                <w:iCs/>
                <w:color w:val="000000" w:themeColor="text1"/>
                <w:sz w:val="20"/>
                <w:szCs w:val="20"/>
                <w:shd w:val="clear" w:color="auto" w:fill="FFFFFF"/>
                <w:lang w:val="en-US"/>
              </w:rPr>
              <w:t>Articolul</w:t>
            </w:r>
            <w:proofErr w:type="spellEnd"/>
            <w:r w:rsidR="00786833" w:rsidRPr="00786833">
              <w:rPr>
                <w:rFonts w:eastAsia="Arial Unicode MS"/>
                <w:i/>
                <w:iCs/>
                <w:color w:val="000000" w:themeColor="text1"/>
                <w:sz w:val="20"/>
                <w:szCs w:val="20"/>
                <w:shd w:val="clear" w:color="auto" w:fill="FFFFFF"/>
                <w:lang w:val="en-US"/>
              </w:rPr>
              <w:t xml:space="preserve"> </w:t>
            </w:r>
            <w:r w:rsidRPr="00786833">
              <w:rPr>
                <w:rFonts w:eastAsia="Arial Unicode MS"/>
                <w:i/>
                <w:iCs/>
                <w:color w:val="000000" w:themeColor="text1"/>
                <w:sz w:val="20"/>
                <w:szCs w:val="20"/>
                <w:shd w:val="clear" w:color="auto" w:fill="FFFFFF"/>
                <w:lang w:val="en-US"/>
              </w:rPr>
              <w:t>3g</w:t>
            </w:r>
          </w:p>
          <w:p w14:paraId="7136B003" w14:textId="77777777" w:rsidR="00124364" w:rsidRPr="00786833"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786833">
              <w:rPr>
                <w:rFonts w:eastAsia="Arial Unicode MS"/>
                <w:b/>
                <w:bCs/>
                <w:color w:val="000000" w:themeColor="text1"/>
                <w:sz w:val="20"/>
                <w:szCs w:val="20"/>
                <w:shd w:val="clear" w:color="auto" w:fill="FFFFFF"/>
                <w:lang w:val="en-US"/>
              </w:rPr>
              <w:t>Planuri</w:t>
            </w:r>
            <w:proofErr w:type="spellEnd"/>
            <w:r w:rsidRPr="00786833">
              <w:rPr>
                <w:rFonts w:eastAsia="Arial Unicode MS"/>
                <w:b/>
                <w:bCs/>
                <w:color w:val="000000" w:themeColor="text1"/>
                <w:sz w:val="20"/>
                <w:szCs w:val="20"/>
                <w:shd w:val="clear" w:color="auto" w:fill="FFFFFF"/>
                <w:lang w:val="en-US"/>
              </w:rPr>
              <w:t xml:space="preserve"> de </w:t>
            </w:r>
            <w:proofErr w:type="spellStart"/>
            <w:r w:rsidRPr="00786833">
              <w:rPr>
                <w:rFonts w:eastAsia="Arial Unicode MS"/>
                <w:b/>
                <w:bCs/>
                <w:color w:val="000000" w:themeColor="text1"/>
                <w:sz w:val="20"/>
                <w:szCs w:val="20"/>
                <w:shd w:val="clear" w:color="auto" w:fill="FFFFFF"/>
                <w:lang w:val="en-US"/>
              </w:rPr>
              <w:t>monitorizare</w:t>
            </w:r>
            <w:proofErr w:type="spellEnd"/>
            <w:r w:rsidRPr="00786833">
              <w:rPr>
                <w:rFonts w:eastAsia="Arial Unicode MS"/>
                <w:b/>
                <w:bCs/>
                <w:color w:val="000000" w:themeColor="text1"/>
                <w:sz w:val="20"/>
                <w:szCs w:val="20"/>
                <w:shd w:val="clear" w:color="auto" w:fill="FFFFFF"/>
                <w:lang w:val="en-US"/>
              </w:rPr>
              <w:t xml:space="preserve"> și de </w:t>
            </w:r>
            <w:proofErr w:type="spellStart"/>
            <w:r w:rsidRPr="00786833">
              <w:rPr>
                <w:rFonts w:eastAsia="Arial Unicode MS"/>
                <w:b/>
                <w:bCs/>
                <w:color w:val="000000" w:themeColor="text1"/>
                <w:sz w:val="20"/>
                <w:szCs w:val="20"/>
                <w:shd w:val="clear" w:color="auto" w:fill="FFFFFF"/>
                <w:lang w:val="en-US"/>
              </w:rPr>
              <w:t>raportare</w:t>
            </w:r>
            <w:proofErr w:type="spellEnd"/>
          </w:p>
          <w:p w14:paraId="5A0B6889" w14:textId="34649BB8" w:rsidR="00124364" w:rsidRPr="00786833" w:rsidRDefault="00000000" w:rsidP="00786833">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786833">
              <w:rPr>
                <w:rFonts w:eastAsia="Arial Unicode MS"/>
                <w:color w:val="000000" w:themeColor="text1"/>
                <w:sz w:val="20"/>
                <w:szCs w:val="20"/>
                <w:shd w:val="clear" w:color="auto" w:fill="FFFFFF"/>
                <w:lang w:val="en-US"/>
              </w:rPr>
              <w:t>Statul</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membru</w:t>
            </w:r>
            <w:proofErr w:type="spellEnd"/>
            <w:r w:rsidRPr="00786833">
              <w:rPr>
                <w:rFonts w:eastAsia="Arial Unicode MS"/>
                <w:color w:val="000000" w:themeColor="text1"/>
                <w:sz w:val="20"/>
                <w:szCs w:val="20"/>
                <w:shd w:val="clear" w:color="auto" w:fill="FFFFFF"/>
                <w:lang w:val="en-US"/>
              </w:rPr>
              <w:t xml:space="preserve"> de </w:t>
            </w:r>
            <w:proofErr w:type="spellStart"/>
            <w:r w:rsidRPr="00786833">
              <w:rPr>
                <w:rFonts w:eastAsia="Arial Unicode MS"/>
                <w:color w:val="000000" w:themeColor="text1"/>
                <w:sz w:val="20"/>
                <w:szCs w:val="20"/>
                <w:shd w:val="clear" w:color="auto" w:fill="FFFFFF"/>
                <w:lang w:val="en-US"/>
              </w:rPr>
              <w:t>administrare</w:t>
            </w:r>
            <w:proofErr w:type="spellEnd"/>
            <w:r w:rsidRPr="00786833">
              <w:rPr>
                <w:rFonts w:eastAsia="Arial Unicode MS"/>
                <w:color w:val="000000" w:themeColor="text1"/>
                <w:sz w:val="20"/>
                <w:szCs w:val="20"/>
                <w:shd w:val="clear" w:color="auto" w:fill="FFFFFF"/>
                <w:lang w:val="en-US"/>
              </w:rPr>
              <w:t xml:space="preserve"> se </w:t>
            </w:r>
            <w:proofErr w:type="spellStart"/>
            <w:r w:rsidRPr="00786833">
              <w:rPr>
                <w:rFonts w:eastAsia="Arial Unicode MS"/>
                <w:color w:val="000000" w:themeColor="text1"/>
                <w:sz w:val="20"/>
                <w:szCs w:val="20"/>
                <w:shd w:val="clear" w:color="auto" w:fill="FFFFFF"/>
                <w:lang w:val="en-US"/>
              </w:rPr>
              <w:t>asigură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că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fiecare</w:t>
            </w:r>
            <w:proofErr w:type="spellEnd"/>
            <w:r w:rsidRPr="00786833">
              <w:rPr>
                <w:rFonts w:eastAsia="Arial Unicode MS"/>
                <w:color w:val="000000" w:themeColor="text1"/>
                <w:sz w:val="20"/>
                <w:szCs w:val="20"/>
                <w:shd w:val="clear" w:color="auto" w:fill="FFFFFF"/>
                <w:lang w:val="en-US"/>
              </w:rPr>
              <w:t xml:space="preserve"> operator de </w:t>
            </w:r>
            <w:proofErr w:type="spellStart"/>
            <w:r w:rsidRPr="00786833">
              <w:rPr>
                <w:rFonts w:eastAsia="Arial Unicode MS"/>
                <w:color w:val="000000" w:themeColor="text1"/>
                <w:sz w:val="20"/>
                <w:szCs w:val="20"/>
                <w:shd w:val="clear" w:color="auto" w:fill="FFFFFF"/>
                <w:lang w:val="en-US"/>
              </w:rPr>
              <w:t>aeronave</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prezintă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autorității</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competente</w:t>
            </w:r>
            <w:proofErr w:type="spellEnd"/>
            <w:r w:rsidRPr="00786833">
              <w:rPr>
                <w:rFonts w:eastAsia="Arial Unicode MS"/>
                <w:color w:val="000000" w:themeColor="text1"/>
                <w:sz w:val="20"/>
                <w:szCs w:val="20"/>
                <w:shd w:val="clear" w:color="auto" w:fill="FFFFFF"/>
                <w:lang w:val="en-US"/>
              </w:rPr>
              <w:t xml:space="preserve"> din </w:t>
            </w:r>
            <w:proofErr w:type="spellStart"/>
            <w:r w:rsidRPr="00786833">
              <w:rPr>
                <w:rFonts w:eastAsia="Arial Unicode MS"/>
                <w:color w:val="000000" w:themeColor="text1"/>
                <w:sz w:val="20"/>
                <w:szCs w:val="20"/>
                <w:shd w:val="clear" w:color="auto" w:fill="FFFFFF"/>
                <w:lang w:val="en-US"/>
              </w:rPr>
              <w:t>statul</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membru</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respectiv</w:t>
            </w:r>
            <w:proofErr w:type="spellEnd"/>
            <w:r w:rsidRPr="00786833">
              <w:rPr>
                <w:rFonts w:eastAsia="Arial Unicode MS"/>
                <w:color w:val="000000" w:themeColor="text1"/>
                <w:sz w:val="20"/>
                <w:szCs w:val="20"/>
                <w:shd w:val="clear" w:color="auto" w:fill="FFFFFF"/>
                <w:lang w:val="en-US"/>
              </w:rPr>
              <w:t xml:space="preserve"> un plan de </w:t>
            </w:r>
            <w:proofErr w:type="spellStart"/>
            <w:r w:rsidRPr="00786833">
              <w:rPr>
                <w:rFonts w:eastAsia="Arial Unicode MS"/>
                <w:color w:val="000000" w:themeColor="text1"/>
                <w:sz w:val="20"/>
                <w:szCs w:val="20"/>
                <w:shd w:val="clear" w:color="auto" w:fill="FFFFFF"/>
                <w:lang w:val="en-US"/>
              </w:rPr>
              <w:t>monitorizare</w:t>
            </w:r>
            <w:proofErr w:type="spellEnd"/>
            <w:r w:rsidRPr="00786833">
              <w:rPr>
                <w:rFonts w:eastAsia="Arial Unicode MS"/>
                <w:color w:val="000000" w:themeColor="text1"/>
                <w:sz w:val="20"/>
                <w:szCs w:val="20"/>
                <w:shd w:val="clear" w:color="auto" w:fill="FFFFFF"/>
                <w:lang w:val="en-US"/>
              </w:rPr>
              <w:t xml:space="preserve"> care </w:t>
            </w:r>
            <w:proofErr w:type="spellStart"/>
            <w:r w:rsidRPr="00786833">
              <w:rPr>
                <w:rFonts w:eastAsia="Arial Unicode MS"/>
                <w:color w:val="000000" w:themeColor="text1"/>
                <w:sz w:val="20"/>
                <w:szCs w:val="20"/>
                <w:shd w:val="clear" w:color="auto" w:fill="FFFFFF"/>
                <w:lang w:val="en-US"/>
              </w:rPr>
              <w:t>să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stabilească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măsuri</w:t>
            </w:r>
            <w:proofErr w:type="spellEnd"/>
            <w:r w:rsidRPr="00786833">
              <w:rPr>
                <w:rFonts w:eastAsia="Arial Unicode MS"/>
                <w:color w:val="000000" w:themeColor="text1"/>
                <w:sz w:val="20"/>
                <w:szCs w:val="20"/>
                <w:shd w:val="clear" w:color="auto" w:fill="FFFFFF"/>
                <w:lang w:val="en-US"/>
              </w:rPr>
              <w:t xml:space="preserve"> de </w:t>
            </w:r>
            <w:proofErr w:type="spellStart"/>
            <w:r w:rsidRPr="00786833">
              <w:rPr>
                <w:rFonts w:eastAsia="Arial Unicode MS"/>
                <w:color w:val="000000" w:themeColor="text1"/>
                <w:sz w:val="20"/>
                <w:szCs w:val="20"/>
                <w:shd w:val="clear" w:color="auto" w:fill="FFFFFF"/>
                <w:lang w:val="en-US"/>
              </w:rPr>
              <w:t>monitorizare</w:t>
            </w:r>
            <w:proofErr w:type="spellEnd"/>
            <w:r w:rsidRPr="00786833">
              <w:rPr>
                <w:rFonts w:eastAsia="Arial Unicode MS"/>
                <w:color w:val="000000" w:themeColor="text1"/>
                <w:sz w:val="20"/>
                <w:szCs w:val="20"/>
                <w:shd w:val="clear" w:color="auto" w:fill="FFFFFF"/>
                <w:lang w:val="en-US"/>
              </w:rPr>
              <w:t xml:space="preserve"> și de </w:t>
            </w:r>
            <w:proofErr w:type="spellStart"/>
            <w:r w:rsidRPr="00786833">
              <w:rPr>
                <w:rFonts w:eastAsia="Arial Unicode MS"/>
                <w:color w:val="000000" w:themeColor="text1"/>
                <w:sz w:val="20"/>
                <w:szCs w:val="20"/>
                <w:shd w:val="clear" w:color="auto" w:fill="FFFFFF"/>
                <w:lang w:val="en-US"/>
              </w:rPr>
              <w:t>raportare</w:t>
            </w:r>
            <w:proofErr w:type="spellEnd"/>
            <w:r w:rsidRPr="00786833">
              <w:rPr>
                <w:rFonts w:eastAsia="Arial Unicode MS"/>
                <w:color w:val="000000" w:themeColor="text1"/>
                <w:sz w:val="20"/>
                <w:szCs w:val="20"/>
                <w:shd w:val="clear" w:color="auto" w:fill="FFFFFF"/>
                <w:lang w:val="en-US"/>
              </w:rPr>
              <w:t xml:space="preserve"> </w:t>
            </w:r>
            <w:proofErr w:type="gramStart"/>
            <w:r w:rsidRPr="00786833">
              <w:rPr>
                <w:rFonts w:eastAsia="Arial Unicode MS"/>
                <w:color w:val="000000" w:themeColor="text1"/>
                <w:sz w:val="20"/>
                <w:szCs w:val="20"/>
                <w:shd w:val="clear" w:color="auto" w:fill="FFFFFF"/>
                <w:lang w:val="en-US"/>
              </w:rPr>
              <w:t>a</w:t>
            </w:r>
            <w:proofErr w:type="gram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emisiilor</w:t>
            </w:r>
            <w:proofErr w:type="spellEnd"/>
            <w:r w:rsidRPr="00786833">
              <w:rPr>
                <w:rFonts w:eastAsia="Arial Unicode MS"/>
                <w:color w:val="000000" w:themeColor="text1"/>
                <w:sz w:val="20"/>
                <w:szCs w:val="20"/>
                <w:shd w:val="clear" w:color="auto" w:fill="FFFFFF"/>
                <w:lang w:val="en-US"/>
              </w:rPr>
              <w:t xml:space="preserve"> și </w:t>
            </w:r>
            <w:proofErr w:type="spellStart"/>
            <w:r w:rsidRPr="00786833">
              <w:rPr>
                <w:rFonts w:eastAsia="Arial Unicode MS"/>
                <w:color w:val="000000" w:themeColor="text1"/>
                <w:sz w:val="20"/>
                <w:szCs w:val="20"/>
                <w:shd w:val="clear" w:color="auto" w:fill="FFFFFF"/>
                <w:lang w:val="en-US"/>
              </w:rPr>
              <w:t>că</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aceste</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planuri</w:t>
            </w:r>
            <w:proofErr w:type="spellEnd"/>
            <w:r w:rsidRPr="00786833">
              <w:rPr>
                <w:rFonts w:eastAsia="Arial Unicode MS"/>
                <w:color w:val="000000" w:themeColor="text1"/>
                <w:sz w:val="20"/>
                <w:szCs w:val="20"/>
                <w:shd w:val="clear" w:color="auto" w:fill="FFFFFF"/>
                <w:lang w:val="en-US"/>
              </w:rPr>
              <w:t xml:space="preserve"> sunt </w:t>
            </w:r>
            <w:proofErr w:type="spellStart"/>
            <w:r w:rsidRPr="00786833">
              <w:rPr>
                <w:rFonts w:eastAsia="Arial Unicode MS"/>
                <w:color w:val="000000" w:themeColor="text1"/>
                <w:sz w:val="20"/>
                <w:szCs w:val="20"/>
                <w:shd w:val="clear" w:color="auto" w:fill="FFFFFF"/>
                <w:lang w:val="en-US"/>
              </w:rPr>
              <w:t>aprobate</w:t>
            </w:r>
            <w:proofErr w:type="spellEnd"/>
            <w:r w:rsidRPr="00786833">
              <w:rPr>
                <w:rFonts w:eastAsia="Arial Unicode MS"/>
                <w:color w:val="000000" w:themeColor="text1"/>
                <w:sz w:val="20"/>
                <w:szCs w:val="20"/>
                <w:shd w:val="clear" w:color="auto" w:fill="FFFFFF"/>
                <w:lang w:val="en-US"/>
              </w:rPr>
              <w:t xml:space="preserve"> de </w:t>
            </w:r>
            <w:proofErr w:type="spellStart"/>
            <w:r w:rsidRPr="00786833">
              <w:rPr>
                <w:rFonts w:eastAsia="Arial Unicode MS"/>
                <w:color w:val="000000" w:themeColor="text1"/>
                <w:sz w:val="20"/>
                <w:szCs w:val="20"/>
                <w:shd w:val="clear" w:color="auto" w:fill="FFFFFF"/>
                <w:lang w:val="en-US"/>
              </w:rPr>
              <w:t>autoritatea</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competentă</w:t>
            </w:r>
            <w:proofErr w:type="spellEnd"/>
            <w:r w:rsidRPr="00786833">
              <w:rPr>
                <w:rFonts w:eastAsia="Arial Unicode MS"/>
                <w:color w:val="000000" w:themeColor="text1"/>
                <w:sz w:val="20"/>
                <w:szCs w:val="20"/>
                <w:shd w:val="clear" w:color="auto" w:fill="FFFFFF"/>
                <w:lang w:val="en-US"/>
              </w:rPr>
              <w:t xml:space="preserve"> în conformitate cu </w:t>
            </w:r>
            <w:proofErr w:type="spellStart"/>
            <w:r w:rsidRPr="00786833">
              <w:rPr>
                <w:rFonts w:eastAsia="Arial Unicode MS"/>
                <w:color w:val="000000" w:themeColor="text1"/>
                <w:sz w:val="20"/>
                <w:szCs w:val="20"/>
                <w:shd w:val="clear" w:color="auto" w:fill="FFFFFF"/>
                <w:lang w:val="en-US"/>
              </w:rPr>
              <w:t>actele</w:t>
            </w:r>
            <w:proofErr w:type="spellEnd"/>
            <w:r w:rsidRPr="00786833">
              <w:rPr>
                <w:rFonts w:eastAsia="Arial Unicode MS"/>
                <w:color w:val="000000" w:themeColor="text1"/>
                <w:sz w:val="20"/>
                <w:szCs w:val="20"/>
                <w:shd w:val="clear" w:color="auto" w:fill="FFFFFF"/>
                <w:lang w:val="en-US"/>
              </w:rPr>
              <w:t xml:space="preserve"> de </w:t>
            </w:r>
            <w:proofErr w:type="spellStart"/>
            <w:r w:rsidRPr="00786833">
              <w:rPr>
                <w:rFonts w:eastAsia="Arial Unicode MS"/>
                <w:color w:val="000000" w:themeColor="text1"/>
                <w:sz w:val="20"/>
                <w:szCs w:val="20"/>
                <w:shd w:val="clear" w:color="auto" w:fill="FFFFFF"/>
                <w:lang w:val="en-US"/>
              </w:rPr>
              <w:t>punere</w:t>
            </w:r>
            <w:proofErr w:type="spellEnd"/>
            <w:r w:rsidRPr="00786833">
              <w:rPr>
                <w:rFonts w:eastAsia="Arial Unicode MS"/>
                <w:color w:val="000000" w:themeColor="text1"/>
                <w:sz w:val="20"/>
                <w:szCs w:val="20"/>
                <w:shd w:val="clear" w:color="auto" w:fill="FFFFFF"/>
                <w:lang w:val="en-US"/>
              </w:rPr>
              <w:t xml:space="preserve"> în </w:t>
            </w:r>
            <w:proofErr w:type="spellStart"/>
            <w:r w:rsidRPr="00786833">
              <w:rPr>
                <w:rFonts w:eastAsia="Arial Unicode MS"/>
                <w:color w:val="000000" w:themeColor="text1"/>
                <w:sz w:val="20"/>
                <w:szCs w:val="20"/>
                <w:shd w:val="clear" w:color="auto" w:fill="FFFFFF"/>
                <w:lang w:val="en-US"/>
              </w:rPr>
              <w:t>aplicare</w:t>
            </w:r>
            <w:proofErr w:type="spellEnd"/>
            <w:r w:rsidRPr="00786833">
              <w:rPr>
                <w:rFonts w:eastAsia="Arial Unicode MS"/>
                <w:color w:val="000000" w:themeColor="text1"/>
                <w:sz w:val="20"/>
                <w:szCs w:val="20"/>
                <w:shd w:val="clear" w:color="auto" w:fill="FFFFFF"/>
                <w:lang w:val="en-US"/>
              </w:rPr>
              <w:t xml:space="preserve"> </w:t>
            </w:r>
            <w:proofErr w:type="spellStart"/>
            <w:r w:rsidRPr="00786833">
              <w:rPr>
                <w:rFonts w:eastAsia="Arial Unicode MS"/>
                <w:color w:val="000000" w:themeColor="text1"/>
                <w:sz w:val="20"/>
                <w:szCs w:val="20"/>
                <w:shd w:val="clear" w:color="auto" w:fill="FFFFFF"/>
                <w:lang w:val="en-US"/>
              </w:rPr>
              <w:t>menționate</w:t>
            </w:r>
            <w:proofErr w:type="spellEnd"/>
            <w:r w:rsidRPr="00786833">
              <w:rPr>
                <w:rFonts w:eastAsia="Arial Unicode MS"/>
                <w:color w:val="000000" w:themeColor="text1"/>
                <w:sz w:val="20"/>
                <w:szCs w:val="20"/>
                <w:shd w:val="clear" w:color="auto" w:fill="FFFFFF"/>
                <w:lang w:val="en-US"/>
              </w:rPr>
              <w:t xml:space="preserve"> la </w:t>
            </w:r>
            <w:proofErr w:type="spellStart"/>
            <w:r w:rsidRPr="00786833">
              <w:rPr>
                <w:rFonts w:eastAsia="Arial Unicode MS"/>
                <w:color w:val="000000" w:themeColor="text1"/>
                <w:sz w:val="20"/>
                <w:szCs w:val="20"/>
                <w:shd w:val="clear" w:color="auto" w:fill="FFFFFF"/>
                <w:lang w:val="en-US"/>
              </w:rPr>
              <w:t>articolul</w:t>
            </w:r>
            <w:proofErr w:type="spellEnd"/>
            <w:r w:rsidR="00786833" w:rsidRPr="00786833">
              <w:rPr>
                <w:rFonts w:eastAsia="Arial Unicode MS"/>
                <w:color w:val="000000" w:themeColor="text1"/>
                <w:sz w:val="20"/>
                <w:szCs w:val="20"/>
                <w:shd w:val="clear" w:color="auto" w:fill="FFFFFF"/>
                <w:lang w:val="en-US"/>
              </w:rPr>
              <w:t xml:space="preserve"> </w:t>
            </w:r>
            <w:r w:rsidRPr="00786833">
              <w:rPr>
                <w:rFonts w:eastAsia="Arial Unicode MS"/>
                <w:color w:val="000000" w:themeColor="text1"/>
                <w:sz w:val="20"/>
                <w:szCs w:val="20"/>
                <w:shd w:val="clear" w:color="auto" w:fill="FFFFFF"/>
                <w:lang w:val="en-US"/>
              </w:rPr>
              <w:t>14.</w:t>
            </w:r>
          </w:p>
          <w:p w14:paraId="02B63CF2" w14:textId="77777777" w:rsidR="00124364" w:rsidRDefault="00000000">
            <w:pPr>
              <w:pStyle w:val="ti-art"/>
              <w:shd w:val="clear" w:color="auto" w:fill="FFFFFF"/>
              <w:spacing w:before="0" w:beforeAutospacing="0" w:after="0" w:afterAutospacing="0"/>
              <w:rPr>
                <w:i/>
                <w:iCs/>
                <w:color w:val="333333"/>
                <w:sz w:val="20"/>
                <w:szCs w:val="20"/>
                <w:lang w:val="en-US"/>
              </w:rPr>
            </w:pPr>
            <w:hyperlink r:id="rId60" w:tooltip="32023L0959: INSERTED" w:history="1">
              <w:r>
                <w:rPr>
                  <w:rStyle w:val="af3"/>
                  <w:rFonts w:eastAsia="Arial Unicode MS"/>
                  <w:b/>
                  <w:bCs/>
                  <w:color w:val="4472C4" w:themeColor="accent1"/>
                  <w:sz w:val="20"/>
                  <w:szCs w:val="20"/>
                </w:rPr>
                <w:t>▼M15</w:t>
              </w:r>
            </w:hyperlink>
          </w:p>
        </w:tc>
        <w:tc>
          <w:tcPr>
            <w:tcW w:w="4394" w:type="dxa"/>
            <w:shd w:val="clear" w:color="auto" w:fill="auto"/>
          </w:tcPr>
          <w:p w14:paraId="63C1504F" w14:textId="77777777" w:rsidR="00A72916" w:rsidRPr="0066519A" w:rsidRDefault="00A72916" w:rsidP="00A72916">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52.</w:t>
            </w:r>
            <w:r w:rsidRPr="0066519A">
              <w:rPr>
                <w:rFonts w:ascii="Times New Roman" w:hAnsi="Times New Roman"/>
                <w:bCs/>
                <w:sz w:val="20"/>
                <w:szCs w:val="20"/>
                <w:lang w:val="ro-MD"/>
              </w:rPr>
              <w:t>Monitorizarea, raportarea și verificarea emisiilor de GES de la instalațiile staționare</w:t>
            </w:r>
          </w:p>
          <w:p w14:paraId="244CB5FB" w14:textId="7BB0EB03" w:rsidR="00124364" w:rsidRDefault="00A72916" w:rsidP="00A72916">
            <w:pPr>
              <w:pStyle w:val="af8"/>
              <w:spacing w:after="120"/>
              <w:ind w:left="0" w:firstLine="426"/>
              <w:contextualSpacing w:val="0"/>
              <w:jc w:val="both"/>
              <w:rPr>
                <w:rFonts w:ascii="Times New Roman" w:hAnsi="Times New Roman"/>
                <w:sz w:val="20"/>
                <w:szCs w:val="20"/>
                <w:lang w:val="zh-CN"/>
              </w:rPr>
            </w:pPr>
            <w:r>
              <w:rPr>
                <w:rFonts w:ascii="Times New Roman" w:hAnsi="Times New Roman"/>
                <w:sz w:val="20"/>
                <w:szCs w:val="20"/>
                <w:lang w:val="ro-MD"/>
              </w:rPr>
              <w:t>(1)</w:t>
            </w:r>
            <w:r w:rsidRPr="0066519A">
              <w:rPr>
                <w:rFonts w:ascii="Times New Roman" w:hAnsi="Times New Roman"/>
                <w:sz w:val="20"/>
                <w:szCs w:val="20"/>
                <w:lang w:val="ro-MD"/>
              </w:rPr>
              <w:t xml:space="preserve">Operatorul instalației staționare, </w:t>
            </w:r>
            <w:r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Pr="0066519A">
              <w:rPr>
                <w:rFonts w:ascii="Times New Roman" w:hAnsi="Times New Roman"/>
                <w:sz w:val="20"/>
                <w:szCs w:val="20"/>
                <w:lang w:val="ro-MD"/>
              </w:rPr>
              <w:t xml:space="preserve">deține </w:t>
            </w:r>
            <w:r w:rsidRPr="0066519A">
              <w:rPr>
                <w:rFonts w:ascii="Times New Roman" w:hAnsi="Times New Roman"/>
                <w:color w:val="000000"/>
                <w:sz w:val="20"/>
                <w:szCs w:val="20"/>
                <w:shd w:val="clear" w:color="auto" w:fill="FFFFFF"/>
                <w:lang w:val="ro-MD"/>
              </w:rPr>
              <w:t>autorizația integrată de mediu pentru desfășurarea</w:t>
            </w:r>
            <w:r w:rsidRPr="0066519A">
              <w:rPr>
                <w:rFonts w:ascii="Times New Roman" w:hAnsi="Times New Roman"/>
                <w:bCs/>
                <w:sz w:val="20"/>
                <w:szCs w:val="20"/>
                <w:lang w:val="ro-MD"/>
              </w:rPr>
              <w:t xml:space="preserve">  activității, </w:t>
            </w:r>
            <w:r w:rsidRPr="0066519A">
              <w:rPr>
                <w:rFonts w:ascii="Times New Roman" w:hAnsi="Times New Roman"/>
                <w:sz w:val="20"/>
                <w:szCs w:val="20"/>
                <w:lang w:val="ro-MD"/>
              </w:rPr>
              <w:t xml:space="preserve">asigură monitorizarea și raportarea emisiilor de GES </w:t>
            </w:r>
            <w:r w:rsidRPr="0066519A">
              <w:rPr>
                <w:rFonts w:ascii="Times New Roman" w:hAnsi="Times New Roman"/>
                <w:sz w:val="20"/>
                <w:szCs w:val="20"/>
                <w:shd w:val="clear" w:color="auto" w:fill="FFFFFF"/>
                <w:lang w:val="ro-MD"/>
              </w:rPr>
              <w:t xml:space="preserve">pe baza PM, care este partea integrantă a </w:t>
            </w:r>
            <w:r w:rsidRPr="0066519A">
              <w:rPr>
                <w:rFonts w:ascii="Times New Roman" w:hAnsi="Times New Roman"/>
                <w:color w:val="000000"/>
                <w:sz w:val="20"/>
                <w:szCs w:val="20"/>
                <w:shd w:val="clear" w:color="auto" w:fill="FFFFFF"/>
                <w:lang w:val="ro-MD"/>
              </w:rPr>
              <w:t>autorizației integrate de mediu emisă de către Agenția de Mediu</w:t>
            </w:r>
            <w:r>
              <w:rPr>
                <w:rFonts w:ascii="Times New Roman" w:hAnsi="Times New Roman"/>
                <w:color w:val="000000"/>
                <w:sz w:val="20"/>
                <w:szCs w:val="20"/>
                <w:shd w:val="clear" w:color="auto" w:fill="FFFFFF"/>
                <w:lang w:val="ro-MD"/>
              </w:rPr>
              <w:t>.</w:t>
            </w:r>
          </w:p>
        </w:tc>
        <w:tc>
          <w:tcPr>
            <w:tcW w:w="1276" w:type="dxa"/>
            <w:shd w:val="clear" w:color="auto" w:fill="auto"/>
          </w:tcPr>
          <w:p w14:paraId="2DEE1C27"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 xml:space="preserve">Compatibil </w:t>
            </w:r>
          </w:p>
          <w:p w14:paraId="22BAD6F7"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4D5908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01774B9"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EE5AEA7"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79E5680" w14:textId="77777777" w:rsidR="00124364" w:rsidRDefault="00124364">
            <w:pPr>
              <w:autoSpaceDE w:val="0"/>
              <w:spacing w:after="0" w:line="240" w:lineRule="auto"/>
              <w:rPr>
                <w:rFonts w:ascii="Times New Roman" w:hAnsi="Times New Roman"/>
                <w:sz w:val="20"/>
                <w:szCs w:val="20"/>
                <w:lang w:val="fr-FR"/>
              </w:rPr>
            </w:pPr>
          </w:p>
          <w:p w14:paraId="2C6A2784" w14:textId="3C188F9D" w:rsidR="00786833" w:rsidRDefault="00786833">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09474923" w14:textId="77777777">
        <w:trPr>
          <w:trHeight w:val="558"/>
        </w:trPr>
        <w:tc>
          <w:tcPr>
            <w:tcW w:w="4957" w:type="dxa"/>
            <w:shd w:val="clear" w:color="auto" w:fill="auto"/>
          </w:tcPr>
          <w:p w14:paraId="252C1820" w14:textId="0452D0F4" w:rsidR="00124364" w:rsidRPr="00A72916"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A72916">
              <w:rPr>
                <w:rFonts w:eastAsia="Arial Unicode MS"/>
                <w:i/>
                <w:iCs/>
                <w:color w:val="000000" w:themeColor="text1"/>
                <w:sz w:val="20"/>
                <w:szCs w:val="20"/>
                <w:shd w:val="clear" w:color="auto" w:fill="FFFFFF"/>
                <w:lang w:val="en-US"/>
              </w:rPr>
              <w:t>Articolul</w:t>
            </w:r>
            <w:proofErr w:type="spellEnd"/>
            <w:r w:rsidR="00A72916" w:rsidRPr="00A72916">
              <w:rPr>
                <w:rFonts w:eastAsia="Arial Unicode MS"/>
                <w:i/>
                <w:iCs/>
                <w:color w:val="000000" w:themeColor="text1"/>
                <w:sz w:val="20"/>
                <w:szCs w:val="20"/>
                <w:shd w:val="clear" w:color="auto" w:fill="FFFFFF"/>
                <w:lang w:val="en-US"/>
              </w:rPr>
              <w:t xml:space="preserve"> </w:t>
            </w:r>
            <w:r w:rsidRPr="00A72916">
              <w:rPr>
                <w:rFonts w:eastAsia="Arial Unicode MS"/>
                <w:i/>
                <w:iCs/>
                <w:color w:val="000000" w:themeColor="text1"/>
                <w:sz w:val="20"/>
                <w:szCs w:val="20"/>
                <w:shd w:val="clear" w:color="auto" w:fill="FFFFFF"/>
                <w:lang w:val="en-US"/>
              </w:rPr>
              <w:t>3ga</w:t>
            </w:r>
          </w:p>
          <w:p w14:paraId="27A65A2B" w14:textId="77777777" w:rsidR="00124364" w:rsidRPr="00A72916"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A72916">
              <w:rPr>
                <w:rFonts w:eastAsia="Arial Unicode MS"/>
                <w:b/>
                <w:bCs/>
                <w:color w:val="000000" w:themeColor="text1"/>
                <w:sz w:val="20"/>
                <w:szCs w:val="20"/>
                <w:shd w:val="clear" w:color="auto" w:fill="FFFFFF"/>
                <w:lang w:val="en-US"/>
              </w:rPr>
              <w:t>Domeniul</w:t>
            </w:r>
            <w:proofErr w:type="spellEnd"/>
            <w:r w:rsidRPr="00A72916">
              <w:rPr>
                <w:rFonts w:eastAsia="Arial Unicode MS"/>
                <w:b/>
                <w:bCs/>
                <w:color w:val="000000" w:themeColor="text1"/>
                <w:sz w:val="20"/>
                <w:szCs w:val="20"/>
                <w:shd w:val="clear" w:color="auto" w:fill="FFFFFF"/>
                <w:lang w:val="en-US"/>
              </w:rPr>
              <w:t xml:space="preserve"> de </w:t>
            </w:r>
            <w:proofErr w:type="spellStart"/>
            <w:r w:rsidRPr="00A72916">
              <w:rPr>
                <w:rFonts w:eastAsia="Arial Unicode MS"/>
                <w:b/>
                <w:bCs/>
                <w:color w:val="000000" w:themeColor="text1"/>
                <w:sz w:val="20"/>
                <w:szCs w:val="20"/>
                <w:shd w:val="clear" w:color="auto" w:fill="FFFFFF"/>
                <w:lang w:val="en-US"/>
              </w:rPr>
              <w:t>aplicare</w:t>
            </w:r>
            <w:proofErr w:type="spellEnd"/>
            <w:r w:rsidRPr="00A72916">
              <w:rPr>
                <w:rFonts w:eastAsia="Arial Unicode MS"/>
                <w:b/>
                <w:bCs/>
                <w:color w:val="000000" w:themeColor="text1"/>
                <w:sz w:val="20"/>
                <w:szCs w:val="20"/>
                <w:shd w:val="clear" w:color="auto" w:fill="FFFFFF"/>
                <w:lang w:val="en-US"/>
              </w:rPr>
              <w:t xml:space="preserve"> </w:t>
            </w:r>
            <w:proofErr w:type="spellStart"/>
            <w:r w:rsidRPr="00A72916">
              <w:rPr>
                <w:rFonts w:eastAsia="Arial Unicode MS"/>
                <w:b/>
                <w:bCs/>
                <w:color w:val="000000" w:themeColor="text1"/>
                <w:sz w:val="20"/>
                <w:szCs w:val="20"/>
                <w:shd w:val="clear" w:color="auto" w:fill="FFFFFF"/>
                <w:lang w:val="en-US"/>
              </w:rPr>
              <w:t>pentru</w:t>
            </w:r>
            <w:proofErr w:type="spellEnd"/>
            <w:r w:rsidRPr="00A72916">
              <w:rPr>
                <w:rFonts w:eastAsia="Arial Unicode MS"/>
                <w:b/>
                <w:bCs/>
                <w:color w:val="000000" w:themeColor="text1"/>
                <w:sz w:val="20"/>
                <w:szCs w:val="20"/>
                <w:shd w:val="clear" w:color="auto" w:fill="FFFFFF"/>
                <w:lang w:val="en-US"/>
              </w:rPr>
              <w:t xml:space="preserve"> </w:t>
            </w:r>
            <w:proofErr w:type="spellStart"/>
            <w:r w:rsidRPr="00A72916">
              <w:rPr>
                <w:rFonts w:eastAsia="Arial Unicode MS"/>
                <w:b/>
                <w:bCs/>
                <w:color w:val="000000" w:themeColor="text1"/>
                <w:sz w:val="20"/>
                <w:szCs w:val="20"/>
                <w:shd w:val="clear" w:color="auto" w:fill="FFFFFF"/>
                <w:lang w:val="en-US"/>
              </w:rPr>
              <w:t>activitățile</w:t>
            </w:r>
            <w:proofErr w:type="spellEnd"/>
            <w:r w:rsidRPr="00A72916">
              <w:rPr>
                <w:rFonts w:eastAsia="Arial Unicode MS"/>
                <w:b/>
                <w:bCs/>
                <w:color w:val="000000" w:themeColor="text1"/>
                <w:sz w:val="20"/>
                <w:szCs w:val="20"/>
                <w:shd w:val="clear" w:color="auto" w:fill="FFFFFF"/>
                <w:lang w:val="en-US"/>
              </w:rPr>
              <w:t xml:space="preserve"> de transport maritim</w:t>
            </w:r>
          </w:p>
          <w:p w14:paraId="33DDF598" w14:textId="0315E7E1" w:rsidR="00124364" w:rsidRPr="00A72916" w:rsidRDefault="00000000" w:rsidP="00A72916">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A72916">
              <w:rPr>
                <w:rFonts w:eastAsia="Arial Unicode MS"/>
                <w:color w:val="000000" w:themeColor="text1"/>
                <w:sz w:val="20"/>
                <w:szCs w:val="20"/>
                <w:shd w:val="clear" w:color="auto" w:fill="FFFFFF"/>
                <w:lang w:val="en-US"/>
              </w:rPr>
              <w:lastRenderedPageBreak/>
              <w:t>Alocarea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certificatelor</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aplicarea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obligațiilor</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restituire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activitățile</w:t>
            </w:r>
            <w:proofErr w:type="spellEnd"/>
            <w:r w:rsidRPr="00A72916">
              <w:rPr>
                <w:rFonts w:eastAsia="Arial Unicode MS"/>
                <w:color w:val="000000" w:themeColor="text1"/>
                <w:sz w:val="20"/>
                <w:szCs w:val="20"/>
                <w:shd w:val="clear" w:color="auto" w:fill="FFFFFF"/>
                <w:lang w:val="en-US"/>
              </w:rPr>
              <w:t xml:space="preserve"> de transport maritim se </w:t>
            </w:r>
            <w:proofErr w:type="spellStart"/>
            <w:r w:rsidRPr="00A72916">
              <w:rPr>
                <w:rFonts w:eastAsia="Arial Unicode MS"/>
                <w:color w:val="000000" w:themeColor="text1"/>
                <w:sz w:val="20"/>
                <w:szCs w:val="20"/>
                <w:shd w:val="clear" w:color="auto" w:fill="FFFFFF"/>
                <w:lang w:val="en-US"/>
              </w:rPr>
              <w:t>realizează</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legătură</w:t>
            </w:r>
            <w:proofErr w:type="spellEnd"/>
            <w:r w:rsidRPr="00A72916">
              <w:rPr>
                <w:rFonts w:eastAsia="Arial Unicode MS"/>
                <w:color w:val="000000" w:themeColor="text1"/>
                <w:sz w:val="20"/>
                <w:szCs w:val="20"/>
                <w:shd w:val="clear" w:color="auto" w:fill="FFFFFF"/>
                <w:lang w:val="en-US"/>
              </w:rPr>
              <w:t xml:space="preserve"> cu </w:t>
            </w:r>
            <w:proofErr w:type="spellStart"/>
            <w:r w:rsidRPr="00A72916">
              <w:rPr>
                <w:rFonts w:eastAsia="Arial Unicode MS"/>
                <w:color w:val="000000" w:themeColor="text1"/>
                <w:sz w:val="20"/>
                <w:szCs w:val="20"/>
                <w:shd w:val="clear" w:color="auto" w:fill="FFFFFF"/>
                <w:lang w:val="en-US"/>
              </w:rPr>
              <w:t>cincizeci</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(50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generate de </w:t>
            </w:r>
            <w:proofErr w:type="spellStart"/>
            <w:r w:rsidRPr="00A72916">
              <w:rPr>
                <w:rFonts w:eastAsia="Arial Unicode MS"/>
                <w:color w:val="000000" w:themeColor="text1"/>
                <w:sz w:val="20"/>
                <w:szCs w:val="20"/>
                <w:shd w:val="clear" w:color="auto" w:fill="FFFFFF"/>
                <w:lang w:val="en-US"/>
              </w:rPr>
              <w:t>călătoriile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navelor</w:t>
            </w:r>
            <w:proofErr w:type="spellEnd"/>
            <w:r w:rsidRPr="00A72916">
              <w:rPr>
                <w:rFonts w:eastAsia="Arial Unicode MS"/>
                <w:color w:val="000000" w:themeColor="text1"/>
                <w:sz w:val="20"/>
                <w:szCs w:val="20"/>
                <w:shd w:val="clear" w:color="auto" w:fill="FFFFFF"/>
                <w:lang w:val="en-US"/>
              </w:rPr>
              <w:t xml:space="preserve"> care </w:t>
            </w:r>
            <w:proofErr w:type="spellStart"/>
            <w:r w:rsidRPr="00A72916">
              <w:rPr>
                <w:rFonts w:eastAsia="Arial Unicode MS"/>
                <w:color w:val="000000" w:themeColor="text1"/>
                <w:sz w:val="20"/>
                <w:szCs w:val="20"/>
                <w:shd w:val="clear" w:color="auto" w:fill="FFFFFF"/>
                <w:lang w:val="en-US"/>
              </w:rPr>
              <w:t>pleacă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dintr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sosesc</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în afara </w:t>
            </w:r>
            <w:proofErr w:type="spellStart"/>
            <w:r w:rsidRPr="00A72916">
              <w:rPr>
                <w:rFonts w:eastAsia="Arial Unicode MS"/>
                <w:color w:val="000000" w:themeColor="text1"/>
                <w:sz w:val="20"/>
                <w:szCs w:val="20"/>
                <w:shd w:val="clear" w:color="auto" w:fill="FFFFFF"/>
                <w:lang w:val="en-US"/>
              </w:rPr>
              <w:t>jurisdicției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cincizeci</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(50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generate de </w:t>
            </w:r>
            <w:proofErr w:type="spellStart"/>
            <w:r w:rsidRPr="00A72916">
              <w:rPr>
                <w:rFonts w:eastAsia="Arial Unicode MS"/>
                <w:color w:val="000000" w:themeColor="text1"/>
                <w:sz w:val="20"/>
                <w:szCs w:val="20"/>
                <w:shd w:val="clear" w:color="auto" w:fill="FFFFFF"/>
                <w:lang w:val="en-US"/>
              </w:rPr>
              <w:t>călătoriile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navelor</w:t>
            </w:r>
            <w:proofErr w:type="spellEnd"/>
            <w:r w:rsidRPr="00A72916">
              <w:rPr>
                <w:rFonts w:eastAsia="Arial Unicode MS"/>
                <w:color w:val="000000" w:themeColor="text1"/>
                <w:sz w:val="20"/>
                <w:szCs w:val="20"/>
                <w:shd w:val="clear" w:color="auto" w:fill="FFFFFF"/>
                <w:lang w:val="en-US"/>
              </w:rPr>
              <w:t xml:space="preserve"> care </w:t>
            </w:r>
            <w:proofErr w:type="spellStart"/>
            <w:r w:rsidRPr="00A72916">
              <w:rPr>
                <w:rFonts w:eastAsia="Arial Unicode MS"/>
                <w:color w:val="000000" w:themeColor="text1"/>
                <w:sz w:val="20"/>
                <w:szCs w:val="20"/>
                <w:shd w:val="clear" w:color="auto" w:fill="FFFFFF"/>
                <w:lang w:val="en-US"/>
              </w:rPr>
              <w:t>pleacă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dintr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în afara </w:t>
            </w:r>
            <w:proofErr w:type="spellStart"/>
            <w:r w:rsidRPr="00A72916">
              <w:rPr>
                <w:rFonts w:eastAsia="Arial Unicode MS"/>
                <w:color w:val="000000" w:themeColor="text1"/>
                <w:sz w:val="20"/>
                <w:szCs w:val="20"/>
                <w:shd w:val="clear" w:color="auto" w:fill="FFFFFF"/>
                <w:lang w:val="en-US"/>
              </w:rPr>
              <w:t>jurisdicției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sosesc</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(100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generate de </w:t>
            </w:r>
            <w:proofErr w:type="spellStart"/>
            <w:r w:rsidRPr="00A72916">
              <w:rPr>
                <w:rFonts w:eastAsia="Arial Unicode MS"/>
                <w:color w:val="000000" w:themeColor="text1"/>
                <w:sz w:val="20"/>
                <w:szCs w:val="20"/>
                <w:shd w:val="clear" w:color="auto" w:fill="FFFFFF"/>
                <w:lang w:val="en-US"/>
              </w:rPr>
              <w:t>călătoriile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navelor</w:t>
            </w:r>
            <w:proofErr w:type="spellEnd"/>
            <w:r w:rsidRPr="00A72916">
              <w:rPr>
                <w:rFonts w:eastAsia="Arial Unicode MS"/>
                <w:color w:val="000000" w:themeColor="text1"/>
                <w:sz w:val="20"/>
                <w:szCs w:val="20"/>
                <w:shd w:val="clear" w:color="auto" w:fill="FFFFFF"/>
                <w:lang w:val="en-US"/>
              </w:rPr>
              <w:t xml:space="preserve"> care </w:t>
            </w:r>
            <w:proofErr w:type="spellStart"/>
            <w:r w:rsidRPr="00A72916">
              <w:rPr>
                <w:rFonts w:eastAsia="Arial Unicode MS"/>
                <w:color w:val="000000" w:themeColor="text1"/>
                <w:sz w:val="20"/>
                <w:szCs w:val="20"/>
                <w:shd w:val="clear" w:color="auto" w:fill="FFFFFF"/>
                <w:lang w:val="en-US"/>
              </w:rPr>
              <w:t>pleacă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dintr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sosesc</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într</w:t>
            </w:r>
            <w:proofErr w:type="spellEnd"/>
            <w:r w:rsidRPr="00A72916">
              <w:rPr>
                <w:rFonts w:eastAsia="Arial Unicode MS"/>
                <w:color w:val="000000" w:themeColor="text1"/>
                <w:sz w:val="20"/>
                <w:szCs w:val="20"/>
                <w:shd w:val="clear" w:color="auto" w:fill="FFFFFF"/>
                <w:lang w:val="en-US"/>
              </w:rPr>
              <w:t xml:space="preserve">-un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sută</w:t>
            </w:r>
            <w:proofErr w:type="spellEnd"/>
            <w:r w:rsidRPr="00A72916">
              <w:rPr>
                <w:rFonts w:eastAsia="Arial Unicode MS"/>
                <w:color w:val="000000" w:themeColor="text1"/>
                <w:sz w:val="20"/>
                <w:szCs w:val="20"/>
                <w:shd w:val="clear" w:color="auto" w:fill="FFFFFF"/>
                <w:lang w:val="en-US"/>
              </w:rPr>
              <w:t xml:space="preserve"> (100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produse</w:t>
            </w:r>
            <w:proofErr w:type="spellEnd"/>
            <w:r w:rsidRPr="00A72916">
              <w:rPr>
                <w:rFonts w:eastAsia="Arial Unicode MS"/>
                <w:color w:val="000000" w:themeColor="text1"/>
                <w:sz w:val="20"/>
                <w:szCs w:val="20"/>
                <w:shd w:val="clear" w:color="auto" w:fill="FFFFFF"/>
                <w:lang w:val="en-US"/>
              </w:rPr>
              <w:t xml:space="preserve"> de nave în </w:t>
            </w:r>
            <w:proofErr w:type="spellStart"/>
            <w:r w:rsidRPr="00A72916">
              <w:rPr>
                <w:rFonts w:eastAsia="Arial Unicode MS"/>
                <w:color w:val="000000" w:themeColor="text1"/>
                <w:sz w:val="20"/>
                <w:szCs w:val="20"/>
                <w:shd w:val="clear" w:color="auto" w:fill="FFFFFF"/>
                <w:lang w:val="en-US"/>
              </w:rPr>
              <w:t>cadrul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port de </w:t>
            </w:r>
            <w:proofErr w:type="spellStart"/>
            <w:r w:rsidRPr="00A72916">
              <w:rPr>
                <w:rFonts w:eastAsia="Arial Unicode MS"/>
                <w:color w:val="000000" w:themeColor="text1"/>
                <w:sz w:val="20"/>
                <w:szCs w:val="20"/>
                <w:shd w:val="clear" w:color="auto" w:fill="FFFFFF"/>
                <w:lang w:val="en-US"/>
              </w:rPr>
              <w:t>escală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w:t>
            </w:r>
          </w:p>
          <w:p w14:paraId="6523971E" w14:textId="500A0839" w:rsidR="00124364" w:rsidRPr="00A72916" w:rsidRDefault="00000000" w:rsidP="00A72916">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A72916">
              <w:rPr>
                <w:rFonts w:eastAsia="Arial Unicode MS"/>
                <w:color w:val="000000" w:themeColor="text1"/>
                <w:sz w:val="20"/>
                <w:szCs w:val="20"/>
                <w:shd w:val="clear" w:color="auto" w:fill="FFFFFF"/>
                <w:lang w:val="en-US"/>
              </w:rPr>
              <w:t>Până</w:t>
            </w:r>
            <w:proofErr w:type="spellEnd"/>
            <w:r w:rsidRPr="00A72916">
              <w:rPr>
                <w:rFonts w:eastAsia="Arial Unicode MS"/>
                <w:color w:val="000000" w:themeColor="text1"/>
                <w:sz w:val="20"/>
                <w:szCs w:val="20"/>
                <w:shd w:val="clear" w:color="auto" w:fill="FFFFFF"/>
                <w:lang w:val="en-US"/>
              </w:rPr>
              <w:t xml:space="preserve"> la 31</w:t>
            </w:r>
            <w:r w:rsidR="00A72916"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decembrie</w:t>
            </w:r>
            <w:proofErr w:type="spellEnd"/>
            <w:r w:rsidRPr="00A72916">
              <w:rPr>
                <w:rFonts w:eastAsia="Arial Unicode MS"/>
                <w:color w:val="000000" w:themeColor="text1"/>
                <w:sz w:val="20"/>
                <w:szCs w:val="20"/>
                <w:shd w:val="clear" w:color="auto" w:fill="FFFFFF"/>
                <w:lang w:val="en-US"/>
              </w:rPr>
              <w:t xml:space="preserve"> 2023, </w:t>
            </w:r>
            <w:proofErr w:type="spellStart"/>
            <w:r w:rsidRPr="00A72916">
              <w:rPr>
                <w:rFonts w:eastAsia="Arial Unicode MS"/>
                <w:color w:val="000000" w:themeColor="text1"/>
                <w:sz w:val="20"/>
                <w:szCs w:val="20"/>
                <w:shd w:val="clear" w:color="auto" w:fill="FFFFFF"/>
                <w:lang w:val="en-US"/>
              </w:rPr>
              <w:t>Comisia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stabilește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prin</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intermediul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acte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punere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aplicare</w:t>
            </w:r>
            <w:proofErr w:type="spellEnd"/>
            <w:r w:rsidRPr="00A72916">
              <w:rPr>
                <w:rFonts w:eastAsia="Arial Unicode MS"/>
                <w:color w:val="000000" w:themeColor="text1"/>
                <w:sz w:val="20"/>
                <w:szCs w:val="20"/>
                <w:shd w:val="clear" w:color="auto" w:fill="FFFFFF"/>
                <w:lang w:val="en-US"/>
              </w:rPr>
              <w:t xml:space="preserve">, o </w:t>
            </w:r>
            <w:proofErr w:type="spellStart"/>
            <w:r w:rsidRPr="00A72916">
              <w:rPr>
                <w:rFonts w:eastAsia="Arial Unicode MS"/>
                <w:color w:val="000000" w:themeColor="text1"/>
                <w:sz w:val="20"/>
                <w:szCs w:val="20"/>
                <w:shd w:val="clear" w:color="auto" w:fill="FFFFFF"/>
                <w:lang w:val="en-US"/>
              </w:rPr>
              <w:t>listă</w:t>
            </w:r>
            <w:proofErr w:type="spellEnd"/>
            <w:r w:rsidRPr="00A72916">
              <w:rPr>
                <w:rFonts w:eastAsia="Arial Unicode MS"/>
                <w:color w:val="000000" w:themeColor="text1"/>
                <w:sz w:val="20"/>
                <w:szCs w:val="20"/>
                <w:shd w:val="clear" w:color="auto" w:fill="FFFFFF"/>
                <w:lang w:val="en-US"/>
              </w:rPr>
              <w:t xml:space="preserve"> a </w:t>
            </w:r>
            <w:proofErr w:type="spellStart"/>
            <w:r w:rsidRPr="00A72916">
              <w:rPr>
                <w:rFonts w:eastAsia="Arial Unicode MS"/>
                <w:color w:val="000000" w:themeColor="text1"/>
                <w:sz w:val="20"/>
                <w:szCs w:val="20"/>
                <w:shd w:val="clear" w:color="auto" w:fill="FFFFFF"/>
                <w:lang w:val="en-US"/>
              </w:rPr>
              <w:t>porturilor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învecinate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transbordare</w:t>
            </w:r>
            <w:proofErr w:type="spellEnd"/>
            <w:r w:rsidRPr="00A72916">
              <w:rPr>
                <w:rFonts w:eastAsia="Arial Unicode MS"/>
                <w:color w:val="000000" w:themeColor="text1"/>
                <w:sz w:val="20"/>
                <w:szCs w:val="20"/>
                <w:shd w:val="clear" w:color="auto" w:fill="FFFFFF"/>
                <w:lang w:val="en-US"/>
              </w:rPr>
              <w:t xml:space="preserve"> a </w:t>
            </w:r>
            <w:proofErr w:type="spellStart"/>
            <w:r w:rsidRPr="00A72916">
              <w:rPr>
                <w:rFonts w:eastAsia="Arial Unicode MS"/>
                <w:color w:val="000000" w:themeColor="text1"/>
                <w:sz w:val="20"/>
                <w:szCs w:val="20"/>
                <w:shd w:val="clear" w:color="auto" w:fill="FFFFFF"/>
                <w:lang w:val="en-US"/>
              </w:rPr>
              <w:t>containerelor</w:t>
            </w:r>
            <w:proofErr w:type="spellEnd"/>
            <w:r w:rsidRPr="00A72916">
              <w:rPr>
                <w:rFonts w:eastAsia="Arial Unicode MS"/>
                <w:color w:val="000000" w:themeColor="text1"/>
                <w:sz w:val="20"/>
                <w:szCs w:val="20"/>
                <w:shd w:val="clear" w:color="auto" w:fill="FFFFFF"/>
                <w:lang w:val="en-US"/>
              </w:rPr>
              <w:t xml:space="preserve"> și, ulterior, </w:t>
            </w:r>
            <w:proofErr w:type="spellStart"/>
            <w:r w:rsidRPr="00A72916">
              <w:rPr>
                <w:rFonts w:eastAsia="Arial Unicode MS"/>
                <w:color w:val="000000" w:themeColor="text1"/>
                <w:sz w:val="20"/>
                <w:szCs w:val="20"/>
                <w:shd w:val="clear" w:color="auto" w:fill="FFFFFF"/>
                <w:lang w:val="en-US"/>
              </w:rPr>
              <w:t>actualizează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lista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respectivă</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fiecare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doi</w:t>
            </w:r>
            <w:proofErr w:type="spellEnd"/>
            <w:r w:rsidRPr="00A72916">
              <w:rPr>
                <w:rFonts w:eastAsia="Arial Unicode MS"/>
                <w:color w:val="000000" w:themeColor="text1"/>
                <w:sz w:val="20"/>
                <w:szCs w:val="20"/>
                <w:shd w:val="clear" w:color="auto" w:fill="FFFFFF"/>
                <w:lang w:val="en-US"/>
              </w:rPr>
              <w:t xml:space="preserve"> ani, </w:t>
            </w:r>
            <w:proofErr w:type="spellStart"/>
            <w:r w:rsidRPr="00A72916">
              <w:rPr>
                <w:rFonts w:eastAsia="Arial Unicode MS"/>
                <w:color w:val="000000" w:themeColor="text1"/>
                <w:sz w:val="20"/>
                <w:szCs w:val="20"/>
                <w:shd w:val="clear" w:color="auto" w:fill="FFFFFF"/>
                <w:lang w:val="en-US"/>
              </w:rPr>
              <w:t>până</w:t>
            </w:r>
            <w:proofErr w:type="spellEnd"/>
            <w:r w:rsidRPr="00A72916">
              <w:rPr>
                <w:rFonts w:eastAsia="Arial Unicode MS"/>
                <w:color w:val="000000" w:themeColor="text1"/>
                <w:sz w:val="20"/>
                <w:szCs w:val="20"/>
                <w:shd w:val="clear" w:color="auto" w:fill="FFFFFF"/>
                <w:lang w:val="en-US"/>
              </w:rPr>
              <w:t xml:space="preserve"> la 31 </w:t>
            </w:r>
            <w:proofErr w:type="spellStart"/>
            <w:r w:rsidRPr="00A72916">
              <w:rPr>
                <w:rFonts w:eastAsia="Arial Unicode MS"/>
                <w:color w:val="000000" w:themeColor="text1"/>
                <w:sz w:val="20"/>
                <w:szCs w:val="20"/>
                <w:shd w:val="clear" w:color="auto" w:fill="FFFFFF"/>
                <w:lang w:val="en-US"/>
              </w:rPr>
              <w:t>decembrie</w:t>
            </w:r>
            <w:proofErr w:type="spellEnd"/>
            <w:r w:rsidRPr="00A72916">
              <w:rPr>
                <w:rFonts w:eastAsia="Arial Unicode MS"/>
                <w:color w:val="000000" w:themeColor="text1"/>
                <w:sz w:val="20"/>
                <w:szCs w:val="20"/>
                <w:shd w:val="clear" w:color="auto" w:fill="FFFFFF"/>
                <w:lang w:val="en-US"/>
              </w:rPr>
              <w:t>.</w:t>
            </w:r>
          </w:p>
          <w:p w14:paraId="21693E01" w14:textId="5C76E4C8" w:rsidR="00124364" w:rsidRPr="00A72916" w:rsidRDefault="00000000" w:rsidP="00A72916">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proofErr w:type="spellStart"/>
            <w:r w:rsidRPr="00A72916">
              <w:rPr>
                <w:rFonts w:eastAsia="Arial Unicode MS"/>
                <w:color w:val="000000" w:themeColor="text1"/>
                <w:sz w:val="20"/>
                <w:szCs w:val="20"/>
                <w:shd w:val="clear" w:color="auto" w:fill="FFFFFF"/>
                <w:lang w:val="en-US"/>
              </w:rPr>
              <w:t>Actele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punere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aplicare</w:t>
            </w:r>
            <w:proofErr w:type="spellEnd"/>
            <w:r w:rsidRPr="00A72916">
              <w:rPr>
                <w:rFonts w:eastAsia="Arial Unicode MS"/>
                <w:color w:val="000000" w:themeColor="text1"/>
                <w:sz w:val="20"/>
                <w:szCs w:val="20"/>
                <w:shd w:val="clear" w:color="auto" w:fill="FFFFFF"/>
                <w:lang w:val="en-US"/>
              </w:rPr>
              <w:t xml:space="preserve"> respective </w:t>
            </w:r>
            <w:proofErr w:type="spellStart"/>
            <w:r w:rsidRPr="00A72916">
              <w:rPr>
                <w:rFonts w:eastAsia="Arial Unicode MS"/>
                <w:color w:val="000000" w:themeColor="text1"/>
                <w:sz w:val="20"/>
                <w:szCs w:val="20"/>
                <w:shd w:val="clear" w:color="auto" w:fill="FFFFFF"/>
                <w:lang w:val="en-US"/>
              </w:rPr>
              <w:t>indică</w:t>
            </w:r>
            <w:proofErr w:type="spellEnd"/>
            <w:r w:rsidRPr="00A72916">
              <w:rPr>
                <w:rFonts w:eastAsia="Arial Unicode MS"/>
                <w:color w:val="000000" w:themeColor="text1"/>
                <w:sz w:val="20"/>
                <w:szCs w:val="20"/>
                <w:shd w:val="clear" w:color="auto" w:fill="FFFFFF"/>
                <w:lang w:val="en-US"/>
              </w:rPr>
              <w:t xml:space="preserve"> un port ca </w:t>
            </w:r>
            <w:proofErr w:type="spellStart"/>
            <w:r w:rsidRPr="00A72916">
              <w:rPr>
                <w:rFonts w:eastAsia="Arial Unicode MS"/>
                <w:color w:val="000000" w:themeColor="text1"/>
                <w:sz w:val="20"/>
                <w:szCs w:val="20"/>
                <w:shd w:val="clear" w:color="auto" w:fill="FFFFFF"/>
                <w:lang w:val="en-US"/>
              </w:rPr>
              <w:t>fiind</w:t>
            </w:r>
            <w:proofErr w:type="spellEnd"/>
            <w:r w:rsidRPr="00A72916">
              <w:rPr>
                <w:rFonts w:eastAsia="Arial Unicode MS"/>
                <w:color w:val="000000" w:themeColor="text1"/>
                <w:sz w:val="20"/>
                <w:szCs w:val="20"/>
                <w:shd w:val="clear" w:color="auto" w:fill="FFFFFF"/>
                <w:lang w:val="en-US"/>
              </w:rPr>
              <w:t xml:space="preserve"> port </w:t>
            </w:r>
            <w:proofErr w:type="spellStart"/>
            <w:r w:rsidRPr="00A72916">
              <w:rPr>
                <w:rFonts w:eastAsia="Arial Unicode MS"/>
                <w:color w:val="000000" w:themeColor="text1"/>
                <w:sz w:val="20"/>
                <w:szCs w:val="20"/>
                <w:shd w:val="clear" w:color="auto" w:fill="FFFFFF"/>
                <w:lang w:val="en-US"/>
              </w:rPr>
              <w:t>învecinat</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transbordare</w:t>
            </w:r>
            <w:proofErr w:type="spellEnd"/>
            <w:r w:rsidRPr="00A72916">
              <w:rPr>
                <w:rFonts w:eastAsia="Arial Unicode MS"/>
                <w:color w:val="000000" w:themeColor="text1"/>
                <w:sz w:val="20"/>
                <w:szCs w:val="20"/>
                <w:shd w:val="clear" w:color="auto" w:fill="FFFFFF"/>
                <w:lang w:val="en-US"/>
              </w:rPr>
              <w:t xml:space="preserve"> a </w:t>
            </w:r>
            <w:proofErr w:type="spellStart"/>
            <w:r w:rsidRPr="00A72916">
              <w:rPr>
                <w:rFonts w:eastAsia="Arial Unicode MS"/>
                <w:color w:val="000000" w:themeColor="text1"/>
                <w:sz w:val="20"/>
                <w:szCs w:val="20"/>
                <w:shd w:val="clear" w:color="auto" w:fill="FFFFFF"/>
                <w:lang w:val="en-US"/>
              </w:rPr>
              <w:t>containerelor</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cazul</w:t>
            </w:r>
            <w:proofErr w:type="spellEnd"/>
            <w:r w:rsidRPr="00A72916">
              <w:rPr>
                <w:rFonts w:eastAsia="Arial Unicode MS"/>
                <w:color w:val="000000" w:themeColor="text1"/>
                <w:sz w:val="20"/>
                <w:szCs w:val="20"/>
                <w:shd w:val="clear" w:color="auto" w:fill="FFFFFF"/>
                <w:lang w:val="en-US"/>
              </w:rPr>
              <w:t xml:space="preserve"> în care </w:t>
            </w:r>
            <w:proofErr w:type="spellStart"/>
            <w:r w:rsidRPr="00A72916">
              <w:rPr>
                <w:rFonts w:eastAsia="Arial Unicode MS"/>
                <w:color w:val="000000" w:themeColor="text1"/>
                <w:sz w:val="20"/>
                <w:szCs w:val="20"/>
                <w:shd w:val="clear" w:color="auto" w:fill="FFFFFF"/>
                <w:lang w:val="en-US"/>
              </w:rPr>
              <w:t>ponderea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transbordării</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containere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măsurată</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unități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echivalente</w:t>
            </w:r>
            <w:proofErr w:type="spellEnd"/>
            <w:r w:rsidRPr="00A72916">
              <w:rPr>
                <w:rFonts w:eastAsia="Arial Unicode MS"/>
                <w:color w:val="000000" w:themeColor="text1"/>
                <w:sz w:val="20"/>
                <w:szCs w:val="20"/>
                <w:shd w:val="clear" w:color="auto" w:fill="FFFFFF"/>
                <w:lang w:val="en-US"/>
              </w:rPr>
              <w:t xml:space="preserve"> cu </w:t>
            </w:r>
            <w:proofErr w:type="spellStart"/>
            <w:r w:rsidRPr="00A72916">
              <w:rPr>
                <w:rFonts w:eastAsia="Arial Unicode MS"/>
                <w:color w:val="000000" w:themeColor="text1"/>
                <w:sz w:val="20"/>
                <w:szCs w:val="20"/>
                <w:shd w:val="clear" w:color="auto" w:fill="FFFFFF"/>
                <w:lang w:val="en-US"/>
              </w:rPr>
              <w:t>douăzeci</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picioare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depășește</w:t>
            </w:r>
            <w:proofErr w:type="spellEnd"/>
            <w:r w:rsidRPr="00A72916">
              <w:rPr>
                <w:rFonts w:eastAsia="Arial Unicode MS"/>
                <w:color w:val="000000" w:themeColor="text1"/>
                <w:sz w:val="20"/>
                <w:szCs w:val="20"/>
                <w:shd w:val="clear" w:color="auto" w:fill="FFFFFF"/>
                <w:lang w:val="en-US"/>
              </w:rPr>
              <w:t xml:space="preserve"> 65</w:t>
            </w:r>
            <w:r w:rsid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traficul</w:t>
            </w:r>
            <w:proofErr w:type="spellEnd"/>
            <w:r w:rsidRPr="00A72916">
              <w:rPr>
                <w:rFonts w:eastAsia="Arial Unicode MS"/>
                <w:color w:val="000000" w:themeColor="text1"/>
                <w:sz w:val="20"/>
                <w:szCs w:val="20"/>
                <w:shd w:val="clear" w:color="auto" w:fill="FFFFFF"/>
                <w:lang w:val="en-US"/>
              </w:rPr>
              <w:t xml:space="preserve"> total de </w:t>
            </w:r>
            <w:proofErr w:type="spellStart"/>
            <w:r w:rsidRPr="00A72916">
              <w:rPr>
                <w:rFonts w:eastAsia="Arial Unicode MS"/>
                <w:color w:val="000000" w:themeColor="text1"/>
                <w:sz w:val="20"/>
                <w:szCs w:val="20"/>
                <w:shd w:val="clear" w:color="auto" w:fill="FFFFFF"/>
                <w:lang w:val="en-US"/>
              </w:rPr>
              <w:t>containere</w:t>
            </w:r>
            <w:proofErr w:type="spellEnd"/>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portul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respectiv</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cursul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celei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mai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recente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perioade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douăsprezece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luni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care sunt </w:t>
            </w:r>
            <w:proofErr w:type="spellStart"/>
            <w:r w:rsidRPr="00A72916">
              <w:rPr>
                <w:rFonts w:eastAsia="Arial Unicode MS"/>
                <w:color w:val="000000" w:themeColor="text1"/>
                <w:sz w:val="20"/>
                <w:szCs w:val="20"/>
                <w:shd w:val="clear" w:color="auto" w:fill="FFFFFF"/>
                <w:lang w:val="en-US"/>
              </w:rPr>
              <w:t>disponibile</w:t>
            </w:r>
            <w:proofErr w:type="spellEnd"/>
            <w:r w:rsidRPr="00A72916">
              <w:rPr>
                <w:rFonts w:eastAsia="Arial Unicode MS"/>
                <w:color w:val="000000" w:themeColor="text1"/>
                <w:sz w:val="20"/>
                <w:szCs w:val="20"/>
                <w:shd w:val="clear" w:color="auto" w:fill="FFFFFF"/>
                <w:lang w:val="en-US"/>
              </w:rPr>
              <w:t xml:space="preserve"> date </w:t>
            </w:r>
            <w:proofErr w:type="spellStart"/>
            <w:r w:rsidRPr="00A72916">
              <w:rPr>
                <w:rFonts w:eastAsia="Arial Unicode MS"/>
                <w:color w:val="000000" w:themeColor="text1"/>
                <w:sz w:val="20"/>
                <w:szCs w:val="20"/>
                <w:shd w:val="clear" w:color="auto" w:fill="FFFFFF"/>
                <w:lang w:val="en-US"/>
              </w:rPr>
              <w:t>relevante</w:t>
            </w:r>
            <w:proofErr w:type="spellEnd"/>
            <w:r w:rsidRPr="00A72916">
              <w:rPr>
                <w:rFonts w:eastAsia="Arial Unicode MS"/>
                <w:color w:val="000000" w:themeColor="text1"/>
                <w:sz w:val="20"/>
                <w:szCs w:val="20"/>
                <w:shd w:val="clear" w:color="auto" w:fill="FFFFFF"/>
                <w:lang w:val="en-US"/>
              </w:rPr>
              <w:t xml:space="preserve"> și </w:t>
            </w:r>
            <w:proofErr w:type="spellStart"/>
            <w:r w:rsidRPr="00A72916">
              <w:rPr>
                <w:rFonts w:eastAsia="Arial Unicode MS"/>
                <w:color w:val="000000" w:themeColor="text1"/>
                <w:sz w:val="20"/>
                <w:szCs w:val="20"/>
                <w:shd w:val="clear" w:color="auto" w:fill="FFFFFF"/>
                <w:lang w:val="en-US"/>
              </w:rPr>
              <w:t>dacă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portul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respectiv</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este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situat</w:t>
            </w:r>
            <w:proofErr w:type="spellEnd"/>
            <w:r w:rsidRPr="00A72916">
              <w:rPr>
                <w:rFonts w:eastAsia="Arial Unicode MS"/>
                <w:color w:val="000000" w:themeColor="text1"/>
                <w:sz w:val="20"/>
                <w:szCs w:val="20"/>
                <w:shd w:val="clear" w:color="auto" w:fill="FFFFFF"/>
                <w:lang w:val="en-US"/>
              </w:rPr>
              <w:t xml:space="preserve"> în afara </w:t>
            </w:r>
            <w:proofErr w:type="spellStart"/>
            <w:r w:rsidRPr="00A72916">
              <w:rPr>
                <w:rFonts w:eastAsia="Arial Unicode MS"/>
                <w:color w:val="000000" w:themeColor="text1"/>
                <w:sz w:val="20"/>
                <w:szCs w:val="20"/>
                <w:shd w:val="clear" w:color="auto" w:fill="FFFFFF"/>
                <w:lang w:val="en-US"/>
              </w:rPr>
              <w:t>Uniunii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dar</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mai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puțin</w:t>
            </w:r>
            <w:proofErr w:type="spellEnd"/>
            <w:r w:rsidRPr="00A72916">
              <w:rPr>
                <w:rFonts w:eastAsia="Arial Unicode MS"/>
                <w:color w:val="000000" w:themeColor="text1"/>
                <w:sz w:val="20"/>
                <w:szCs w:val="20"/>
                <w:shd w:val="clear" w:color="auto" w:fill="FFFFFF"/>
                <w:lang w:val="en-US"/>
              </w:rPr>
              <w:t xml:space="preserve"> de 300 de mile marine de un port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jurisdicția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stat </w:t>
            </w:r>
            <w:proofErr w:type="spellStart"/>
            <w:r w:rsidRPr="00A72916">
              <w:rPr>
                <w:rFonts w:eastAsia="Arial Unicode MS"/>
                <w:color w:val="000000" w:themeColor="text1"/>
                <w:sz w:val="20"/>
                <w:szCs w:val="20"/>
                <w:shd w:val="clear" w:color="auto" w:fill="FFFFFF"/>
                <w:lang w:val="en-US"/>
              </w:rPr>
              <w:t>membru</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sensul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prezentului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alineat</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containerele</w:t>
            </w:r>
            <w:proofErr w:type="spellEnd"/>
            <w:r w:rsidRPr="00A72916">
              <w:rPr>
                <w:rFonts w:eastAsia="Arial Unicode MS"/>
                <w:color w:val="000000" w:themeColor="text1"/>
                <w:sz w:val="20"/>
                <w:szCs w:val="20"/>
                <w:shd w:val="clear" w:color="auto" w:fill="FFFFFF"/>
                <w:lang w:val="en-US"/>
              </w:rPr>
              <w:t xml:space="preserve"> sunt considerate ca </w:t>
            </w:r>
            <w:proofErr w:type="spellStart"/>
            <w:r w:rsidRPr="00A72916">
              <w:rPr>
                <w:rFonts w:eastAsia="Arial Unicode MS"/>
                <w:color w:val="000000" w:themeColor="text1"/>
                <w:sz w:val="20"/>
                <w:szCs w:val="20"/>
                <w:shd w:val="clear" w:color="auto" w:fill="FFFFFF"/>
                <w:lang w:val="en-US"/>
              </w:rPr>
              <w:t>fiind</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transbordate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atunci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când</w:t>
            </w:r>
            <w:proofErr w:type="spellEnd"/>
            <w:r w:rsidRPr="00A72916">
              <w:rPr>
                <w:rFonts w:eastAsia="Arial Unicode MS"/>
                <w:color w:val="000000" w:themeColor="text1"/>
                <w:sz w:val="20"/>
                <w:szCs w:val="20"/>
                <w:shd w:val="clear" w:color="auto" w:fill="FFFFFF"/>
                <w:lang w:val="en-US"/>
              </w:rPr>
              <w:t xml:space="preserve"> sunt </w:t>
            </w:r>
            <w:proofErr w:type="spellStart"/>
            <w:r w:rsidRPr="00A72916">
              <w:rPr>
                <w:rFonts w:eastAsia="Arial Unicode MS"/>
                <w:color w:val="000000" w:themeColor="text1"/>
                <w:sz w:val="20"/>
                <w:szCs w:val="20"/>
                <w:shd w:val="clear" w:color="auto" w:fill="FFFFFF"/>
                <w:lang w:val="en-US"/>
              </w:rPr>
              <w:t>descărcate</w:t>
            </w:r>
            <w:proofErr w:type="spellEnd"/>
            <w:r w:rsidRPr="00A72916">
              <w:rPr>
                <w:rFonts w:eastAsia="Arial Unicode MS"/>
                <w:color w:val="000000" w:themeColor="text1"/>
                <w:sz w:val="20"/>
                <w:szCs w:val="20"/>
                <w:shd w:val="clear" w:color="auto" w:fill="FFFFFF"/>
                <w:lang w:val="en-US"/>
              </w:rPr>
              <w:t xml:space="preserve"> de pe o </w:t>
            </w:r>
            <w:proofErr w:type="spellStart"/>
            <w:r w:rsidRPr="00A72916">
              <w:rPr>
                <w:rFonts w:eastAsia="Arial Unicode MS"/>
                <w:color w:val="000000" w:themeColor="text1"/>
                <w:sz w:val="20"/>
                <w:szCs w:val="20"/>
                <w:shd w:val="clear" w:color="auto" w:fill="FFFFFF"/>
                <w:lang w:val="en-US"/>
              </w:rPr>
              <w:t>navă</w:t>
            </w:r>
            <w:proofErr w:type="spellEnd"/>
            <w:r w:rsidRPr="00A72916">
              <w:rPr>
                <w:rFonts w:eastAsia="Arial Unicode MS"/>
                <w:color w:val="000000" w:themeColor="text1"/>
                <w:sz w:val="20"/>
                <w:szCs w:val="20"/>
                <w:shd w:val="clear" w:color="auto" w:fill="FFFFFF"/>
                <w:lang w:val="en-US"/>
              </w:rPr>
              <w:t xml:space="preserve"> în port cu </w:t>
            </w:r>
            <w:proofErr w:type="spellStart"/>
            <w:r w:rsidRPr="00A72916">
              <w:rPr>
                <w:rFonts w:eastAsia="Arial Unicode MS"/>
                <w:color w:val="000000" w:themeColor="text1"/>
                <w:sz w:val="20"/>
                <w:szCs w:val="20"/>
                <w:shd w:val="clear" w:color="auto" w:fill="FFFFFF"/>
                <w:lang w:val="en-US"/>
              </w:rPr>
              <w:t>unicul</w:t>
            </w:r>
            <w:proofErr w:type="spellEnd"/>
            <w:r w:rsidRPr="00A72916">
              <w:rPr>
                <w:rFonts w:eastAsia="Arial Unicode MS"/>
                <w:color w:val="000000" w:themeColor="text1"/>
                <w:sz w:val="20"/>
                <w:szCs w:val="20"/>
                <w:shd w:val="clear" w:color="auto" w:fill="FFFFFF"/>
                <w:lang w:val="en-US"/>
              </w:rPr>
              <w:t xml:space="preserve"> scop de a fi </w:t>
            </w:r>
            <w:proofErr w:type="spellStart"/>
            <w:r w:rsidRPr="00A72916">
              <w:rPr>
                <w:rFonts w:eastAsia="Arial Unicode MS"/>
                <w:color w:val="000000" w:themeColor="text1"/>
                <w:sz w:val="20"/>
                <w:szCs w:val="20"/>
                <w:shd w:val="clear" w:color="auto" w:fill="FFFFFF"/>
                <w:lang w:val="en-US"/>
              </w:rPr>
              <w:t>încărcate</w:t>
            </w:r>
            <w:proofErr w:type="spellEnd"/>
            <w:r w:rsidRPr="00A72916">
              <w:rPr>
                <w:rFonts w:eastAsia="Arial Unicode MS"/>
                <w:color w:val="000000" w:themeColor="text1"/>
                <w:sz w:val="20"/>
                <w:szCs w:val="20"/>
                <w:shd w:val="clear" w:color="auto" w:fill="FFFFFF"/>
                <w:lang w:val="en-US"/>
              </w:rPr>
              <w:t xml:space="preserve"> pe o </w:t>
            </w:r>
            <w:proofErr w:type="spellStart"/>
            <w:r w:rsidRPr="00A72916">
              <w:rPr>
                <w:rFonts w:eastAsia="Arial Unicode MS"/>
                <w:color w:val="000000" w:themeColor="text1"/>
                <w:sz w:val="20"/>
                <w:szCs w:val="20"/>
                <w:shd w:val="clear" w:color="auto" w:fill="FFFFFF"/>
                <w:lang w:val="en-US"/>
              </w:rPr>
              <w:t>altă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navă</w:t>
            </w:r>
            <w:proofErr w:type="spellEnd"/>
            <w:r w:rsidRPr="00A72916">
              <w:rPr>
                <w:rFonts w:eastAsia="Arial Unicode MS"/>
                <w:color w:val="000000" w:themeColor="text1"/>
                <w:sz w:val="20"/>
                <w:szCs w:val="20"/>
                <w:shd w:val="clear" w:color="auto" w:fill="FFFFFF"/>
                <w:lang w:val="en-US"/>
              </w:rPr>
              <w:t xml:space="preserve">. Lista </w:t>
            </w:r>
            <w:proofErr w:type="spellStart"/>
            <w:r w:rsidRPr="00A72916">
              <w:rPr>
                <w:rFonts w:eastAsia="Arial Unicode MS"/>
                <w:color w:val="000000" w:themeColor="text1"/>
                <w:sz w:val="20"/>
                <w:szCs w:val="20"/>
                <w:shd w:val="clear" w:color="auto" w:fill="FFFFFF"/>
                <w:lang w:val="en-US"/>
              </w:rPr>
              <w:t>stabilită</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Comisie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temeiul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primului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paragraf</w:t>
            </w:r>
            <w:proofErr w:type="spellEnd"/>
            <w:r w:rsidRPr="00A72916">
              <w:rPr>
                <w:rFonts w:eastAsia="Arial Unicode MS"/>
                <w:color w:val="000000" w:themeColor="text1"/>
                <w:sz w:val="20"/>
                <w:szCs w:val="20"/>
                <w:shd w:val="clear" w:color="auto" w:fill="FFFFFF"/>
                <w:lang w:val="en-US"/>
              </w:rPr>
              <w:t xml:space="preserve"> nu include </w:t>
            </w:r>
            <w:proofErr w:type="spellStart"/>
            <w:r w:rsidRPr="00A72916">
              <w:rPr>
                <w:rFonts w:eastAsia="Arial Unicode MS"/>
                <w:color w:val="000000" w:themeColor="text1"/>
                <w:sz w:val="20"/>
                <w:szCs w:val="20"/>
                <w:shd w:val="clear" w:color="auto" w:fill="FFFFFF"/>
                <w:lang w:val="en-US"/>
              </w:rPr>
              <w:t>porturile</w:t>
            </w:r>
            <w:proofErr w:type="spellEnd"/>
            <w:r w:rsidRPr="00A72916">
              <w:rPr>
                <w:rFonts w:eastAsia="Arial Unicode MS"/>
                <w:color w:val="000000" w:themeColor="text1"/>
                <w:sz w:val="20"/>
                <w:szCs w:val="20"/>
                <w:shd w:val="clear" w:color="auto" w:fill="FFFFFF"/>
                <w:lang w:val="en-US"/>
              </w:rPr>
              <w:t xml:space="preserve"> situate </w:t>
            </w:r>
            <w:proofErr w:type="spellStart"/>
            <w:r w:rsidRPr="00A72916">
              <w:rPr>
                <w:rFonts w:eastAsia="Arial Unicode MS"/>
                <w:color w:val="000000" w:themeColor="text1"/>
                <w:sz w:val="20"/>
                <w:szCs w:val="20"/>
                <w:shd w:val="clear" w:color="auto" w:fill="FFFFFF"/>
                <w:lang w:val="en-US"/>
              </w:rPr>
              <w:t>într</w:t>
            </w:r>
            <w:proofErr w:type="spellEnd"/>
            <w:r w:rsidRPr="00A72916">
              <w:rPr>
                <w:rFonts w:eastAsia="Arial Unicode MS"/>
                <w:color w:val="000000" w:themeColor="text1"/>
                <w:sz w:val="20"/>
                <w:szCs w:val="20"/>
                <w:shd w:val="clear" w:color="auto" w:fill="FFFFFF"/>
                <w:lang w:val="en-US"/>
              </w:rPr>
              <w:t xml:space="preserve">-o </w:t>
            </w:r>
            <w:proofErr w:type="spellStart"/>
            <w:r w:rsidRPr="00A72916">
              <w:rPr>
                <w:rFonts w:eastAsia="Arial Unicode MS"/>
                <w:color w:val="000000" w:themeColor="text1"/>
                <w:sz w:val="20"/>
                <w:szCs w:val="20"/>
                <w:shd w:val="clear" w:color="auto" w:fill="FFFFFF"/>
                <w:lang w:val="en-US"/>
              </w:rPr>
              <w:t>țară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terță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care </w:t>
            </w:r>
            <w:proofErr w:type="spellStart"/>
            <w:r w:rsidRPr="00A72916">
              <w:rPr>
                <w:rFonts w:eastAsia="Arial Unicode MS"/>
                <w:color w:val="000000" w:themeColor="text1"/>
                <w:sz w:val="20"/>
                <w:szCs w:val="20"/>
                <w:shd w:val="clear" w:color="auto" w:fill="FFFFFF"/>
                <w:lang w:val="en-US"/>
              </w:rPr>
              <w:t>țara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terță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respectivă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aplică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efectiv</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măsuri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echivalente</w:t>
            </w:r>
            <w:proofErr w:type="spellEnd"/>
            <w:r w:rsidRPr="00A72916">
              <w:rPr>
                <w:rFonts w:eastAsia="Arial Unicode MS"/>
                <w:color w:val="000000" w:themeColor="text1"/>
                <w:sz w:val="20"/>
                <w:szCs w:val="20"/>
                <w:shd w:val="clear" w:color="auto" w:fill="FFFFFF"/>
                <w:lang w:val="en-US"/>
              </w:rPr>
              <w:t xml:space="preserve"> cu prezenta </w:t>
            </w:r>
            <w:proofErr w:type="spellStart"/>
            <w:r w:rsidRPr="00A72916">
              <w:rPr>
                <w:rFonts w:eastAsia="Arial Unicode MS"/>
                <w:color w:val="000000" w:themeColor="text1"/>
                <w:sz w:val="20"/>
                <w:szCs w:val="20"/>
                <w:shd w:val="clear" w:color="auto" w:fill="FFFFFF"/>
                <w:lang w:val="en-US"/>
              </w:rPr>
              <w:t>directivă</w:t>
            </w:r>
            <w:proofErr w:type="spellEnd"/>
            <w:r w:rsidRPr="00A72916">
              <w:rPr>
                <w:rFonts w:eastAsia="Arial Unicode MS"/>
                <w:color w:val="000000" w:themeColor="text1"/>
                <w:sz w:val="20"/>
                <w:szCs w:val="20"/>
                <w:shd w:val="clear" w:color="auto" w:fill="FFFFFF"/>
                <w:lang w:val="en-US"/>
              </w:rPr>
              <w:t>.</w:t>
            </w:r>
          </w:p>
          <w:p w14:paraId="5D7C799D" w14:textId="5E523EDF" w:rsidR="00124364" w:rsidRPr="00A72916" w:rsidRDefault="00000000" w:rsidP="00A72916">
            <w:pPr>
              <w:pStyle w:val="ti-art"/>
              <w:shd w:val="clear" w:color="auto" w:fill="FFFFFF"/>
              <w:spacing w:before="0" w:beforeAutospacing="0" w:after="0" w:afterAutospacing="0"/>
              <w:ind w:left="720"/>
              <w:jc w:val="both"/>
              <w:rPr>
                <w:i/>
                <w:iCs/>
                <w:color w:val="000000" w:themeColor="text1"/>
                <w:sz w:val="20"/>
                <w:szCs w:val="20"/>
                <w:lang w:val="en-US"/>
              </w:rPr>
            </w:pPr>
            <w:proofErr w:type="spellStart"/>
            <w:r w:rsidRPr="00A72916">
              <w:rPr>
                <w:rFonts w:eastAsia="Arial Unicode MS"/>
                <w:color w:val="000000" w:themeColor="text1"/>
                <w:sz w:val="20"/>
                <w:szCs w:val="20"/>
                <w:shd w:val="clear" w:color="auto" w:fill="FFFFFF"/>
                <w:lang w:val="en-US"/>
              </w:rPr>
              <w:t>Actele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punere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aplicare</w:t>
            </w:r>
            <w:proofErr w:type="spellEnd"/>
            <w:r w:rsidRPr="00A72916">
              <w:rPr>
                <w:rFonts w:eastAsia="Arial Unicode MS"/>
                <w:color w:val="000000" w:themeColor="text1"/>
                <w:sz w:val="20"/>
                <w:szCs w:val="20"/>
                <w:shd w:val="clear" w:color="auto" w:fill="FFFFFF"/>
                <w:lang w:val="en-US"/>
              </w:rPr>
              <w:t xml:space="preserve"> respective se </w:t>
            </w:r>
            <w:proofErr w:type="spellStart"/>
            <w:r w:rsidRPr="00A72916">
              <w:rPr>
                <w:rFonts w:eastAsia="Arial Unicode MS"/>
                <w:color w:val="000000" w:themeColor="text1"/>
                <w:sz w:val="20"/>
                <w:szCs w:val="20"/>
                <w:shd w:val="clear" w:color="auto" w:fill="FFFFFF"/>
                <w:lang w:val="en-US"/>
              </w:rPr>
              <w:t>adoptă</w:t>
            </w:r>
            <w:proofErr w:type="spellEnd"/>
            <w:r w:rsidRPr="00A72916">
              <w:rPr>
                <w:rFonts w:eastAsia="Arial Unicode MS"/>
                <w:color w:val="000000" w:themeColor="text1"/>
                <w:sz w:val="20"/>
                <w:szCs w:val="20"/>
                <w:shd w:val="clear" w:color="auto" w:fill="FFFFFF"/>
                <w:lang w:val="en-US"/>
              </w:rPr>
              <w:t xml:space="preserve"> în conformitate cu </w:t>
            </w:r>
            <w:proofErr w:type="spellStart"/>
            <w:r w:rsidRPr="00A72916">
              <w:rPr>
                <w:rFonts w:eastAsia="Arial Unicode MS"/>
                <w:color w:val="000000" w:themeColor="text1"/>
                <w:sz w:val="20"/>
                <w:szCs w:val="20"/>
                <w:shd w:val="clear" w:color="auto" w:fill="FFFFFF"/>
                <w:lang w:val="en-US"/>
              </w:rPr>
              <w:t>procedura</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examinare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menționată</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22a </w:t>
            </w:r>
            <w:proofErr w:type="spellStart"/>
            <w:r w:rsidRPr="00A72916">
              <w:rPr>
                <w:rFonts w:eastAsia="Arial Unicode MS"/>
                <w:color w:val="000000" w:themeColor="text1"/>
                <w:sz w:val="20"/>
                <w:szCs w:val="20"/>
                <w:shd w:val="clear" w:color="auto" w:fill="FFFFFF"/>
                <w:lang w:val="en-US"/>
              </w:rPr>
              <w:t>alineatul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(2).</w:t>
            </w:r>
          </w:p>
          <w:p w14:paraId="0B52604B" w14:textId="4F0166EF" w:rsidR="00124364" w:rsidRPr="00A72916" w:rsidRDefault="00000000" w:rsidP="00A72916">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A72916">
              <w:rPr>
                <w:rFonts w:eastAsia="Arial Unicode MS"/>
                <w:color w:val="000000" w:themeColor="text1"/>
                <w:sz w:val="20"/>
                <w:szCs w:val="20"/>
                <w:shd w:val="clear" w:color="auto" w:fill="FFFFFF"/>
                <w:lang w:val="en-US"/>
              </w:rPr>
              <w:t>Articolele</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9, 9a și</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10 se </w:t>
            </w:r>
            <w:proofErr w:type="spellStart"/>
            <w:r w:rsidRPr="00A72916">
              <w:rPr>
                <w:rFonts w:eastAsia="Arial Unicode MS"/>
                <w:color w:val="000000" w:themeColor="text1"/>
                <w:sz w:val="20"/>
                <w:szCs w:val="20"/>
                <w:shd w:val="clear" w:color="auto" w:fill="FFFFFF"/>
                <w:lang w:val="en-US"/>
              </w:rPr>
              <w:t>aplică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activităților</w:t>
            </w:r>
            <w:proofErr w:type="spellEnd"/>
            <w:r w:rsidRPr="00A72916">
              <w:rPr>
                <w:rFonts w:eastAsia="Arial Unicode MS"/>
                <w:color w:val="000000" w:themeColor="text1"/>
                <w:sz w:val="20"/>
                <w:szCs w:val="20"/>
                <w:shd w:val="clear" w:color="auto" w:fill="FFFFFF"/>
                <w:lang w:val="en-US"/>
              </w:rPr>
              <w:t xml:space="preserve"> de transport maritim în </w:t>
            </w:r>
            <w:proofErr w:type="spellStart"/>
            <w:r w:rsidRPr="00A72916">
              <w:rPr>
                <w:rFonts w:eastAsia="Arial Unicode MS"/>
                <w:color w:val="000000" w:themeColor="text1"/>
                <w:sz w:val="20"/>
                <w:szCs w:val="20"/>
                <w:shd w:val="clear" w:color="auto" w:fill="FFFFFF"/>
                <w:lang w:val="en-US"/>
              </w:rPr>
              <w:t>același</w:t>
            </w:r>
            <w:proofErr w:type="spellEnd"/>
            <w:r w:rsidRPr="00A72916">
              <w:rPr>
                <w:rFonts w:eastAsia="Arial Unicode MS"/>
                <w:color w:val="000000" w:themeColor="text1"/>
                <w:sz w:val="20"/>
                <w:szCs w:val="20"/>
                <w:shd w:val="clear" w:color="auto" w:fill="FFFFFF"/>
                <w:lang w:val="en-US"/>
              </w:rPr>
              <w:t xml:space="preserve"> mod în care se </w:t>
            </w:r>
            <w:proofErr w:type="spellStart"/>
            <w:r w:rsidRPr="00A72916">
              <w:rPr>
                <w:rFonts w:eastAsia="Arial Unicode MS"/>
                <w:color w:val="000000" w:themeColor="text1"/>
                <w:sz w:val="20"/>
                <w:szCs w:val="20"/>
                <w:shd w:val="clear" w:color="auto" w:fill="FFFFFF"/>
                <w:lang w:val="en-US"/>
              </w:rPr>
              <w:t>aplică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altor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activități</w:t>
            </w:r>
            <w:proofErr w:type="spellEnd"/>
            <w:r w:rsidRPr="00A72916">
              <w:rPr>
                <w:rFonts w:eastAsia="Arial Unicode MS"/>
                <w:color w:val="000000" w:themeColor="text1"/>
                <w:sz w:val="20"/>
                <w:szCs w:val="20"/>
                <w:shd w:val="clear" w:color="auto" w:fill="FFFFFF"/>
                <w:lang w:val="en-US"/>
              </w:rPr>
              <w:t xml:space="preserve"> care </w:t>
            </w:r>
            <w:proofErr w:type="spellStart"/>
            <w:r w:rsidRPr="00A72916">
              <w:rPr>
                <w:rFonts w:eastAsia="Arial Unicode MS"/>
                <w:color w:val="000000" w:themeColor="text1"/>
                <w:sz w:val="20"/>
                <w:szCs w:val="20"/>
                <w:shd w:val="clear" w:color="auto" w:fill="FFFFFF"/>
                <w:lang w:val="en-US"/>
              </w:rPr>
              <w:t>intră</w:t>
            </w:r>
            <w:proofErr w:type="spellEnd"/>
            <w:r w:rsidRPr="00A72916">
              <w:rPr>
                <w:rFonts w:eastAsia="Arial Unicode MS"/>
                <w:color w:val="000000" w:themeColor="text1"/>
                <w:sz w:val="20"/>
                <w:szCs w:val="20"/>
                <w:shd w:val="clear" w:color="auto" w:fill="FFFFFF"/>
                <w:lang w:val="en-US"/>
              </w:rPr>
              <w:t xml:space="preserve"> sub </w:t>
            </w:r>
            <w:proofErr w:type="spellStart"/>
            <w:r w:rsidRPr="00A72916">
              <w:rPr>
                <w:rFonts w:eastAsia="Arial Unicode MS"/>
                <w:color w:val="000000" w:themeColor="text1"/>
                <w:sz w:val="20"/>
                <w:szCs w:val="20"/>
                <w:shd w:val="clear" w:color="auto" w:fill="FFFFFF"/>
                <w:lang w:val="en-US"/>
              </w:rPr>
              <w:t>incidența</w:t>
            </w:r>
            <w:proofErr w:type="spellEnd"/>
            <w:r w:rsidRPr="00A72916">
              <w:rPr>
                <w:rFonts w:eastAsia="Arial Unicode MS"/>
                <w:color w:val="000000" w:themeColor="text1"/>
                <w:sz w:val="20"/>
                <w:szCs w:val="20"/>
                <w:shd w:val="clear" w:color="auto" w:fill="FFFFFF"/>
                <w:lang w:val="en-US"/>
              </w:rPr>
              <w:t xml:space="preserve"> EU</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ETS, cu </w:t>
            </w:r>
            <w:proofErr w:type="spellStart"/>
            <w:r w:rsidRPr="00A72916">
              <w:rPr>
                <w:rFonts w:eastAsia="Arial Unicode MS"/>
                <w:color w:val="000000" w:themeColor="text1"/>
                <w:sz w:val="20"/>
                <w:szCs w:val="20"/>
                <w:shd w:val="clear" w:color="auto" w:fill="FFFFFF"/>
                <w:lang w:val="en-US"/>
              </w:rPr>
              <w:lastRenderedPageBreak/>
              <w:t>următoarea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excepție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ceea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privește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aplicarea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articolului</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10.</w:t>
            </w:r>
          </w:p>
          <w:p w14:paraId="7244D211" w14:textId="591A357D" w:rsidR="00124364" w:rsidRDefault="00000000" w:rsidP="00A72916">
            <w:pPr>
              <w:pStyle w:val="ti-art"/>
              <w:shd w:val="clear" w:color="auto" w:fill="FFFFFF"/>
              <w:spacing w:before="0" w:beforeAutospacing="0" w:after="0" w:afterAutospacing="0"/>
              <w:ind w:left="720"/>
              <w:jc w:val="both"/>
              <w:rPr>
                <w:i/>
                <w:iCs/>
                <w:color w:val="333333"/>
                <w:sz w:val="20"/>
                <w:szCs w:val="20"/>
                <w:lang w:val="en-US"/>
              </w:rPr>
            </w:pPr>
            <w:proofErr w:type="spellStart"/>
            <w:r w:rsidRPr="00A72916">
              <w:rPr>
                <w:rFonts w:eastAsia="Arial Unicode MS"/>
                <w:color w:val="000000" w:themeColor="text1"/>
                <w:sz w:val="20"/>
                <w:szCs w:val="20"/>
                <w:shd w:val="clear" w:color="auto" w:fill="FFFFFF"/>
                <w:lang w:val="en-US"/>
              </w:rPr>
              <w:t>Până</w:t>
            </w:r>
            <w:proofErr w:type="spellEnd"/>
            <w:r w:rsidRPr="00A72916">
              <w:rPr>
                <w:rFonts w:eastAsia="Arial Unicode MS"/>
                <w:color w:val="000000" w:themeColor="text1"/>
                <w:sz w:val="20"/>
                <w:szCs w:val="20"/>
                <w:shd w:val="clear" w:color="auto" w:fill="FFFFFF"/>
                <w:lang w:val="en-US"/>
              </w:rPr>
              <w:t xml:space="preserve"> la 31</w:t>
            </w:r>
            <w:r w:rsidR="00A72916"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decembrie</w:t>
            </w:r>
            <w:proofErr w:type="spellEnd"/>
            <w:r w:rsidRPr="00A72916">
              <w:rPr>
                <w:rFonts w:eastAsia="Arial Unicode MS"/>
                <w:color w:val="000000" w:themeColor="text1"/>
                <w:sz w:val="20"/>
                <w:szCs w:val="20"/>
                <w:shd w:val="clear" w:color="auto" w:fill="FFFFFF"/>
                <w:lang w:val="en-US"/>
              </w:rPr>
              <w:t xml:space="preserve"> 2030, o </w:t>
            </w:r>
            <w:proofErr w:type="spellStart"/>
            <w:r w:rsidRPr="00A72916">
              <w:rPr>
                <w:rFonts w:eastAsia="Arial Unicode MS"/>
                <w:color w:val="000000" w:themeColor="text1"/>
                <w:sz w:val="20"/>
                <w:szCs w:val="20"/>
                <w:shd w:val="clear" w:color="auto" w:fill="FFFFFF"/>
                <w:lang w:val="en-US"/>
              </w:rPr>
              <w:t>parte</w:t>
            </w:r>
            <w:proofErr w:type="spellEnd"/>
            <w:r w:rsidRPr="00A72916">
              <w:rPr>
                <w:rFonts w:eastAsia="Arial Unicode MS"/>
                <w:color w:val="000000" w:themeColor="text1"/>
                <w:sz w:val="20"/>
                <w:szCs w:val="20"/>
                <w:shd w:val="clear" w:color="auto" w:fill="FFFFFF"/>
                <w:lang w:val="en-US"/>
              </w:rPr>
              <w:t xml:space="preserve"> din certificate se </w:t>
            </w:r>
            <w:proofErr w:type="spellStart"/>
            <w:r w:rsidRPr="00A72916">
              <w:rPr>
                <w:rFonts w:eastAsia="Arial Unicode MS"/>
                <w:color w:val="000000" w:themeColor="text1"/>
                <w:sz w:val="20"/>
                <w:szCs w:val="20"/>
                <w:shd w:val="clear" w:color="auto" w:fill="FFFFFF"/>
                <w:lang w:val="en-US"/>
              </w:rPr>
              <w:t>atribuie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statelor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membre</w:t>
            </w:r>
            <w:proofErr w:type="spellEnd"/>
            <w:r w:rsidRPr="00A72916">
              <w:rPr>
                <w:rFonts w:eastAsia="Arial Unicode MS"/>
                <w:color w:val="000000" w:themeColor="text1"/>
                <w:sz w:val="20"/>
                <w:szCs w:val="20"/>
                <w:shd w:val="clear" w:color="auto" w:fill="FFFFFF"/>
                <w:lang w:val="en-US"/>
              </w:rPr>
              <w:t xml:space="preserve"> în care </w:t>
            </w:r>
            <w:proofErr w:type="spellStart"/>
            <w:r w:rsidRPr="00A72916">
              <w:rPr>
                <w:rFonts w:eastAsia="Arial Unicode MS"/>
                <w:color w:val="000000" w:themeColor="text1"/>
                <w:sz w:val="20"/>
                <w:szCs w:val="20"/>
                <w:shd w:val="clear" w:color="auto" w:fill="FFFFFF"/>
                <w:lang w:val="en-US"/>
              </w:rPr>
              <w:t>ponderea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companiilor</w:t>
            </w:r>
            <w:proofErr w:type="spellEnd"/>
            <w:r w:rsidRPr="00A72916">
              <w:rPr>
                <w:rFonts w:eastAsia="Arial Unicode MS"/>
                <w:color w:val="000000" w:themeColor="text1"/>
                <w:sz w:val="20"/>
                <w:szCs w:val="20"/>
                <w:shd w:val="clear" w:color="auto" w:fill="FFFFFF"/>
                <w:lang w:val="en-US"/>
              </w:rPr>
              <w:t xml:space="preserve"> de transport maritim care s-</w:t>
            </w:r>
            <w:proofErr w:type="spellStart"/>
            <w:r w:rsidRPr="00A72916">
              <w:rPr>
                <w:rFonts w:eastAsia="Arial Unicode MS"/>
                <w:color w:val="000000" w:themeColor="text1"/>
                <w:sz w:val="20"/>
                <w:szCs w:val="20"/>
                <w:shd w:val="clear" w:color="auto" w:fill="FFFFFF"/>
                <w:lang w:val="en-US"/>
              </w:rPr>
              <w:t>ar</w:t>
            </w:r>
            <w:proofErr w:type="spellEnd"/>
            <w:r w:rsidRPr="00A72916">
              <w:rPr>
                <w:rFonts w:eastAsia="Arial Unicode MS"/>
                <w:color w:val="000000" w:themeColor="text1"/>
                <w:sz w:val="20"/>
                <w:szCs w:val="20"/>
                <w:shd w:val="clear" w:color="auto" w:fill="FFFFFF"/>
                <w:lang w:val="en-US"/>
              </w:rPr>
              <w:t xml:space="preserve"> fi </w:t>
            </w:r>
            <w:proofErr w:type="spellStart"/>
            <w:r w:rsidRPr="00A72916">
              <w:rPr>
                <w:rFonts w:eastAsia="Arial Unicode MS"/>
                <w:color w:val="000000" w:themeColor="text1"/>
                <w:sz w:val="20"/>
                <w:szCs w:val="20"/>
                <w:shd w:val="clear" w:color="auto" w:fill="FFFFFF"/>
                <w:lang w:val="en-US"/>
              </w:rPr>
              <w:t>aflat</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responsabilitatea</w:t>
            </w:r>
            <w:proofErr w:type="spellEnd"/>
            <w:r w:rsidRPr="00A72916">
              <w:rPr>
                <w:rFonts w:eastAsia="Arial Unicode MS"/>
                <w:color w:val="000000" w:themeColor="text1"/>
                <w:sz w:val="20"/>
                <w:szCs w:val="20"/>
                <w:shd w:val="clear" w:color="auto" w:fill="FFFFFF"/>
                <w:lang w:val="en-US"/>
              </w:rPr>
              <w:t xml:space="preserve"> lor în </w:t>
            </w:r>
            <w:proofErr w:type="spellStart"/>
            <w:r w:rsidRPr="00A72916">
              <w:rPr>
                <w:rFonts w:eastAsia="Arial Unicode MS"/>
                <w:color w:val="000000" w:themeColor="text1"/>
                <w:sz w:val="20"/>
                <w:szCs w:val="20"/>
                <w:shd w:val="clear" w:color="auto" w:fill="FFFFFF"/>
                <w:lang w:val="en-US"/>
              </w:rPr>
              <w:t>temeiul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articolului</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3gf, în </w:t>
            </w:r>
            <w:proofErr w:type="spellStart"/>
            <w:r w:rsidRPr="00A72916">
              <w:rPr>
                <w:rFonts w:eastAsia="Arial Unicode MS"/>
                <w:color w:val="000000" w:themeColor="text1"/>
                <w:sz w:val="20"/>
                <w:szCs w:val="20"/>
                <w:shd w:val="clear" w:color="auto" w:fill="FFFFFF"/>
                <w:lang w:val="en-US"/>
              </w:rPr>
              <w:t>raport</w:t>
            </w:r>
            <w:proofErr w:type="spellEnd"/>
            <w:r w:rsidRPr="00A72916">
              <w:rPr>
                <w:rFonts w:eastAsia="Arial Unicode MS"/>
                <w:color w:val="000000" w:themeColor="text1"/>
                <w:sz w:val="20"/>
                <w:szCs w:val="20"/>
                <w:shd w:val="clear" w:color="auto" w:fill="FFFFFF"/>
                <w:lang w:val="en-US"/>
              </w:rPr>
              <w:t xml:space="preserve"> cu </w:t>
            </w:r>
            <w:proofErr w:type="spellStart"/>
            <w:r w:rsidRPr="00A72916">
              <w:rPr>
                <w:rFonts w:eastAsia="Arial Unicode MS"/>
                <w:color w:val="000000" w:themeColor="text1"/>
                <w:sz w:val="20"/>
                <w:szCs w:val="20"/>
                <w:shd w:val="clear" w:color="auto" w:fill="FFFFFF"/>
                <w:lang w:val="en-US"/>
              </w:rPr>
              <w:t>populația</w:t>
            </w:r>
            <w:proofErr w:type="spellEnd"/>
            <w:r w:rsidRPr="00A72916">
              <w:rPr>
                <w:rFonts w:eastAsia="Arial Unicode MS"/>
                <w:color w:val="000000" w:themeColor="text1"/>
                <w:sz w:val="20"/>
                <w:szCs w:val="20"/>
                <w:shd w:val="clear" w:color="auto" w:fill="FFFFFF"/>
                <w:lang w:val="en-US"/>
              </w:rPr>
              <w:t xml:space="preserve"> lor din 2020 și pe </w:t>
            </w:r>
            <w:proofErr w:type="spellStart"/>
            <w:r w:rsidRPr="00A72916">
              <w:rPr>
                <w:rFonts w:eastAsia="Arial Unicode MS"/>
                <w:color w:val="000000" w:themeColor="text1"/>
                <w:sz w:val="20"/>
                <w:szCs w:val="20"/>
                <w:shd w:val="clear" w:color="auto" w:fill="FFFFFF"/>
                <w:lang w:val="en-US"/>
              </w:rPr>
              <w:t>baza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datelor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disponibile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perioada 2018-2020, </w:t>
            </w:r>
            <w:proofErr w:type="spellStart"/>
            <w:r w:rsidRPr="00A72916">
              <w:rPr>
                <w:rFonts w:eastAsia="Arial Unicode MS"/>
                <w:color w:val="000000" w:themeColor="text1"/>
                <w:sz w:val="20"/>
                <w:szCs w:val="20"/>
                <w:shd w:val="clear" w:color="auto" w:fill="FFFFFF"/>
                <w:lang w:val="en-US"/>
              </w:rPr>
              <w:t>este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peste</w:t>
            </w:r>
            <w:proofErr w:type="spellEnd"/>
            <w:r w:rsidRPr="00A72916">
              <w:rPr>
                <w:rFonts w:eastAsia="Arial Unicode MS"/>
                <w:color w:val="000000" w:themeColor="text1"/>
                <w:sz w:val="20"/>
                <w:szCs w:val="20"/>
                <w:shd w:val="clear" w:color="auto" w:fill="FFFFFF"/>
                <w:lang w:val="en-US"/>
              </w:rPr>
              <w:t xml:space="preserve"> 15 </w:t>
            </w:r>
            <w:proofErr w:type="spellStart"/>
            <w:r w:rsidRPr="00A72916">
              <w:rPr>
                <w:rFonts w:eastAsia="Arial Unicode MS"/>
                <w:color w:val="000000" w:themeColor="text1"/>
                <w:sz w:val="20"/>
                <w:szCs w:val="20"/>
                <w:shd w:val="clear" w:color="auto" w:fill="FFFFFF"/>
                <w:lang w:val="en-US"/>
              </w:rPr>
              <w:t>companii</w:t>
            </w:r>
            <w:proofErr w:type="spellEnd"/>
            <w:r w:rsidRPr="00A72916">
              <w:rPr>
                <w:rFonts w:eastAsia="Arial Unicode MS"/>
                <w:color w:val="000000" w:themeColor="text1"/>
                <w:sz w:val="20"/>
                <w:szCs w:val="20"/>
                <w:shd w:val="clear" w:color="auto" w:fill="FFFFFF"/>
                <w:lang w:val="en-US"/>
              </w:rPr>
              <w:t xml:space="preserve"> de transport maritim la 1</w:t>
            </w:r>
            <w:r w:rsidR="00A72916"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milion</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locuitori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Cantitatea</w:t>
            </w:r>
            <w:proofErr w:type="spellEnd"/>
            <w:r w:rsidRPr="00A72916">
              <w:rPr>
                <w:rFonts w:eastAsia="Arial Unicode MS"/>
                <w:color w:val="000000" w:themeColor="text1"/>
                <w:sz w:val="20"/>
                <w:szCs w:val="20"/>
                <w:shd w:val="clear" w:color="auto" w:fill="FFFFFF"/>
                <w:lang w:val="en-US"/>
              </w:rPr>
              <w:t xml:space="preserve"> de certificate </w:t>
            </w:r>
            <w:proofErr w:type="spellStart"/>
            <w:r w:rsidRPr="00A72916">
              <w:rPr>
                <w:rFonts w:eastAsia="Arial Unicode MS"/>
                <w:color w:val="000000" w:themeColor="text1"/>
                <w:sz w:val="20"/>
                <w:szCs w:val="20"/>
                <w:shd w:val="clear" w:color="auto" w:fill="FFFFFF"/>
                <w:lang w:val="en-US"/>
              </w:rPr>
              <w:t>corespunde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unui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procent</w:t>
            </w:r>
            <w:proofErr w:type="spellEnd"/>
            <w:r w:rsidRPr="00A72916">
              <w:rPr>
                <w:rFonts w:eastAsia="Arial Unicode MS"/>
                <w:color w:val="000000" w:themeColor="text1"/>
                <w:sz w:val="20"/>
                <w:szCs w:val="20"/>
                <w:shd w:val="clear" w:color="auto" w:fill="FFFFFF"/>
                <w:lang w:val="en-US"/>
              </w:rPr>
              <w:t xml:space="preserve"> de</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3,5</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cantitatea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suplimentară</w:t>
            </w:r>
            <w:proofErr w:type="spellEnd"/>
            <w:r w:rsidRPr="00A72916">
              <w:rPr>
                <w:rFonts w:eastAsia="Arial Unicode MS"/>
                <w:color w:val="000000" w:themeColor="text1"/>
                <w:sz w:val="20"/>
                <w:szCs w:val="20"/>
                <w:shd w:val="clear" w:color="auto" w:fill="FFFFFF"/>
                <w:lang w:val="en-US"/>
              </w:rPr>
              <w:t xml:space="preserve"> de certificate </w:t>
            </w:r>
            <w:proofErr w:type="spellStart"/>
            <w:r w:rsidRPr="00A72916">
              <w:rPr>
                <w:rFonts w:eastAsia="Arial Unicode MS"/>
                <w:color w:val="000000" w:themeColor="text1"/>
                <w:sz w:val="20"/>
                <w:szCs w:val="20"/>
                <w:shd w:val="clear" w:color="auto" w:fill="FFFFFF"/>
                <w:lang w:val="en-US"/>
              </w:rPr>
              <w:t>asociată</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creșterii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plafonului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transportul</w:t>
            </w:r>
            <w:proofErr w:type="spellEnd"/>
            <w:r w:rsidRPr="00A72916">
              <w:rPr>
                <w:rFonts w:eastAsia="Arial Unicode MS"/>
                <w:color w:val="000000" w:themeColor="text1"/>
                <w:sz w:val="20"/>
                <w:szCs w:val="20"/>
                <w:shd w:val="clear" w:color="auto" w:fill="FFFFFF"/>
                <w:lang w:val="en-US"/>
              </w:rPr>
              <w:t xml:space="preserve"> maritim, </w:t>
            </w:r>
            <w:proofErr w:type="spellStart"/>
            <w:r w:rsidRPr="00A72916">
              <w:rPr>
                <w:rFonts w:eastAsia="Arial Unicode MS"/>
                <w:color w:val="000000" w:themeColor="text1"/>
                <w:sz w:val="20"/>
                <w:szCs w:val="20"/>
                <w:shd w:val="clear" w:color="auto" w:fill="FFFFFF"/>
                <w:lang w:val="en-US"/>
              </w:rPr>
              <w:t>menționată</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9 al </w:t>
            </w:r>
            <w:proofErr w:type="spellStart"/>
            <w:r w:rsidRPr="00A72916">
              <w:rPr>
                <w:rFonts w:eastAsia="Arial Unicode MS"/>
                <w:color w:val="000000" w:themeColor="text1"/>
                <w:sz w:val="20"/>
                <w:szCs w:val="20"/>
                <w:shd w:val="clear" w:color="auto" w:fill="FFFFFF"/>
                <w:lang w:val="en-US"/>
              </w:rPr>
              <w:t>treilea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paragraf</w:t>
            </w:r>
            <w:proofErr w:type="spellEnd"/>
            <w:r w:rsidRPr="00A72916">
              <w:rPr>
                <w:rFonts w:eastAsia="Arial Unicode MS"/>
                <w:color w:val="000000" w:themeColor="text1"/>
                <w:sz w:val="20"/>
                <w:szCs w:val="20"/>
                <w:shd w:val="clear" w:color="auto" w:fill="FFFFFF"/>
                <w:lang w:val="en-US"/>
              </w:rPr>
              <w:t xml:space="preserve">, în anul </w:t>
            </w:r>
            <w:proofErr w:type="spellStart"/>
            <w:r w:rsidRPr="00A72916">
              <w:rPr>
                <w:rFonts w:eastAsia="Arial Unicode MS"/>
                <w:color w:val="000000" w:themeColor="text1"/>
                <w:sz w:val="20"/>
                <w:szCs w:val="20"/>
                <w:shd w:val="clear" w:color="auto" w:fill="FFFFFF"/>
                <w:lang w:val="en-US"/>
              </w:rPr>
              <w:t>corespunzător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anii</w:t>
            </w:r>
            <w:proofErr w:type="spellEnd"/>
            <w:r w:rsidRPr="00A72916">
              <w:rPr>
                <w:rFonts w:eastAsia="Arial Unicode MS"/>
                <w:color w:val="000000" w:themeColor="text1"/>
                <w:sz w:val="20"/>
                <w:szCs w:val="20"/>
                <w:shd w:val="clear" w:color="auto" w:fill="FFFFFF"/>
                <w:lang w:val="en-US"/>
              </w:rPr>
              <w:t xml:space="preserve"> 2024 și</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2025, </w:t>
            </w:r>
            <w:proofErr w:type="spellStart"/>
            <w:r w:rsidRPr="00A72916">
              <w:rPr>
                <w:rFonts w:eastAsia="Arial Unicode MS"/>
                <w:color w:val="000000" w:themeColor="text1"/>
                <w:sz w:val="20"/>
                <w:szCs w:val="20"/>
                <w:shd w:val="clear" w:color="auto" w:fill="FFFFFF"/>
                <w:lang w:val="en-US"/>
              </w:rPr>
              <w:t>cantitatea</w:t>
            </w:r>
            <w:proofErr w:type="spellEnd"/>
            <w:r w:rsidRPr="00A72916">
              <w:rPr>
                <w:rFonts w:eastAsia="Arial Unicode MS"/>
                <w:color w:val="000000" w:themeColor="text1"/>
                <w:sz w:val="20"/>
                <w:szCs w:val="20"/>
                <w:shd w:val="clear" w:color="auto" w:fill="FFFFFF"/>
                <w:lang w:val="en-US"/>
              </w:rPr>
              <w:t xml:space="preserve"> de certificate se </w:t>
            </w:r>
            <w:proofErr w:type="spellStart"/>
            <w:r w:rsidRPr="00A72916">
              <w:rPr>
                <w:rFonts w:eastAsia="Arial Unicode MS"/>
                <w:color w:val="000000" w:themeColor="text1"/>
                <w:sz w:val="20"/>
                <w:szCs w:val="20"/>
                <w:shd w:val="clear" w:color="auto" w:fill="FFFFFF"/>
                <w:lang w:val="en-US"/>
              </w:rPr>
              <w:t>înmulțește</w:t>
            </w:r>
            <w:proofErr w:type="spellEnd"/>
            <w:r w:rsidRPr="00A72916">
              <w:rPr>
                <w:rFonts w:eastAsia="Arial Unicode MS"/>
                <w:color w:val="000000" w:themeColor="text1"/>
                <w:sz w:val="20"/>
                <w:szCs w:val="20"/>
                <w:shd w:val="clear" w:color="auto" w:fill="FFFFFF"/>
                <w:lang w:val="en-US"/>
              </w:rPr>
              <w:t xml:space="preserve">, în plus, cu </w:t>
            </w:r>
            <w:proofErr w:type="spellStart"/>
            <w:r w:rsidRPr="00A72916">
              <w:rPr>
                <w:rFonts w:eastAsia="Arial Unicode MS"/>
                <w:color w:val="000000" w:themeColor="text1"/>
                <w:sz w:val="20"/>
                <w:szCs w:val="20"/>
                <w:shd w:val="clear" w:color="auto" w:fill="FFFFFF"/>
                <w:lang w:val="en-US"/>
              </w:rPr>
              <w:t>procentele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aplicabile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anului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corespunzător</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temeiul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articolului</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3gb </w:t>
            </w:r>
            <w:proofErr w:type="spellStart"/>
            <w:r w:rsidRPr="00A72916">
              <w:rPr>
                <w:rFonts w:eastAsia="Arial Unicode MS"/>
                <w:color w:val="000000" w:themeColor="text1"/>
                <w:sz w:val="20"/>
                <w:szCs w:val="20"/>
                <w:shd w:val="clear" w:color="auto" w:fill="FFFFFF"/>
                <w:lang w:val="en-US"/>
              </w:rPr>
              <w:t>primul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paragraf</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literele</w:t>
            </w:r>
            <w:proofErr w:type="spellEnd"/>
            <w:r w:rsidRPr="00A72916">
              <w:rPr>
                <w:rFonts w:eastAsia="Arial Unicode MS"/>
                <w:color w:val="000000" w:themeColor="text1"/>
                <w:sz w:val="20"/>
                <w:szCs w:val="20"/>
                <w:shd w:val="clear" w:color="auto" w:fill="FFFFFF"/>
                <w:lang w:val="en-US"/>
              </w:rPr>
              <w:t xml:space="preserve"> (a) și (b). </w:t>
            </w:r>
            <w:proofErr w:type="spellStart"/>
            <w:r w:rsidRPr="00A72916">
              <w:rPr>
                <w:rFonts w:eastAsia="Arial Unicode MS"/>
                <w:color w:val="000000" w:themeColor="text1"/>
                <w:sz w:val="20"/>
                <w:szCs w:val="20"/>
                <w:shd w:val="clear" w:color="auto" w:fill="FFFFFF"/>
                <w:lang w:val="en-US"/>
              </w:rPr>
              <w:t>Veniturile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provenite</w:t>
            </w:r>
            <w:proofErr w:type="spellEnd"/>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licitarea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respectivei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părți</w:t>
            </w:r>
            <w:proofErr w:type="spellEnd"/>
            <w:r w:rsidRPr="00A72916">
              <w:rPr>
                <w:rFonts w:eastAsia="Arial Unicode MS"/>
                <w:color w:val="000000" w:themeColor="text1"/>
                <w:sz w:val="20"/>
                <w:szCs w:val="20"/>
                <w:shd w:val="clear" w:color="auto" w:fill="FFFFFF"/>
                <w:lang w:val="en-US"/>
              </w:rPr>
              <w:t xml:space="preserve"> a </w:t>
            </w:r>
            <w:proofErr w:type="spellStart"/>
            <w:r w:rsidRPr="00A72916">
              <w:rPr>
                <w:rFonts w:eastAsia="Arial Unicode MS"/>
                <w:color w:val="000000" w:themeColor="text1"/>
                <w:sz w:val="20"/>
                <w:szCs w:val="20"/>
                <w:shd w:val="clear" w:color="auto" w:fill="FFFFFF"/>
                <w:lang w:val="en-US"/>
              </w:rPr>
              <w:t>certificatelor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trebui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să</w:t>
            </w:r>
            <w:proofErr w:type="spellEnd"/>
            <w:r w:rsidRPr="00A72916">
              <w:rPr>
                <w:rFonts w:eastAsia="Arial Unicode MS"/>
                <w:color w:val="000000" w:themeColor="text1"/>
                <w:sz w:val="20"/>
                <w:szCs w:val="20"/>
                <w:shd w:val="clear" w:color="auto" w:fill="FFFFFF"/>
                <w:lang w:val="en-US"/>
              </w:rPr>
              <w:t xml:space="preserve"> fie </w:t>
            </w:r>
            <w:proofErr w:type="spellStart"/>
            <w:r w:rsidRPr="00A72916">
              <w:rPr>
                <w:rFonts w:eastAsia="Arial Unicode MS"/>
                <w:color w:val="000000" w:themeColor="text1"/>
                <w:sz w:val="20"/>
                <w:szCs w:val="20"/>
                <w:shd w:val="clear" w:color="auto" w:fill="FFFFFF"/>
                <w:lang w:val="en-US"/>
              </w:rPr>
              <w:t>utilizate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scopurile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menționate</w:t>
            </w:r>
            <w:proofErr w:type="spellEnd"/>
            <w:r w:rsidRPr="00A72916">
              <w:rPr>
                <w:rFonts w:eastAsia="Arial Unicode MS"/>
                <w:color w:val="000000" w:themeColor="text1"/>
                <w:sz w:val="20"/>
                <w:szCs w:val="20"/>
                <w:shd w:val="clear" w:color="auto" w:fill="FFFFFF"/>
                <w:lang w:val="en-US"/>
              </w:rPr>
              <w:t xml:space="preserve"> la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10 </w:t>
            </w:r>
            <w:proofErr w:type="spellStart"/>
            <w:r w:rsidRPr="00A72916">
              <w:rPr>
                <w:rFonts w:eastAsia="Arial Unicode MS"/>
                <w:color w:val="000000" w:themeColor="text1"/>
                <w:sz w:val="20"/>
                <w:szCs w:val="20"/>
                <w:shd w:val="clear" w:color="auto" w:fill="FFFFFF"/>
                <w:lang w:val="en-US"/>
              </w:rPr>
              <w:t>alineatul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(3) </w:t>
            </w:r>
            <w:proofErr w:type="spellStart"/>
            <w:r w:rsidRPr="00A72916">
              <w:rPr>
                <w:rFonts w:eastAsia="Arial Unicode MS"/>
                <w:color w:val="000000" w:themeColor="text1"/>
                <w:sz w:val="20"/>
                <w:szCs w:val="20"/>
                <w:shd w:val="clear" w:color="auto" w:fill="FFFFFF"/>
                <w:lang w:val="en-US"/>
              </w:rPr>
              <w:t>primul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paragraf</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litera</w:t>
            </w:r>
            <w:proofErr w:type="spellEnd"/>
            <w:r w:rsidRPr="00A72916">
              <w:rPr>
                <w:rFonts w:eastAsia="Arial Unicode MS"/>
                <w:color w:val="000000" w:themeColor="text1"/>
                <w:sz w:val="20"/>
                <w:szCs w:val="20"/>
                <w:shd w:val="clear" w:color="auto" w:fill="FFFFFF"/>
                <w:lang w:val="en-US"/>
              </w:rPr>
              <w:t xml:space="preserve"> (g), în </w:t>
            </w:r>
            <w:proofErr w:type="spellStart"/>
            <w:r w:rsidRPr="00A72916">
              <w:rPr>
                <w:rFonts w:eastAsia="Arial Unicode MS"/>
                <w:color w:val="000000" w:themeColor="text1"/>
                <w:sz w:val="20"/>
                <w:szCs w:val="20"/>
                <w:shd w:val="clear" w:color="auto" w:fill="FFFFFF"/>
                <w:lang w:val="en-US"/>
              </w:rPr>
              <w:t>ceea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privește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sectorul</w:t>
            </w:r>
            <w:proofErr w:type="spellEnd"/>
            <w:r w:rsidRPr="00A72916">
              <w:rPr>
                <w:rFonts w:eastAsia="Arial Unicode MS"/>
                <w:color w:val="000000" w:themeColor="text1"/>
                <w:sz w:val="20"/>
                <w:szCs w:val="20"/>
                <w:shd w:val="clear" w:color="auto" w:fill="FFFFFF"/>
                <w:lang w:val="en-US"/>
              </w:rPr>
              <w:t xml:space="preserve"> maritim, și la </w:t>
            </w:r>
            <w:proofErr w:type="spellStart"/>
            <w:r w:rsidRPr="00A72916">
              <w:rPr>
                <w:rFonts w:eastAsia="Arial Unicode MS"/>
                <w:color w:val="000000" w:themeColor="text1"/>
                <w:sz w:val="20"/>
                <w:szCs w:val="20"/>
                <w:shd w:val="clear" w:color="auto" w:fill="FFFFFF"/>
                <w:lang w:val="en-US"/>
              </w:rPr>
              <w:t>literele</w:t>
            </w:r>
            <w:proofErr w:type="spellEnd"/>
            <w:r w:rsidRPr="00A72916">
              <w:rPr>
                <w:rFonts w:eastAsia="Arial Unicode MS"/>
                <w:color w:val="000000" w:themeColor="text1"/>
                <w:sz w:val="20"/>
                <w:szCs w:val="20"/>
                <w:shd w:val="clear" w:color="auto" w:fill="FFFFFF"/>
                <w:lang w:val="en-US"/>
              </w:rPr>
              <w:t xml:space="preserve"> (f) și (</w:t>
            </w:r>
            <w:proofErr w:type="spellStart"/>
            <w:r w:rsidRPr="00A72916">
              <w:rPr>
                <w:rFonts w:eastAsia="Arial Unicode MS"/>
                <w:color w:val="000000" w:themeColor="text1"/>
                <w:sz w:val="20"/>
                <w:szCs w:val="20"/>
                <w:shd w:val="clear" w:color="auto" w:fill="FFFFFF"/>
                <w:lang w:val="en-US"/>
              </w:rPr>
              <w:t>i</w:t>
            </w:r>
            <w:proofErr w:type="spellEnd"/>
            <w:r w:rsidRPr="00A72916">
              <w:rPr>
                <w:rFonts w:eastAsia="Arial Unicode MS"/>
                <w:color w:val="000000" w:themeColor="text1"/>
                <w:sz w:val="20"/>
                <w:szCs w:val="20"/>
                <w:shd w:val="clear" w:color="auto" w:fill="FFFFFF"/>
                <w:lang w:val="en-US"/>
              </w:rPr>
              <w:t xml:space="preserve">). O </w:t>
            </w:r>
            <w:proofErr w:type="spellStart"/>
            <w:r w:rsidRPr="00A72916">
              <w:rPr>
                <w:rFonts w:eastAsia="Arial Unicode MS"/>
                <w:color w:val="000000" w:themeColor="text1"/>
                <w:sz w:val="20"/>
                <w:szCs w:val="20"/>
                <w:shd w:val="clear" w:color="auto" w:fill="FFFFFF"/>
                <w:lang w:val="en-US"/>
              </w:rPr>
              <w:t>cotă</w:t>
            </w:r>
            <w:proofErr w:type="spellEnd"/>
            <w:r w:rsidRPr="00A72916">
              <w:rPr>
                <w:rFonts w:eastAsia="Arial Unicode MS"/>
                <w:color w:val="000000" w:themeColor="text1"/>
                <w:sz w:val="20"/>
                <w:szCs w:val="20"/>
                <w:shd w:val="clear" w:color="auto" w:fill="FFFFFF"/>
                <w:lang w:val="en-US"/>
              </w:rPr>
              <w:t xml:space="preserve"> de 50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cantitatea</w:t>
            </w:r>
            <w:proofErr w:type="spellEnd"/>
            <w:r w:rsidRPr="00A72916">
              <w:rPr>
                <w:rFonts w:eastAsia="Arial Unicode MS"/>
                <w:color w:val="000000" w:themeColor="text1"/>
                <w:sz w:val="20"/>
                <w:szCs w:val="20"/>
                <w:shd w:val="clear" w:color="auto" w:fill="FFFFFF"/>
                <w:lang w:val="en-US"/>
              </w:rPr>
              <w:t xml:space="preserve"> de certificate se </w:t>
            </w:r>
            <w:proofErr w:type="spellStart"/>
            <w:r w:rsidRPr="00A72916">
              <w:rPr>
                <w:rFonts w:eastAsia="Arial Unicode MS"/>
                <w:color w:val="000000" w:themeColor="text1"/>
                <w:sz w:val="20"/>
                <w:szCs w:val="20"/>
                <w:shd w:val="clear" w:color="auto" w:fill="FFFFFF"/>
                <w:lang w:val="en-US"/>
              </w:rPr>
              <w:t>distribuie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între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statele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membre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vizate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funcție</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ponderea</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companiilor</w:t>
            </w:r>
            <w:proofErr w:type="spellEnd"/>
            <w:r w:rsidRPr="00A72916">
              <w:rPr>
                <w:rFonts w:eastAsia="Arial Unicode MS"/>
                <w:color w:val="000000" w:themeColor="text1"/>
                <w:sz w:val="20"/>
                <w:szCs w:val="20"/>
                <w:shd w:val="clear" w:color="auto" w:fill="FFFFFF"/>
                <w:lang w:val="en-US"/>
              </w:rPr>
              <w:t xml:space="preserve"> de transport maritim </w:t>
            </w:r>
            <w:proofErr w:type="spellStart"/>
            <w:r w:rsidRPr="00A72916">
              <w:rPr>
                <w:rFonts w:eastAsia="Arial Unicode MS"/>
                <w:color w:val="000000" w:themeColor="text1"/>
                <w:sz w:val="20"/>
                <w:szCs w:val="20"/>
                <w:shd w:val="clear" w:color="auto" w:fill="FFFFFF"/>
                <w:lang w:val="en-US"/>
              </w:rPr>
              <w:t>aflate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responsabilitatea</w:t>
            </w:r>
            <w:proofErr w:type="spellEnd"/>
            <w:r w:rsidRPr="00A72916">
              <w:rPr>
                <w:rFonts w:eastAsia="Arial Unicode MS"/>
                <w:color w:val="000000" w:themeColor="text1"/>
                <w:sz w:val="20"/>
                <w:szCs w:val="20"/>
                <w:shd w:val="clear" w:color="auto" w:fill="FFFFFF"/>
                <w:lang w:val="en-US"/>
              </w:rPr>
              <w:t xml:space="preserve"> lor, </w:t>
            </w:r>
            <w:proofErr w:type="spellStart"/>
            <w:r w:rsidRPr="00A72916">
              <w:rPr>
                <w:rFonts w:eastAsia="Arial Unicode MS"/>
                <w:color w:val="000000" w:themeColor="text1"/>
                <w:sz w:val="20"/>
                <w:szCs w:val="20"/>
                <w:shd w:val="clear" w:color="auto" w:fill="FFFFFF"/>
                <w:lang w:val="en-US"/>
              </w:rPr>
              <w:t>iar</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restul</w:t>
            </w:r>
            <w:proofErr w:type="spellEnd"/>
            <w:r w:rsidRPr="00A72916">
              <w:rPr>
                <w:rFonts w:eastAsia="Arial Unicode MS"/>
                <w:color w:val="000000" w:themeColor="text1"/>
                <w:sz w:val="20"/>
                <w:szCs w:val="20"/>
                <w:shd w:val="clear" w:color="auto" w:fill="FFFFFF"/>
                <w:lang w:val="en-US"/>
              </w:rPr>
              <w:t xml:space="preserve"> se </w:t>
            </w:r>
            <w:proofErr w:type="spellStart"/>
            <w:r w:rsidRPr="00A72916">
              <w:rPr>
                <w:rFonts w:eastAsia="Arial Unicode MS"/>
                <w:color w:val="000000" w:themeColor="text1"/>
                <w:sz w:val="20"/>
                <w:szCs w:val="20"/>
                <w:shd w:val="clear" w:color="auto" w:fill="FFFFFF"/>
                <w:lang w:val="en-US"/>
              </w:rPr>
              <w:t>distribuie</w:t>
            </w:r>
            <w:proofErr w:type="spellEnd"/>
            <w:r w:rsidRPr="00A72916">
              <w:rPr>
                <w:rFonts w:eastAsia="Arial Unicode MS"/>
                <w:color w:val="000000" w:themeColor="text1"/>
                <w:sz w:val="20"/>
                <w:szCs w:val="20"/>
                <w:shd w:val="clear" w:color="auto" w:fill="FFFFFF"/>
                <w:lang w:val="en-US"/>
              </w:rPr>
              <w:t xml:space="preserve"> în </w:t>
            </w:r>
            <w:proofErr w:type="spellStart"/>
            <w:r w:rsidRPr="00A72916">
              <w:rPr>
                <w:rFonts w:eastAsia="Arial Unicode MS"/>
                <w:color w:val="000000" w:themeColor="text1"/>
                <w:sz w:val="20"/>
                <w:szCs w:val="20"/>
                <w:shd w:val="clear" w:color="auto" w:fill="FFFFFF"/>
                <w:lang w:val="en-US"/>
              </w:rPr>
              <w:t>părți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egale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între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acestea</w:t>
            </w:r>
            <w:proofErr w:type="spellEnd"/>
            <w:r w:rsidRPr="00A72916">
              <w:rPr>
                <w:rFonts w:eastAsia="Arial Unicode MS"/>
                <w:color w:val="000000" w:themeColor="text1"/>
                <w:sz w:val="20"/>
                <w:szCs w:val="20"/>
                <w:shd w:val="clear" w:color="auto" w:fill="FFFFFF"/>
                <w:lang w:val="en-US"/>
              </w:rPr>
              <w:t>.</w:t>
            </w:r>
          </w:p>
        </w:tc>
        <w:tc>
          <w:tcPr>
            <w:tcW w:w="4394" w:type="dxa"/>
            <w:shd w:val="clear" w:color="auto" w:fill="auto"/>
          </w:tcPr>
          <w:p w14:paraId="56049BA3" w14:textId="77777777" w:rsidR="00B8596D" w:rsidRPr="002555E1" w:rsidRDefault="00B8596D" w:rsidP="00B8596D">
            <w:pPr>
              <w:spacing w:after="0" w:line="240" w:lineRule="auto"/>
              <w:jc w:val="right"/>
              <w:rPr>
                <w:rFonts w:ascii="Times New Roman" w:hAnsi="Times New Roman"/>
                <w:bCs/>
                <w:sz w:val="20"/>
                <w:szCs w:val="20"/>
                <w:shd w:val="clear" w:color="auto" w:fill="FFFFFF"/>
                <w:lang w:val="ro-RO"/>
              </w:rPr>
            </w:pPr>
            <w:r w:rsidRPr="002555E1">
              <w:rPr>
                <w:rFonts w:ascii="Times New Roman" w:hAnsi="Times New Roman"/>
                <w:bCs/>
                <w:sz w:val="20"/>
                <w:szCs w:val="20"/>
                <w:shd w:val="clear" w:color="auto" w:fill="FFFFFF"/>
                <w:lang w:val="ro-RO"/>
              </w:rPr>
              <w:lastRenderedPageBreak/>
              <w:t>Anexa nr. 1</w:t>
            </w:r>
          </w:p>
          <w:p w14:paraId="09D39801" w14:textId="77777777" w:rsidR="00B8596D" w:rsidRPr="002555E1" w:rsidRDefault="00B8596D" w:rsidP="00B8596D">
            <w:pPr>
              <w:tabs>
                <w:tab w:val="left" w:pos="1134"/>
              </w:tabs>
              <w:spacing w:after="0" w:line="240" w:lineRule="auto"/>
              <w:contextualSpacing/>
              <w:rPr>
                <w:rFonts w:ascii="Times New Roman" w:hAnsi="Times New Roman"/>
                <w:sz w:val="28"/>
                <w:szCs w:val="28"/>
                <w:lang w:val="ro-RO"/>
              </w:rPr>
            </w:pPr>
            <w:r w:rsidRPr="002555E1">
              <w:rPr>
                <w:rFonts w:ascii="Times New Roman" w:hAnsi="Times New Roman"/>
                <w:b/>
                <w:bCs/>
                <w:sz w:val="20"/>
                <w:szCs w:val="20"/>
                <w:lang w:val="ro-MD"/>
              </w:rPr>
              <w:t>III. Transport maritim</w:t>
            </w:r>
          </w:p>
          <w:p w14:paraId="157B2566" w14:textId="77777777" w:rsidR="00B8596D" w:rsidRPr="002555E1" w:rsidRDefault="00B8596D" w:rsidP="00B8596D">
            <w:pPr>
              <w:pBdr>
                <w:top w:val="single" w:sz="4" w:space="1" w:color="auto"/>
                <w:left w:val="single" w:sz="4" w:space="4" w:color="auto"/>
                <w:bottom w:val="single" w:sz="4" w:space="1" w:color="auto"/>
                <w:right w:val="single" w:sz="4" w:space="4" w:color="auto"/>
              </w:pBdr>
              <w:tabs>
                <w:tab w:val="left" w:pos="1134"/>
              </w:tabs>
              <w:contextualSpacing/>
              <w:jc w:val="both"/>
              <w:rPr>
                <w:rFonts w:ascii="Times New Roman" w:hAnsi="Times New Roman"/>
                <w:color w:val="000000"/>
                <w:sz w:val="20"/>
                <w:szCs w:val="20"/>
                <w:shd w:val="clear" w:color="auto" w:fill="FFFFFF"/>
                <w:lang w:val="ro-MD"/>
              </w:rPr>
            </w:pPr>
            <w:r w:rsidRPr="002555E1">
              <w:rPr>
                <w:rFonts w:ascii="Times New Roman" w:hAnsi="Times New Roman"/>
                <w:color w:val="000000"/>
                <w:sz w:val="20"/>
                <w:szCs w:val="20"/>
                <w:shd w:val="clear" w:color="auto" w:fill="FFFFFF"/>
                <w:lang w:val="ro-MD"/>
              </w:rPr>
              <w:t>Navele cu un tonaj brut de peste 5 000 de tone, în ceea ce privește emisiile de CO</w:t>
            </w:r>
            <w:r w:rsidRPr="002555E1">
              <w:rPr>
                <w:rStyle w:val="sub"/>
                <w:rFonts w:ascii="Times New Roman" w:hAnsi="Times New Roman"/>
                <w:color w:val="000000"/>
                <w:sz w:val="20"/>
                <w:szCs w:val="20"/>
                <w:shd w:val="clear" w:color="auto" w:fill="FFFFFF"/>
                <w:vertAlign w:val="subscript"/>
                <w:lang w:val="ro-MD"/>
              </w:rPr>
              <w:t>2</w:t>
            </w:r>
            <w:r w:rsidRPr="002555E1">
              <w:rPr>
                <w:rFonts w:ascii="Times New Roman" w:hAnsi="Times New Roman"/>
                <w:color w:val="000000"/>
                <w:sz w:val="20"/>
                <w:szCs w:val="20"/>
                <w:lang w:val="ro-MD"/>
              </w:rPr>
              <w:t xml:space="preserve"> </w:t>
            </w:r>
            <w:r w:rsidRPr="002555E1">
              <w:rPr>
                <w:rFonts w:ascii="Times New Roman" w:hAnsi="Times New Roman"/>
                <w:color w:val="000000"/>
                <w:sz w:val="20"/>
                <w:szCs w:val="20"/>
                <w:shd w:val="clear" w:color="auto" w:fill="FFFFFF"/>
                <w:lang w:val="ro-MD"/>
              </w:rPr>
              <w:t xml:space="preserve">generate în timpul </w:t>
            </w:r>
            <w:r w:rsidRPr="002555E1">
              <w:rPr>
                <w:rFonts w:ascii="Times New Roman" w:hAnsi="Times New Roman"/>
                <w:color w:val="000000"/>
                <w:sz w:val="20"/>
                <w:szCs w:val="20"/>
                <w:shd w:val="clear" w:color="auto" w:fill="FFFFFF"/>
                <w:lang w:val="ro-MD"/>
              </w:rPr>
              <w:lastRenderedPageBreak/>
              <w:t>călătoriilor lor de la ultimul lor port de escală la un port de escală aflat sub jurisdicția Republicii Moldova și de la un port de escală aflat sub jurisdicția unui stat membru al UE spre următorul lor port de escală, precum și în interiorul porturilor de escală aflate sub jurisdicția Republicii Moldova.</w:t>
            </w:r>
          </w:p>
          <w:p w14:paraId="30567506" w14:textId="77777777" w:rsidR="00B8596D" w:rsidRPr="002555E1" w:rsidRDefault="00B8596D" w:rsidP="00B8596D">
            <w:pPr>
              <w:pBdr>
                <w:top w:val="single" w:sz="4" w:space="1" w:color="auto"/>
                <w:left w:val="single" w:sz="4" w:space="4" w:color="auto"/>
                <w:bottom w:val="single" w:sz="4" w:space="1" w:color="auto"/>
                <w:right w:val="single" w:sz="4" w:space="4" w:color="auto"/>
              </w:pBdr>
              <w:tabs>
                <w:tab w:val="left" w:pos="1134"/>
              </w:tabs>
              <w:contextualSpacing/>
              <w:jc w:val="both"/>
              <w:rPr>
                <w:rFonts w:ascii="Times New Roman" w:eastAsia="Arial Unicode MS" w:hAnsi="Times New Roman"/>
                <w:color w:val="000000"/>
                <w:sz w:val="20"/>
                <w:szCs w:val="20"/>
                <w:shd w:val="clear" w:color="auto" w:fill="FFFFFF"/>
                <w:lang w:val="ro-MD"/>
              </w:rPr>
            </w:pPr>
            <w:r w:rsidRPr="002555E1">
              <w:rPr>
                <w:rFonts w:ascii="Times New Roman" w:eastAsia="Arial Unicode MS" w:hAnsi="Times New Roman"/>
                <w:color w:val="000000"/>
                <w:sz w:val="20"/>
                <w:szCs w:val="20"/>
                <w:shd w:val="clear" w:color="auto" w:fill="FFFFFF"/>
                <w:lang w:val="ro-MD"/>
              </w:rPr>
              <w:t xml:space="preserve">De la 1 ianuarie 2025, navele de transport general de mărfuri cu un tonaj brut mai mic de 5 000 de tone, dar nu mai mic de 400 de tone, în ceea ce privește emisiile de GES generate în timpul călătoriilor lor pentru transportul de mărfuri în scopuri comerciale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 xml:space="preserve">, precum și navelor de aprovizionare în larg cu un tonaj brut mai mic de 5 000 de tone, dar nu mai mic de 400 de tone în ceea ce privește emisiile de GES generate în timpul călătoriilor lor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w:t>
            </w:r>
          </w:p>
          <w:p w14:paraId="553BD88D" w14:textId="7FD43F24" w:rsidR="00124364" w:rsidRDefault="00B8596D" w:rsidP="00B8596D">
            <w:pPr>
              <w:pStyle w:val="af8"/>
              <w:spacing w:after="120"/>
              <w:ind w:left="0" w:firstLine="426"/>
              <w:contextualSpacing w:val="0"/>
              <w:jc w:val="both"/>
              <w:rPr>
                <w:rFonts w:ascii="Times New Roman" w:hAnsi="Times New Roman"/>
                <w:sz w:val="20"/>
                <w:szCs w:val="20"/>
                <w:lang w:val="zh-CN"/>
              </w:rPr>
            </w:pPr>
            <w:r w:rsidRPr="002555E1">
              <w:rPr>
                <w:rFonts w:ascii="Times New Roman" w:eastAsia="Arial Unicode MS" w:hAnsi="Times New Roman"/>
                <w:color w:val="000000"/>
                <w:sz w:val="20"/>
                <w:szCs w:val="20"/>
                <w:shd w:val="clear" w:color="auto" w:fill="FFFFFF"/>
                <w:lang w:val="ro-MD"/>
              </w:rPr>
              <w:t xml:space="preserve">De la 1 ianuarie 2025, navele de aprovizionare în larg cu un tonaj brut mai mare sau egal cu 5 000 de tone în ceea ce privește emisiile de GES generate în timpul călătoriilor lor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w:t>
            </w:r>
          </w:p>
        </w:tc>
        <w:tc>
          <w:tcPr>
            <w:tcW w:w="1276" w:type="dxa"/>
            <w:shd w:val="clear" w:color="auto" w:fill="auto"/>
          </w:tcPr>
          <w:p w14:paraId="446E7ADD" w14:textId="1CDB8590" w:rsidR="00124364" w:rsidRDefault="00B8596D" w:rsidP="00A72916">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lastRenderedPageBreak/>
              <w:t>Parțial compatibil</w:t>
            </w:r>
          </w:p>
        </w:tc>
        <w:tc>
          <w:tcPr>
            <w:tcW w:w="1275" w:type="dxa"/>
            <w:shd w:val="clear" w:color="auto" w:fill="auto"/>
          </w:tcPr>
          <w:p w14:paraId="5D6C4960"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151FB09" w14:textId="77777777" w:rsidR="00A72916" w:rsidRPr="0066519A" w:rsidRDefault="00A72916" w:rsidP="00A72916">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w:t>
            </w:r>
            <w:r w:rsidRPr="00DF1AB5">
              <w:rPr>
                <w:rFonts w:ascii="Times New Roman" w:hAnsi="Times New Roman"/>
                <w:color w:val="000000" w:themeColor="text1"/>
                <w:sz w:val="20"/>
                <w:szCs w:val="20"/>
                <w:lang w:val="ro-RO"/>
              </w:rPr>
              <w:lastRenderedPageBreak/>
              <w:t xml:space="preserve">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1E47C098"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6575C9C" w14:textId="77777777" w:rsidR="00B8596D" w:rsidRDefault="00B8596D" w:rsidP="00B8596D">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lastRenderedPageBreak/>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0889727" w14:textId="77777777" w:rsidR="00B8596D" w:rsidRDefault="00B8596D" w:rsidP="00B8596D">
            <w:pPr>
              <w:autoSpaceDE w:val="0"/>
              <w:spacing w:after="0" w:line="240" w:lineRule="auto"/>
              <w:rPr>
                <w:rFonts w:ascii="Times New Roman" w:hAnsi="Times New Roman"/>
                <w:sz w:val="20"/>
                <w:szCs w:val="20"/>
                <w:lang w:val="fr-FR"/>
              </w:rPr>
            </w:pPr>
          </w:p>
          <w:p w14:paraId="3A988C33" w14:textId="331B7BC6" w:rsidR="00124364" w:rsidRDefault="00B8596D" w:rsidP="00B8596D">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lastRenderedPageBreak/>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5DDE3DD2" w14:textId="77777777">
        <w:trPr>
          <w:trHeight w:val="558"/>
        </w:trPr>
        <w:tc>
          <w:tcPr>
            <w:tcW w:w="4957" w:type="dxa"/>
            <w:shd w:val="clear" w:color="auto" w:fill="auto"/>
          </w:tcPr>
          <w:p w14:paraId="0ECD7792" w14:textId="763D8462" w:rsidR="00124364" w:rsidRPr="00A72916"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A72916">
              <w:rPr>
                <w:rFonts w:eastAsia="Arial Unicode MS"/>
                <w:i/>
                <w:iCs/>
                <w:color w:val="000000" w:themeColor="text1"/>
                <w:sz w:val="20"/>
                <w:szCs w:val="20"/>
                <w:shd w:val="clear" w:color="auto" w:fill="FFFFFF"/>
                <w:lang w:val="en-US"/>
              </w:rPr>
              <w:lastRenderedPageBreak/>
              <w:t>Articolul</w:t>
            </w:r>
            <w:proofErr w:type="spellEnd"/>
            <w:r w:rsidR="00A72916" w:rsidRPr="00A72916">
              <w:rPr>
                <w:rFonts w:eastAsia="Arial Unicode MS"/>
                <w:i/>
                <w:iCs/>
                <w:color w:val="000000" w:themeColor="text1"/>
                <w:sz w:val="20"/>
                <w:szCs w:val="20"/>
                <w:shd w:val="clear" w:color="auto" w:fill="FFFFFF"/>
                <w:lang w:val="en-US"/>
              </w:rPr>
              <w:t xml:space="preserve"> </w:t>
            </w:r>
            <w:r w:rsidRPr="00A72916">
              <w:rPr>
                <w:rFonts w:eastAsia="Arial Unicode MS"/>
                <w:i/>
                <w:iCs/>
                <w:color w:val="000000" w:themeColor="text1"/>
                <w:sz w:val="20"/>
                <w:szCs w:val="20"/>
                <w:shd w:val="clear" w:color="auto" w:fill="FFFFFF"/>
                <w:lang w:val="en-US"/>
              </w:rPr>
              <w:t>3gb</w:t>
            </w:r>
          </w:p>
          <w:p w14:paraId="7B70C3D3" w14:textId="77777777" w:rsidR="00124364" w:rsidRPr="00A72916"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A72916">
              <w:rPr>
                <w:rFonts w:eastAsia="Arial Unicode MS"/>
                <w:b/>
                <w:bCs/>
                <w:color w:val="000000" w:themeColor="text1"/>
                <w:sz w:val="20"/>
                <w:szCs w:val="20"/>
                <w:shd w:val="clear" w:color="auto" w:fill="FFFFFF"/>
                <w:lang w:val="en-US"/>
              </w:rPr>
              <w:t>Introducerea</w:t>
            </w:r>
            <w:proofErr w:type="spellEnd"/>
            <w:r w:rsidRPr="00A72916">
              <w:rPr>
                <w:rFonts w:eastAsia="Arial Unicode MS"/>
                <w:b/>
                <w:bCs/>
                <w:color w:val="000000" w:themeColor="text1"/>
                <w:sz w:val="20"/>
                <w:szCs w:val="20"/>
                <w:shd w:val="clear" w:color="auto" w:fill="FFFFFF"/>
                <w:lang w:val="en-US"/>
              </w:rPr>
              <w:t xml:space="preserve"> </w:t>
            </w:r>
            <w:proofErr w:type="spellStart"/>
            <w:r w:rsidRPr="00A72916">
              <w:rPr>
                <w:rFonts w:eastAsia="Arial Unicode MS"/>
                <w:b/>
                <w:bCs/>
                <w:color w:val="000000" w:themeColor="text1"/>
                <w:sz w:val="20"/>
                <w:szCs w:val="20"/>
                <w:shd w:val="clear" w:color="auto" w:fill="FFFFFF"/>
                <w:lang w:val="en-US"/>
              </w:rPr>
              <w:t>treptată</w:t>
            </w:r>
            <w:proofErr w:type="spellEnd"/>
            <w:r w:rsidRPr="00A72916">
              <w:rPr>
                <w:rFonts w:eastAsia="Arial Unicode MS"/>
                <w:b/>
                <w:bCs/>
                <w:color w:val="000000" w:themeColor="text1"/>
                <w:sz w:val="20"/>
                <w:szCs w:val="20"/>
                <w:shd w:val="clear" w:color="auto" w:fill="FFFFFF"/>
                <w:lang w:val="en-US"/>
              </w:rPr>
              <w:t xml:space="preserve"> a </w:t>
            </w:r>
            <w:proofErr w:type="spellStart"/>
            <w:r w:rsidRPr="00A72916">
              <w:rPr>
                <w:rFonts w:eastAsia="Arial Unicode MS"/>
                <w:b/>
                <w:bCs/>
                <w:color w:val="000000" w:themeColor="text1"/>
                <w:sz w:val="20"/>
                <w:szCs w:val="20"/>
                <w:shd w:val="clear" w:color="auto" w:fill="FFFFFF"/>
                <w:lang w:val="en-US"/>
              </w:rPr>
              <w:t>cerințelor</w:t>
            </w:r>
            <w:proofErr w:type="spellEnd"/>
            <w:r w:rsidRPr="00A72916">
              <w:rPr>
                <w:rFonts w:eastAsia="Arial Unicode MS"/>
                <w:b/>
                <w:bCs/>
                <w:color w:val="000000" w:themeColor="text1"/>
                <w:sz w:val="20"/>
                <w:szCs w:val="20"/>
                <w:shd w:val="clear" w:color="auto" w:fill="FFFFFF"/>
                <w:lang w:val="en-US"/>
              </w:rPr>
              <w:t xml:space="preserve"> </w:t>
            </w:r>
            <w:proofErr w:type="spellStart"/>
            <w:r w:rsidRPr="00A72916">
              <w:rPr>
                <w:rFonts w:eastAsia="Arial Unicode MS"/>
                <w:b/>
                <w:bCs/>
                <w:color w:val="000000" w:themeColor="text1"/>
                <w:sz w:val="20"/>
                <w:szCs w:val="20"/>
                <w:shd w:val="clear" w:color="auto" w:fill="FFFFFF"/>
                <w:lang w:val="en-US"/>
              </w:rPr>
              <w:t>pentru</w:t>
            </w:r>
            <w:proofErr w:type="spellEnd"/>
            <w:r w:rsidRPr="00A72916">
              <w:rPr>
                <w:rFonts w:eastAsia="Arial Unicode MS"/>
                <w:b/>
                <w:bCs/>
                <w:color w:val="000000" w:themeColor="text1"/>
                <w:sz w:val="20"/>
                <w:szCs w:val="20"/>
                <w:shd w:val="clear" w:color="auto" w:fill="FFFFFF"/>
                <w:lang w:val="en-US"/>
              </w:rPr>
              <w:t xml:space="preserve"> </w:t>
            </w:r>
            <w:proofErr w:type="spellStart"/>
            <w:r w:rsidRPr="00A72916">
              <w:rPr>
                <w:rFonts w:eastAsia="Arial Unicode MS"/>
                <w:b/>
                <w:bCs/>
                <w:color w:val="000000" w:themeColor="text1"/>
                <w:sz w:val="20"/>
                <w:szCs w:val="20"/>
                <w:shd w:val="clear" w:color="auto" w:fill="FFFFFF"/>
                <w:lang w:val="en-US"/>
              </w:rPr>
              <w:t>transportul</w:t>
            </w:r>
            <w:proofErr w:type="spellEnd"/>
            <w:r w:rsidRPr="00A72916">
              <w:rPr>
                <w:rFonts w:eastAsia="Arial Unicode MS"/>
                <w:b/>
                <w:bCs/>
                <w:color w:val="000000" w:themeColor="text1"/>
                <w:sz w:val="20"/>
                <w:szCs w:val="20"/>
                <w:shd w:val="clear" w:color="auto" w:fill="FFFFFF"/>
                <w:lang w:val="en-US"/>
              </w:rPr>
              <w:t xml:space="preserve"> maritim</w:t>
            </w:r>
          </w:p>
          <w:p w14:paraId="301560CD" w14:textId="77777777" w:rsidR="00124364" w:rsidRPr="00A72916" w:rsidRDefault="00000000" w:rsidP="00A7291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72916">
              <w:rPr>
                <w:rFonts w:eastAsia="Arial Unicode MS"/>
                <w:color w:val="000000" w:themeColor="text1"/>
                <w:sz w:val="20"/>
                <w:szCs w:val="20"/>
                <w:shd w:val="clear" w:color="auto" w:fill="FFFFFF"/>
                <w:lang w:val="en-US"/>
              </w:rPr>
              <w:t>Companiile</w:t>
            </w:r>
            <w:proofErr w:type="spellEnd"/>
            <w:r w:rsidRPr="00A72916">
              <w:rPr>
                <w:rFonts w:eastAsia="Arial Unicode MS"/>
                <w:color w:val="000000" w:themeColor="text1"/>
                <w:sz w:val="20"/>
                <w:szCs w:val="20"/>
                <w:shd w:val="clear" w:color="auto" w:fill="FFFFFF"/>
                <w:lang w:val="en-US"/>
              </w:rPr>
              <w:t xml:space="preserve"> de transport maritim au </w:t>
            </w:r>
            <w:proofErr w:type="spellStart"/>
            <w:r w:rsidRPr="00A72916">
              <w:rPr>
                <w:rFonts w:eastAsia="Arial Unicode MS"/>
                <w:color w:val="000000" w:themeColor="text1"/>
                <w:sz w:val="20"/>
                <w:szCs w:val="20"/>
                <w:shd w:val="clear" w:color="auto" w:fill="FFFFFF"/>
                <w:lang w:val="en-US"/>
              </w:rPr>
              <w:t>obligația</w:t>
            </w:r>
            <w:proofErr w:type="spellEnd"/>
            <w:r w:rsidRPr="00A72916">
              <w:rPr>
                <w:rFonts w:eastAsia="Arial Unicode MS"/>
                <w:color w:val="000000" w:themeColor="text1"/>
                <w:sz w:val="20"/>
                <w:szCs w:val="20"/>
                <w:shd w:val="clear" w:color="auto" w:fill="FFFFFF"/>
                <w:lang w:val="en-US"/>
              </w:rPr>
              <w:t xml:space="preserve"> de a </w:t>
            </w:r>
            <w:proofErr w:type="spellStart"/>
            <w:r w:rsidRPr="00A72916">
              <w:rPr>
                <w:rFonts w:eastAsia="Arial Unicode MS"/>
                <w:color w:val="000000" w:themeColor="text1"/>
                <w:sz w:val="20"/>
                <w:szCs w:val="20"/>
                <w:shd w:val="clear" w:color="auto" w:fill="FFFFFF"/>
                <w:lang w:val="en-US"/>
              </w:rPr>
              <w:t>restitui</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certificatele</w:t>
            </w:r>
            <w:proofErr w:type="spellEnd"/>
            <w:r w:rsidRPr="00A72916">
              <w:rPr>
                <w:rFonts w:eastAsia="Arial Unicode MS"/>
                <w:color w:val="000000" w:themeColor="text1"/>
                <w:sz w:val="20"/>
                <w:szCs w:val="20"/>
                <w:shd w:val="clear" w:color="auto" w:fill="FFFFFF"/>
                <w:lang w:val="en-US"/>
              </w:rPr>
              <w:t xml:space="preserve"> în conformitate cu </w:t>
            </w:r>
            <w:proofErr w:type="spellStart"/>
            <w:r w:rsidRPr="00A72916">
              <w:rPr>
                <w:rFonts w:eastAsia="Arial Unicode MS"/>
                <w:color w:val="000000" w:themeColor="text1"/>
                <w:sz w:val="20"/>
                <w:szCs w:val="20"/>
                <w:shd w:val="clear" w:color="auto" w:fill="FFFFFF"/>
                <w:lang w:val="en-US"/>
              </w:rPr>
              <w:t>următorul</w:t>
            </w:r>
            <w:proofErr w:type="spellEnd"/>
            <w:r w:rsidRPr="00A72916">
              <w:rPr>
                <w:rFonts w:eastAsia="Arial Unicode MS"/>
                <w:color w:val="000000" w:themeColor="text1"/>
                <w:sz w:val="20"/>
                <w:szCs w:val="20"/>
                <w:shd w:val="clear" w:color="auto" w:fill="FFFFFF"/>
                <w:lang w:val="en-US"/>
              </w:rPr>
              <w:t xml:space="preserve"> calendar:</w:t>
            </w:r>
          </w:p>
          <w:p w14:paraId="3F2F6892" w14:textId="5D5CA0BE" w:rsidR="00124364" w:rsidRPr="00A72916" w:rsidRDefault="00000000" w:rsidP="00A72916">
            <w:pPr>
              <w:pStyle w:val="ti-art"/>
              <w:numPr>
                <w:ilvl w:val="0"/>
                <w:numId w:val="25"/>
              </w:numPr>
              <w:shd w:val="clear" w:color="auto" w:fill="FFFFFF"/>
              <w:spacing w:before="0" w:beforeAutospacing="0" w:after="0" w:afterAutospacing="0"/>
              <w:jc w:val="both"/>
              <w:rPr>
                <w:i/>
                <w:iCs/>
                <w:color w:val="000000" w:themeColor="text1"/>
                <w:sz w:val="20"/>
                <w:szCs w:val="20"/>
                <w:lang w:val="en-US"/>
              </w:rPr>
            </w:pPr>
            <w:r w:rsidRPr="00A72916">
              <w:rPr>
                <w:rFonts w:eastAsia="Arial Unicode MS"/>
                <w:color w:val="000000" w:themeColor="text1"/>
                <w:sz w:val="20"/>
                <w:szCs w:val="20"/>
                <w:shd w:val="clear" w:color="auto" w:fill="FFFFFF"/>
                <w:lang w:val="en-US"/>
              </w:rPr>
              <w:t>40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verificate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raportate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2024 care </w:t>
            </w:r>
            <w:proofErr w:type="spellStart"/>
            <w:r w:rsidRPr="00A72916">
              <w:rPr>
                <w:rFonts w:eastAsia="Arial Unicode MS"/>
                <w:color w:val="000000" w:themeColor="text1"/>
                <w:sz w:val="20"/>
                <w:szCs w:val="20"/>
                <w:shd w:val="clear" w:color="auto" w:fill="FFFFFF"/>
                <w:lang w:val="en-US"/>
              </w:rPr>
              <w:t>ar</w:t>
            </w:r>
            <w:proofErr w:type="spellEnd"/>
            <w:r w:rsidRPr="00A72916">
              <w:rPr>
                <w:rFonts w:eastAsia="Arial Unicode MS"/>
                <w:color w:val="000000" w:themeColor="text1"/>
                <w:sz w:val="20"/>
                <w:szCs w:val="20"/>
                <w:shd w:val="clear" w:color="auto" w:fill="FFFFFF"/>
                <w:lang w:val="en-US"/>
              </w:rPr>
              <w:t xml:space="preserve"> face </w:t>
            </w:r>
            <w:proofErr w:type="spellStart"/>
            <w:r w:rsidRPr="00A72916">
              <w:rPr>
                <w:rFonts w:eastAsia="Arial Unicode MS"/>
                <w:color w:val="000000" w:themeColor="text1"/>
                <w:sz w:val="20"/>
                <w:szCs w:val="20"/>
                <w:shd w:val="clear" w:color="auto" w:fill="FFFFFF"/>
                <w:lang w:val="en-US"/>
              </w:rPr>
              <w:t>obiectul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cerințelor</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restituire</w:t>
            </w:r>
            <w:proofErr w:type="spellEnd"/>
            <w:r w:rsidRPr="00A72916">
              <w:rPr>
                <w:rFonts w:eastAsia="Arial Unicode MS"/>
                <w:color w:val="000000" w:themeColor="text1"/>
                <w:sz w:val="20"/>
                <w:szCs w:val="20"/>
                <w:shd w:val="clear" w:color="auto" w:fill="FFFFFF"/>
                <w:lang w:val="en-US"/>
              </w:rPr>
              <w:t xml:space="preserve"> în conformitate cu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12;</w:t>
            </w:r>
          </w:p>
          <w:p w14:paraId="18CB898D" w14:textId="72D1AC70" w:rsidR="00124364" w:rsidRPr="00A72916" w:rsidRDefault="00000000" w:rsidP="00A72916">
            <w:pPr>
              <w:pStyle w:val="ti-art"/>
              <w:numPr>
                <w:ilvl w:val="0"/>
                <w:numId w:val="25"/>
              </w:numPr>
              <w:shd w:val="clear" w:color="auto" w:fill="FFFFFF"/>
              <w:spacing w:before="0" w:beforeAutospacing="0" w:after="0" w:afterAutospacing="0"/>
              <w:jc w:val="both"/>
              <w:rPr>
                <w:i/>
                <w:iCs/>
                <w:color w:val="000000" w:themeColor="text1"/>
                <w:sz w:val="20"/>
                <w:szCs w:val="20"/>
                <w:lang w:val="en-US"/>
              </w:rPr>
            </w:pPr>
            <w:r w:rsidRPr="00A72916">
              <w:rPr>
                <w:rFonts w:eastAsia="Arial Unicode MS"/>
                <w:color w:val="000000" w:themeColor="text1"/>
                <w:sz w:val="20"/>
                <w:szCs w:val="20"/>
                <w:shd w:val="clear" w:color="auto" w:fill="FFFFFF"/>
                <w:lang w:val="en-US"/>
              </w:rPr>
              <w:t>70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verificate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raportate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2025 care </w:t>
            </w:r>
            <w:proofErr w:type="spellStart"/>
            <w:r w:rsidRPr="00A72916">
              <w:rPr>
                <w:rFonts w:eastAsia="Arial Unicode MS"/>
                <w:color w:val="000000" w:themeColor="text1"/>
                <w:sz w:val="20"/>
                <w:szCs w:val="20"/>
                <w:shd w:val="clear" w:color="auto" w:fill="FFFFFF"/>
                <w:lang w:val="en-US"/>
              </w:rPr>
              <w:t>ar</w:t>
            </w:r>
            <w:proofErr w:type="spellEnd"/>
            <w:r w:rsidRPr="00A72916">
              <w:rPr>
                <w:rFonts w:eastAsia="Arial Unicode MS"/>
                <w:color w:val="000000" w:themeColor="text1"/>
                <w:sz w:val="20"/>
                <w:szCs w:val="20"/>
                <w:shd w:val="clear" w:color="auto" w:fill="FFFFFF"/>
                <w:lang w:val="en-US"/>
              </w:rPr>
              <w:t xml:space="preserve"> face </w:t>
            </w:r>
            <w:proofErr w:type="spellStart"/>
            <w:r w:rsidRPr="00A72916">
              <w:rPr>
                <w:rFonts w:eastAsia="Arial Unicode MS"/>
                <w:color w:val="000000" w:themeColor="text1"/>
                <w:sz w:val="20"/>
                <w:szCs w:val="20"/>
                <w:shd w:val="clear" w:color="auto" w:fill="FFFFFF"/>
                <w:lang w:val="en-US"/>
              </w:rPr>
              <w:t>obiectul</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cerințelor</w:t>
            </w:r>
            <w:proofErr w:type="spellEnd"/>
            <w:r w:rsidRPr="00A72916">
              <w:rPr>
                <w:rFonts w:eastAsia="Arial Unicode MS"/>
                <w:color w:val="000000" w:themeColor="text1"/>
                <w:sz w:val="20"/>
                <w:szCs w:val="20"/>
                <w:shd w:val="clear" w:color="auto" w:fill="FFFFFF"/>
                <w:lang w:val="en-US"/>
              </w:rPr>
              <w:t xml:space="preserve"> de </w:t>
            </w:r>
            <w:proofErr w:type="spellStart"/>
            <w:r w:rsidRPr="00A72916">
              <w:rPr>
                <w:rFonts w:eastAsia="Arial Unicode MS"/>
                <w:color w:val="000000" w:themeColor="text1"/>
                <w:sz w:val="20"/>
                <w:szCs w:val="20"/>
                <w:shd w:val="clear" w:color="auto" w:fill="FFFFFF"/>
                <w:lang w:val="en-US"/>
              </w:rPr>
              <w:t>restituire</w:t>
            </w:r>
            <w:proofErr w:type="spellEnd"/>
            <w:r w:rsidRPr="00A72916">
              <w:rPr>
                <w:rFonts w:eastAsia="Arial Unicode MS"/>
                <w:color w:val="000000" w:themeColor="text1"/>
                <w:sz w:val="20"/>
                <w:szCs w:val="20"/>
                <w:shd w:val="clear" w:color="auto" w:fill="FFFFFF"/>
                <w:lang w:val="en-US"/>
              </w:rPr>
              <w:t xml:space="preserve"> în conformitate cu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12;</w:t>
            </w:r>
          </w:p>
          <w:p w14:paraId="536897E6" w14:textId="3C026F7B" w:rsidR="00124364" w:rsidRPr="00A72916" w:rsidRDefault="00000000" w:rsidP="00A72916">
            <w:pPr>
              <w:pStyle w:val="ti-art"/>
              <w:numPr>
                <w:ilvl w:val="0"/>
                <w:numId w:val="25"/>
              </w:numPr>
              <w:shd w:val="clear" w:color="auto" w:fill="FFFFFF"/>
              <w:spacing w:before="0" w:beforeAutospacing="0" w:after="0" w:afterAutospacing="0"/>
              <w:jc w:val="both"/>
              <w:rPr>
                <w:i/>
                <w:iCs/>
                <w:color w:val="000000" w:themeColor="text1"/>
                <w:sz w:val="20"/>
                <w:szCs w:val="20"/>
                <w:lang w:val="en-US"/>
              </w:rPr>
            </w:pPr>
            <w:r w:rsidRPr="00A72916">
              <w:rPr>
                <w:rFonts w:eastAsia="Arial Unicode MS"/>
                <w:color w:val="000000" w:themeColor="text1"/>
                <w:sz w:val="20"/>
                <w:szCs w:val="20"/>
                <w:shd w:val="clear" w:color="auto" w:fill="FFFFFF"/>
                <w:lang w:val="en-US"/>
              </w:rPr>
              <w:t>100</w:t>
            </w:r>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 xml:space="preserve">% din </w:t>
            </w:r>
            <w:proofErr w:type="spellStart"/>
            <w:r w:rsidRPr="00A72916">
              <w:rPr>
                <w:rFonts w:eastAsia="Arial Unicode MS"/>
                <w:color w:val="000000" w:themeColor="text1"/>
                <w:sz w:val="20"/>
                <w:szCs w:val="20"/>
                <w:shd w:val="clear" w:color="auto" w:fill="FFFFFF"/>
                <w:lang w:val="en-US"/>
              </w:rPr>
              <w:t>emisiile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verificate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raportate</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2026 și </w:t>
            </w:r>
            <w:proofErr w:type="spellStart"/>
            <w:r w:rsidRPr="00A72916">
              <w:rPr>
                <w:rFonts w:eastAsia="Arial Unicode MS"/>
                <w:color w:val="000000" w:themeColor="text1"/>
                <w:sz w:val="20"/>
                <w:szCs w:val="20"/>
                <w:shd w:val="clear" w:color="auto" w:fill="FFFFFF"/>
                <w:lang w:val="en-US"/>
              </w:rPr>
              <w:t>pentru</w:t>
            </w:r>
            <w:proofErr w:type="spellEnd"/>
            <w:r w:rsidRPr="00A72916">
              <w:rPr>
                <w:rFonts w:eastAsia="Arial Unicode MS"/>
                <w:color w:val="000000" w:themeColor="text1"/>
                <w:sz w:val="20"/>
                <w:szCs w:val="20"/>
                <w:shd w:val="clear" w:color="auto" w:fill="FFFFFF"/>
                <w:lang w:val="en-US"/>
              </w:rPr>
              <w:t xml:space="preserve"> </w:t>
            </w:r>
            <w:proofErr w:type="spellStart"/>
            <w:r w:rsidRPr="00A72916">
              <w:rPr>
                <w:rFonts w:eastAsia="Arial Unicode MS"/>
                <w:color w:val="000000" w:themeColor="text1"/>
                <w:sz w:val="20"/>
                <w:szCs w:val="20"/>
                <w:shd w:val="clear" w:color="auto" w:fill="FFFFFF"/>
                <w:lang w:val="en-US"/>
              </w:rPr>
              <w:t>fiecare</w:t>
            </w:r>
            <w:proofErr w:type="spellEnd"/>
            <w:r w:rsidRPr="00A72916">
              <w:rPr>
                <w:rFonts w:eastAsia="Arial Unicode MS"/>
                <w:color w:val="000000" w:themeColor="text1"/>
                <w:sz w:val="20"/>
                <w:szCs w:val="20"/>
                <w:shd w:val="clear" w:color="auto" w:fill="FFFFFF"/>
                <w:lang w:val="en-US"/>
              </w:rPr>
              <w:t xml:space="preserve"> an ulterior în conformitate cu </w:t>
            </w:r>
            <w:proofErr w:type="spellStart"/>
            <w:r w:rsidRPr="00A72916">
              <w:rPr>
                <w:rFonts w:eastAsia="Arial Unicode MS"/>
                <w:color w:val="000000" w:themeColor="text1"/>
                <w:sz w:val="20"/>
                <w:szCs w:val="20"/>
                <w:shd w:val="clear" w:color="auto" w:fill="FFFFFF"/>
                <w:lang w:val="en-US"/>
              </w:rPr>
              <w:t>articolul</w:t>
            </w:r>
            <w:proofErr w:type="spellEnd"/>
            <w:r w:rsidR="00A72916" w:rsidRPr="00A72916">
              <w:rPr>
                <w:rFonts w:eastAsia="Arial Unicode MS"/>
                <w:color w:val="000000" w:themeColor="text1"/>
                <w:sz w:val="20"/>
                <w:szCs w:val="20"/>
                <w:shd w:val="clear" w:color="auto" w:fill="FFFFFF"/>
                <w:lang w:val="en-US"/>
              </w:rPr>
              <w:t xml:space="preserve"> </w:t>
            </w:r>
            <w:r w:rsidRPr="00A72916">
              <w:rPr>
                <w:rFonts w:eastAsia="Arial Unicode MS"/>
                <w:color w:val="000000" w:themeColor="text1"/>
                <w:sz w:val="20"/>
                <w:szCs w:val="20"/>
                <w:shd w:val="clear" w:color="auto" w:fill="FFFFFF"/>
                <w:lang w:val="en-US"/>
              </w:rPr>
              <w:t>12.</w:t>
            </w:r>
          </w:p>
          <w:p w14:paraId="6E983CCD" w14:textId="36E6DB60" w:rsidR="00124364" w:rsidRDefault="00000000" w:rsidP="00B8596D">
            <w:pPr>
              <w:pStyle w:val="ti-art"/>
              <w:shd w:val="clear" w:color="auto" w:fill="FFFFFF"/>
              <w:spacing w:before="0" w:beforeAutospacing="0" w:after="0" w:afterAutospacing="0"/>
              <w:jc w:val="both"/>
              <w:rPr>
                <w:i/>
                <w:iCs/>
                <w:color w:val="333333"/>
                <w:sz w:val="20"/>
                <w:szCs w:val="20"/>
                <w:lang w:val="en-US"/>
              </w:rPr>
            </w:pPr>
            <w:proofErr w:type="spellStart"/>
            <w:r w:rsidRPr="00B8596D">
              <w:rPr>
                <w:rFonts w:eastAsia="Arial Unicode MS"/>
                <w:color w:val="000000" w:themeColor="text1"/>
                <w:sz w:val="20"/>
                <w:szCs w:val="20"/>
                <w:shd w:val="clear" w:color="auto" w:fill="FFFFFF"/>
                <w:lang w:val="en-US"/>
              </w:rPr>
              <w:t>Atunci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când</w:t>
            </w:r>
            <w:proofErr w:type="spellEnd"/>
            <w:r w:rsidRPr="00B8596D">
              <w:rPr>
                <w:rFonts w:eastAsia="Arial Unicode MS"/>
                <w:color w:val="000000" w:themeColor="text1"/>
                <w:sz w:val="20"/>
                <w:szCs w:val="20"/>
                <w:shd w:val="clear" w:color="auto" w:fill="FFFFFF"/>
                <w:lang w:val="en-US"/>
              </w:rPr>
              <w:t xml:space="preserve"> se </w:t>
            </w:r>
            <w:proofErr w:type="spellStart"/>
            <w:r w:rsidRPr="00B8596D">
              <w:rPr>
                <w:rFonts w:eastAsia="Arial Unicode MS"/>
                <w:color w:val="000000" w:themeColor="text1"/>
                <w:sz w:val="20"/>
                <w:szCs w:val="20"/>
                <w:shd w:val="clear" w:color="auto" w:fill="FFFFFF"/>
                <w:lang w:val="en-US"/>
              </w:rPr>
              <w:t>restituie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mai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puține</w:t>
            </w:r>
            <w:proofErr w:type="spellEnd"/>
            <w:r w:rsidRPr="00B8596D">
              <w:rPr>
                <w:rFonts w:eastAsia="Arial Unicode MS"/>
                <w:color w:val="000000" w:themeColor="text1"/>
                <w:sz w:val="20"/>
                <w:szCs w:val="20"/>
                <w:shd w:val="clear" w:color="auto" w:fill="FFFFFF"/>
                <w:lang w:val="en-US"/>
              </w:rPr>
              <w:t xml:space="preserve"> certificate în </w:t>
            </w:r>
            <w:proofErr w:type="spellStart"/>
            <w:r w:rsidRPr="00B8596D">
              <w:rPr>
                <w:rFonts w:eastAsia="Arial Unicode MS"/>
                <w:color w:val="000000" w:themeColor="text1"/>
                <w:sz w:val="20"/>
                <w:szCs w:val="20"/>
                <w:shd w:val="clear" w:color="auto" w:fill="FFFFFF"/>
                <w:lang w:val="en-US"/>
              </w:rPr>
              <w:t>comparație</w:t>
            </w:r>
            <w:proofErr w:type="spellEnd"/>
            <w:r w:rsidRPr="00B8596D">
              <w:rPr>
                <w:rFonts w:eastAsia="Arial Unicode MS"/>
                <w:color w:val="000000" w:themeColor="text1"/>
                <w:sz w:val="20"/>
                <w:szCs w:val="20"/>
                <w:shd w:val="clear" w:color="auto" w:fill="FFFFFF"/>
                <w:lang w:val="en-US"/>
              </w:rPr>
              <w:t xml:space="preserve"> cu </w:t>
            </w:r>
            <w:proofErr w:type="spellStart"/>
            <w:r w:rsidRPr="00B8596D">
              <w:rPr>
                <w:rFonts w:eastAsia="Arial Unicode MS"/>
                <w:color w:val="000000" w:themeColor="text1"/>
                <w:sz w:val="20"/>
                <w:szCs w:val="20"/>
                <w:shd w:val="clear" w:color="auto" w:fill="FFFFFF"/>
                <w:lang w:val="en-US"/>
              </w:rPr>
              <w:t>emisiile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verificate</w:t>
            </w:r>
            <w:proofErr w:type="spellEnd"/>
            <w:r w:rsidRPr="00B8596D">
              <w:rPr>
                <w:rFonts w:eastAsia="Arial Unicode MS"/>
                <w:color w:val="000000" w:themeColor="text1"/>
                <w:sz w:val="20"/>
                <w:szCs w:val="20"/>
                <w:shd w:val="clear" w:color="auto" w:fill="FFFFFF"/>
                <w:lang w:val="en-US"/>
              </w:rPr>
              <w:t xml:space="preserve"> generate de </w:t>
            </w:r>
            <w:proofErr w:type="spellStart"/>
            <w:r w:rsidRPr="00B8596D">
              <w:rPr>
                <w:rFonts w:eastAsia="Arial Unicode MS"/>
                <w:color w:val="000000" w:themeColor="text1"/>
                <w:sz w:val="20"/>
                <w:szCs w:val="20"/>
                <w:shd w:val="clear" w:color="auto" w:fill="FFFFFF"/>
                <w:lang w:val="en-US"/>
              </w:rPr>
              <w:t>transportul</w:t>
            </w:r>
            <w:proofErr w:type="spellEnd"/>
            <w:r w:rsidRPr="00B8596D">
              <w:rPr>
                <w:rFonts w:eastAsia="Arial Unicode MS"/>
                <w:color w:val="000000" w:themeColor="text1"/>
                <w:sz w:val="20"/>
                <w:szCs w:val="20"/>
                <w:shd w:val="clear" w:color="auto" w:fill="FFFFFF"/>
                <w:lang w:val="en-US"/>
              </w:rPr>
              <w:t xml:space="preserve"> maritim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anii</w:t>
            </w:r>
            <w:proofErr w:type="spellEnd"/>
            <w:r w:rsidRPr="00B8596D">
              <w:rPr>
                <w:rFonts w:eastAsia="Arial Unicode MS"/>
                <w:color w:val="000000" w:themeColor="text1"/>
                <w:sz w:val="20"/>
                <w:szCs w:val="20"/>
                <w:shd w:val="clear" w:color="auto" w:fill="FFFFFF"/>
                <w:lang w:val="en-US"/>
              </w:rPr>
              <w:t xml:space="preserve"> 2024 și</w:t>
            </w:r>
            <w:r w:rsidR="00B8596D" w:rsidRP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 xml:space="preserve">2025, </w:t>
            </w:r>
            <w:proofErr w:type="spellStart"/>
            <w:r w:rsidRPr="00B8596D">
              <w:rPr>
                <w:rFonts w:eastAsia="Arial Unicode MS"/>
                <w:color w:val="000000" w:themeColor="text1"/>
                <w:sz w:val="20"/>
                <w:szCs w:val="20"/>
                <w:shd w:val="clear" w:color="auto" w:fill="FFFFFF"/>
                <w:lang w:val="en-US"/>
              </w:rPr>
              <w:t>odată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diferența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dintre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emisiile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verificate</w:t>
            </w:r>
            <w:proofErr w:type="spellEnd"/>
            <w:r w:rsidRPr="00B8596D">
              <w:rPr>
                <w:rFonts w:eastAsia="Arial Unicode MS"/>
                <w:color w:val="000000" w:themeColor="text1"/>
                <w:sz w:val="20"/>
                <w:szCs w:val="20"/>
                <w:shd w:val="clear" w:color="auto" w:fill="FFFFFF"/>
                <w:lang w:val="en-US"/>
              </w:rPr>
              <w:t xml:space="preserve"> și </w:t>
            </w:r>
            <w:proofErr w:type="spellStart"/>
            <w:r w:rsidRPr="00B8596D">
              <w:rPr>
                <w:rFonts w:eastAsia="Arial Unicode MS"/>
                <w:color w:val="000000" w:themeColor="text1"/>
                <w:sz w:val="20"/>
                <w:szCs w:val="20"/>
                <w:shd w:val="clear" w:color="auto" w:fill="FFFFFF"/>
                <w:lang w:val="en-US"/>
              </w:rPr>
              <w:t>certificatele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restituite</w:t>
            </w:r>
            <w:proofErr w:type="spellEnd"/>
            <w:r w:rsidRPr="00B8596D">
              <w:rPr>
                <w:rFonts w:eastAsia="Arial Unicode MS"/>
                <w:color w:val="000000" w:themeColor="text1"/>
                <w:sz w:val="20"/>
                <w:szCs w:val="20"/>
                <w:shd w:val="clear" w:color="auto" w:fill="FFFFFF"/>
                <w:lang w:val="en-US"/>
              </w:rPr>
              <w:t xml:space="preserve"> a </w:t>
            </w:r>
            <w:proofErr w:type="spellStart"/>
            <w:r w:rsidRPr="00B8596D">
              <w:rPr>
                <w:rFonts w:eastAsia="Arial Unicode MS"/>
                <w:color w:val="000000" w:themeColor="text1"/>
                <w:sz w:val="20"/>
                <w:szCs w:val="20"/>
                <w:shd w:val="clear" w:color="auto" w:fill="FFFFFF"/>
                <w:lang w:val="en-US"/>
              </w:rPr>
              <w:t>fost</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stabilită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fiecare</w:t>
            </w:r>
            <w:proofErr w:type="spellEnd"/>
            <w:r w:rsidRPr="00B8596D">
              <w:rPr>
                <w:rFonts w:eastAsia="Arial Unicode MS"/>
                <w:color w:val="000000" w:themeColor="text1"/>
                <w:sz w:val="20"/>
                <w:szCs w:val="20"/>
                <w:shd w:val="clear" w:color="auto" w:fill="FFFFFF"/>
                <w:lang w:val="en-US"/>
              </w:rPr>
              <w:t xml:space="preserve"> an, </w:t>
            </w:r>
            <w:proofErr w:type="spellStart"/>
            <w:r w:rsidRPr="00B8596D">
              <w:rPr>
                <w:rFonts w:eastAsia="Arial Unicode MS"/>
                <w:color w:val="000000" w:themeColor="text1"/>
                <w:sz w:val="20"/>
                <w:szCs w:val="20"/>
                <w:shd w:val="clear" w:color="auto" w:fill="FFFFFF"/>
                <w:lang w:val="en-US"/>
              </w:rPr>
              <w:t>volumul</w:t>
            </w:r>
            <w:proofErr w:type="spellEnd"/>
            <w:r w:rsidRPr="00B8596D">
              <w:rPr>
                <w:rFonts w:eastAsia="Arial Unicode MS"/>
                <w:color w:val="000000" w:themeColor="text1"/>
                <w:sz w:val="20"/>
                <w:szCs w:val="20"/>
                <w:shd w:val="clear" w:color="auto" w:fill="FFFFFF"/>
                <w:lang w:val="en-US"/>
              </w:rPr>
              <w:t xml:space="preserve"> de certificate care </w:t>
            </w:r>
            <w:proofErr w:type="spellStart"/>
            <w:r w:rsidRPr="00B8596D">
              <w:rPr>
                <w:rFonts w:eastAsia="Arial Unicode MS"/>
                <w:color w:val="000000" w:themeColor="text1"/>
                <w:sz w:val="20"/>
                <w:szCs w:val="20"/>
                <w:shd w:val="clear" w:color="auto" w:fill="FFFFFF"/>
                <w:lang w:val="en-US"/>
              </w:rPr>
              <w:t>corespunde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respectivei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diferențe</w:t>
            </w:r>
            <w:proofErr w:type="spellEnd"/>
            <w:r w:rsidRPr="00B8596D">
              <w:rPr>
                <w:rFonts w:eastAsia="Arial Unicode MS"/>
                <w:color w:val="000000" w:themeColor="text1"/>
                <w:sz w:val="20"/>
                <w:szCs w:val="20"/>
                <w:shd w:val="clear" w:color="auto" w:fill="FFFFFF"/>
                <w:lang w:val="en-US"/>
              </w:rPr>
              <w:t xml:space="preserve"> nu se </w:t>
            </w:r>
            <w:proofErr w:type="spellStart"/>
            <w:r w:rsidRPr="00B8596D">
              <w:rPr>
                <w:rFonts w:eastAsia="Arial Unicode MS"/>
                <w:color w:val="000000" w:themeColor="text1"/>
                <w:sz w:val="20"/>
                <w:szCs w:val="20"/>
                <w:shd w:val="clear" w:color="auto" w:fill="FFFFFF"/>
                <w:lang w:val="en-US"/>
              </w:rPr>
              <w:t>scoate</w:t>
            </w:r>
            <w:proofErr w:type="spellEnd"/>
            <w:r w:rsidRPr="00B8596D">
              <w:rPr>
                <w:rFonts w:eastAsia="Arial Unicode MS"/>
                <w:color w:val="000000" w:themeColor="text1"/>
                <w:sz w:val="20"/>
                <w:szCs w:val="20"/>
                <w:shd w:val="clear" w:color="auto" w:fill="FFFFFF"/>
                <w:lang w:val="en-US"/>
              </w:rPr>
              <w:t xml:space="preserve"> la </w:t>
            </w:r>
            <w:proofErr w:type="spellStart"/>
            <w:r w:rsidRPr="00B8596D">
              <w:rPr>
                <w:rFonts w:eastAsia="Arial Unicode MS"/>
                <w:color w:val="000000" w:themeColor="text1"/>
                <w:sz w:val="20"/>
                <w:szCs w:val="20"/>
                <w:shd w:val="clear" w:color="auto" w:fill="FFFFFF"/>
                <w:lang w:val="en-US"/>
              </w:rPr>
              <w:t>licitație</w:t>
            </w:r>
            <w:proofErr w:type="spellEnd"/>
            <w:r w:rsidRPr="00B8596D">
              <w:rPr>
                <w:rFonts w:eastAsia="Arial Unicode MS"/>
                <w:color w:val="000000" w:themeColor="text1"/>
                <w:sz w:val="20"/>
                <w:szCs w:val="20"/>
                <w:shd w:val="clear" w:color="auto" w:fill="FFFFFF"/>
                <w:lang w:val="en-US"/>
              </w:rPr>
              <w:t xml:space="preserve"> în </w:t>
            </w:r>
            <w:proofErr w:type="spellStart"/>
            <w:r w:rsidRPr="00B8596D">
              <w:rPr>
                <w:rFonts w:eastAsia="Arial Unicode MS"/>
                <w:color w:val="000000" w:themeColor="text1"/>
                <w:sz w:val="20"/>
                <w:szCs w:val="20"/>
                <w:shd w:val="clear" w:color="auto" w:fill="FFFFFF"/>
                <w:lang w:val="en-US"/>
              </w:rPr>
              <w:t>temeiul</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articolului</w:t>
            </w:r>
            <w:proofErr w:type="spellEnd"/>
            <w:r w:rsidR="00B8596D" w:rsidRP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 xml:space="preserve">10, ci se </w:t>
            </w:r>
            <w:proofErr w:type="spellStart"/>
            <w:r w:rsidRPr="00B8596D">
              <w:rPr>
                <w:rFonts w:eastAsia="Arial Unicode MS"/>
                <w:color w:val="000000" w:themeColor="text1"/>
                <w:sz w:val="20"/>
                <w:szCs w:val="20"/>
                <w:shd w:val="clear" w:color="auto" w:fill="FFFFFF"/>
                <w:lang w:val="en-US"/>
              </w:rPr>
              <w:t>anulează</w:t>
            </w:r>
            <w:proofErr w:type="spellEnd"/>
            <w:r w:rsidRPr="00B8596D">
              <w:rPr>
                <w:rFonts w:eastAsia="Arial Unicode MS"/>
                <w:color w:val="000000" w:themeColor="text1"/>
                <w:sz w:val="20"/>
                <w:szCs w:val="20"/>
                <w:shd w:val="clear" w:color="auto" w:fill="FFFFFF"/>
                <w:lang w:val="en-US"/>
              </w:rPr>
              <w:t>.</w:t>
            </w:r>
          </w:p>
        </w:tc>
        <w:tc>
          <w:tcPr>
            <w:tcW w:w="4394" w:type="dxa"/>
            <w:shd w:val="clear" w:color="auto" w:fill="auto"/>
          </w:tcPr>
          <w:p w14:paraId="6161740A"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75F7DDA" w14:textId="329B7CB2" w:rsidR="00124364" w:rsidRDefault="00A72916" w:rsidP="00A72916">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756BD7D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10C895B" w14:textId="77777777" w:rsidR="00A72916" w:rsidRPr="0066519A" w:rsidRDefault="00A72916" w:rsidP="00A72916">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4544C739"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06E2DC2" w14:textId="77777777" w:rsidR="00124364" w:rsidRDefault="00124364" w:rsidP="00A72916">
            <w:pPr>
              <w:autoSpaceDE w:val="0"/>
              <w:spacing w:after="0" w:line="240" w:lineRule="auto"/>
              <w:rPr>
                <w:rFonts w:ascii="Times New Roman" w:hAnsi="Times New Roman"/>
                <w:sz w:val="20"/>
                <w:szCs w:val="20"/>
                <w:lang w:val="fr-FR"/>
              </w:rPr>
            </w:pPr>
          </w:p>
        </w:tc>
      </w:tr>
      <w:tr w:rsidR="00124364" w14:paraId="61A5DA41" w14:textId="77777777">
        <w:trPr>
          <w:trHeight w:val="558"/>
        </w:trPr>
        <w:tc>
          <w:tcPr>
            <w:tcW w:w="4957" w:type="dxa"/>
            <w:shd w:val="clear" w:color="auto" w:fill="auto"/>
          </w:tcPr>
          <w:p w14:paraId="31F69308" w14:textId="6EA10041" w:rsidR="00124364" w:rsidRPr="00B8596D"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8596D">
              <w:rPr>
                <w:rFonts w:eastAsia="Arial Unicode MS"/>
                <w:i/>
                <w:iCs/>
                <w:color w:val="000000" w:themeColor="text1"/>
                <w:sz w:val="20"/>
                <w:szCs w:val="20"/>
                <w:shd w:val="clear" w:color="auto" w:fill="FFFFFF"/>
                <w:lang w:val="en-US"/>
              </w:rPr>
              <w:lastRenderedPageBreak/>
              <w:t>Articolul</w:t>
            </w:r>
            <w:proofErr w:type="spellEnd"/>
            <w:r w:rsidR="00B8596D" w:rsidRPr="00B8596D">
              <w:rPr>
                <w:rFonts w:eastAsia="Arial Unicode MS"/>
                <w:i/>
                <w:iCs/>
                <w:color w:val="000000" w:themeColor="text1"/>
                <w:sz w:val="20"/>
                <w:szCs w:val="20"/>
                <w:shd w:val="clear" w:color="auto" w:fill="FFFFFF"/>
                <w:lang w:val="en-US"/>
              </w:rPr>
              <w:t xml:space="preserve"> </w:t>
            </w:r>
            <w:r w:rsidRPr="00B8596D">
              <w:rPr>
                <w:rFonts w:eastAsia="Arial Unicode MS"/>
                <w:i/>
                <w:iCs/>
                <w:color w:val="000000" w:themeColor="text1"/>
                <w:sz w:val="20"/>
                <w:szCs w:val="20"/>
                <w:shd w:val="clear" w:color="auto" w:fill="FFFFFF"/>
                <w:lang w:val="en-US"/>
              </w:rPr>
              <w:t>3gc</w:t>
            </w:r>
          </w:p>
          <w:p w14:paraId="5B736967" w14:textId="77777777" w:rsidR="00124364" w:rsidRPr="00B8596D"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8596D">
              <w:rPr>
                <w:rFonts w:eastAsia="Arial Unicode MS"/>
                <w:b/>
                <w:bCs/>
                <w:color w:val="000000" w:themeColor="text1"/>
                <w:sz w:val="20"/>
                <w:szCs w:val="20"/>
                <w:shd w:val="clear" w:color="auto" w:fill="FFFFFF"/>
                <w:lang w:val="en-US"/>
              </w:rPr>
              <w:t>Dispoziții</w:t>
            </w:r>
            <w:proofErr w:type="spellEnd"/>
            <w:r w:rsidRPr="00B8596D">
              <w:rPr>
                <w:rFonts w:eastAsia="Arial Unicode MS"/>
                <w:b/>
                <w:bCs/>
                <w:color w:val="000000" w:themeColor="text1"/>
                <w:sz w:val="20"/>
                <w:szCs w:val="20"/>
                <w:shd w:val="clear" w:color="auto" w:fill="FFFFFF"/>
                <w:lang w:val="en-US"/>
              </w:rPr>
              <w:t xml:space="preserve"> </w:t>
            </w:r>
            <w:proofErr w:type="spellStart"/>
            <w:r w:rsidRPr="00B8596D">
              <w:rPr>
                <w:rFonts w:eastAsia="Arial Unicode MS"/>
                <w:b/>
                <w:bCs/>
                <w:color w:val="000000" w:themeColor="text1"/>
                <w:sz w:val="20"/>
                <w:szCs w:val="20"/>
                <w:shd w:val="clear" w:color="auto" w:fill="FFFFFF"/>
                <w:lang w:val="en-US"/>
              </w:rPr>
              <w:t>privind</w:t>
            </w:r>
            <w:proofErr w:type="spellEnd"/>
            <w:r w:rsidRPr="00B8596D">
              <w:rPr>
                <w:rFonts w:eastAsia="Arial Unicode MS"/>
                <w:b/>
                <w:bCs/>
                <w:color w:val="000000" w:themeColor="text1"/>
                <w:sz w:val="20"/>
                <w:szCs w:val="20"/>
                <w:shd w:val="clear" w:color="auto" w:fill="FFFFFF"/>
                <w:lang w:val="en-US"/>
              </w:rPr>
              <w:t xml:space="preserve"> </w:t>
            </w:r>
            <w:proofErr w:type="spellStart"/>
            <w:r w:rsidRPr="00B8596D">
              <w:rPr>
                <w:rFonts w:eastAsia="Arial Unicode MS"/>
                <w:b/>
                <w:bCs/>
                <w:color w:val="000000" w:themeColor="text1"/>
                <w:sz w:val="20"/>
                <w:szCs w:val="20"/>
                <w:shd w:val="clear" w:color="auto" w:fill="FFFFFF"/>
                <w:lang w:val="en-US"/>
              </w:rPr>
              <w:t>transferul</w:t>
            </w:r>
            <w:proofErr w:type="spellEnd"/>
            <w:r w:rsidRPr="00B8596D">
              <w:rPr>
                <w:rFonts w:eastAsia="Arial Unicode MS"/>
                <w:b/>
                <w:bCs/>
                <w:color w:val="000000" w:themeColor="text1"/>
                <w:sz w:val="20"/>
                <w:szCs w:val="20"/>
                <w:shd w:val="clear" w:color="auto" w:fill="FFFFFF"/>
                <w:lang w:val="en-US"/>
              </w:rPr>
              <w:t xml:space="preserve"> </w:t>
            </w:r>
            <w:proofErr w:type="spellStart"/>
            <w:r w:rsidRPr="00B8596D">
              <w:rPr>
                <w:rFonts w:eastAsia="Arial Unicode MS"/>
                <w:b/>
                <w:bCs/>
                <w:color w:val="000000" w:themeColor="text1"/>
                <w:sz w:val="20"/>
                <w:szCs w:val="20"/>
                <w:shd w:val="clear" w:color="auto" w:fill="FFFFFF"/>
                <w:lang w:val="en-US"/>
              </w:rPr>
              <w:t>costurilor</w:t>
            </w:r>
            <w:proofErr w:type="spellEnd"/>
            <w:r w:rsidRPr="00B8596D">
              <w:rPr>
                <w:rFonts w:eastAsia="Arial Unicode MS"/>
                <w:b/>
                <w:bCs/>
                <w:color w:val="000000" w:themeColor="text1"/>
                <w:sz w:val="20"/>
                <w:szCs w:val="20"/>
                <w:shd w:val="clear" w:color="auto" w:fill="FFFFFF"/>
                <w:lang w:val="en-US"/>
              </w:rPr>
              <w:t xml:space="preserve"> legate de EU ETS de la </w:t>
            </w:r>
            <w:proofErr w:type="spellStart"/>
            <w:r w:rsidRPr="00B8596D">
              <w:rPr>
                <w:rFonts w:eastAsia="Arial Unicode MS"/>
                <w:b/>
                <w:bCs/>
                <w:color w:val="000000" w:themeColor="text1"/>
                <w:sz w:val="20"/>
                <w:szCs w:val="20"/>
                <w:shd w:val="clear" w:color="auto" w:fill="FFFFFF"/>
                <w:lang w:val="en-US"/>
              </w:rPr>
              <w:t>compania</w:t>
            </w:r>
            <w:proofErr w:type="spellEnd"/>
            <w:r w:rsidRPr="00B8596D">
              <w:rPr>
                <w:rFonts w:eastAsia="Arial Unicode MS"/>
                <w:b/>
                <w:bCs/>
                <w:color w:val="000000" w:themeColor="text1"/>
                <w:sz w:val="20"/>
                <w:szCs w:val="20"/>
                <w:shd w:val="clear" w:color="auto" w:fill="FFFFFF"/>
                <w:lang w:val="en-US"/>
              </w:rPr>
              <w:t xml:space="preserve"> de transport maritim la o </w:t>
            </w:r>
            <w:proofErr w:type="spellStart"/>
            <w:r w:rsidRPr="00B8596D">
              <w:rPr>
                <w:rFonts w:eastAsia="Arial Unicode MS"/>
                <w:b/>
                <w:bCs/>
                <w:color w:val="000000" w:themeColor="text1"/>
                <w:sz w:val="20"/>
                <w:szCs w:val="20"/>
                <w:shd w:val="clear" w:color="auto" w:fill="FFFFFF"/>
                <w:lang w:val="en-US"/>
              </w:rPr>
              <w:t>altă</w:t>
            </w:r>
            <w:proofErr w:type="spellEnd"/>
            <w:r w:rsidRPr="00B8596D">
              <w:rPr>
                <w:rFonts w:eastAsia="Arial Unicode MS"/>
                <w:b/>
                <w:bCs/>
                <w:color w:val="000000" w:themeColor="text1"/>
                <w:sz w:val="20"/>
                <w:szCs w:val="20"/>
                <w:shd w:val="clear" w:color="auto" w:fill="FFFFFF"/>
                <w:lang w:val="en-US"/>
              </w:rPr>
              <w:t xml:space="preserve"> </w:t>
            </w:r>
            <w:proofErr w:type="spellStart"/>
            <w:r w:rsidRPr="00B8596D">
              <w:rPr>
                <w:rFonts w:eastAsia="Arial Unicode MS"/>
                <w:b/>
                <w:bCs/>
                <w:color w:val="000000" w:themeColor="text1"/>
                <w:sz w:val="20"/>
                <w:szCs w:val="20"/>
                <w:shd w:val="clear" w:color="auto" w:fill="FFFFFF"/>
                <w:lang w:val="en-US"/>
              </w:rPr>
              <w:t>entitate</w:t>
            </w:r>
            <w:proofErr w:type="spellEnd"/>
          </w:p>
          <w:p w14:paraId="759F89E7" w14:textId="77777777" w:rsidR="00124364" w:rsidRPr="00B8596D" w:rsidRDefault="00000000" w:rsidP="00B8596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8596D">
              <w:rPr>
                <w:rFonts w:eastAsia="Arial Unicode MS"/>
                <w:color w:val="000000" w:themeColor="text1"/>
                <w:sz w:val="20"/>
                <w:szCs w:val="20"/>
                <w:shd w:val="clear" w:color="auto" w:fill="FFFFFF"/>
                <w:lang w:val="en-US"/>
              </w:rPr>
              <w:t>Statele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membre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iau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măsurile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necesare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a se </w:t>
            </w:r>
            <w:proofErr w:type="spellStart"/>
            <w:r w:rsidRPr="00B8596D">
              <w:rPr>
                <w:rFonts w:eastAsia="Arial Unicode MS"/>
                <w:color w:val="000000" w:themeColor="text1"/>
                <w:sz w:val="20"/>
                <w:szCs w:val="20"/>
                <w:shd w:val="clear" w:color="auto" w:fill="FFFFFF"/>
                <w:lang w:val="en-US"/>
              </w:rPr>
              <w:t>asigura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atunci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când</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responsabilitatea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finală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achiziționarea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combustibilului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sau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operarea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navei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sau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ambele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este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asumată</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către</w:t>
            </w:r>
            <w:proofErr w:type="spellEnd"/>
            <w:r w:rsidRPr="00B8596D">
              <w:rPr>
                <w:rFonts w:eastAsia="Arial Unicode MS"/>
                <w:color w:val="000000" w:themeColor="text1"/>
                <w:sz w:val="20"/>
                <w:szCs w:val="20"/>
                <w:shd w:val="clear" w:color="auto" w:fill="FFFFFF"/>
                <w:lang w:val="en-US"/>
              </w:rPr>
              <w:t xml:space="preserve"> o </w:t>
            </w:r>
            <w:proofErr w:type="spellStart"/>
            <w:r w:rsidRPr="00B8596D">
              <w:rPr>
                <w:rFonts w:eastAsia="Arial Unicode MS"/>
                <w:color w:val="000000" w:themeColor="text1"/>
                <w:sz w:val="20"/>
                <w:szCs w:val="20"/>
                <w:shd w:val="clear" w:color="auto" w:fill="FFFFFF"/>
                <w:lang w:val="en-US"/>
              </w:rPr>
              <w:t>altă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entitate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decât</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compania</w:t>
            </w:r>
            <w:proofErr w:type="spellEnd"/>
            <w:r w:rsidRPr="00B8596D">
              <w:rPr>
                <w:rFonts w:eastAsia="Arial Unicode MS"/>
                <w:color w:val="000000" w:themeColor="text1"/>
                <w:sz w:val="20"/>
                <w:szCs w:val="20"/>
                <w:shd w:val="clear" w:color="auto" w:fill="FFFFFF"/>
                <w:lang w:val="en-US"/>
              </w:rPr>
              <w:t xml:space="preserve"> de transport maritim, în </w:t>
            </w:r>
            <w:proofErr w:type="spellStart"/>
            <w:r w:rsidRPr="00B8596D">
              <w:rPr>
                <w:rFonts w:eastAsia="Arial Unicode MS"/>
                <w:color w:val="000000" w:themeColor="text1"/>
                <w:sz w:val="20"/>
                <w:szCs w:val="20"/>
                <w:shd w:val="clear" w:color="auto" w:fill="FFFFFF"/>
                <w:lang w:val="en-US"/>
              </w:rPr>
              <w:t>temeiul</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unei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clauze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contractuale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compania</w:t>
            </w:r>
            <w:proofErr w:type="spellEnd"/>
            <w:r w:rsidRPr="00B8596D">
              <w:rPr>
                <w:rFonts w:eastAsia="Arial Unicode MS"/>
                <w:color w:val="000000" w:themeColor="text1"/>
                <w:sz w:val="20"/>
                <w:szCs w:val="20"/>
                <w:shd w:val="clear" w:color="auto" w:fill="FFFFFF"/>
                <w:lang w:val="en-US"/>
              </w:rPr>
              <w:t xml:space="preserve"> de transport maritim are </w:t>
            </w:r>
            <w:proofErr w:type="spellStart"/>
            <w:r w:rsidRPr="00B8596D">
              <w:rPr>
                <w:rFonts w:eastAsia="Arial Unicode MS"/>
                <w:color w:val="000000" w:themeColor="text1"/>
                <w:sz w:val="20"/>
                <w:szCs w:val="20"/>
                <w:shd w:val="clear" w:color="auto" w:fill="FFFFFF"/>
                <w:lang w:val="en-US"/>
              </w:rPr>
              <w:t>dreptul</w:t>
            </w:r>
            <w:proofErr w:type="spellEnd"/>
            <w:r w:rsidRPr="00B8596D">
              <w:rPr>
                <w:rFonts w:eastAsia="Arial Unicode MS"/>
                <w:color w:val="000000" w:themeColor="text1"/>
                <w:sz w:val="20"/>
                <w:szCs w:val="20"/>
                <w:shd w:val="clear" w:color="auto" w:fill="FFFFFF"/>
                <w:lang w:val="en-US"/>
              </w:rPr>
              <w:t xml:space="preserve"> la </w:t>
            </w:r>
            <w:proofErr w:type="spellStart"/>
            <w:r w:rsidRPr="00B8596D">
              <w:rPr>
                <w:rFonts w:eastAsia="Arial Unicode MS"/>
                <w:color w:val="000000" w:themeColor="text1"/>
                <w:sz w:val="20"/>
                <w:szCs w:val="20"/>
                <w:shd w:val="clear" w:color="auto" w:fill="FFFFFF"/>
                <w:lang w:val="en-US"/>
              </w:rPr>
              <w:t>rambursarea</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către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entitatea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respectivă</w:t>
            </w:r>
            <w:proofErr w:type="spellEnd"/>
            <w:r w:rsidRPr="00B8596D">
              <w:rPr>
                <w:rFonts w:eastAsia="Arial Unicode MS"/>
                <w:color w:val="000000" w:themeColor="text1"/>
                <w:sz w:val="20"/>
                <w:szCs w:val="20"/>
                <w:shd w:val="clear" w:color="auto" w:fill="FFFFFF"/>
                <w:lang w:val="en-US"/>
              </w:rPr>
              <w:t xml:space="preserve"> a </w:t>
            </w:r>
            <w:proofErr w:type="spellStart"/>
            <w:r w:rsidRPr="00B8596D">
              <w:rPr>
                <w:rFonts w:eastAsia="Arial Unicode MS"/>
                <w:color w:val="000000" w:themeColor="text1"/>
                <w:sz w:val="20"/>
                <w:szCs w:val="20"/>
                <w:shd w:val="clear" w:color="auto" w:fill="FFFFFF"/>
                <w:lang w:val="en-US"/>
              </w:rPr>
              <w:t>costurilor</w:t>
            </w:r>
            <w:proofErr w:type="spellEnd"/>
            <w:r w:rsidRPr="00B8596D">
              <w:rPr>
                <w:rFonts w:eastAsia="Arial Unicode MS"/>
                <w:color w:val="000000" w:themeColor="text1"/>
                <w:sz w:val="20"/>
                <w:szCs w:val="20"/>
                <w:shd w:val="clear" w:color="auto" w:fill="FFFFFF"/>
                <w:lang w:val="en-US"/>
              </w:rPr>
              <w:t xml:space="preserve"> generate de </w:t>
            </w:r>
            <w:proofErr w:type="spellStart"/>
            <w:r w:rsidRPr="00B8596D">
              <w:rPr>
                <w:rFonts w:eastAsia="Arial Unicode MS"/>
                <w:color w:val="000000" w:themeColor="text1"/>
                <w:sz w:val="20"/>
                <w:szCs w:val="20"/>
                <w:shd w:val="clear" w:color="auto" w:fill="FFFFFF"/>
                <w:lang w:val="en-US"/>
              </w:rPr>
              <w:t>restituirea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certificatelor</w:t>
            </w:r>
            <w:proofErr w:type="spellEnd"/>
            <w:r w:rsidRPr="00B8596D">
              <w:rPr>
                <w:rFonts w:eastAsia="Arial Unicode MS"/>
                <w:color w:val="000000" w:themeColor="text1"/>
                <w:sz w:val="20"/>
                <w:szCs w:val="20"/>
                <w:shd w:val="clear" w:color="auto" w:fill="FFFFFF"/>
                <w:lang w:val="en-US"/>
              </w:rPr>
              <w:t>.</w:t>
            </w:r>
          </w:p>
          <w:p w14:paraId="047A5BEE" w14:textId="479F09C7" w:rsidR="00124364" w:rsidRDefault="00000000" w:rsidP="00B8596D">
            <w:pPr>
              <w:pStyle w:val="ti-art"/>
              <w:shd w:val="clear" w:color="auto" w:fill="FFFFFF"/>
              <w:spacing w:before="0" w:beforeAutospacing="0" w:after="0" w:afterAutospacing="0"/>
              <w:jc w:val="both"/>
              <w:rPr>
                <w:i/>
                <w:iCs/>
                <w:color w:val="333333"/>
                <w:sz w:val="20"/>
                <w:szCs w:val="20"/>
                <w:lang w:val="en-US"/>
              </w:rPr>
            </w:pPr>
            <w:r w:rsidRPr="00B8596D">
              <w:rPr>
                <w:rFonts w:eastAsia="Arial Unicode MS"/>
                <w:color w:val="000000" w:themeColor="text1"/>
                <w:sz w:val="20"/>
                <w:szCs w:val="20"/>
                <w:shd w:val="clear" w:color="auto" w:fill="FFFFFF"/>
                <w:lang w:val="en-US"/>
              </w:rPr>
              <w:t xml:space="preserve">În </w:t>
            </w:r>
            <w:proofErr w:type="spellStart"/>
            <w:r w:rsidRPr="00B8596D">
              <w:rPr>
                <w:rFonts w:eastAsia="Arial Unicode MS"/>
                <w:color w:val="000000" w:themeColor="text1"/>
                <w:sz w:val="20"/>
                <w:szCs w:val="20"/>
                <w:shd w:val="clear" w:color="auto" w:fill="FFFFFF"/>
                <w:lang w:val="en-US"/>
              </w:rPr>
              <w:t>sensul</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prezentului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articol</w:t>
            </w:r>
            <w:proofErr w:type="spellEnd"/>
            <w:r w:rsidRPr="00B8596D">
              <w:rPr>
                <w:rFonts w:eastAsia="Arial Unicode MS"/>
                <w:color w:val="000000" w:themeColor="text1"/>
                <w:sz w:val="20"/>
                <w:szCs w:val="20"/>
                <w:shd w:val="clear" w:color="auto" w:fill="FFFFFF"/>
                <w:lang w:val="en-US"/>
              </w:rPr>
              <w:t>, „</w:t>
            </w:r>
            <w:proofErr w:type="spellStart"/>
            <w:r w:rsidRPr="00B8596D">
              <w:rPr>
                <w:rFonts w:eastAsia="Arial Unicode MS"/>
                <w:color w:val="000000" w:themeColor="text1"/>
                <w:sz w:val="20"/>
                <w:szCs w:val="20"/>
                <w:shd w:val="clear" w:color="auto" w:fill="FFFFFF"/>
                <w:lang w:val="en-US"/>
              </w:rPr>
              <w:t>operarea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navei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înseamnă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stabilirea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încărcăturii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transportate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sau</w:t>
            </w:r>
            <w:proofErr w:type="spellEnd"/>
            <w:r w:rsidRPr="00B8596D">
              <w:rPr>
                <w:rFonts w:eastAsia="Arial Unicode MS"/>
                <w:color w:val="000000" w:themeColor="text1"/>
                <w:sz w:val="20"/>
                <w:szCs w:val="20"/>
                <w:shd w:val="clear" w:color="auto" w:fill="FFFFFF"/>
                <w:lang w:val="en-US"/>
              </w:rPr>
              <w:t xml:space="preserve"> a </w:t>
            </w:r>
            <w:proofErr w:type="spellStart"/>
            <w:r w:rsidRPr="00B8596D">
              <w:rPr>
                <w:rFonts w:eastAsia="Arial Unicode MS"/>
                <w:color w:val="000000" w:themeColor="text1"/>
                <w:sz w:val="20"/>
                <w:szCs w:val="20"/>
                <w:shd w:val="clear" w:color="auto" w:fill="FFFFFF"/>
                <w:lang w:val="en-US"/>
              </w:rPr>
              <w:t>rutei</w:t>
            </w:r>
            <w:proofErr w:type="spellEnd"/>
            <w:r w:rsidRPr="00B8596D">
              <w:rPr>
                <w:rFonts w:eastAsia="Arial Unicode MS"/>
                <w:color w:val="000000" w:themeColor="text1"/>
                <w:sz w:val="20"/>
                <w:szCs w:val="20"/>
                <w:shd w:val="clear" w:color="auto" w:fill="FFFFFF"/>
                <w:lang w:val="en-US"/>
              </w:rPr>
              <w:t xml:space="preserve"> și a </w:t>
            </w:r>
            <w:proofErr w:type="spellStart"/>
            <w:r w:rsidRPr="00B8596D">
              <w:rPr>
                <w:rFonts w:eastAsia="Arial Unicode MS"/>
                <w:color w:val="000000" w:themeColor="text1"/>
                <w:sz w:val="20"/>
                <w:szCs w:val="20"/>
                <w:shd w:val="clear" w:color="auto" w:fill="FFFFFF"/>
                <w:lang w:val="en-US"/>
              </w:rPr>
              <w:t>vitezei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navei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Compania</w:t>
            </w:r>
            <w:proofErr w:type="spellEnd"/>
            <w:r w:rsidRPr="00B8596D">
              <w:rPr>
                <w:rFonts w:eastAsia="Arial Unicode MS"/>
                <w:color w:val="000000" w:themeColor="text1"/>
                <w:sz w:val="20"/>
                <w:szCs w:val="20"/>
                <w:shd w:val="clear" w:color="auto" w:fill="FFFFFF"/>
                <w:lang w:val="en-US"/>
              </w:rPr>
              <w:t xml:space="preserve"> de transport maritim </w:t>
            </w:r>
            <w:proofErr w:type="spellStart"/>
            <w:r w:rsidRPr="00B8596D">
              <w:rPr>
                <w:rFonts w:eastAsia="Arial Unicode MS"/>
                <w:color w:val="000000" w:themeColor="text1"/>
                <w:sz w:val="20"/>
                <w:szCs w:val="20"/>
                <w:shd w:val="clear" w:color="auto" w:fill="FFFFFF"/>
                <w:lang w:val="en-US"/>
              </w:rPr>
              <w:t>rămâne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entitatea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responsabilă</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restituirea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certificatelor</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astfel</w:t>
            </w:r>
            <w:proofErr w:type="spellEnd"/>
            <w:r w:rsidRPr="00B8596D">
              <w:rPr>
                <w:rFonts w:eastAsia="Arial Unicode MS"/>
                <w:color w:val="000000" w:themeColor="text1"/>
                <w:sz w:val="20"/>
                <w:szCs w:val="20"/>
                <w:shd w:val="clear" w:color="auto" w:fill="FFFFFF"/>
                <w:lang w:val="en-US"/>
              </w:rPr>
              <w:t xml:space="preserve"> cum se </w:t>
            </w:r>
            <w:proofErr w:type="spellStart"/>
            <w:r w:rsidRPr="00B8596D">
              <w:rPr>
                <w:rFonts w:eastAsia="Arial Unicode MS"/>
                <w:color w:val="000000" w:themeColor="text1"/>
                <w:sz w:val="20"/>
                <w:szCs w:val="20"/>
                <w:shd w:val="clear" w:color="auto" w:fill="FFFFFF"/>
                <w:lang w:val="en-US"/>
              </w:rPr>
              <w:t>prevede</w:t>
            </w:r>
            <w:proofErr w:type="spellEnd"/>
            <w:r w:rsidRPr="00B8596D">
              <w:rPr>
                <w:rFonts w:eastAsia="Arial Unicode MS"/>
                <w:color w:val="000000" w:themeColor="text1"/>
                <w:sz w:val="20"/>
                <w:szCs w:val="20"/>
                <w:shd w:val="clear" w:color="auto" w:fill="FFFFFF"/>
                <w:lang w:val="en-US"/>
              </w:rPr>
              <w:t xml:space="preserve"> la </w:t>
            </w:r>
            <w:proofErr w:type="spellStart"/>
            <w:r w:rsidRPr="00B8596D">
              <w:rPr>
                <w:rFonts w:eastAsia="Arial Unicode MS"/>
                <w:color w:val="000000" w:themeColor="text1"/>
                <w:sz w:val="20"/>
                <w:szCs w:val="20"/>
                <w:shd w:val="clear" w:color="auto" w:fill="FFFFFF"/>
                <w:lang w:val="en-US"/>
              </w:rPr>
              <w:t>articolele</w:t>
            </w:r>
            <w:proofErr w:type="spellEnd"/>
            <w:r w:rsid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3gb și</w:t>
            </w:r>
            <w:r w:rsid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 xml:space="preserve">12, precum și de </w:t>
            </w:r>
            <w:proofErr w:type="spellStart"/>
            <w:r w:rsidRPr="00B8596D">
              <w:rPr>
                <w:rFonts w:eastAsia="Arial Unicode MS"/>
                <w:color w:val="000000" w:themeColor="text1"/>
                <w:sz w:val="20"/>
                <w:szCs w:val="20"/>
                <w:shd w:val="clear" w:color="auto" w:fill="FFFFFF"/>
                <w:lang w:val="en-US"/>
              </w:rPr>
              <w:t>respectarea</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globală</w:t>
            </w:r>
            <w:proofErr w:type="spellEnd"/>
            <w:r w:rsidRPr="00B8596D">
              <w:rPr>
                <w:rFonts w:eastAsia="Arial Unicode MS"/>
                <w:color w:val="000000" w:themeColor="text1"/>
                <w:sz w:val="20"/>
                <w:szCs w:val="20"/>
                <w:shd w:val="clear" w:color="auto" w:fill="FFFFFF"/>
                <w:lang w:val="en-US"/>
              </w:rPr>
              <w:t xml:space="preserve"> a </w:t>
            </w:r>
            <w:proofErr w:type="spellStart"/>
            <w:r w:rsidRPr="00B8596D">
              <w:rPr>
                <w:rFonts w:eastAsia="Arial Unicode MS"/>
                <w:color w:val="000000" w:themeColor="text1"/>
                <w:sz w:val="20"/>
                <w:szCs w:val="20"/>
                <w:shd w:val="clear" w:color="auto" w:fill="FFFFFF"/>
                <w:lang w:val="en-US"/>
              </w:rPr>
              <w:t>dispozițiilor</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drept</w:t>
            </w:r>
            <w:proofErr w:type="spellEnd"/>
            <w:r w:rsidRPr="00B8596D">
              <w:rPr>
                <w:rFonts w:eastAsia="Arial Unicode MS"/>
                <w:color w:val="000000" w:themeColor="text1"/>
                <w:sz w:val="20"/>
                <w:szCs w:val="20"/>
                <w:shd w:val="clear" w:color="auto" w:fill="FFFFFF"/>
                <w:lang w:val="en-US"/>
              </w:rPr>
              <w:t xml:space="preserve"> intern </w:t>
            </w:r>
            <w:proofErr w:type="spellStart"/>
            <w:r w:rsidRPr="00B8596D">
              <w:rPr>
                <w:rFonts w:eastAsia="Arial Unicode MS"/>
                <w:color w:val="000000" w:themeColor="text1"/>
                <w:sz w:val="20"/>
                <w:szCs w:val="20"/>
                <w:shd w:val="clear" w:color="auto" w:fill="FFFFFF"/>
                <w:lang w:val="en-US"/>
              </w:rPr>
              <w:t>prin</w:t>
            </w:r>
            <w:proofErr w:type="spellEnd"/>
            <w:r w:rsidRPr="00B8596D">
              <w:rPr>
                <w:rFonts w:eastAsia="Arial Unicode MS"/>
                <w:color w:val="000000" w:themeColor="text1"/>
                <w:sz w:val="20"/>
                <w:szCs w:val="20"/>
                <w:shd w:val="clear" w:color="auto" w:fill="FFFFFF"/>
                <w:lang w:val="en-US"/>
              </w:rPr>
              <w:t xml:space="preserve"> care se </w:t>
            </w:r>
            <w:proofErr w:type="spellStart"/>
            <w:r w:rsidRPr="00B8596D">
              <w:rPr>
                <w:rFonts w:eastAsia="Arial Unicode MS"/>
                <w:color w:val="000000" w:themeColor="text1"/>
                <w:sz w:val="20"/>
                <w:szCs w:val="20"/>
                <w:shd w:val="clear" w:color="auto" w:fill="FFFFFF"/>
                <w:lang w:val="en-US"/>
              </w:rPr>
              <w:t>transpune</w:t>
            </w:r>
            <w:proofErr w:type="spellEnd"/>
            <w:r w:rsidRPr="00B8596D">
              <w:rPr>
                <w:rFonts w:eastAsia="Arial Unicode MS"/>
                <w:color w:val="000000" w:themeColor="text1"/>
                <w:sz w:val="20"/>
                <w:szCs w:val="20"/>
                <w:shd w:val="clear" w:color="auto" w:fill="FFFFFF"/>
                <w:lang w:val="en-US"/>
              </w:rPr>
              <w:t xml:space="preserve"> prezenta </w:t>
            </w:r>
            <w:proofErr w:type="spellStart"/>
            <w:r w:rsidRPr="00B8596D">
              <w:rPr>
                <w:rFonts w:eastAsia="Arial Unicode MS"/>
                <w:color w:val="000000" w:themeColor="text1"/>
                <w:sz w:val="20"/>
                <w:szCs w:val="20"/>
                <w:shd w:val="clear" w:color="auto" w:fill="FFFFFF"/>
                <w:lang w:val="en-US"/>
              </w:rPr>
              <w:t>directivă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Statele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membre</w:t>
            </w:r>
            <w:proofErr w:type="spellEnd"/>
            <w:r w:rsidRPr="00B8596D">
              <w:rPr>
                <w:rFonts w:eastAsia="Arial Unicode MS"/>
                <w:color w:val="000000" w:themeColor="text1"/>
                <w:sz w:val="20"/>
                <w:szCs w:val="20"/>
                <w:shd w:val="clear" w:color="auto" w:fill="FFFFFF"/>
                <w:lang w:val="en-US"/>
              </w:rPr>
              <w:t xml:space="preserve"> se </w:t>
            </w:r>
            <w:proofErr w:type="spellStart"/>
            <w:r w:rsidRPr="00B8596D">
              <w:rPr>
                <w:rFonts w:eastAsia="Arial Unicode MS"/>
                <w:color w:val="000000" w:themeColor="text1"/>
                <w:sz w:val="20"/>
                <w:szCs w:val="20"/>
                <w:shd w:val="clear" w:color="auto" w:fill="FFFFFF"/>
                <w:lang w:val="en-US"/>
              </w:rPr>
              <w:t>asigură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acele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companii</w:t>
            </w:r>
            <w:proofErr w:type="spellEnd"/>
            <w:r w:rsidRPr="00B8596D">
              <w:rPr>
                <w:rFonts w:eastAsia="Arial Unicode MS"/>
                <w:color w:val="000000" w:themeColor="text1"/>
                <w:sz w:val="20"/>
                <w:szCs w:val="20"/>
                <w:shd w:val="clear" w:color="auto" w:fill="FFFFFF"/>
                <w:lang w:val="en-US"/>
              </w:rPr>
              <w:t xml:space="preserve"> de transport maritim </w:t>
            </w:r>
            <w:proofErr w:type="spellStart"/>
            <w:r w:rsidRPr="00B8596D">
              <w:rPr>
                <w:rFonts w:eastAsia="Arial Unicode MS"/>
                <w:color w:val="000000" w:themeColor="text1"/>
                <w:sz w:val="20"/>
                <w:szCs w:val="20"/>
                <w:shd w:val="clear" w:color="auto" w:fill="FFFFFF"/>
                <w:lang w:val="en-US"/>
              </w:rPr>
              <w:t>aflate</w:t>
            </w:r>
            <w:proofErr w:type="spellEnd"/>
            <w:r w:rsidRPr="00B8596D">
              <w:rPr>
                <w:rFonts w:eastAsia="Arial Unicode MS"/>
                <w:color w:val="000000" w:themeColor="text1"/>
                <w:sz w:val="20"/>
                <w:szCs w:val="20"/>
                <w:shd w:val="clear" w:color="auto" w:fill="FFFFFF"/>
                <w:lang w:val="en-US"/>
              </w:rPr>
              <w:t xml:space="preserve"> în </w:t>
            </w:r>
            <w:proofErr w:type="spellStart"/>
            <w:r w:rsidRPr="00B8596D">
              <w:rPr>
                <w:rFonts w:eastAsia="Arial Unicode MS"/>
                <w:color w:val="000000" w:themeColor="text1"/>
                <w:sz w:val="20"/>
                <w:szCs w:val="20"/>
                <w:shd w:val="clear" w:color="auto" w:fill="FFFFFF"/>
                <w:lang w:val="en-US"/>
              </w:rPr>
              <w:t>responsabilitatea</w:t>
            </w:r>
            <w:proofErr w:type="spellEnd"/>
            <w:r w:rsidRPr="00B8596D">
              <w:rPr>
                <w:rFonts w:eastAsia="Arial Unicode MS"/>
                <w:color w:val="000000" w:themeColor="text1"/>
                <w:sz w:val="20"/>
                <w:szCs w:val="20"/>
                <w:shd w:val="clear" w:color="auto" w:fill="FFFFFF"/>
                <w:lang w:val="en-US"/>
              </w:rPr>
              <w:t xml:space="preserve"> lor </w:t>
            </w:r>
            <w:proofErr w:type="spellStart"/>
            <w:r w:rsidRPr="00B8596D">
              <w:rPr>
                <w:rFonts w:eastAsia="Arial Unicode MS"/>
                <w:color w:val="000000" w:themeColor="text1"/>
                <w:sz w:val="20"/>
                <w:szCs w:val="20"/>
                <w:shd w:val="clear" w:color="auto" w:fill="FFFFFF"/>
                <w:lang w:val="en-US"/>
              </w:rPr>
              <w:t>respectă</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obligațiile</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restituire</w:t>
            </w:r>
            <w:proofErr w:type="spellEnd"/>
            <w:r w:rsidRPr="00B8596D">
              <w:rPr>
                <w:rFonts w:eastAsia="Arial Unicode MS"/>
                <w:color w:val="000000" w:themeColor="text1"/>
                <w:sz w:val="20"/>
                <w:szCs w:val="20"/>
                <w:shd w:val="clear" w:color="auto" w:fill="FFFFFF"/>
                <w:lang w:val="en-US"/>
              </w:rPr>
              <w:t xml:space="preserve"> a </w:t>
            </w:r>
            <w:proofErr w:type="spellStart"/>
            <w:r w:rsidRPr="00B8596D">
              <w:rPr>
                <w:rFonts w:eastAsia="Arial Unicode MS"/>
                <w:color w:val="000000" w:themeColor="text1"/>
                <w:sz w:val="20"/>
                <w:szCs w:val="20"/>
                <w:shd w:val="clear" w:color="auto" w:fill="FFFFFF"/>
                <w:lang w:val="en-US"/>
              </w:rPr>
              <w:t>certificatelor</w:t>
            </w:r>
            <w:proofErr w:type="spellEnd"/>
            <w:r w:rsidRPr="00B8596D">
              <w:rPr>
                <w:rFonts w:eastAsia="Arial Unicode MS"/>
                <w:color w:val="000000" w:themeColor="text1"/>
                <w:sz w:val="20"/>
                <w:szCs w:val="20"/>
                <w:shd w:val="clear" w:color="auto" w:fill="FFFFFF"/>
                <w:lang w:val="en-US"/>
              </w:rPr>
              <w:t xml:space="preserve"> în </w:t>
            </w:r>
            <w:proofErr w:type="spellStart"/>
            <w:r w:rsidRPr="00B8596D">
              <w:rPr>
                <w:rFonts w:eastAsia="Arial Unicode MS"/>
                <w:color w:val="000000" w:themeColor="text1"/>
                <w:sz w:val="20"/>
                <w:szCs w:val="20"/>
                <w:shd w:val="clear" w:color="auto" w:fill="FFFFFF"/>
                <w:lang w:val="en-US"/>
              </w:rPr>
              <w:t>temeiul</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articolelor</w:t>
            </w:r>
            <w:proofErr w:type="spellEnd"/>
            <w:r w:rsid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3gb și</w:t>
            </w:r>
            <w:r w:rsidR="00B8596D">
              <w:rPr>
                <w:rFonts w:eastAsia="Arial Unicode MS"/>
                <w:color w:val="000000" w:themeColor="text1"/>
                <w:sz w:val="20"/>
                <w:szCs w:val="20"/>
                <w:shd w:val="clear" w:color="auto" w:fill="FFFFFF"/>
                <w:lang w:val="en-US"/>
              </w:rPr>
              <w:t xml:space="preserve"> </w:t>
            </w:r>
            <w:r w:rsidRPr="00B8596D">
              <w:rPr>
                <w:rFonts w:eastAsia="Arial Unicode MS"/>
                <w:color w:val="000000" w:themeColor="text1"/>
                <w:sz w:val="20"/>
                <w:szCs w:val="20"/>
                <w:shd w:val="clear" w:color="auto" w:fill="FFFFFF"/>
                <w:lang w:val="en-US"/>
              </w:rPr>
              <w:t xml:space="preserve">12, </w:t>
            </w:r>
            <w:proofErr w:type="spellStart"/>
            <w:r w:rsidRPr="00B8596D">
              <w:rPr>
                <w:rFonts w:eastAsia="Arial Unicode MS"/>
                <w:color w:val="000000" w:themeColor="text1"/>
                <w:sz w:val="20"/>
                <w:szCs w:val="20"/>
                <w:shd w:val="clear" w:color="auto" w:fill="FFFFFF"/>
                <w:lang w:val="en-US"/>
              </w:rPr>
              <w:t>fără</w:t>
            </w:r>
            <w:proofErr w:type="spellEnd"/>
            <w:r w:rsidRPr="00B8596D">
              <w:rPr>
                <w:rFonts w:eastAsia="Arial Unicode MS"/>
                <w:color w:val="000000" w:themeColor="text1"/>
                <w:sz w:val="20"/>
                <w:szCs w:val="20"/>
                <w:shd w:val="clear" w:color="auto" w:fill="FFFFFF"/>
                <w:lang w:val="en-US"/>
              </w:rPr>
              <w:t xml:space="preserve"> a se </w:t>
            </w:r>
            <w:proofErr w:type="spellStart"/>
            <w:r w:rsidRPr="00B8596D">
              <w:rPr>
                <w:rFonts w:eastAsia="Arial Unicode MS"/>
                <w:color w:val="000000" w:themeColor="text1"/>
                <w:sz w:val="20"/>
                <w:szCs w:val="20"/>
                <w:shd w:val="clear" w:color="auto" w:fill="FFFFFF"/>
                <w:lang w:val="en-US"/>
              </w:rPr>
              <w:t>aduce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atingere</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dreptului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unor</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astfel</w:t>
            </w:r>
            <w:proofErr w:type="spellEnd"/>
            <w:r w:rsidRPr="00B8596D">
              <w:rPr>
                <w:rFonts w:eastAsia="Arial Unicode MS"/>
                <w:color w:val="000000" w:themeColor="text1"/>
                <w:sz w:val="20"/>
                <w:szCs w:val="20"/>
                <w:shd w:val="clear" w:color="auto" w:fill="FFFFFF"/>
                <w:lang w:val="en-US"/>
              </w:rPr>
              <w:t xml:space="preserve"> de </w:t>
            </w:r>
            <w:proofErr w:type="spellStart"/>
            <w:r w:rsidRPr="00B8596D">
              <w:rPr>
                <w:rFonts w:eastAsia="Arial Unicode MS"/>
                <w:color w:val="000000" w:themeColor="text1"/>
                <w:sz w:val="20"/>
                <w:szCs w:val="20"/>
                <w:shd w:val="clear" w:color="auto" w:fill="FFFFFF"/>
                <w:lang w:val="en-US"/>
              </w:rPr>
              <w:t>companii</w:t>
            </w:r>
            <w:proofErr w:type="spellEnd"/>
            <w:r w:rsidRPr="00B8596D">
              <w:rPr>
                <w:rFonts w:eastAsia="Arial Unicode MS"/>
                <w:color w:val="000000" w:themeColor="text1"/>
                <w:sz w:val="20"/>
                <w:szCs w:val="20"/>
                <w:shd w:val="clear" w:color="auto" w:fill="FFFFFF"/>
                <w:lang w:val="en-US"/>
              </w:rPr>
              <w:t xml:space="preserve"> de transport maritim de a </w:t>
            </w:r>
            <w:proofErr w:type="spellStart"/>
            <w:r w:rsidRPr="00B8596D">
              <w:rPr>
                <w:rFonts w:eastAsia="Arial Unicode MS"/>
                <w:color w:val="000000" w:themeColor="text1"/>
                <w:sz w:val="20"/>
                <w:szCs w:val="20"/>
                <w:shd w:val="clear" w:color="auto" w:fill="FFFFFF"/>
                <w:lang w:val="en-US"/>
              </w:rPr>
              <w:t>primi</w:t>
            </w:r>
            <w:proofErr w:type="spellEnd"/>
            <w:r w:rsidRPr="00B8596D">
              <w:rPr>
                <w:rFonts w:eastAsia="Arial Unicode MS"/>
                <w:color w:val="000000" w:themeColor="text1"/>
                <w:sz w:val="20"/>
                <w:szCs w:val="20"/>
                <w:shd w:val="clear" w:color="auto" w:fill="FFFFFF"/>
                <w:lang w:val="en-US"/>
              </w:rPr>
              <w:t xml:space="preserve"> o </w:t>
            </w:r>
            <w:proofErr w:type="spellStart"/>
            <w:r w:rsidRPr="00B8596D">
              <w:rPr>
                <w:rFonts w:eastAsia="Arial Unicode MS"/>
                <w:color w:val="000000" w:themeColor="text1"/>
                <w:sz w:val="20"/>
                <w:szCs w:val="20"/>
                <w:shd w:val="clear" w:color="auto" w:fill="FFFFFF"/>
                <w:lang w:val="en-US"/>
              </w:rPr>
              <w:t>rambursare</w:t>
            </w:r>
            <w:proofErr w:type="spellEnd"/>
            <w:r w:rsidRPr="00B8596D">
              <w:rPr>
                <w:rFonts w:eastAsia="Arial Unicode MS"/>
                <w:color w:val="000000" w:themeColor="text1"/>
                <w:sz w:val="20"/>
                <w:szCs w:val="20"/>
                <w:shd w:val="clear" w:color="auto" w:fill="FFFFFF"/>
                <w:lang w:val="en-US"/>
              </w:rPr>
              <w:t xml:space="preserve"> de la </w:t>
            </w:r>
            <w:proofErr w:type="spellStart"/>
            <w:r w:rsidRPr="00B8596D">
              <w:rPr>
                <w:rFonts w:eastAsia="Arial Unicode MS"/>
                <w:color w:val="000000" w:themeColor="text1"/>
                <w:sz w:val="20"/>
                <w:szCs w:val="20"/>
                <w:shd w:val="clear" w:color="auto" w:fill="FFFFFF"/>
                <w:lang w:val="en-US"/>
              </w:rPr>
              <w:t>operatorii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comerciali</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pentru</w:t>
            </w:r>
            <w:proofErr w:type="spellEnd"/>
            <w:r w:rsidRPr="00B8596D">
              <w:rPr>
                <w:rFonts w:eastAsia="Arial Unicode MS"/>
                <w:color w:val="000000" w:themeColor="text1"/>
                <w:sz w:val="20"/>
                <w:szCs w:val="20"/>
                <w:shd w:val="clear" w:color="auto" w:fill="FFFFFF"/>
                <w:lang w:val="en-US"/>
              </w:rPr>
              <w:t xml:space="preserve"> </w:t>
            </w:r>
            <w:proofErr w:type="spellStart"/>
            <w:r w:rsidRPr="00B8596D">
              <w:rPr>
                <w:rFonts w:eastAsia="Arial Unicode MS"/>
                <w:color w:val="000000" w:themeColor="text1"/>
                <w:sz w:val="20"/>
                <w:szCs w:val="20"/>
                <w:shd w:val="clear" w:color="auto" w:fill="FFFFFF"/>
                <w:lang w:val="en-US"/>
              </w:rPr>
              <w:t>costurile</w:t>
            </w:r>
            <w:proofErr w:type="spellEnd"/>
            <w:r w:rsidRPr="00B8596D">
              <w:rPr>
                <w:rFonts w:eastAsia="Arial Unicode MS"/>
                <w:color w:val="000000" w:themeColor="text1"/>
                <w:sz w:val="20"/>
                <w:szCs w:val="20"/>
                <w:shd w:val="clear" w:color="auto" w:fill="FFFFFF"/>
                <w:lang w:val="en-US"/>
              </w:rPr>
              <w:t xml:space="preserve"> generate de </w:t>
            </w:r>
            <w:proofErr w:type="spellStart"/>
            <w:r w:rsidRPr="00B8596D">
              <w:rPr>
                <w:rFonts w:eastAsia="Arial Unicode MS"/>
                <w:color w:val="000000" w:themeColor="text1"/>
                <w:sz w:val="20"/>
                <w:szCs w:val="20"/>
                <w:shd w:val="clear" w:color="auto" w:fill="FFFFFF"/>
                <w:lang w:val="en-US"/>
              </w:rPr>
              <w:t>restituire</w:t>
            </w:r>
            <w:proofErr w:type="spellEnd"/>
            <w:r w:rsidRPr="00B8596D">
              <w:rPr>
                <w:rFonts w:eastAsia="Arial Unicode MS"/>
                <w:color w:val="000000" w:themeColor="text1"/>
                <w:sz w:val="20"/>
                <w:szCs w:val="20"/>
                <w:shd w:val="clear" w:color="auto" w:fill="FFFFFF"/>
                <w:lang w:val="en-US"/>
              </w:rPr>
              <w:t>.</w:t>
            </w:r>
          </w:p>
        </w:tc>
        <w:tc>
          <w:tcPr>
            <w:tcW w:w="4394" w:type="dxa"/>
            <w:shd w:val="clear" w:color="auto" w:fill="auto"/>
          </w:tcPr>
          <w:p w14:paraId="688BEEE5" w14:textId="77777777" w:rsidR="008D7F98" w:rsidRPr="00107394" w:rsidRDefault="008D7F98" w:rsidP="008D7F98">
            <w:pPr>
              <w:suppressAutoHyphens w:val="0"/>
              <w:autoSpaceDN/>
              <w:spacing w:after="0" w:line="240" w:lineRule="atLeast"/>
              <w:jc w:val="both"/>
              <w:textAlignment w:val="auto"/>
              <w:rPr>
                <w:rFonts w:ascii="Times New Roman" w:hAnsi="Times New Roman"/>
                <w:sz w:val="20"/>
                <w:szCs w:val="20"/>
                <w:lang w:val="ro-MD"/>
              </w:rPr>
            </w:pPr>
            <w:r w:rsidRPr="00107394">
              <w:rPr>
                <w:rFonts w:ascii="Times New Roman" w:hAnsi="Times New Roman"/>
                <w:b/>
                <w:bCs/>
                <w:sz w:val="20"/>
                <w:szCs w:val="20"/>
                <w:lang w:val="ro-MD"/>
              </w:rPr>
              <w:t>Articolul 55.</w:t>
            </w:r>
            <w:r>
              <w:rPr>
                <w:rFonts w:ascii="Times New Roman" w:hAnsi="Times New Roman"/>
                <w:sz w:val="20"/>
                <w:szCs w:val="20"/>
                <w:lang w:val="ro-MD"/>
              </w:rPr>
              <w:t xml:space="preserve"> </w:t>
            </w:r>
            <w:r w:rsidRPr="00107394">
              <w:rPr>
                <w:rFonts w:ascii="Times New Roman" w:hAnsi="Times New Roman"/>
                <w:sz w:val="20"/>
                <w:szCs w:val="20"/>
                <w:lang w:val="ro-MD"/>
              </w:rPr>
              <w:t>Emisiile de GES provenite de la transportul maritim</w:t>
            </w:r>
          </w:p>
          <w:p w14:paraId="0B09BDC4" w14:textId="161F2F79" w:rsidR="00CA7409" w:rsidRPr="00CA7409" w:rsidRDefault="00CA7409" w:rsidP="00CA7409">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CA7409">
              <w:rPr>
                <w:rFonts w:ascii="Times New Roman" w:hAnsi="Times New Roman"/>
                <w:bCs/>
                <w:color w:val="000000" w:themeColor="text1"/>
                <w:sz w:val="20"/>
                <w:szCs w:val="20"/>
                <w:lang w:val="ro-MD"/>
              </w:rPr>
              <w:t>(3)</w:t>
            </w:r>
            <w:r w:rsidRPr="00CA7409">
              <w:rPr>
                <w:rFonts w:ascii="Times New Roman" w:hAnsi="Times New Roman"/>
                <w:bCs/>
                <w:color w:val="000000" w:themeColor="text1"/>
                <w:sz w:val="20"/>
                <w:szCs w:val="20"/>
                <w:lang w:val="ro-MD"/>
              </w:rPr>
              <w:t>Compania de transport maritim</w:t>
            </w:r>
            <w:r w:rsidRPr="00CA7409">
              <w:rPr>
                <w:rFonts w:ascii="Times New Roman" w:hAnsi="Times New Roman"/>
                <w:color w:val="000000" w:themeColor="text1"/>
                <w:sz w:val="20"/>
                <w:szCs w:val="20"/>
                <w:shd w:val="clear" w:color="auto" w:fill="FFFFFF"/>
                <w:lang w:val="ro-MD"/>
              </w:rPr>
              <w:t xml:space="preserve"> </w:t>
            </w:r>
            <w:r w:rsidRPr="00CA7409">
              <w:rPr>
                <w:rFonts w:ascii="Times New Roman" w:hAnsi="Times New Roman"/>
                <w:color w:val="000000" w:themeColor="text1"/>
                <w:sz w:val="20"/>
                <w:szCs w:val="20"/>
                <w:lang w:val="ro-MD"/>
              </w:rPr>
              <w:t>prezintă verificatorului independent și acreditat un PM, fără întârzieri nejustificate și în cel mult două luni de la prima escală a fiecărei nave într-un port aflat sub jurisdicția Republicii Moldova, care constă într-o documentație completă și transparentă privind metoda de monitorizare a emisiilor de GES a nave și cuprinde informații specificate în Regulamentul privind monitorizarea, raportarea și verificarea emisiilor de dioxid de carbon generate de transportul maritim, aprobat de Guvern.</w:t>
            </w:r>
          </w:p>
          <w:p w14:paraId="65257A6C"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236B9A1" w14:textId="19B8F337" w:rsidR="00124364" w:rsidRDefault="00B8596D" w:rsidP="00B8596D">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Parțial compatibil</w:t>
            </w:r>
          </w:p>
        </w:tc>
        <w:tc>
          <w:tcPr>
            <w:tcW w:w="1275" w:type="dxa"/>
            <w:shd w:val="clear" w:color="auto" w:fill="auto"/>
          </w:tcPr>
          <w:p w14:paraId="687C40C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48788D1" w14:textId="0A6860E4" w:rsidR="00B8596D" w:rsidRPr="00197FD0" w:rsidRDefault="00B8596D" w:rsidP="00B8596D">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01CE3D0F"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0091A5A"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BC8C070" w14:textId="77777777" w:rsidR="00124364" w:rsidRDefault="00124364">
            <w:pPr>
              <w:autoSpaceDE w:val="0"/>
              <w:spacing w:after="0" w:line="240" w:lineRule="auto"/>
              <w:rPr>
                <w:rFonts w:ascii="Times New Roman" w:hAnsi="Times New Roman"/>
                <w:sz w:val="20"/>
                <w:szCs w:val="20"/>
                <w:lang w:val="fr-FR"/>
              </w:rPr>
            </w:pPr>
          </w:p>
          <w:p w14:paraId="5844C77D" w14:textId="66A95D2C" w:rsidR="00B8596D" w:rsidRDefault="00B8596D">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Navală</w:t>
            </w:r>
            <w:proofErr w:type="spellEnd"/>
          </w:p>
        </w:tc>
      </w:tr>
      <w:tr w:rsidR="00124364" w14:paraId="639DFD1C" w14:textId="77777777">
        <w:trPr>
          <w:trHeight w:val="558"/>
        </w:trPr>
        <w:tc>
          <w:tcPr>
            <w:tcW w:w="4957" w:type="dxa"/>
            <w:shd w:val="clear" w:color="auto" w:fill="auto"/>
          </w:tcPr>
          <w:p w14:paraId="32B2D345" w14:textId="370BA900"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CA7409">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3gd</w:t>
            </w:r>
          </w:p>
          <w:p w14:paraId="115FC7E0" w14:textId="77777777" w:rsidR="00124364" w:rsidRPr="00CA7409" w:rsidRDefault="00000000" w:rsidP="00CA7409">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Pr>
                <w:rFonts w:eastAsia="Arial Unicode MS"/>
                <w:b/>
                <w:bCs/>
                <w:color w:val="333333"/>
                <w:sz w:val="20"/>
                <w:szCs w:val="20"/>
                <w:shd w:val="clear" w:color="auto" w:fill="FFFFFF"/>
                <w:lang w:val="en-US"/>
              </w:rPr>
              <w:t>Monitorizarea</w:t>
            </w:r>
            <w:proofErr w:type="spellEnd"/>
            <w:r>
              <w:rPr>
                <w:rFonts w:eastAsia="Arial Unicode MS"/>
                <w:b/>
                <w:bCs/>
                <w:color w:val="333333"/>
                <w:sz w:val="20"/>
                <w:szCs w:val="20"/>
                <w:shd w:val="clear" w:color="auto" w:fill="FFFFFF"/>
                <w:lang w:val="en-US"/>
              </w:rPr>
              <w:t xml:space="preserve"> și </w:t>
            </w:r>
            <w:proofErr w:type="spellStart"/>
            <w:r w:rsidRPr="00CA7409">
              <w:rPr>
                <w:rFonts w:eastAsia="Arial Unicode MS"/>
                <w:b/>
                <w:bCs/>
                <w:color w:val="000000" w:themeColor="text1"/>
                <w:sz w:val="20"/>
                <w:szCs w:val="20"/>
                <w:shd w:val="clear" w:color="auto" w:fill="FFFFFF"/>
                <w:lang w:val="en-US"/>
              </w:rPr>
              <w:t>raportarea</w:t>
            </w:r>
            <w:proofErr w:type="spellEnd"/>
            <w:r w:rsidRPr="00CA7409">
              <w:rPr>
                <w:rFonts w:eastAsia="Arial Unicode MS"/>
                <w:b/>
                <w:bCs/>
                <w:color w:val="000000" w:themeColor="text1"/>
                <w:sz w:val="20"/>
                <w:szCs w:val="20"/>
                <w:shd w:val="clear" w:color="auto" w:fill="FFFFFF"/>
                <w:lang w:val="en-US"/>
              </w:rPr>
              <w:t xml:space="preserve"> </w:t>
            </w:r>
            <w:proofErr w:type="spellStart"/>
            <w:r w:rsidRPr="00CA7409">
              <w:rPr>
                <w:rFonts w:eastAsia="Arial Unicode MS"/>
                <w:b/>
                <w:bCs/>
                <w:color w:val="000000" w:themeColor="text1"/>
                <w:sz w:val="20"/>
                <w:szCs w:val="20"/>
                <w:shd w:val="clear" w:color="auto" w:fill="FFFFFF"/>
                <w:lang w:val="en-US"/>
              </w:rPr>
              <w:t>emisiilor</w:t>
            </w:r>
            <w:proofErr w:type="spellEnd"/>
            <w:r w:rsidRPr="00CA7409">
              <w:rPr>
                <w:rFonts w:eastAsia="Arial Unicode MS"/>
                <w:b/>
                <w:bCs/>
                <w:color w:val="000000" w:themeColor="text1"/>
                <w:sz w:val="20"/>
                <w:szCs w:val="20"/>
                <w:shd w:val="clear" w:color="auto" w:fill="FFFFFF"/>
                <w:lang w:val="en-US"/>
              </w:rPr>
              <w:t xml:space="preserve"> generate de </w:t>
            </w:r>
            <w:proofErr w:type="spellStart"/>
            <w:r w:rsidRPr="00CA7409">
              <w:rPr>
                <w:rFonts w:eastAsia="Arial Unicode MS"/>
                <w:b/>
                <w:bCs/>
                <w:color w:val="000000" w:themeColor="text1"/>
                <w:sz w:val="20"/>
                <w:szCs w:val="20"/>
                <w:shd w:val="clear" w:color="auto" w:fill="FFFFFF"/>
                <w:lang w:val="en-US"/>
              </w:rPr>
              <w:t>transportul</w:t>
            </w:r>
            <w:proofErr w:type="spellEnd"/>
            <w:r w:rsidRPr="00CA7409">
              <w:rPr>
                <w:rFonts w:eastAsia="Arial Unicode MS"/>
                <w:b/>
                <w:bCs/>
                <w:color w:val="000000" w:themeColor="text1"/>
                <w:sz w:val="20"/>
                <w:szCs w:val="20"/>
                <w:shd w:val="clear" w:color="auto" w:fill="FFFFFF"/>
                <w:lang w:val="en-US"/>
              </w:rPr>
              <w:t xml:space="preserve"> maritim</w:t>
            </w:r>
          </w:p>
          <w:p w14:paraId="22838CA2" w14:textId="52B3AA6A" w:rsidR="00124364" w:rsidRDefault="00000000" w:rsidP="00CA7409">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sidRPr="00CA7409">
              <w:rPr>
                <w:rFonts w:eastAsia="Arial Unicode MS"/>
                <w:color w:val="000000" w:themeColor="text1"/>
                <w:sz w:val="20"/>
                <w:szCs w:val="20"/>
                <w:shd w:val="clear" w:color="auto" w:fill="FFFFFF"/>
                <w:lang w:val="en-US"/>
              </w:rPr>
              <w:t xml:space="preserve">În </w:t>
            </w:r>
            <w:proofErr w:type="spellStart"/>
            <w:r w:rsidRPr="00CA7409">
              <w:rPr>
                <w:rFonts w:eastAsia="Arial Unicode MS"/>
                <w:color w:val="000000" w:themeColor="text1"/>
                <w:sz w:val="20"/>
                <w:szCs w:val="20"/>
                <w:shd w:val="clear" w:color="auto" w:fill="FFFFFF"/>
                <w:lang w:val="en-US"/>
              </w:rPr>
              <w:t>ceea</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ce</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privește</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emisiile</w:t>
            </w:r>
            <w:proofErr w:type="spellEnd"/>
            <w:r w:rsidRPr="00CA7409">
              <w:rPr>
                <w:rFonts w:eastAsia="Arial Unicode MS"/>
                <w:color w:val="000000" w:themeColor="text1"/>
                <w:sz w:val="20"/>
                <w:szCs w:val="20"/>
                <w:shd w:val="clear" w:color="auto" w:fill="FFFFFF"/>
                <w:lang w:val="en-US"/>
              </w:rPr>
              <w:t xml:space="preserve"> generate de </w:t>
            </w:r>
            <w:proofErr w:type="spellStart"/>
            <w:r w:rsidRPr="00CA7409">
              <w:rPr>
                <w:rFonts w:eastAsia="Arial Unicode MS"/>
                <w:color w:val="000000" w:themeColor="text1"/>
                <w:sz w:val="20"/>
                <w:szCs w:val="20"/>
                <w:shd w:val="clear" w:color="auto" w:fill="FFFFFF"/>
                <w:lang w:val="en-US"/>
              </w:rPr>
              <w:t>activitățile</w:t>
            </w:r>
            <w:proofErr w:type="spellEnd"/>
            <w:r w:rsidRPr="00CA7409">
              <w:rPr>
                <w:rFonts w:eastAsia="Arial Unicode MS"/>
                <w:color w:val="000000" w:themeColor="text1"/>
                <w:sz w:val="20"/>
                <w:szCs w:val="20"/>
                <w:shd w:val="clear" w:color="auto" w:fill="FFFFFF"/>
                <w:lang w:val="en-US"/>
              </w:rPr>
              <w:t xml:space="preserve"> de transport maritim enumerate în </w:t>
            </w:r>
            <w:proofErr w:type="spellStart"/>
            <w:r w:rsidRPr="00CA7409">
              <w:rPr>
                <w:rFonts w:eastAsia="Arial Unicode MS"/>
                <w:color w:val="000000" w:themeColor="text1"/>
                <w:sz w:val="20"/>
                <w:szCs w:val="20"/>
                <w:shd w:val="clear" w:color="auto" w:fill="FFFFFF"/>
                <w:lang w:val="en-US"/>
              </w:rPr>
              <w:t>anexa</w:t>
            </w:r>
            <w:proofErr w:type="spellEnd"/>
            <w:r w:rsidR="00CA7409" w:rsidRPr="00CA7409">
              <w:rPr>
                <w:rFonts w:eastAsia="Arial Unicode MS"/>
                <w:color w:val="000000" w:themeColor="text1"/>
                <w:sz w:val="20"/>
                <w:szCs w:val="20"/>
                <w:shd w:val="clear" w:color="auto" w:fill="FFFFFF"/>
                <w:lang w:val="en-US"/>
              </w:rPr>
              <w:t xml:space="preserve"> </w:t>
            </w:r>
            <w:r w:rsidRPr="00CA7409">
              <w:rPr>
                <w:rFonts w:eastAsia="Arial Unicode MS"/>
                <w:color w:val="000000" w:themeColor="text1"/>
                <w:sz w:val="20"/>
                <w:szCs w:val="20"/>
                <w:shd w:val="clear" w:color="auto" w:fill="FFFFFF"/>
                <w:lang w:val="en-US"/>
              </w:rPr>
              <w:t xml:space="preserve">I la prezenta </w:t>
            </w:r>
            <w:proofErr w:type="spellStart"/>
            <w:r w:rsidRPr="00CA7409">
              <w:rPr>
                <w:rFonts w:eastAsia="Arial Unicode MS"/>
                <w:color w:val="000000" w:themeColor="text1"/>
                <w:sz w:val="20"/>
                <w:szCs w:val="20"/>
                <w:shd w:val="clear" w:color="auto" w:fill="FFFFFF"/>
                <w:lang w:val="en-US"/>
              </w:rPr>
              <w:t>directivă</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autoritatea</w:t>
            </w:r>
            <w:proofErr w:type="spellEnd"/>
            <w:r w:rsidRPr="00CA7409">
              <w:rPr>
                <w:rFonts w:eastAsia="Arial Unicode MS"/>
                <w:color w:val="000000" w:themeColor="text1"/>
                <w:sz w:val="20"/>
                <w:szCs w:val="20"/>
                <w:shd w:val="clear" w:color="auto" w:fill="FFFFFF"/>
                <w:lang w:val="en-US"/>
              </w:rPr>
              <w:t xml:space="preserve"> de </w:t>
            </w:r>
            <w:proofErr w:type="spellStart"/>
            <w:r w:rsidRPr="00CA7409">
              <w:rPr>
                <w:rFonts w:eastAsia="Arial Unicode MS"/>
                <w:color w:val="000000" w:themeColor="text1"/>
                <w:sz w:val="20"/>
                <w:szCs w:val="20"/>
                <w:shd w:val="clear" w:color="auto" w:fill="FFFFFF"/>
                <w:lang w:val="en-US"/>
              </w:rPr>
              <w:t>administrare</w:t>
            </w:r>
            <w:proofErr w:type="spellEnd"/>
            <w:r w:rsidRPr="00CA7409">
              <w:rPr>
                <w:rFonts w:eastAsia="Arial Unicode MS"/>
                <w:color w:val="000000" w:themeColor="text1"/>
                <w:sz w:val="20"/>
                <w:szCs w:val="20"/>
                <w:shd w:val="clear" w:color="auto" w:fill="FFFFFF"/>
                <w:lang w:val="en-US"/>
              </w:rPr>
              <w:t xml:space="preserve"> a </w:t>
            </w:r>
            <w:proofErr w:type="spellStart"/>
            <w:r w:rsidRPr="00CA7409">
              <w:rPr>
                <w:rFonts w:eastAsia="Arial Unicode MS"/>
                <w:color w:val="000000" w:themeColor="text1"/>
                <w:sz w:val="20"/>
                <w:szCs w:val="20"/>
                <w:shd w:val="clear" w:color="auto" w:fill="FFFFFF"/>
                <w:lang w:val="en-US"/>
              </w:rPr>
              <w:t>unei</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companii</w:t>
            </w:r>
            <w:proofErr w:type="spellEnd"/>
            <w:r w:rsidRPr="00CA7409">
              <w:rPr>
                <w:rFonts w:eastAsia="Arial Unicode MS"/>
                <w:color w:val="000000" w:themeColor="text1"/>
                <w:sz w:val="20"/>
                <w:szCs w:val="20"/>
                <w:shd w:val="clear" w:color="auto" w:fill="FFFFFF"/>
                <w:lang w:val="en-US"/>
              </w:rPr>
              <w:t xml:space="preserve"> de transport maritim se </w:t>
            </w:r>
            <w:proofErr w:type="spellStart"/>
            <w:r w:rsidRPr="00CA7409">
              <w:rPr>
                <w:rFonts w:eastAsia="Arial Unicode MS"/>
                <w:color w:val="000000" w:themeColor="text1"/>
                <w:sz w:val="20"/>
                <w:szCs w:val="20"/>
                <w:shd w:val="clear" w:color="auto" w:fill="FFFFFF"/>
                <w:lang w:val="en-US"/>
              </w:rPr>
              <w:t>asigură</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că</w:t>
            </w:r>
            <w:proofErr w:type="spellEnd"/>
            <w:r w:rsidRPr="00CA7409">
              <w:rPr>
                <w:rFonts w:eastAsia="Arial Unicode MS"/>
                <w:color w:val="000000" w:themeColor="text1"/>
                <w:sz w:val="20"/>
                <w:szCs w:val="20"/>
                <w:shd w:val="clear" w:color="auto" w:fill="FFFFFF"/>
                <w:lang w:val="en-US"/>
              </w:rPr>
              <w:t xml:space="preserve"> o </w:t>
            </w:r>
            <w:proofErr w:type="spellStart"/>
            <w:r w:rsidRPr="00CA7409">
              <w:rPr>
                <w:rFonts w:eastAsia="Arial Unicode MS"/>
                <w:color w:val="000000" w:themeColor="text1"/>
                <w:sz w:val="20"/>
                <w:szCs w:val="20"/>
                <w:shd w:val="clear" w:color="auto" w:fill="FFFFFF"/>
                <w:lang w:val="en-US"/>
              </w:rPr>
              <w:t>companie</w:t>
            </w:r>
            <w:proofErr w:type="spellEnd"/>
            <w:r w:rsidRPr="00CA7409">
              <w:rPr>
                <w:rFonts w:eastAsia="Arial Unicode MS"/>
                <w:color w:val="000000" w:themeColor="text1"/>
                <w:sz w:val="20"/>
                <w:szCs w:val="20"/>
                <w:shd w:val="clear" w:color="auto" w:fill="FFFFFF"/>
                <w:lang w:val="en-US"/>
              </w:rPr>
              <w:t xml:space="preserve"> de transport maritim </w:t>
            </w:r>
            <w:proofErr w:type="spellStart"/>
            <w:r w:rsidRPr="00CA7409">
              <w:rPr>
                <w:rFonts w:eastAsia="Arial Unicode MS"/>
                <w:color w:val="000000" w:themeColor="text1"/>
                <w:sz w:val="20"/>
                <w:szCs w:val="20"/>
                <w:shd w:val="clear" w:color="auto" w:fill="FFFFFF"/>
                <w:lang w:val="en-US"/>
              </w:rPr>
              <w:t>aflată</w:t>
            </w:r>
            <w:proofErr w:type="spellEnd"/>
            <w:r w:rsidRPr="00CA7409">
              <w:rPr>
                <w:rFonts w:eastAsia="Arial Unicode MS"/>
                <w:color w:val="000000" w:themeColor="text1"/>
                <w:sz w:val="20"/>
                <w:szCs w:val="20"/>
                <w:shd w:val="clear" w:color="auto" w:fill="FFFFFF"/>
                <w:lang w:val="en-US"/>
              </w:rPr>
              <w:t xml:space="preserve"> în </w:t>
            </w:r>
            <w:proofErr w:type="spellStart"/>
            <w:r w:rsidRPr="00CA7409">
              <w:rPr>
                <w:rFonts w:eastAsia="Arial Unicode MS"/>
                <w:color w:val="000000" w:themeColor="text1"/>
                <w:sz w:val="20"/>
                <w:szCs w:val="20"/>
                <w:shd w:val="clear" w:color="auto" w:fill="FFFFFF"/>
                <w:lang w:val="en-US"/>
              </w:rPr>
              <w:t>responsabilitatea</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sa</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monitorizează</w:t>
            </w:r>
            <w:proofErr w:type="spellEnd"/>
            <w:r w:rsidRPr="00CA7409">
              <w:rPr>
                <w:rFonts w:eastAsia="Arial Unicode MS"/>
                <w:color w:val="000000" w:themeColor="text1"/>
                <w:sz w:val="20"/>
                <w:szCs w:val="20"/>
                <w:shd w:val="clear" w:color="auto" w:fill="FFFFFF"/>
                <w:lang w:val="en-US"/>
              </w:rPr>
              <w:t xml:space="preserve"> și </w:t>
            </w:r>
            <w:proofErr w:type="spellStart"/>
            <w:r w:rsidRPr="00CA7409">
              <w:rPr>
                <w:rFonts w:eastAsia="Arial Unicode MS"/>
                <w:color w:val="000000" w:themeColor="text1"/>
                <w:sz w:val="20"/>
                <w:szCs w:val="20"/>
                <w:shd w:val="clear" w:color="auto" w:fill="FFFFFF"/>
                <w:lang w:val="en-US"/>
              </w:rPr>
              <w:t>raportează</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parametrii</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relevanți</w:t>
            </w:r>
            <w:proofErr w:type="spellEnd"/>
            <w:r w:rsidRPr="00CA7409">
              <w:rPr>
                <w:rFonts w:eastAsia="Arial Unicode MS"/>
                <w:color w:val="000000" w:themeColor="text1"/>
                <w:sz w:val="20"/>
                <w:szCs w:val="20"/>
                <w:shd w:val="clear" w:color="auto" w:fill="FFFFFF"/>
                <w:lang w:val="en-US"/>
              </w:rPr>
              <w:t xml:space="preserve"> pe </w:t>
            </w:r>
            <w:proofErr w:type="spellStart"/>
            <w:r w:rsidRPr="00CA7409">
              <w:rPr>
                <w:rFonts w:eastAsia="Arial Unicode MS"/>
                <w:color w:val="000000" w:themeColor="text1"/>
                <w:sz w:val="20"/>
                <w:szCs w:val="20"/>
                <w:shd w:val="clear" w:color="auto" w:fill="FFFFFF"/>
                <w:lang w:val="en-US"/>
              </w:rPr>
              <w:t>parcursul</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unei</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perioade</w:t>
            </w:r>
            <w:proofErr w:type="spellEnd"/>
            <w:r w:rsidRPr="00CA7409">
              <w:rPr>
                <w:rFonts w:eastAsia="Arial Unicode MS"/>
                <w:color w:val="000000" w:themeColor="text1"/>
                <w:sz w:val="20"/>
                <w:szCs w:val="20"/>
                <w:shd w:val="clear" w:color="auto" w:fill="FFFFFF"/>
                <w:lang w:val="en-US"/>
              </w:rPr>
              <w:t xml:space="preserve"> de </w:t>
            </w:r>
            <w:proofErr w:type="spellStart"/>
            <w:r w:rsidRPr="00CA7409">
              <w:rPr>
                <w:rFonts w:eastAsia="Arial Unicode MS"/>
                <w:color w:val="000000" w:themeColor="text1"/>
                <w:sz w:val="20"/>
                <w:szCs w:val="20"/>
                <w:shd w:val="clear" w:color="auto" w:fill="FFFFFF"/>
                <w:lang w:val="en-US"/>
              </w:rPr>
              <w:t>raportare</w:t>
            </w:r>
            <w:proofErr w:type="spellEnd"/>
            <w:r w:rsidRPr="00CA7409">
              <w:rPr>
                <w:rFonts w:eastAsia="Arial Unicode MS"/>
                <w:color w:val="000000" w:themeColor="text1"/>
                <w:sz w:val="20"/>
                <w:szCs w:val="20"/>
                <w:shd w:val="clear" w:color="auto" w:fill="FFFFFF"/>
                <w:lang w:val="en-US"/>
              </w:rPr>
              <w:t xml:space="preserve"> și </w:t>
            </w:r>
            <w:proofErr w:type="spellStart"/>
            <w:r w:rsidRPr="00CA7409">
              <w:rPr>
                <w:rFonts w:eastAsia="Arial Unicode MS"/>
                <w:color w:val="000000" w:themeColor="text1"/>
                <w:sz w:val="20"/>
                <w:szCs w:val="20"/>
                <w:shd w:val="clear" w:color="auto" w:fill="FFFFFF"/>
                <w:lang w:val="en-US"/>
              </w:rPr>
              <w:t>că</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îi</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transmite</w:t>
            </w:r>
            <w:proofErr w:type="spellEnd"/>
            <w:r w:rsidRPr="00CA7409">
              <w:rPr>
                <w:rFonts w:eastAsia="Arial Unicode MS"/>
                <w:color w:val="000000" w:themeColor="text1"/>
                <w:sz w:val="20"/>
                <w:szCs w:val="20"/>
                <w:shd w:val="clear" w:color="auto" w:fill="FFFFFF"/>
                <w:lang w:val="en-US"/>
              </w:rPr>
              <w:t xml:space="preserve"> date </w:t>
            </w:r>
            <w:proofErr w:type="spellStart"/>
            <w:r w:rsidRPr="00CA7409">
              <w:rPr>
                <w:rFonts w:eastAsia="Arial Unicode MS"/>
                <w:color w:val="000000" w:themeColor="text1"/>
                <w:sz w:val="20"/>
                <w:szCs w:val="20"/>
                <w:shd w:val="clear" w:color="auto" w:fill="FFFFFF"/>
                <w:lang w:val="en-US"/>
              </w:rPr>
              <w:t>agregate</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privind</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emisiile</w:t>
            </w:r>
            <w:proofErr w:type="spellEnd"/>
            <w:r w:rsidRPr="00CA7409">
              <w:rPr>
                <w:rFonts w:eastAsia="Arial Unicode MS"/>
                <w:color w:val="000000" w:themeColor="text1"/>
                <w:sz w:val="20"/>
                <w:szCs w:val="20"/>
                <w:shd w:val="clear" w:color="auto" w:fill="FFFFFF"/>
                <w:lang w:val="en-US"/>
              </w:rPr>
              <w:t xml:space="preserve"> la </w:t>
            </w:r>
            <w:proofErr w:type="spellStart"/>
            <w:r w:rsidRPr="00CA7409">
              <w:rPr>
                <w:rFonts w:eastAsia="Arial Unicode MS"/>
                <w:color w:val="000000" w:themeColor="text1"/>
                <w:sz w:val="20"/>
                <w:szCs w:val="20"/>
                <w:shd w:val="clear" w:color="auto" w:fill="FFFFFF"/>
                <w:lang w:val="en-US"/>
              </w:rPr>
              <w:t>nivelul</w:t>
            </w:r>
            <w:proofErr w:type="spellEnd"/>
            <w:r w:rsidRPr="00CA7409">
              <w:rPr>
                <w:rFonts w:eastAsia="Arial Unicode MS"/>
                <w:color w:val="000000" w:themeColor="text1"/>
                <w:sz w:val="20"/>
                <w:szCs w:val="20"/>
                <w:shd w:val="clear" w:color="auto" w:fill="FFFFFF"/>
                <w:lang w:val="en-US"/>
              </w:rPr>
              <w:t xml:space="preserve"> </w:t>
            </w:r>
            <w:proofErr w:type="spellStart"/>
            <w:r w:rsidRPr="00CA7409">
              <w:rPr>
                <w:rFonts w:eastAsia="Arial Unicode MS"/>
                <w:color w:val="000000" w:themeColor="text1"/>
                <w:sz w:val="20"/>
                <w:szCs w:val="20"/>
                <w:shd w:val="clear" w:color="auto" w:fill="FFFFFF"/>
                <w:lang w:val="en-US"/>
              </w:rPr>
              <w:t>companiei</w:t>
            </w:r>
            <w:proofErr w:type="spellEnd"/>
            <w:r w:rsidRPr="00CA7409">
              <w:rPr>
                <w:rFonts w:eastAsia="Arial Unicode MS"/>
                <w:color w:val="000000" w:themeColor="text1"/>
                <w:sz w:val="20"/>
                <w:szCs w:val="20"/>
                <w:shd w:val="clear" w:color="auto" w:fill="FFFFFF"/>
                <w:lang w:val="en-US"/>
              </w:rPr>
              <w:t xml:space="preserve">, în conformitate cu </w:t>
            </w:r>
            <w:proofErr w:type="spellStart"/>
            <w:r w:rsidRPr="00CA7409">
              <w:rPr>
                <w:rFonts w:eastAsia="Arial Unicode MS"/>
                <w:color w:val="000000" w:themeColor="text1"/>
                <w:sz w:val="20"/>
                <w:szCs w:val="20"/>
                <w:shd w:val="clear" w:color="auto" w:fill="FFFFFF"/>
                <w:lang w:val="en-US"/>
              </w:rPr>
              <w:t>capitolul</w:t>
            </w:r>
            <w:proofErr w:type="spellEnd"/>
            <w:r w:rsidR="00CA7409" w:rsidRPr="00CA7409">
              <w:rPr>
                <w:rFonts w:eastAsia="Arial Unicode MS"/>
                <w:color w:val="000000" w:themeColor="text1"/>
                <w:sz w:val="20"/>
                <w:szCs w:val="20"/>
                <w:shd w:val="clear" w:color="auto" w:fill="FFFFFF"/>
                <w:lang w:val="en-US"/>
              </w:rPr>
              <w:t xml:space="preserve"> </w:t>
            </w:r>
            <w:r w:rsidRPr="00CA7409">
              <w:rPr>
                <w:rFonts w:eastAsia="Arial Unicode MS"/>
                <w:color w:val="000000" w:themeColor="text1"/>
                <w:sz w:val="20"/>
                <w:szCs w:val="20"/>
                <w:shd w:val="clear" w:color="auto" w:fill="FFFFFF"/>
                <w:lang w:val="en-US"/>
              </w:rPr>
              <w:t xml:space="preserve">II din </w:t>
            </w:r>
            <w:proofErr w:type="spellStart"/>
            <w:r w:rsidRPr="00CA7409">
              <w:rPr>
                <w:rFonts w:eastAsia="Arial Unicode MS"/>
                <w:color w:val="000000" w:themeColor="text1"/>
                <w:sz w:val="20"/>
                <w:szCs w:val="20"/>
                <w:shd w:val="clear" w:color="auto" w:fill="FFFFFF"/>
                <w:lang w:val="en-US"/>
              </w:rPr>
              <w:t>Regulamentul</w:t>
            </w:r>
            <w:proofErr w:type="spellEnd"/>
            <w:r w:rsidR="00CA7409" w:rsidRPr="00CA7409">
              <w:rPr>
                <w:rFonts w:eastAsia="Arial Unicode MS"/>
                <w:color w:val="000000" w:themeColor="text1"/>
                <w:sz w:val="20"/>
                <w:szCs w:val="20"/>
                <w:shd w:val="clear" w:color="auto" w:fill="FFFFFF"/>
                <w:lang w:val="en-US"/>
              </w:rPr>
              <w:t xml:space="preserve"> </w:t>
            </w:r>
            <w:r w:rsidRPr="00CA7409">
              <w:rPr>
                <w:rFonts w:eastAsia="Arial Unicode MS"/>
                <w:color w:val="000000" w:themeColor="text1"/>
                <w:sz w:val="20"/>
                <w:szCs w:val="20"/>
                <w:shd w:val="clear" w:color="auto" w:fill="FFFFFF"/>
                <w:lang w:val="en-US"/>
              </w:rPr>
              <w:t>(UE)</w:t>
            </w:r>
            <w:r w:rsidR="00CA7409" w:rsidRPr="00CA7409">
              <w:rPr>
                <w:rFonts w:eastAsia="Arial Unicode MS"/>
                <w:color w:val="000000" w:themeColor="text1"/>
                <w:sz w:val="20"/>
                <w:szCs w:val="20"/>
                <w:shd w:val="clear" w:color="auto" w:fill="FFFFFF"/>
                <w:lang w:val="en-US"/>
              </w:rPr>
              <w:t xml:space="preserve"> </w:t>
            </w:r>
            <w:r w:rsidRPr="00CA7409">
              <w:rPr>
                <w:rFonts w:eastAsia="Arial Unicode MS"/>
                <w:color w:val="000000" w:themeColor="text1"/>
                <w:sz w:val="20"/>
                <w:szCs w:val="20"/>
                <w:shd w:val="clear" w:color="auto" w:fill="FFFFFF"/>
                <w:lang w:val="en-US"/>
              </w:rPr>
              <w:t>2015/757.</w:t>
            </w:r>
          </w:p>
        </w:tc>
        <w:tc>
          <w:tcPr>
            <w:tcW w:w="4394" w:type="dxa"/>
            <w:shd w:val="clear" w:color="auto" w:fill="auto"/>
          </w:tcPr>
          <w:p w14:paraId="44F3021D" w14:textId="77777777" w:rsidR="00151627" w:rsidRPr="0066519A" w:rsidRDefault="00151627" w:rsidP="00151627">
            <w:pPr>
              <w:pStyle w:val="af8"/>
              <w:ind w:left="1506"/>
              <w:jc w:val="center"/>
              <w:rPr>
                <w:rFonts w:ascii="Times New Roman" w:hAnsi="Times New Roman"/>
                <w:b/>
                <w:sz w:val="20"/>
                <w:szCs w:val="20"/>
                <w:lang w:val="ro-MD"/>
              </w:rPr>
            </w:pPr>
            <w:r w:rsidRPr="0066519A">
              <w:rPr>
                <w:rFonts w:ascii="Times New Roman" w:hAnsi="Times New Roman"/>
                <w:b/>
                <w:sz w:val="20"/>
                <w:szCs w:val="20"/>
                <w:lang w:val="ro-MD"/>
              </w:rPr>
              <w:t>Secţiunea a 3-a</w:t>
            </w:r>
          </w:p>
          <w:p w14:paraId="39A4F30B" w14:textId="77777777" w:rsidR="00151627" w:rsidRPr="0066519A" w:rsidRDefault="00151627" w:rsidP="00151627">
            <w:pPr>
              <w:pStyle w:val="af8"/>
              <w:spacing w:after="0" w:line="240" w:lineRule="auto"/>
              <w:ind w:left="1506"/>
              <w:jc w:val="center"/>
              <w:rPr>
                <w:rFonts w:ascii="Times New Roman" w:hAnsi="Times New Roman"/>
                <w:b/>
                <w:sz w:val="20"/>
                <w:szCs w:val="20"/>
                <w:lang w:val="ro-MD"/>
              </w:rPr>
            </w:pPr>
            <w:r w:rsidRPr="0066519A">
              <w:rPr>
                <w:rFonts w:ascii="Times New Roman" w:hAnsi="Times New Roman"/>
                <w:b/>
                <w:sz w:val="20"/>
                <w:szCs w:val="20"/>
                <w:lang w:val="ro-MD"/>
              </w:rPr>
              <w:t>Monitorizare, raportare și verificare</w:t>
            </w:r>
          </w:p>
          <w:p w14:paraId="080CC50A" w14:textId="77777777" w:rsidR="00151627" w:rsidRPr="00C33A2F" w:rsidRDefault="00151627" w:rsidP="00151627">
            <w:pPr>
              <w:suppressAutoHyphens w:val="0"/>
              <w:autoSpaceDN/>
              <w:spacing w:after="0" w:line="240" w:lineRule="auto"/>
              <w:textAlignment w:val="auto"/>
              <w:rPr>
                <w:rFonts w:ascii="Times New Roman" w:hAnsi="Times New Roman"/>
                <w:b/>
                <w:color w:val="000000" w:themeColor="text1"/>
                <w:sz w:val="20"/>
                <w:szCs w:val="20"/>
                <w:lang w:val="ro-MD"/>
              </w:rPr>
            </w:pPr>
            <w:r w:rsidRPr="00C33A2F">
              <w:rPr>
                <w:rFonts w:ascii="Times New Roman" w:hAnsi="Times New Roman"/>
                <w:b/>
                <w:color w:val="000000" w:themeColor="text1"/>
                <w:sz w:val="20"/>
                <w:szCs w:val="20"/>
                <w:lang w:val="ro-MD"/>
              </w:rPr>
              <w:t xml:space="preserve">Articolul 45. </w:t>
            </w:r>
            <w:r w:rsidRPr="00C33A2F">
              <w:rPr>
                <w:rFonts w:ascii="Times New Roman" w:hAnsi="Times New Roman"/>
                <w:bCs/>
                <w:color w:val="000000" w:themeColor="text1"/>
                <w:sz w:val="20"/>
                <w:szCs w:val="20"/>
                <w:lang w:val="ro-MD"/>
              </w:rPr>
              <w:t>Cadrul general privind managementul datelor emisiilor de GES</w:t>
            </w:r>
          </w:p>
          <w:p w14:paraId="6CEFD484" w14:textId="77777777" w:rsidR="00151627" w:rsidRPr="00C33A2F" w:rsidRDefault="00151627" w:rsidP="00151627">
            <w:pPr>
              <w:suppressAutoHyphens w:val="0"/>
              <w:autoSpaceDN/>
              <w:spacing w:after="0" w:line="240" w:lineRule="auto"/>
              <w:jc w:val="both"/>
              <w:textAlignment w:val="auto"/>
              <w:rPr>
                <w:rFonts w:ascii="Times New Roman" w:hAnsi="Times New Roman"/>
                <w:bCs/>
                <w:color w:val="000000" w:themeColor="text1"/>
                <w:sz w:val="20"/>
                <w:szCs w:val="20"/>
                <w:lang w:val="ro-MD"/>
              </w:rPr>
            </w:pPr>
            <w:r w:rsidRPr="00C33A2F">
              <w:rPr>
                <w:rFonts w:ascii="Times New Roman" w:hAnsi="Times New Roman"/>
                <w:color w:val="000000" w:themeColor="text1"/>
                <w:sz w:val="20"/>
                <w:szCs w:val="20"/>
                <w:lang w:val="ro-MD" w:eastAsia="ro-RO" w:bidi="or-IN"/>
              </w:rPr>
              <w:t xml:space="preserve">(4)Monitorizarea completă, transparentă, exactă, coerentă și comparabilă în timp și raportarea integrală a emisiilor de </w:t>
            </w:r>
            <w:r w:rsidRPr="00C33A2F">
              <w:rPr>
                <w:rFonts w:ascii="Times New Roman" w:hAnsi="Times New Roman"/>
                <w:bCs/>
                <w:color w:val="000000" w:themeColor="text1"/>
                <w:sz w:val="20"/>
                <w:szCs w:val="20"/>
                <w:lang w:val="ro-MD"/>
              </w:rPr>
              <w:t>GES</w:t>
            </w:r>
            <w:r w:rsidRPr="00C33A2F">
              <w:rPr>
                <w:rFonts w:ascii="Times New Roman" w:hAnsi="Times New Roman"/>
                <w:color w:val="000000" w:themeColor="text1"/>
                <w:sz w:val="20"/>
                <w:szCs w:val="20"/>
                <w:lang w:val="ro-MD" w:eastAsia="ro-RO" w:bidi="or-IN"/>
              </w:rPr>
              <w:t xml:space="preserve"> legate de activitățile enumerate </w:t>
            </w:r>
            <w:r w:rsidRPr="00C33A2F">
              <w:rPr>
                <w:rFonts w:ascii="Times New Roman" w:hAnsi="Times New Roman"/>
                <w:color w:val="000000" w:themeColor="text1"/>
                <w:sz w:val="20"/>
                <w:szCs w:val="20"/>
                <w:lang w:val="ro-MD"/>
              </w:rPr>
              <w:t>în Anexa nr. 1</w:t>
            </w:r>
            <w:r w:rsidRPr="00C33A2F">
              <w:rPr>
                <w:rFonts w:ascii="Times New Roman" w:hAnsi="Times New Roman"/>
                <w:color w:val="000000" w:themeColor="text1"/>
                <w:sz w:val="20"/>
                <w:szCs w:val="20"/>
                <w:lang w:val="ro-MD" w:eastAsia="ro-RO" w:bidi="or-IN"/>
              </w:rPr>
              <w:t xml:space="preserve">, precum și a datelor privind activitatea instalațiilor staționare și celor din domeniul </w:t>
            </w:r>
            <w:r w:rsidRPr="00C33A2F">
              <w:rPr>
                <w:rFonts w:ascii="Times New Roman" w:hAnsi="Times New Roman"/>
                <w:color w:val="000000" w:themeColor="text1"/>
                <w:sz w:val="20"/>
                <w:szCs w:val="20"/>
                <w:shd w:val="clear" w:color="auto" w:fill="FFFFFF"/>
                <w:lang w:val="ro-MD"/>
              </w:rPr>
              <w:t xml:space="preserve">aviației civile, transportului maritim și </w:t>
            </w:r>
            <w:r w:rsidRPr="00C33A2F">
              <w:rPr>
                <w:rFonts w:ascii="Times New Roman" w:hAnsi="Times New Roman"/>
                <w:color w:val="000000" w:themeColor="text1"/>
                <w:sz w:val="20"/>
                <w:szCs w:val="20"/>
                <w:lang w:val="ro-MD"/>
              </w:rPr>
              <w:t xml:space="preserve">informaților privind </w:t>
            </w:r>
            <w:r w:rsidRPr="00C33A2F">
              <w:rPr>
                <w:rFonts w:ascii="Times New Roman" w:hAnsi="Times New Roman"/>
                <w:bCs/>
                <w:color w:val="000000" w:themeColor="text1"/>
                <w:sz w:val="20"/>
                <w:szCs w:val="20"/>
                <w:lang w:val="ro-MD"/>
              </w:rPr>
              <w:t xml:space="preserve">emisiile de carbon provenite din aviația internațională </w:t>
            </w:r>
            <w:r w:rsidRPr="00C33A2F">
              <w:rPr>
                <w:rFonts w:ascii="Times New Roman" w:hAnsi="Times New Roman"/>
                <w:color w:val="000000" w:themeColor="text1"/>
                <w:sz w:val="20"/>
                <w:szCs w:val="20"/>
                <w:shd w:val="clear" w:color="auto" w:fill="FFFFFF"/>
                <w:lang w:val="ro-MD"/>
              </w:rPr>
              <w:t xml:space="preserve">se realizează </w:t>
            </w:r>
            <w:r w:rsidRPr="00C33A2F">
              <w:rPr>
                <w:rFonts w:ascii="Times New Roman" w:hAnsi="Times New Roman"/>
                <w:color w:val="000000" w:themeColor="text1"/>
                <w:sz w:val="20"/>
                <w:szCs w:val="20"/>
                <w:lang w:val="ro-MD" w:eastAsia="ro-RO" w:bidi="or-IN"/>
              </w:rPr>
              <w:t>prin monitorizarea, raportarea și verificarea</w:t>
            </w:r>
            <w:r w:rsidRPr="00C33A2F">
              <w:rPr>
                <w:rFonts w:ascii="Times New Roman" w:hAnsi="Times New Roman"/>
                <w:bCs/>
                <w:color w:val="000000" w:themeColor="text1"/>
                <w:sz w:val="20"/>
                <w:szCs w:val="20"/>
                <w:lang w:val="ro-MD"/>
              </w:rPr>
              <w:t xml:space="preserve"> </w:t>
            </w:r>
            <w:r w:rsidRPr="00C33A2F">
              <w:rPr>
                <w:rFonts w:ascii="Times New Roman" w:hAnsi="Times New Roman"/>
                <w:color w:val="000000" w:themeColor="text1"/>
                <w:sz w:val="20"/>
                <w:szCs w:val="20"/>
                <w:lang w:val="ro-MD" w:eastAsia="ro-RO" w:bidi="or-IN"/>
              </w:rPr>
              <w:t xml:space="preserve">(în continuare – MRV) </w:t>
            </w:r>
            <w:r w:rsidRPr="00C33A2F">
              <w:rPr>
                <w:rFonts w:ascii="Times New Roman" w:hAnsi="Times New Roman"/>
                <w:color w:val="000000" w:themeColor="text1"/>
                <w:sz w:val="20"/>
                <w:szCs w:val="20"/>
                <w:lang w:val="ro-MD"/>
              </w:rPr>
              <w:t>a emisiilor de GES de către operator</w:t>
            </w:r>
            <w:r w:rsidRPr="00C33A2F">
              <w:rPr>
                <w:rFonts w:ascii="Times New Roman" w:hAnsi="Times New Roman"/>
                <w:bCs/>
                <w:color w:val="000000" w:themeColor="text1"/>
                <w:sz w:val="20"/>
                <w:szCs w:val="20"/>
                <w:lang w:val="ro-MD"/>
              </w:rPr>
              <w:t>.</w:t>
            </w:r>
          </w:p>
          <w:p w14:paraId="2BB6D56E" w14:textId="77777777" w:rsidR="00124364" w:rsidRPr="00151627" w:rsidRDefault="00124364" w:rsidP="00151627">
            <w:pPr>
              <w:suppressAutoHyphens w:val="0"/>
              <w:autoSpaceDN/>
              <w:spacing w:after="0" w:line="240" w:lineRule="atLeast"/>
              <w:jc w:val="both"/>
              <w:textAlignment w:val="auto"/>
              <w:rPr>
                <w:rFonts w:ascii="Times New Roman" w:hAnsi="Times New Roman"/>
                <w:sz w:val="20"/>
                <w:szCs w:val="20"/>
                <w:lang w:val="ro-MD"/>
              </w:rPr>
            </w:pPr>
          </w:p>
        </w:tc>
        <w:tc>
          <w:tcPr>
            <w:tcW w:w="1276" w:type="dxa"/>
            <w:shd w:val="clear" w:color="auto" w:fill="auto"/>
          </w:tcPr>
          <w:p w14:paraId="05FDE225" w14:textId="41D02B75" w:rsidR="00124364" w:rsidRDefault="00CA7409" w:rsidP="00CA7409">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Parțial compatibil</w:t>
            </w:r>
          </w:p>
        </w:tc>
        <w:tc>
          <w:tcPr>
            <w:tcW w:w="1275" w:type="dxa"/>
            <w:shd w:val="clear" w:color="auto" w:fill="auto"/>
          </w:tcPr>
          <w:p w14:paraId="77D948C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7F1A29B" w14:textId="77777777" w:rsidR="00151627" w:rsidRPr="00197FD0" w:rsidRDefault="00151627" w:rsidP="00151627">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65CAFCD9"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3752EDF8"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DC3E046" w14:textId="77777777" w:rsidR="00124364" w:rsidRDefault="00124364">
            <w:pPr>
              <w:autoSpaceDE w:val="0"/>
              <w:spacing w:after="0" w:line="240" w:lineRule="auto"/>
              <w:rPr>
                <w:rFonts w:ascii="Times New Roman" w:hAnsi="Times New Roman"/>
                <w:sz w:val="20"/>
                <w:szCs w:val="20"/>
                <w:lang w:val="fr-FR"/>
              </w:rPr>
            </w:pPr>
          </w:p>
          <w:p w14:paraId="03801478" w14:textId="2E7F8AB0" w:rsidR="00CA7409" w:rsidRDefault="00CA7409">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Navală</w:t>
            </w:r>
            <w:proofErr w:type="spellEnd"/>
          </w:p>
        </w:tc>
      </w:tr>
      <w:tr w:rsidR="00124364" w14:paraId="77ECA55B" w14:textId="77777777">
        <w:trPr>
          <w:trHeight w:val="558"/>
        </w:trPr>
        <w:tc>
          <w:tcPr>
            <w:tcW w:w="4957" w:type="dxa"/>
            <w:shd w:val="clear" w:color="auto" w:fill="auto"/>
          </w:tcPr>
          <w:p w14:paraId="3F03F9E2" w14:textId="4A3D75BC" w:rsidR="00124364" w:rsidRPr="00804FEE"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804FEE">
              <w:rPr>
                <w:rFonts w:eastAsia="Arial Unicode MS"/>
                <w:i/>
                <w:iCs/>
                <w:color w:val="000000" w:themeColor="text1"/>
                <w:sz w:val="20"/>
                <w:szCs w:val="20"/>
                <w:shd w:val="clear" w:color="auto" w:fill="FFFFFF"/>
                <w:lang w:val="en-US"/>
              </w:rPr>
              <w:t>Articolul</w:t>
            </w:r>
            <w:proofErr w:type="spellEnd"/>
            <w:r w:rsidR="00804FEE" w:rsidRPr="00804FEE">
              <w:rPr>
                <w:rFonts w:eastAsia="Arial Unicode MS"/>
                <w:i/>
                <w:iCs/>
                <w:color w:val="000000" w:themeColor="text1"/>
                <w:sz w:val="20"/>
                <w:szCs w:val="20"/>
                <w:shd w:val="clear" w:color="auto" w:fill="FFFFFF"/>
                <w:lang w:val="en-US"/>
              </w:rPr>
              <w:t xml:space="preserve"> </w:t>
            </w:r>
            <w:r w:rsidRPr="00804FEE">
              <w:rPr>
                <w:rFonts w:eastAsia="Arial Unicode MS"/>
                <w:i/>
                <w:iCs/>
                <w:color w:val="000000" w:themeColor="text1"/>
                <w:sz w:val="20"/>
                <w:szCs w:val="20"/>
                <w:shd w:val="clear" w:color="auto" w:fill="FFFFFF"/>
                <w:lang w:val="en-US"/>
              </w:rPr>
              <w:t>3ge</w:t>
            </w:r>
          </w:p>
          <w:p w14:paraId="16961D5C" w14:textId="77777777" w:rsidR="00124364" w:rsidRPr="00804FEE"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804FEE">
              <w:rPr>
                <w:rFonts w:eastAsia="Arial Unicode MS"/>
                <w:b/>
                <w:bCs/>
                <w:color w:val="000000" w:themeColor="text1"/>
                <w:sz w:val="20"/>
                <w:szCs w:val="20"/>
                <w:shd w:val="clear" w:color="auto" w:fill="FFFFFF"/>
                <w:lang w:val="en-US"/>
              </w:rPr>
              <w:t>Norme</w:t>
            </w:r>
            <w:proofErr w:type="spellEnd"/>
            <w:r w:rsidRPr="00804FEE">
              <w:rPr>
                <w:rFonts w:eastAsia="Arial Unicode MS"/>
                <w:b/>
                <w:bCs/>
                <w:color w:val="000000" w:themeColor="text1"/>
                <w:sz w:val="20"/>
                <w:szCs w:val="20"/>
                <w:shd w:val="clear" w:color="auto" w:fill="FFFFFF"/>
                <w:lang w:val="en-US"/>
              </w:rPr>
              <w:t xml:space="preserve"> </w:t>
            </w:r>
            <w:proofErr w:type="spellStart"/>
            <w:r w:rsidRPr="00804FEE">
              <w:rPr>
                <w:rFonts w:eastAsia="Arial Unicode MS"/>
                <w:b/>
                <w:bCs/>
                <w:color w:val="000000" w:themeColor="text1"/>
                <w:sz w:val="20"/>
                <w:szCs w:val="20"/>
                <w:shd w:val="clear" w:color="auto" w:fill="FFFFFF"/>
                <w:lang w:val="en-US"/>
              </w:rPr>
              <w:t>privind</w:t>
            </w:r>
            <w:proofErr w:type="spellEnd"/>
            <w:r w:rsidRPr="00804FEE">
              <w:rPr>
                <w:rFonts w:eastAsia="Arial Unicode MS"/>
                <w:b/>
                <w:bCs/>
                <w:color w:val="000000" w:themeColor="text1"/>
                <w:sz w:val="20"/>
                <w:szCs w:val="20"/>
                <w:shd w:val="clear" w:color="auto" w:fill="FFFFFF"/>
                <w:lang w:val="en-US"/>
              </w:rPr>
              <w:t xml:space="preserve"> </w:t>
            </w:r>
            <w:proofErr w:type="spellStart"/>
            <w:r w:rsidRPr="00804FEE">
              <w:rPr>
                <w:rFonts w:eastAsia="Arial Unicode MS"/>
                <w:b/>
                <w:bCs/>
                <w:color w:val="000000" w:themeColor="text1"/>
                <w:sz w:val="20"/>
                <w:szCs w:val="20"/>
                <w:shd w:val="clear" w:color="auto" w:fill="FFFFFF"/>
                <w:lang w:val="en-US"/>
              </w:rPr>
              <w:t>verificarea</w:t>
            </w:r>
            <w:proofErr w:type="spellEnd"/>
            <w:r w:rsidRPr="00804FEE">
              <w:rPr>
                <w:rFonts w:eastAsia="Arial Unicode MS"/>
                <w:b/>
                <w:bCs/>
                <w:color w:val="000000" w:themeColor="text1"/>
                <w:sz w:val="20"/>
                <w:szCs w:val="20"/>
                <w:shd w:val="clear" w:color="auto" w:fill="FFFFFF"/>
                <w:lang w:val="en-US"/>
              </w:rPr>
              <w:t xml:space="preserve"> și </w:t>
            </w:r>
            <w:proofErr w:type="spellStart"/>
            <w:r w:rsidRPr="00804FEE">
              <w:rPr>
                <w:rFonts w:eastAsia="Arial Unicode MS"/>
                <w:b/>
                <w:bCs/>
                <w:color w:val="000000" w:themeColor="text1"/>
                <w:sz w:val="20"/>
                <w:szCs w:val="20"/>
                <w:shd w:val="clear" w:color="auto" w:fill="FFFFFF"/>
                <w:lang w:val="en-US"/>
              </w:rPr>
              <w:t>acreditarea</w:t>
            </w:r>
            <w:proofErr w:type="spellEnd"/>
            <w:r w:rsidRPr="00804FEE">
              <w:rPr>
                <w:rFonts w:eastAsia="Arial Unicode MS"/>
                <w:b/>
                <w:bCs/>
                <w:color w:val="000000" w:themeColor="text1"/>
                <w:sz w:val="20"/>
                <w:szCs w:val="20"/>
                <w:shd w:val="clear" w:color="auto" w:fill="FFFFFF"/>
                <w:lang w:val="en-US"/>
              </w:rPr>
              <w:t xml:space="preserve"> </w:t>
            </w:r>
            <w:proofErr w:type="spellStart"/>
            <w:r w:rsidRPr="00804FEE">
              <w:rPr>
                <w:rFonts w:eastAsia="Arial Unicode MS"/>
                <w:b/>
                <w:bCs/>
                <w:color w:val="000000" w:themeColor="text1"/>
                <w:sz w:val="20"/>
                <w:szCs w:val="20"/>
                <w:shd w:val="clear" w:color="auto" w:fill="FFFFFF"/>
                <w:lang w:val="en-US"/>
              </w:rPr>
              <w:t>emisiilor</w:t>
            </w:r>
            <w:proofErr w:type="spellEnd"/>
            <w:r w:rsidRPr="00804FEE">
              <w:rPr>
                <w:rFonts w:eastAsia="Arial Unicode MS"/>
                <w:b/>
                <w:bCs/>
                <w:color w:val="000000" w:themeColor="text1"/>
                <w:sz w:val="20"/>
                <w:szCs w:val="20"/>
                <w:shd w:val="clear" w:color="auto" w:fill="FFFFFF"/>
                <w:lang w:val="en-US"/>
              </w:rPr>
              <w:t xml:space="preserve"> generate de </w:t>
            </w:r>
            <w:proofErr w:type="spellStart"/>
            <w:r w:rsidRPr="00804FEE">
              <w:rPr>
                <w:rFonts w:eastAsia="Arial Unicode MS"/>
                <w:b/>
                <w:bCs/>
                <w:color w:val="000000" w:themeColor="text1"/>
                <w:sz w:val="20"/>
                <w:szCs w:val="20"/>
                <w:shd w:val="clear" w:color="auto" w:fill="FFFFFF"/>
                <w:lang w:val="en-US"/>
              </w:rPr>
              <w:t>transportul</w:t>
            </w:r>
            <w:proofErr w:type="spellEnd"/>
            <w:r w:rsidRPr="00804FEE">
              <w:rPr>
                <w:rFonts w:eastAsia="Arial Unicode MS"/>
                <w:b/>
                <w:bCs/>
                <w:color w:val="000000" w:themeColor="text1"/>
                <w:sz w:val="20"/>
                <w:szCs w:val="20"/>
                <w:shd w:val="clear" w:color="auto" w:fill="FFFFFF"/>
                <w:lang w:val="en-US"/>
              </w:rPr>
              <w:t xml:space="preserve"> maritim</w:t>
            </w:r>
          </w:p>
          <w:p w14:paraId="17F10620" w14:textId="41A8A047" w:rsidR="00124364" w:rsidRDefault="00000000" w:rsidP="00804FEE">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804FEE">
              <w:rPr>
                <w:rFonts w:eastAsia="Arial Unicode MS"/>
                <w:color w:val="000000" w:themeColor="text1"/>
                <w:sz w:val="20"/>
                <w:szCs w:val="20"/>
                <w:shd w:val="clear" w:color="auto" w:fill="FFFFFF"/>
                <w:lang w:val="en-US"/>
              </w:rPr>
              <w:t>Autoritatea</w:t>
            </w:r>
            <w:proofErr w:type="spellEnd"/>
            <w:r w:rsidRPr="00804FEE">
              <w:rPr>
                <w:rFonts w:eastAsia="Arial Unicode MS"/>
                <w:color w:val="000000" w:themeColor="text1"/>
                <w:sz w:val="20"/>
                <w:szCs w:val="20"/>
                <w:shd w:val="clear" w:color="auto" w:fill="FFFFFF"/>
                <w:lang w:val="en-US"/>
              </w:rPr>
              <w:t xml:space="preserve"> de </w:t>
            </w:r>
            <w:proofErr w:type="spellStart"/>
            <w:r w:rsidRPr="00804FEE">
              <w:rPr>
                <w:rFonts w:eastAsia="Arial Unicode MS"/>
                <w:color w:val="000000" w:themeColor="text1"/>
                <w:sz w:val="20"/>
                <w:szCs w:val="20"/>
                <w:shd w:val="clear" w:color="auto" w:fill="FFFFFF"/>
                <w:lang w:val="en-US"/>
              </w:rPr>
              <w:t>administrare</w:t>
            </w:r>
            <w:proofErr w:type="spellEnd"/>
            <w:r w:rsidRPr="00804FEE">
              <w:rPr>
                <w:rFonts w:eastAsia="Arial Unicode MS"/>
                <w:color w:val="000000" w:themeColor="text1"/>
                <w:sz w:val="20"/>
                <w:szCs w:val="20"/>
                <w:shd w:val="clear" w:color="auto" w:fill="FFFFFF"/>
                <w:lang w:val="en-US"/>
              </w:rPr>
              <w:t xml:space="preserve"> a </w:t>
            </w:r>
            <w:proofErr w:type="spellStart"/>
            <w:r w:rsidRPr="00804FEE">
              <w:rPr>
                <w:rFonts w:eastAsia="Arial Unicode MS"/>
                <w:color w:val="000000" w:themeColor="text1"/>
                <w:sz w:val="20"/>
                <w:szCs w:val="20"/>
                <w:shd w:val="clear" w:color="auto" w:fill="FFFFFF"/>
                <w:lang w:val="en-US"/>
              </w:rPr>
              <w:t>unei</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companii</w:t>
            </w:r>
            <w:proofErr w:type="spellEnd"/>
            <w:r w:rsidRPr="00804FEE">
              <w:rPr>
                <w:rFonts w:eastAsia="Arial Unicode MS"/>
                <w:color w:val="000000" w:themeColor="text1"/>
                <w:sz w:val="20"/>
                <w:szCs w:val="20"/>
                <w:shd w:val="clear" w:color="auto" w:fill="FFFFFF"/>
                <w:lang w:val="en-US"/>
              </w:rPr>
              <w:t xml:space="preserve"> de transport maritim se </w:t>
            </w:r>
            <w:proofErr w:type="spellStart"/>
            <w:r w:rsidRPr="00804FEE">
              <w:rPr>
                <w:rFonts w:eastAsia="Arial Unicode MS"/>
                <w:color w:val="000000" w:themeColor="text1"/>
                <w:sz w:val="20"/>
                <w:szCs w:val="20"/>
                <w:shd w:val="clear" w:color="auto" w:fill="FFFFFF"/>
                <w:lang w:val="en-US"/>
              </w:rPr>
              <w:t>asigură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raportarea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datelor</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privind</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emisiile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lastRenderedPageBreak/>
              <w:t>agregate</w:t>
            </w:r>
            <w:proofErr w:type="spellEnd"/>
            <w:r w:rsidRPr="00804FEE">
              <w:rPr>
                <w:rFonts w:eastAsia="Arial Unicode MS"/>
                <w:color w:val="000000" w:themeColor="text1"/>
                <w:sz w:val="20"/>
                <w:szCs w:val="20"/>
                <w:shd w:val="clear" w:color="auto" w:fill="FFFFFF"/>
                <w:lang w:val="en-US"/>
              </w:rPr>
              <w:t xml:space="preserve"> la </w:t>
            </w:r>
            <w:proofErr w:type="spellStart"/>
            <w:r w:rsidRPr="00804FEE">
              <w:rPr>
                <w:rFonts w:eastAsia="Arial Unicode MS"/>
                <w:color w:val="000000" w:themeColor="text1"/>
                <w:sz w:val="20"/>
                <w:szCs w:val="20"/>
                <w:shd w:val="clear" w:color="auto" w:fill="FFFFFF"/>
                <w:lang w:val="en-US"/>
              </w:rPr>
              <w:t>nivelul</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companiei</w:t>
            </w:r>
            <w:proofErr w:type="spellEnd"/>
            <w:r w:rsidRPr="00804FEE">
              <w:rPr>
                <w:rFonts w:eastAsia="Arial Unicode MS"/>
                <w:color w:val="000000" w:themeColor="text1"/>
                <w:sz w:val="20"/>
                <w:szCs w:val="20"/>
                <w:shd w:val="clear" w:color="auto" w:fill="FFFFFF"/>
                <w:lang w:val="en-US"/>
              </w:rPr>
              <w:t xml:space="preserve"> de transport maritim </w:t>
            </w:r>
            <w:proofErr w:type="spellStart"/>
            <w:r w:rsidRPr="00804FEE">
              <w:rPr>
                <w:rFonts w:eastAsia="Arial Unicode MS"/>
                <w:color w:val="000000" w:themeColor="text1"/>
                <w:sz w:val="20"/>
                <w:szCs w:val="20"/>
                <w:shd w:val="clear" w:color="auto" w:fill="FFFFFF"/>
                <w:lang w:val="en-US"/>
              </w:rPr>
              <w:t>transmise</w:t>
            </w:r>
            <w:proofErr w:type="spellEnd"/>
            <w:r w:rsidRPr="00804FEE">
              <w:rPr>
                <w:rFonts w:eastAsia="Arial Unicode MS"/>
                <w:color w:val="000000" w:themeColor="text1"/>
                <w:sz w:val="20"/>
                <w:szCs w:val="20"/>
                <w:shd w:val="clear" w:color="auto" w:fill="FFFFFF"/>
                <w:lang w:val="en-US"/>
              </w:rPr>
              <w:t xml:space="preserve"> de </w:t>
            </w:r>
            <w:proofErr w:type="spellStart"/>
            <w:r w:rsidRPr="00804FEE">
              <w:rPr>
                <w:rFonts w:eastAsia="Arial Unicode MS"/>
                <w:color w:val="000000" w:themeColor="text1"/>
                <w:sz w:val="20"/>
                <w:szCs w:val="20"/>
                <w:shd w:val="clear" w:color="auto" w:fill="FFFFFF"/>
                <w:lang w:val="en-US"/>
              </w:rPr>
              <w:t>către</w:t>
            </w:r>
            <w:proofErr w:type="spellEnd"/>
            <w:r w:rsidRPr="00804FEE">
              <w:rPr>
                <w:rFonts w:eastAsia="Arial Unicode MS"/>
                <w:color w:val="000000" w:themeColor="text1"/>
                <w:sz w:val="20"/>
                <w:szCs w:val="20"/>
                <w:shd w:val="clear" w:color="auto" w:fill="FFFFFF"/>
                <w:lang w:val="en-US"/>
              </w:rPr>
              <w:t xml:space="preserve"> o </w:t>
            </w:r>
            <w:proofErr w:type="spellStart"/>
            <w:r w:rsidRPr="00804FEE">
              <w:rPr>
                <w:rFonts w:eastAsia="Arial Unicode MS"/>
                <w:color w:val="000000" w:themeColor="text1"/>
                <w:sz w:val="20"/>
                <w:szCs w:val="20"/>
                <w:shd w:val="clear" w:color="auto" w:fill="FFFFFF"/>
                <w:lang w:val="en-US"/>
              </w:rPr>
              <w:t>companie</w:t>
            </w:r>
            <w:proofErr w:type="spellEnd"/>
            <w:r w:rsidRPr="00804FEE">
              <w:rPr>
                <w:rFonts w:eastAsia="Arial Unicode MS"/>
                <w:color w:val="000000" w:themeColor="text1"/>
                <w:sz w:val="20"/>
                <w:szCs w:val="20"/>
                <w:shd w:val="clear" w:color="auto" w:fill="FFFFFF"/>
                <w:lang w:val="en-US"/>
              </w:rPr>
              <w:t xml:space="preserve"> de transport maritim în </w:t>
            </w:r>
            <w:proofErr w:type="spellStart"/>
            <w:r w:rsidRPr="00804FEE">
              <w:rPr>
                <w:rFonts w:eastAsia="Arial Unicode MS"/>
                <w:color w:val="000000" w:themeColor="text1"/>
                <w:sz w:val="20"/>
                <w:szCs w:val="20"/>
                <w:shd w:val="clear" w:color="auto" w:fill="FFFFFF"/>
                <w:lang w:val="en-US"/>
              </w:rPr>
              <w:t>temeiul</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articolului</w:t>
            </w:r>
            <w:proofErr w:type="spellEnd"/>
            <w:r w:rsid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 xml:space="preserve">3gd din prezenta </w:t>
            </w:r>
            <w:proofErr w:type="spellStart"/>
            <w:r w:rsidRPr="00804FEE">
              <w:rPr>
                <w:rFonts w:eastAsia="Arial Unicode MS"/>
                <w:color w:val="000000" w:themeColor="text1"/>
                <w:sz w:val="20"/>
                <w:szCs w:val="20"/>
                <w:shd w:val="clear" w:color="auto" w:fill="FFFFFF"/>
                <w:lang w:val="en-US"/>
              </w:rPr>
              <w:t>directivă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este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verificată</w:t>
            </w:r>
            <w:proofErr w:type="spellEnd"/>
            <w:r w:rsidRPr="00804FEE">
              <w:rPr>
                <w:rFonts w:eastAsia="Arial Unicode MS"/>
                <w:color w:val="000000" w:themeColor="text1"/>
                <w:sz w:val="20"/>
                <w:szCs w:val="20"/>
                <w:shd w:val="clear" w:color="auto" w:fill="FFFFFF"/>
                <w:lang w:val="en-US"/>
              </w:rPr>
              <w:t xml:space="preserve"> în conformitate cu </w:t>
            </w:r>
            <w:proofErr w:type="spellStart"/>
            <w:r w:rsidRPr="00804FEE">
              <w:rPr>
                <w:rFonts w:eastAsia="Arial Unicode MS"/>
                <w:color w:val="000000" w:themeColor="text1"/>
                <w:sz w:val="20"/>
                <w:szCs w:val="20"/>
                <w:shd w:val="clear" w:color="auto" w:fill="FFFFFF"/>
                <w:lang w:val="en-US"/>
              </w:rPr>
              <w:t>normele</w:t>
            </w:r>
            <w:proofErr w:type="spellEnd"/>
            <w:r w:rsidRPr="00804FEE">
              <w:rPr>
                <w:rFonts w:eastAsia="Arial Unicode MS"/>
                <w:color w:val="000000" w:themeColor="text1"/>
                <w:sz w:val="20"/>
                <w:szCs w:val="20"/>
                <w:shd w:val="clear" w:color="auto" w:fill="FFFFFF"/>
                <w:lang w:val="en-US"/>
              </w:rPr>
              <w:t xml:space="preserve"> de </w:t>
            </w:r>
            <w:proofErr w:type="spellStart"/>
            <w:r w:rsidRPr="00804FEE">
              <w:rPr>
                <w:rFonts w:eastAsia="Arial Unicode MS"/>
                <w:color w:val="000000" w:themeColor="text1"/>
                <w:sz w:val="20"/>
                <w:szCs w:val="20"/>
                <w:shd w:val="clear" w:color="auto" w:fill="FFFFFF"/>
                <w:lang w:val="en-US"/>
              </w:rPr>
              <w:t>verificare</w:t>
            </w:r>
            <w:proofErr w:type="spellEnd"/>
            <w:r w:rsidRPr="00804FEE">
              <w:rPr>
                <w:rFonts w:eastAsia="Arial Unicode MS"/>
                <w:color w:val="000000" w:themeColor="text1"/>
                <w:sz w:val="20"/>
                <w:szCs w:val="20"/>
                <w:shd w:val="clear" w:color="auto" w:fill="FFFFFF"/>
                <w:lang w:val="en-US"/>
              </w:rPr>
              <w:t xml:space="preserve"> și </w:t>
            </w:r>
            <w:proofErr w:type="spellStart"/>
            <w:r w:rsidRPr="00804FEE">
              <w:rPr>
                <w:rFonts w:eastAsia="Arial Unicode MS"/>
                <w:color w:val="000000" w:themeColor="text1"/>
                <w:sz w:val="20"/>
                <w:szCs w:val="20"/>
                <w:shd w:val="clear" w:color="auto" w:fill="FFFFFF"/>
                <w:lang w:val="en-US"/>
              </w:rPr>
              <w:t>acreditare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prevăzute</w:t>
            </w:r>
            <w:proofErr w:type="spellEnd"/>
            <w:r w:rsidRPr="00804FEE">
              <w:rPr>
                <w:rFonts w:eastAsia="Arial Unicode MS"/>
                <w:color w:val="000000" w:themeColor="text1"/>
                <w:sz w:val="20"/>
                <w:szCs w:val="20"/>
                <w:shd w:val="clear" w:color="auto" w:fill="FFFFFF"/>
                <w:lang w:val="en-US"/>
              </w:rPr>
              <w:t xml:space="preserve"> în </w:t>
            </w:r>
            <w:proofErr w:type="spellStart"/>
            <w:r w:rsidRPr="00804FEE">
              <w:rPr>
                <w:rFonts w:eastAsia="Arial Unicode MS"/>
                <w:color w:val="000000" w:themeColor="text1"/>
                <w:sz w:val="20"/>
                <w:szCs w:val="20"/>
                <w:shd w:val="clear" w:color="auto" w:fill="FFFFFF"/>
                <w:lang w:val="en-US"/>
              </w:rPr>
              <w:t>capitolul</w:t>
            </w:r>
            <w:proofErr w:type="spellEnd"/>
            <w:r w:rsid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 xml:space="preserve">III din </w:t>
            </w:r>
            <w:proofErr w:type="spellStart"/>
            <w:r w:rsidRPr="00804FEE">
              <w:rPr>
                <w:rFonts w:eastAsia="Arial Unicode MS"/>
                <w:color w:val="000000" w:themeColor="text1"/>
                <w:sz w:val="20"/>
                <w:szCs w:val="20"/>
                <w:shd w:val="clear" w:color="auto" w:fill="FFFFFF"/>
                <w:lang w:val="en-US"/>
              </w:rPr>
              <w:t>Regulamentul</w:t>
            </w:r>
            <w:proofErr w:type="spellEnd"/>
            <w:r w:rsid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(UE)</w:t>
            </w:r>
            <w:r w:rsid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2015/757.</w:t>
            </w:r>
          </w:p>
        </w:tc>
        <w:tc>
          <w:tcPr>
            <w:tcW w:w="4394" w:type="dxa"/>
            <w:shd w:val="clear" w:color="auto" w:fill="auto"/>
          </w:tcPr>
          <w:p w14:paraId="528DCEEB" w14:textId="77777777" w:rsidR="00804FEE" w:rsidRPr="0066519A" w:rsidRDefault="00804FEE" w:rsidP="00804FEE">
            <w:pPr>
              <w:pStyle w:val="af8"/>
              <w:ind w:left="1506"/>
              <w:jc w:val="center"/>
              <w:rPr>
                <w:rFonts w:ascii="Times New Roman" w:hAnsi="Times New Roman"/>
                <w:b/>
                <w:sz w:val="20"/>
                <w:szCs w:val="20"/>
                <w:lang w:val="ro-MD"/>
              </w:rPr>
            </w:pPr>
            <w:r w:rsidRPr="0066519A">
              <w:rPr>
                <w:rFonts w:ascii="Times New Roman" w:hAnsi="Times New Roman"/>
                <w:b/>
                <w:sz w:val="20"/>
                <w:szCs w:val="20"/>
                <w:lang w:val="ro-MD"/>
              </w:rPr>
              <w:lastRenderedPageBreak/>
              <w:t>Secţiunea a 3-a</w:t>
            </w:r>
          </w:p>
          <w:p w14:paraId="2547EB7C" w14:textId="77777777" w:rsidR="00804FEE" w:rsidRPr="0066519A" w:rsidRDefault="00804FEE" w:rsidP="00804FEE">
            <w:pPr>
              <w:pStyle w:val="af8"/>
              <w:spacing w:after="0" w:line="240" w:lineRule="auto"/>
              <w:ind w:left="1506"/>
              <w:jc w:val="center"/>
              <w:rPr>
                <w:rFonts w:ascii="Times New Roman" w:hAnsi="Times New Roman"/>
                <w:b/>
                <w:sz w:val="20"/>
                <w:szCs w:val="20"/>
                <w:lang w:val="ro-MD"/>
              </w:rPr>
            </w:pPr>
            <w:r w:rsidRPr="0066519A">
              <w:rPr>
                <w:rFonts w:ascii="Times New Roman" w:hAnsi="Times New Roman"/>
                <w:b/>
                <w:sz w:val="20"/>
                <w:szCs w:val="20"/>
                <w:lang w:val="ro-MD"/>
              </w:rPr>
              <w:t>Monitorizare, raportare și verificare</w:t>
            </w:r>
          </w:p>
          <w:p w14:paraId="4E044887" w14:textId="77777777" w:rsidR="00804FEE" w:rsidRPr="00107394" w:rsidRDefault="00804FEE" w:rsidP="00804FEE">
            <w:pPr>
              <w:suppressAutoHyphens w:val="0"/>
              <w:autoSpaceDN/>
              <w:spacing w:after="0" w:line="240" w:lineRule="atLeast"/>
              <w:jc w:val="both"/>
              <w:textAlignment w:val="auto"/>
              <w:rPr>
                <w:rFonts w:ascii="Times New Roman" w:hAnsi="Times New Roman"/>
                <w:sz w:val="20"/>
                <w:szCs w:val="20"/>
                <w:lang w:val="ro-MD"/>
              </w:rPr>
            </w:pPr>
            <w:r w:rsidRPr="00107394">
              <w:rPr>
                <w:rFonts w:ascii="Times New Roman" w:hAnsi="Times New Roman"/>
                <w:b/>
                <w:bCs/>
                <w:sz w:val="20"/>
                <w:szCs w:val="20"/>
                <w:lang w:val="ro-MD"/>
              </w:rPr>
              <w:t>Articolul 55.</w:t>
            </w:r>
            <w:r>
              <w:rPr>
                <w:rFonts w:ascii="Times New Roman" w:hAnsi="Times New Roman"/>
                <w:sz w:val="20"/>
                <w:szCs w:val="20"/>
                <w:lang w:val="ro-MD"/>
              </w:rPr>
              <w:t xml:space="preserve"> </w:t>
            </w:r>
            <w:r w:rsidRPr="00107394">
              <w:rPr>
                <w:rFonts w:ascii="Times New Roman" w:hAnsi="Times New Roman"/>
                <w:sz w:val="20"/>
                <w:szCs w:val="20"/>
                <w:lang w:val="ro-MD"/>
              </w:rPr>
              <w:t>Emisiile de GES provenite de la transportul maritim</w:t>
            </w:r>
          </w:p>
          <w:p w14:paraId="155F40B5" w14:textId="77777777" w:rsidR="00804FEE" w:rsidRPr="00824BAA" w:rsidRDefault="00804FEE" w:rsidP="00804FEE">
            <w:pPr>
              <w:pStyle w:val="af8"/>
              <w:suppressAutoHyphens w:val="0"/>
              <w:autoSpaceDN/>
              <w:spacing w:after="0" w:line="240" w:lineRule="auto"/>
              <w:ind w:left="0"/>
              <w:jc w:val="both"/>
              <w:textAlignment w:val="auto"/>
              <w:rPr>
                <w:rFonts w:ascii="Times New Roman" w:hAnsi="Times New Roman"/>
                <w:sz w:val="20"/>
                <w:szCs w:val="20"/>
                <w:lang w:val="ro-MD"/>
              </w:rPr>
            </w:pPr>
            <w:r>
              <w:rPr>
                <w:rFonts w:ascii="Times New Roman" w:hAnsi="Times New Roman"/>
                <w:bCs/>
                <w:sz w:val="20"/>
                <w:szCs w:val="20"/>
                <w:lang w:val="ro-MD"/>
              </w:rPr>
              <w:lastRenderedPageBreak/>
              <w:t>(3)</w:t>
            </w:r>
            <w:r w:rsidRPr="00824BAA">
              <w:rPr>
                <w:rFonts w:ascii="Times New Roman" w:hAnsi="Times New Roman"/>
                <w:bCs/>
                <w:sz w:val="20"/>
                <w:szCs w:val="20"/>
                <w:lang w:val="ro-MD"/>
              </w:rPr>
              <w:t>Compania de transport maritim</w:t>
            </w:r>
            <w:r w:rsidRPr="00824BAA">
              <w:rPr>
                <w:rFonts w:ascii="Times New Roman" w:hAnsi="Times New Roman"/>
                <w:sz w:val="20"/>
                <w:szCs w:val="20"/>
                <w:shd w:val="clear" w:color="auto" w:fill="FFFFFF"/>
                <w:lang w:val="ro-MD"/>
              </w:rPr>
              <w:t xml:space="preserve"> </w:t>
            </w:r>
            <w:r w:rsidRPr="00824BAA">
              <w:rPr>
                <w:rFonts w:ascii="Times New Roman" w:hAnsi="Times New Roman"/>
                <w:sz w:val="20"/>
                <w:szCs w:val="20"/>
                <w:lang w:val="ro-MD"/>
              </w:rPr>
              <w:t>prezintă verificatorului independent și acreditat un PM, fără întârzieri nejustificate și în cel mult două luni de la prima escală a fiecărei nave într-un port aflat sub jurisdicția Republicii Moldova, care constă într-o documentație completă și transparentă privind metoda de monitorizare a emisiilor de GES a nave și cuprinde informații specificate în Regulamentul privind monitorizarea, raportarea și verificarea emisiilor de dioxid de carbon generate de transportul maritim, aprobat de Guvern.</w:t>
            </w:r>
          </w:p>
          <w:p w14:paraId="1484B9D7" w14:textId="242D9CAB" w:rsidR="00124364" w:rsidRPr="00804FEE" w:rsidRDefault="00804FEE" w:rsidP="00804FEE">
            <w:pPr>
              <w:pStyle w:val="af8"/>
              <w:suppressAutoHyphens w:val="0"/>
              <w:autoSpaceDN/>
              <w:spacing w:after="0" w:line="240" w:lineRule="auto"/>
              <w:ind w:left="0"/>
              <w:jc w:val="both"/>
              <w:textAlignment w:val="auto"/>
              <w:rPr>
                <w:rFonts w:ascii="Times New Roman" w:hAnsi="Times New Roman"/>
                <w:sz w:val="20"/>
                <w:szCs w:val="20"/>
                <w:lang w:val="ro-MD"/>
              </w:rPr>
            </w:pPr>
            <w:r>
              <w:rPr>
                <w:rFonts w:ascii="Times New Roman" w:hAnsi="Times New Roman"/>
                <w:bCs/>
                <w:sz w:val="20"/>
                <w:szCs w:val="20"/>
                <w:lang w:val="ro-MD"/>
              </w:rPr>
              <w:t>(4)</w:t>
            </w:r>
            <w:r w:rsidRPr="00824BAA">
              <w:rPr>
                <w:rFonts w:ascii="Times New Roman" w:hAnsi="Times New Roman"/>
                <w:bCs/>
                <w:sz w:val="20"/>
                <w:szCs w:val="20"/>
                <w:lang w:val="ro-MD"/>
              </w:rPr>
              <w:t>Compania de transport maritim</w:t>
            </w:r>
            <w:r w:rsidRPr="00824BAA">
              <w:rPr>
                <w:rFonts w:ascii="Times New Roman" w:hAnsi="Times New Roman"/>
                <w:sz w:val="20"/>
                <w:szCs w:val="20"/>
                <w:shd w:val="clear" w:color="auto" w:fill="FFFFFF"/>
                <w:lang w:val="ro-MD"/>
              </w:rPr>
              <w:t xml:space="preserve"> </w:t>
            </w:r>
            <w:r w:rsidRPr="00824BAA">
              <w:rPr>
                <w:rFonts w:ascii="Times New Roman" w:hAnsi="Times New Roman"/>
                <w:sz w:val="20"/>
                <w:szCs w:val="20"/>
                <w:lang w:val="ro-MD"/>
              </w:rPr>
              <w:t>prezintă Agenției Navale a Republicii Moldova</w:t>
            </w:r>
            <w:r w:rsidRPr="00824BAA">
              <w:rPr>
                <w:rFonts w:ascii="Times New Roman" w:hAnsi="Times New Roman"/>
                <w:sz w:val="20"/>
                <w:szCs w:val="20"/>
                <w:shd w:val="clear" w:color="auto" w:fill="FFFFFF"/>
                <w:lang w:val="ro-MD"/>
              </w:rPr>
              <w:t xml:space="preserve"> până la data de 31 martie RAE, verificat</w:t>
            </w:r>
            <w:r w:rsidRPr="00824BAA">
              <w:rPr>
                <w:rFonts w:ascii="Times New Roman" w:hAnsi="Times New Roman"/>
                <w:sz w:val="20"/>
                <w:szCs w:val="20"/>
                <w:lang w:val="ro-MD"/>
              </w:rPr>
              <w:t xml:space="preserve"> de către un verificator independent și acreditat.</w:t>
            </w:r>
          </w:p>
        </w:tc>
        <w:tc>
          <w:tcPr>
            <w:tcW w:w="1276" w:type="dxa"/>
            <w:shd w:val="clear" w:color="auto" w:fill="auto"/>
          </w:tcPr>
          <w:p w14:paraId="42DA3A22"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 xml:space="preserve">Compatibil </w:t>
            </w:r>
          </w:p>
          <w:p w14:paraId="48F4F9B3"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91C2F93"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746C881" w14:textId="77777777" w:rsidR="00804FEE" w:rsidRPr="00197FD0" w:rsidRDefault="00804FEE" w:rsidP="00804FE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monitorizarea, </w:t>
            </w:r>
            <w:r w:rsidRPr="00197FD0">
              <w:rPr>
                <w:rFonts w:ascii="Times New Roman" w:hAnsi="Times New Roman"/>
                <w:color w:val="000000" w:themeColor="text1"/>
                <w:lang w:val="ro-MD"/>
              </w:rPr>
              <w:lastRenderedPageBreak/>
              <w:t>raportarea și verificarea emisiilor de dioxid de carbon generate de transportul maritim</w:t>
            </w:r>
            <w:r>
              <w:rPr>
                <w:rFonts w:ascii="Times New Roman" w:hAnsi="Times New Roman"/>
                <w:color w:val="000000" w:themeColor="text1"/>
                <w:lang w:val="ro-MD"/>
              </w:rPr>
              <w:t>.</w:t>
            </w:r>
          </w:p>
          <w:p w14:paraId="495A1BA7"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0E3BC3F"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lastRenderedPageBreak/>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7C78A7E" w14:textId="77777777" w:rsidR="00124364" w:rsidRDefault="00124364">
            <w:pPr>
              <w:autoSpaceDE w:val="0"/>
              <w:spacing w:after="0" w:line="240" w:lineRule="auto"/>
              <w:rPr>
                <w:rFonts w:ascii="Times New Roman" w:hAnsi="Times New Roman"/>
                <w:sz w:val="20"/>
                <w:szCs w:val="20"/>
                <w:lang w:val="fr-FR"/>
              </w:rPr>
            </w:pPr>
          </w:p>
          <w:p w14:paraId="1BB8DBB4" w14:textId="77777777" w:rsidR="00804FEE" w:rsidRDefault="00804FEE">
            <w:pPr>
              <w:autoSpaceDE w:val="0"/>
              <w:spacing w:after="0" w:line="240" w:lineRule="auto"/>
              <w:rPr>
                <w:rFonts w:ascii="Times New Roman" w:hAnsi="Times New Roman"/>
                <w:sz w:val="20"/>
                <w:szCs w:val="20"/>
                <w:lang w:val="fr-FR"/>
              </w:rPr>
            </w:pPr>
          </w:p>
          <w:p w14:paraId="5BB989E9" w14:textId="1DD1521F" w:rsidR="00804FEE" w:rsidRDefault="00804FEE">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Navală</w:t>
            </w:r>
            <w:proofErr w:type="spellEnd"/>
          </w:p>
        </w:tc>
      </w:tr>
      <w:tr w:rsidR="00124364" w14:paraId="0804E6AB" w14:textId="77777777">
        <w:trPr>
          <w:trHeight w:val="558"/>
        </w:trPr>
        <w:tc>
          <w:tcPr>
            <w:tcW w:w="4957" w:type="dxa"/>
            <w:shd w:val="clear" w:color="auto" w:fill="auto"/>
          </w:tcPr>
          <w:p w14:paraId="4C907B9C" w14:textId="2623072B" w:rsidR="00124364" w:rsidRPr="00804FEE"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804FEE">
              <w:rPr>
                <w:rFonts w:eastAsia="Arial Unicode MS"/>
                <w:i/>
                <w:iCs/>
                <w:color w:val="000000" w:themeColor="text1"/>
                <w:sz w:val="20"/>
                <w:szCs w:val="20"/>
                <w:shd w:val="clear" w:color="auto" w:fill="FFFFFF"/>
                <w:lang w:val="en-US"/>
              </w:rPr>
              <w:t>Articolul</w:t>
            </w:r>
            <w:proofErr w:type="spellEnd"/>
            <w:r w:rsidR="00804FEE" w:rsidRPr="00804FEE">
              <w:rPr>
                <w:rFonts w:eastAsia="Arial Unicode MS"/>
                <w:i/>
                <w:iCs/>
                <w:color w:val="000000" w:themeColor="text1"/>
                <w:sz w:val="20"/>
                <w:szCs w:val="20"/>
                <w:shd w:val="clear" w:color="auto" w:fill="FFFFFF"/>
                <w:lang w:val="en-US"/>
              </w:rPr>
              <w:t xml:space="preserve"> </w:t>
            </w:r>
            <w:r w:rsidRPr="00804FEE">
              <w:rPr>
                <w:rFonts w:eastAsia="Arial Unicode MS"/>
                <w:i/>
                <w:iCs/>
                <w:color w:val="000000" w:themeColor="text1"/>
                <w:sz w:val="20"/>
                <w:szCs w:val="20"/>
                <w:shd w:val="clear" w:color="auto" w:fill="FFFFFF"/>
                <w:lang w:val="en-US"/>
              </w:rPr>
              <w:t>3gf</w:t>
            </w:r>
          </w:p>
          <w:p w14:paraId="5DE2EA8F" w14:textId="77777777" w:rsidR="00124364" w:rsidRPr="00804FEE"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804FEE">
              <w:rPr>
                <w:rFonts w:eastAsia="Arial Unicode MS"/>
                <w:b/>
                <w:bCs/>
                <w:color w:val="000000" w:themeColor="text1"/>
                <w:sz w:val="20"/>
                <w:szCs w:val="20"/>
                <w:shd w:val="clear" w:color="auto" w:fill="FFFFFF"/>
                <w:lang w:val="en-US"/>
              </w:rPr>
              <w:t>Autoritatea</w:t>
            </w:r>
            <w:proofErr w:type="spellEnd"/>
            <w:r w:rsidRPr="00804FEE">
              <w:rPr>
                <w:rFonts w:eastAsia="Arial Unicode MS"/>
                <w:b/>
                <w:bCs/>
                <w:color w:val="000000" w:themeColor="text1"/>
                <w:sz w:val="20"/>
                <w:szCs w:val="20"/>
                <w:shd w:val="clear" w:color="auto" w:fill="FFFFFF"/>
                <w:lang w:val="en-US"/>
              </w:rPr>
              <w:t xml:space="preserve"> de </w:t>
            </w:r>
            <w:proofErr w:type="spellStart"/>
            <w:r w:rsidRPr="00804FEE">
              <w:rPr>
                <w:rFonts w:eastAsia="Arial Unicode MS"/>
                <w:b/>
                <w:bCs/>
                <w:color w:val="000000" w:themeColor="text1"/>
                <w:sz w:val="20"/>
                <w:szCs w:val="20"/>
                <w:shd w:val="clear" w:color="auto" w:fill="FFFFFF"/>
                <w:lang w:val="en-US"/>
              </w:rPr>
              <w:t>administrare</w:t>
            </w:r>
            <w:proofErr w:type="spellEnd"/>
            <w:r w:rsidRPr="00804FEE">
              <w:rPr>
                <w:rFonts w:eastAsia="Arial Unicode MS"/>
                <w:b/>
                <w:bCs/>
                <w:color w:val="000000" w:themeColor="text1"/>
                <w:sz w:val="20"/>
                <w:szCs w:val="20"/>
                <w:shd w:val="clear" w:color="auto" w:fill="FFFFFF"/>
                <w:lang w:val="en-US"/>
              </w:rPr>
              <w:t xml:space="preserve"> a </w:t>
            </w:r>
            <w:proofErr w:type="spellStart"/>
            <w:r w:rsidRPr="00804FEE">
              <w:rPr>
                <w:rFonts w:eastAsia="Arial Unicode MS"/>
                <w:b/>
                <w:bCs/>
                <w:color w:val="000000" w:themeColor="text1"/>
                <w:sz w:val="20"/>
                <w:szCs w:val="20"/>
                <w:shd w:val="clear" w:color="auto" w:fill="FFFFFF"/>
                <w:lang w:val="en-US"/>
              </w:rPr>
              <w:t>unei</w:t>
            </w:r>
            <w:proofErr w:type="spellEnd"/>
            <w:r w:rsidRPr="00804FEE">
              <w:rPr>
                <w:rFonts w:eastAsia="Arial Unicode MS"/>
                <w:b/>
                <w:bCs/>
                <w:color w:val="000000" w:themeColor="text1"/>
                <w:sz w:val="20"/>
                <w:szCs w:val="20"/>
                <w:shd w:val="clear" w:color="auto" w:fill="FFFFFF"/>
                <w:lang w:val="en-US"/>
              </w:rPr>
              <w:t xml:space="preserve"> </w:t>
            </w:r>
            <w:proofErr w:type="spellStart"/>
            <w:r w:rsidRPr="00804FEE">
              <w:rPr>
                <w:rFonts w:eastAsia="Arial Unicode MS"/>
                <w:b/>
                <w:bCs/>
                <w:color w:val="000000" w:themeColor="text1"/>
                <w:sz w:val="20"/>
                <w:szCs w:val="20"/>
                <w:shd w:val="clear" w:color="auto" w:fill="FFFFFF"/>
                <w:lang w:val="en-US"/>
              </w:rPr>
              <w:t>companii</w:t>
            </w:r>
            <w:proofErr w:type="spellEnd"/>
            <w:r w:rsidRPr="00804FEE">
              <w:rPr>
                <w:rFonts w:eastAsia="Arial Unicode MS"/>
                <w:b/>
                <w:bCs/>
                <w:color w:val="000000" w:themeColor="text1"/>
                <w:sz w:val="20"/>
                <w:szCs w:val="20"/>
                <w:shd w:val="clear" w:color="auto" w:fill="FFFFFF"/>
                <w:lang w:val="en-US"/>
              </w:rPr>
              <w:t xml:space="preserve"> de transport maritim</w:t>
            </w:r>
          </w:p>
          <w:p w14:paraId="654D5673" w14:textId="77777777" w:rsidR="00124364" w:rsidRPr="00804FEE" w:rsidRDefault="00000000" w:rsidP="00804FEE">
            <w:pPr>
              <w:pStyle w:val="af8"/>
              <w:numPr>
                <w:ilvl w:val="0"/>
                <w:numId w:val="2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rPr>
              <w:t>Autoritatea</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administrare</w:t>
            </w:r>
            <w:proofErr w:type="spellEnd"/>
            <w:r w:rsidRPr="00804FEE">
              <w:rPr>
                <w:rFonts w:ascii="Times New Roman" w:eastAsia="Arial Unicode MS" w:hAnsi="Times New Roman"/>
                <w:color w:val="000000" w:themeColor="text1"/>
                <w:sz w:val="20"/>
                <w:szCs w:val="20"/>
              </w:rPr>
              <w:t xml:space="preserve"> a </w:t>
            </w:r>
            <w:proofErr w:type="spellStart"/>
            <w:r w:rsidRPr="00804FEE">
              <w:rPr>
                <w:rFonts w:ascii="Times New Roman" w:eastAsia="Arial Unicode MS" w:hAnsi="Times New Roman"/>
                <w:color w:val="000000" w:themeColor="text1"/>
                <w:sz w:val="20"/>
                <w:szCs w:val="20"/>
              </w:rPr>
              <w:t>unei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companii</w:t>
            </w:r>
            <w:proofErr w:type="spellEnd"/>
            <w:r w:rsidRPr="00804FEE">
              <w:rPr>
                <w:rFonts w:ascii="Times New Roman" w:eastAsia="Arial Unicode MS" w:hAnsi="Times New Roman"/>
                <w:color w:val="000000" w:themeColor="text1"/>
                <w:sz w:val="20"/>
                <w:szCs w:val="20"/>
              </w:rPr>
              <w:t xml:space="preserve"> de transport maritim </w:t>
            </w:r>
            <w:proofErr w:type="spellStart"/>
            <w:r w:rsidRPr="00804FEE">
              <w:rPr>
                <w:rFonts w:ascii="Times New Roman" w:eastAsia="Arial Unicode MS" w:hAnsi="Times New Roman"/>
                <w:color w:val="000000" w:themeColor="text1"/>
                <w:sz w:val="20"/>
                <w:szCs w:val="20"/>
              </w:rPr>
              <w:t>este</w:t>
            </w:r>
            <w:proofErr w:type="spellEnd"/>
            <w:r w:rsidRPr="00804FEE">
              <w:rPr>
                <w:rFonts w:ascii="Times New Roman" w:eastAsia="Arial Unicode MS" w:hAnsi="Times New Roman"/>
                <w:color w:val="000000" w:themeColor="text1"/>
                <w:sz w:val="20"/>
                <w:szCs w:val="20"/>
              </w:rPr>
              <w:t>:</w:t>
            </w:r>
          </w:p>
          <w:p w14:paraId="62FA6632" w14:textId="77777777" w:rsidR="00124364" w:rsidRPr="00804FEE" w:rsidRDefault="00000000" w:rsidP="00804FEE">
            <w:pPr>
              <w:pStyle w:val="af8"/>
              <w:numPr>
                <w:ilvl w:val="0"/>
                <w:numId w:val="27"/>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shd w:val="clear" w:color="auto" w:fill="FFFFFF"/>
              </w:rPr>
              <w:t xml:space="preserve">în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înregistrate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stat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în care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înregistrată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respectivă</w:t>
            </w:r>
            <w:proofErr w:type="spellEnd"/>
            <w:r w:rsidRPr="00804FEE">
              <w:rPr>
                <w:rFonts w:ascii="Times New Roman" w:eastAsia="Arial Unicode MS" w:hAnsi="Times New Roman"/>
                <w:color w:val="000000" w:themeColor="text1"/>
                <w:sz w:val="20"/>
                <w:szCs w:val="20"/>
                <w:shd w:val="clear" w:color="auto" w:fill="FFFFFF"/>
              </w:rPr>
              <w:t xml:space="preserve"> de transport </w:t>
            </w:r>
            <w:proofErr w:type="gramStart"/>
            <w:r w:rsidRPr="00804FEE">
              <w:rPr>
                <w:rFonts w:ascii="Times New Roman" w:eastAsia="Arial Unicode MS" w:hAnsi="Times New Roman"/>
                <w:color w:val="000000" w:themeColor="text1"/>
                <w:sz w:val="20"/>
                <w:szCs w:val="20"/>
                <w:shd w:val="clear" w:color="auto" w:fill="FFFFFF"/>
              </w:rPr>
              <w:t>maritim;</w:t>
            </w:r>
            <w:proofErr w:type="gramEnd"/>
          </w:p>
          <w:p w14:paraId="3B2F8600" w14:textId="4FFA9792" w:rsidR="00124364" w:rsidRPr="00804FEE" w:rsidRDefault="00000000" w:rsidP="00804FEE">
            <w:pPr>
              <w:pStyle w:val="af8"/>
              <w:numPr>
                <w:ilvl w:val="0"/>
                <w:numId w:val="27"/>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shd w:val="clear" w:color="auto" w:fill="FFFFFF"/>
              </w:rPr>
              <w:t xml:space="preserve">în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nu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înregistrată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stat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cu </w:t>
            </w:r>
            <w:proofErr w:type="spellStart"/>
            <w:r w:rsidRPr="00804FEE">
              <w:rPr>
                <w:rFonts w:ascii="Times New Roman" w:eastAsia="Arial Unicode MS" w:hAnsi="Times New Roman"/>
                <w:color w:val="000000" w:themeColor="text1"/>
                <w:sz w:val="20"/>
                <w:szCs w:val="20"/>
                <w:shd w:val="clear" w:color="auto" w:fill="FFFFFF"/>
              </w:rPr>
              <w:t>cel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mai</w:t>
            </w:r>
            <w:proofErr w:type="spellEnd"/>
            <w:r w:rsidRPr="00804FEE">
              <w:rPr>
                <w:rFonts w:ascii="Times New Roman" w:eastAsia="Arial Unicode MS" w:hAnsi="Times New Roman"/>
                <w:color w:val="000000" w:themeColor="text1"/>
                <w:sz w:val="20"/>
                <w:szCs w:val="20"/>
                <w:shd w:val="clear" w:color="auto" w:fill="FFFFFF"/>
              </w:rPr>
              <w:t xml:space="preserve"> mare </w:t>
            </w:r>
            <w:proofErr w:type="spellStart"/>
            <w:r w:rsidRPr="00804FEE">
              <w:rPr>
                <w:rFonts w:ascii="Times New Roman" w:eastAsia="Arial Unicode MS" w:hAnsi="Times New Roman"/>
                <w:color w:val="000000" w:themeColor="text1"/>
                <w:sz w:val="20"/>
                <w:szCs w:val="20"/>
                <w:shd w:val="clear" w:color="auto" w:fill="FFFFFF"/>
              </w:rPr>
              <w:t>număr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estimat</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escale</w:t>
            </w:r>
            <w:proofErr w:type="spellEnd"/>
            <w:r w:rsidRPr="00804FEE">
              <w:rPr>
                <w:rFonts w:ascii="Times New Roman" w:eastAsia="Arial Unicode MS" w:hAnsi="Times New Roman"/>
                <w:color w:val="000000" w:themeColor="text1"/>
                <w:sz w:val="20"/>
                <w:szCs w:val="20"/>
                <w:shd w:val="clear" w:color="auto" w:fill="FFFFFF"/>
              </w:rPr>
              <w:t xml:space="preserve"> în port pe </w:t>
            </w:r>
            <w:proofErr w:type="spellStart"/>
            <w:r w:rsidRPr="00804FEE">
              <w:rPr>
                <w:rFonts w:ascii="Times New Roman" w:eastAsia="Arial Unicode MS" w:hAnsi="Times New Roman"/>
                <w:color w:val="000000" w:themeColor="text1"/>
                <w:sz w:val="20"/>
                <w:szCs w:val="20"/>
                <w:shd w:val="clear" w:color="auto" w:fill="FFFFFF"/>
              </w:rPr>
              <w:t>parcursul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călătoriilor</w:t>
            </w:r>
            <w:proofErr w:type="spellEnd"/>
            <w:r w:rsidRPr="00804FEE">
              <w:rPr>
                <w:rFonts w:ascii="Times New Roman" w:eastAsia="Arial Unicode MS" w:hAnsi="Times New Roman"/>
                <w:color w:val="000000" w:themeColor="text1"/>
                <w:sz w:val="20"/>
                <w:szCs w:val="20"/>
                <w:shd w:val="clear" w:color="auto" w:fill="FFFFFF"/>
              </w:rPr>
              <w:t xml:space="preserve"> pe care </w:t>
            </w:r>
            <w:proofErr w:type="spellStart"/>
            <w:r w:rsidRPr="00804FEE">
              <w:rPr>
                <w:rFonts w:ascii="Times New Roman" w:eastAsia="Arial Unicode MS" w:hAnsi="Times New Roman"/>
                <w:color w:val="000000" w:themeColor="text1"/>
                <w:sz w:val="20"/>
                <w:szCs w:val="20"/>
                <w:shd w:val="clear" w:color="auto" w:fill="FFFFFF"/>
              </w:rPr>
              <w:t>compania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respectivă</w:t>
            </w:r>
            <w:proofErr w:type="spellEnd"/>
            <w:r w:rsidRPr="00804FEE">
              <w:rPr>
                <w:rFonts w:ascii="Times New Roman" w:eastAsia="Arial Unicode MS" w:hAnsi="Times New Roman"/>
                <w:color w:val="000000" w:themeColor="text1"/>
                <w:sz w:val="20"/>
                <w:szCs w:val="20"/>
                <w:shd w:val="clear" w:color="auto" w:fill="FFFFFF"/>
              </w:rPr>
              <w:t xml:space="preserve"> de transport maritim le-a </w:t>
            </w:r>
            <w:proofErr w:type="spellStart"/>
            <w:r w:rsidRPr="00804FEE">
              <w:rPr>
                <w:rFonts w:ascii="Times New Roman" w:eastAsia="Arial Unicode MS" w:hAnsi="Times New Roman"/>
                <w:color w:val="000000" w:themeColor="text1"/>
                <w:sz w:val="20"/>
                <w:szCs w:val="20"/>
                <w:shd w:val="clear" w:color="auto" w:fill="FFFFFF"/>
              </w:rPr>
              <w:t>efectuat</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cei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patru</w:t>
            </w:r>
            <w:proofErr w:type="spellEnd"/>
            <w:r w:rsidRPr="00804FEE">
              <w:rPr>
                <w:rFonts w:ascii="Times New Roman" w:eastAsia="Arial Unicode MS" w:hAnsi="Times New Roman"/>
                <w:color w:val="000000" w:themeColor="text1"/>
                <w:sz w:val="20"/>
                <w:szCs w:val="20"/>
                <w:shd w:val="clear" w:color="auto" w:fill="FFFFFF"/>
              </w:rPr>
              <w:t xml:space="preserve"> ani </w:t>
            </w:r>
            <w:proofErr w:type="spellStart"/>
            <w:r w:rsidRPr="00804FEE">
              <w:rPr>
                <w:rFonts w:ascii="Times New Roman" w:eastAsia="Arial Unicode MS" w:hAnsi="Times New Roman"/>
                <w:color w:val="000000" w:themeColor="text1"/>
                <w:sz w:val="20"/>
                <w:szCs w:val="20"/>
                <w:shd w:val="clear" w:color="auto" w:fill="FFFFFF"/>
              </w:rPr>
              <w:t>precedenți</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monitorizare</w:t>
            </w:r>
            <w:proofErr w:type="spellEnd"/>
            <w:r w:rsidRPr="00804FEE">
              <w:rPr>
                <w:rFonts w:ascii="Times New Roman" w:eastAsia="Arial Unicode MS" w:hAnsi="Times New Roman"/>
                <w:color w:val="000000" w:themeColor="text1"/>
                <w:sz w:val="20"/>
                <w:szCs w:val="20"/>
                <w:shd w:val="clear" w:color="auto" w:fill="FFFFFF"/>
              </w:rPr>
              <w:t xml:space="preserve"> și care se </w:t>
            </w:r>
            <w:proofErr w:type="spellStart"/>
            <w:r w:rsidRPr="00804FEE">
              <w:rPr>
                <w:rFonts w:ascii="Times New Roman" w:eastAsia="Arial Unicode MS" w:hAnsi="Times New Roman"/>
                <w:color w:val="000000" w:themeColor="text1"/>
                <w:sz w:val="20"/>
                <w:szCs w:val="20"/>
                <w:shd w:val="clear" w:color="auto" w:fill="FFFFFF"/>
              </w:rPr>
              <w:t>încadrează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00804FEE" w:rsidRPr="00804FEE">
              <w:rPr>
                <w:rFonts w:ascii="Times New Roman" w:eastAsia="Arial Unicode MS" w:hAnsi="Times New Roman"/>
                <w:color w:val="000000" w:themeColor="text1"/>
                <w:sz w:val="20"/>
                <w:szCs w:val="20"/>
                <w:shd w:val="clear" w:color="auto" w:fill="FFFFFF"/>
              </w:rPr>
              <w:t xml:space="preserve"> </w:t>
            </w:r>
            <w:proofErr w:type="gramStart"/>
            <w:r w:rsidRPr="00804FEE">
              <w:rPr>
                <w:rFonts w:ascii="Times New Roman" w:eastAsia="Arial Unicode MS" w:hAnsi="Times New Roman"/>
                <w:color w:val="000000" w:themeColor="text1"/>
                <w:sz w:val="20"/>
                <w:szCs w:val="20"/>
                <w:shd w:val="clear" w:color="auto" w:fill="FFFFFF"/>
              </w:rPr>
              <w:t>3ga;</w:t>
            </w:r>
            <w:proofErr w:type="gramEnd"/>
          </w:p>
          <w:p w14:paraId="29346ED1" w14:textId="16B7727D" w:rsidR="00124364" w:rsidRPr="00804FEE" w:rsidRDefault="00000000" w:rsidP="00804FEE">
            <w:pPr>
              <w:pStyle w:val="af8"/>
              <w:numPr>
                <w:ilvl w:val="0"/>
                <w:numId w:val="27"/>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shd w:val="clear" w:color="auto" w:fill="FFFFFF"/>
              </w:rPr>
              <w:t xml:space="preserve">în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nu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înregistrată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stat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și care nu </w:t>
            </w:r>
            <w:proofErr w:type="gramStart"/>
            <w:r w:rsidRPr="00804FEE">
              <w:rPr>
                <w:rFonts w:ascii="Times New Roman" w:eastAsia="Arial Unicode MS" w:hAnsi="Times New Roman"/>
                <w:color w:val="000000" w:themeColor="text1"/>
                <w:sz w:val="20"/>
                <w:szCs w:val="20"/>
                <w:shd w:val="clear" w:color="auto" w:fill="FFFFFF"/>
              </w:rPr>
              <w:t>a</w:t>
            </w:r>
            <w:proofErr w:type="gram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efectuat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nicio</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călătorie</w:t>
            </w:r>
            <w:proofErr w:type="spellEnd"/>
            <w:r w:rsidRPr="00804FEE">
              <w:rPr>
                <w:rFonts w:ascii="Times New Roman" w:eastAsia="Arial Unicode MS" w:hAnsi="Times New Roman"/>
                <w:color w:val="000000" w:themeColor="text1"/>
                <w:sz w:val="20"/>
                <w:szCs w:val="20"/>
                <w:shd w:val="clear" w:color="auto" w:fill="FFFFFF"/>
              </w:rPr>
              <w:t xml:space="preserve"> care se </w:t>
            </w:r>
            <w:proofErr w:type="spellStart"/>
            <w:r w:rsidRPr="00804FEE">
              <w:rPr>
                <w:rFonts w:ascii="Times New Roman" w:eastAsia="Arial Unicode MS" w:hAnsi="Times New Roman"/>
                <w:color w:val="000000" w:themeColor="text1"/>
                <w:sz w:val="20"/>
                <w:szCs w:val="20"/>
                <w:shd w:val="clear" w:color="auto" w:fill="FFFFFF"/>
              </w:rPr>
              <w:t>încadrează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Pr="00804FEE">
              <w:rPr>
                <w:rFonts w:ascii="Times New Roman" w:eastAsia="Arial Unicode MS" w:hAnsi="Times New Roman"/>
                <w:color w:val="000000" w:themeColor="text1"/>
                <w:sz w:val="20"/>
                <w:szCs w:val="20"/>
                <w:shd w:val="clear" w:color="auto" w:fill="FFFFFF"/>
              </w:rPr>
              <w:t xml:space="preserve"> 3ga în </w:t>
            </w:r>
            <w:proofErr w:type="spellStart"/>
            <w:r w:rsidRPr="00804FEE">
              <w:rPr>
                <w:rFonts w:ascii="Times New Roman" w:eastAsia="Arial Unicode MS" w:hAnsi="Times New Roman"/>
                <w:color w:val="000000" w:themeColor="text1"/>
                <w:sz w:val="20"/>
                <w:szCs w:val="20"/>
                <w:shd w:val="clear" w:color="auto" w:fill="FFFFFF"/>
              </w:rPr>
              <w:t>ultimii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patru</w:t>
            </w:r>
            <w:proofErr w:type="spellEnd"/>
            <w:r w:rsidRPr="00804FEE">
              <w:rPr>
                <w:rFonts w:ascii="Times New Roman" w:eastAsia="Arial Unicode MS" w:hAnsi="Times New Roman"/>
                <w:color w:val="000000" w:themeColor="text1"/>
                <w:sz w:val="20"/>
                <w:szCs w:val="20"/>
                <w:shd w:val="clear" w:color="auto" w:fill="FFFFFF"/>
              </w:rPr>
              <w:t xml:space="preserve"> ani de </w:t>
            </w:r>
            <w:proofErr w:type="spellStart"/>
            <w:r w:rsidRPr="00804FEE">
              <w:rPr>
                <w:rFonts w:ascii="Times New Roman" w:eastAsia="Arial Unicode MS" w:hAnsi="Times New Roman"/>
                <w:color w:val="000000" w:themeColor="text1"/>
                <w:sz w:val="20"/>
                <w:szCs w:val="20"/>
                <w:shd w:val="clear" w:color="auto" w:fill="FFFFFF"/>
              </w:rPr>
              <w:t>monitorizare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în care o </w:t>
            </w:r>
            <w:proofErr w:type="spellStart"/>
            <w:r w:rsidRPr="00804FEE">
              <w:rPr>
                <w:rFonts w:ascii="Times New Roman" w:eastAsia="Arial Unicode MS" w:hAnsi="Times New Roman"/>
                <w:color w:val="000000" w:themeColor="text1"/>
                <w:sz w:val="20"/>
                <w:szCs w:val="20"/>
                <w:shd w:val="clear" w:color="auto" w:fill="FFFFFF"/>
              </w:rPr>
              <w:t>navă</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companiei</w:t>
            </w:r>
            <w:proofErr w:type="spellEnd"/>
            <w:r w:rsidRPr="00804FEE">
              <w:rPr>
                <w:rFonts w:ascii="Times New Roman" w:eastAsia="Arial Unicode MS" w:hAnsi="Times New Roman"/>
                <w:color w:val="000000" w:themeColor="text1"/>
                <w:sz w:val="20"/>
                <w:szCs w:val="20"/>
                <w:shd w:val="clear" w:color="auto" w:fill="FFFFFF"/>
              </w:rPr>
              <w:t xml:space="preserve"> de transport maritim și-a </w:t>
            </w:r>
            <w:proofErr w:type="spellStart"/>
            <w:r w:rsidRPr="00804FEE">
              <w:rPr>
                <w:rFonts w:ascii="Times New Roman" w:eastAsia="Arial Unicode MS" w:hAnsi="Times New Roman"/>
                <w:color w:val="000000" w:themeColor="text1"/>
                <w:sz w:val="20"/>
                <w:szCs w:val="20"/>
                <w:shd w:val="clear" w:color="auto" w:fill="FFFFFF"/>
              </w:rPr>
              <w:t>început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sau</w:t>
            </w:r>
            <w:proofErr w:type="spellEnd"/>
            <w:r w:rsidRPr="00804FEE">
              <w:rPr>
                <w:rFonts w:ascii="Times New Roman" w:eastAsia="Arial Unicode MS" w:hAnsi="Times New Roman"/>
                <w:color w:val="000000" w:themeColor="text1"/>
                <w:sz w:val="20"/>
                <w:szCs w:val="20"/>
                <w:shd w:val="clear" w:color="auto" w:fill="FFFFFF"/>
              </w:rPr>
              <w:t xml:space="preserve"> și-a </w:t>
            </w:r>
            <w:proofErr w:type="spellStart"/>
            <w:r w:rsidRPr="00804FEE">
              <w:rPr>
                <w:rFonts w:ascii="Times New Roman" w:eastAsia="Arial Unicode MS" w:hAnsi="Times New Roman"/>
                <w:color w:val="000000" w:themeColor="text1"/>
                <w:sz w:val="20"/>
                <w:szCs w:val="20"/>
                <w:shd w:val="clear" w:color="auto" w:fill="FFFFFF"/>
              </w:rPr>
              <w:t>încheiat</w:t>
            </w:r>
            <w:proofErr w:type="spellEnd"/>
            <w:r w:rsidRPr="00804FEE">
              <w:rPr>
                <w:rFonts w:ascii="Times New Roman" w:eastAsia="Arial Unicode MS" w:hAnsi="Times New Roman"/>
                <w:color w:val="000000" w:themeColor="text1"/>
                <w:sz w:val="20"/>
                <w:szCs w:val="20"/>
                <w:shd w:val="clear" w:color="auto" w:fill="FFFFFF"/>
              </w:rPr>
              <w:t xml:space="preserve"> prima </w:t>
            </w:r>
            <w:proofErr w:type="spellStart"/>
            <w:r w:rsidRPr="00804FEE">
              <w:rPr>
                <w:rFonts w:ascii="Times New Roman" w:eastAsia="Arial Unicode MS" w:hAnsi="Times New Roman"/>
                <w:color w:val="000000" w:themeColor="text1"/>
                <w:sz w:val="20"/>
                <w:szCs w:val="20"/>
                <w:shd w:val="clear" w:color="auto" w:fill="FFFFFF"/>
              </w:rPr>
              <w:t>călătorie</w:t>
            </w:r>
            <w:proofErr w:type="spellEnd"/>
            <w:r w:rsidRPr="00804FEE">
              <w:rPr>
                <w:rFonts w:ascii="Times New Roman" w:eastAsia="Arial Unicode MS" w:hAnsi="Times New Roman"/>
                <w:color w:val="000000" w:themeColor="text1"/>
                <w:sz w:val="20"/>
                <w:szCs w:val="20"/>
                <w:shd w:val="clear" w:color="auto" w:fill="FFFFFF"/>
              </w:rPr>
              <w:t xml:space="preserve"> care se </w:t>
            </w:r>
            <w:proofErr w:type="spellStart"/>
            <w:r w:rsidRPr="00804FEE">
              <w:rPr>
                <w:rFonts w:ascii="Times New Roman" w:eastAsia="Arial Unicode MS" w:hAnsi="Times New Roman"/>
                <w:color w:val="000000" w:themeColor="text1"/>
                <w:sz w:val="20"/>
                <w:szCs w:val="20"/>
                <w:shd w:val="clear" w:color="auto" w:fill="FFFFFF"/>
              </w:rPr>
              <w:t>încadrează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w:t>
            </w:r>
            <w:proofErr w:type="spellEnd"/>
            <w:r w:rsidRPr="00804FEE">
              <w:rPr>
                <w:rFonts w:ascii="Times New Roman" w:eastAsia="Arial Unicode MS" w:hAnsi="Times New Roman"/>
                <w:color w:val="000000" w:themeColor="text1"/>
                <w:sz w:val="20"/>
                <w:szCs w:val="20"/>
                <w:shd w:val="clear" w:color="auto" w:fill="FFFFFF"/>
              </w:rPr>
              <w:t>.</w:t>
            </w:r>
          </w:p>
          <w:p w14:paraId="5B8BFFF9" w14:textId="77777777" w:rsidR="00124364" w:rsidRPr="00804FEE" w:rsidRDefault="00000000" w:rsidP="00804FEE">
            <w:pPr>
              <w:pStyle w:val="af8"/>
              <w:numPr>
                <w:ilvl w:val="0"/>
                <w:numId w:val="26"/>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shd w:val="clear" w:color="auto" w:fill="FFFFFF"/>
              </w:rPr>
              <w:t xml:space="preserve">Pe </w:t>
            </w:r>
            <w:proofErr w:type="spellStart"/>
            <w:r w:rsidRPr="00804FEE">
              <w:rPr>
                <w:rFonts w:ascii="Times New Roman" w:eastAsia="Arial Unicode MS" w:hAnsi="Times New Roman"/>
                <w:color w:val="000000" w:themeColor="text1"/>
                <w:sz w:val="20"/>
                <w:szCs w:val="20"/>
                <w:shd w:val="clear" w:color="auto" w:fill="FFFFFF"/>
              </w:rPr>
              <w:t>baza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mai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fiabile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informații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disponibile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stabilește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prin</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intermediul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acte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punere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w:t>
            </w:r>
          </w:p>
          <w:p w14:paraId="24E7C834" w14:textId="34B63C05" w:rsidR="00124364" w:rsidRPr="00804FEE" w:rsidRDefault="00000000" w:rsidP="00804FEE">
            <w:pPr>
              <w:pStyle w:val="af8"/>
              <w:numPr>
                <w:ilvl w:val="0"/>
                <w:numId w:val="2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lastRenderedPageBreak/>
              <w:t>înainte</w:t>
            </w:r>
            <w:proofErr w:type="spellEnd"/>
            <w:r w:rsidRPr="00804FEE">
              <w:rPr>
                <w:rFonts w:ascii="Times New Roman" w:eastAsia="Arial Unicode MS" w:hAnsi="Times New Roman"/>
                <w:color w:val="000000" w:themeColor="text1"/>
                <w:sz w:val="20"/>
                <w:szCs w:val="20"/>
                <w:shd w:val="clear" w:color="auto" w:fill="FFFFFF"/>
              </w:rPr>
              <w:t xml:space="preserve"> de 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februarie</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2024, o </w:t>
            </w:r>
            <w:proofErr w:type="spellStart"/>
            <w:r w:rsidRPr="00804FEE">
              <w:rPr>
                <w:rFonts w:ascii="Times New Roman" w:eastAsia="Arial Unicode MS" w:hAnsi="Times New Roman"/>
                <w:color w:val="000000" w:themeColor="text1"/>
                <w:sz w:val="20"/>
                <w:szCs w:val="20"/>
                <w:shd w:val="clear" w:color="auto" w:fill="FFFFFF"/>
              </w:rPr>
              <w:t>listă</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companiilor</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au </w:t>
            </w:r>
            <w:proofErr w:type="spellStart"/>
            <w:r w:rsidRPr="00804FEE">
              <w:rPr>
                <w:rFonts w:ascii="Times New Roman" w:eastAsia="Arial Unicode MS" w:hAnsi="Times New Roman"/>
                <w:color w:val="000000" w:themeColor="text1"/>
                <w:sz w:val="20"/>
                <w:szCs w:val="20"/>
                <w:shd w:val="clear" w:color="auto" w:fill="FFFFFF"/>
              </w:rPr>
              <w:t>desfășurat</w:t>
            </w:r>
            <w:proofErr w:type="spellEnd"/>
            <w:r w:rsidRPr="00804FEE">
              <w:rPr>
                <w:rFonts w:ascii="Times New Roman" w:eastAsia="Arial Unicode MS" w:hAnsi="Times New Roman"/>
                <w:color w:val="000000" w:themeColor="text1"/>
                <w:sz w:val="20"/>
                <w:szCs w:val="20"/>
                <w:shd w:val="clear" w:color="auto" w:fill="FFFFFF"/>
              </w:rPr>
              <w:t xml:space="preserve"> o </w:t>
            </w:r>
            <w:proofErr w:type="spellStart"/>
            <w:r w:rsidRPr="00804FEE">
              <w:rPr>
                <w:rFonts w:ascii="Times New Roman" w:eastAsia="Arial Unicode MS" w:hAnsi="Times New Roman"/>
                <w:color w:val="000000" w:themeColor="text1"/>
                <w:sz w:val="20"/>
                <w:szCs w:val="20"/>
                <w:shd w:val="clear" w:color="auto" w:fill="FFFFFF"/>
              </w:rPr>
              <w:t>activitate</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enumerată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anexa</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I care </w:t>
            </w:r>
            <w:proofErr w:type="spellStart"/>
            <w:r w:rsidRPr="00804FEE">
              <w:rPr>
                <w:rFonts w:ascii="Times New Roman" w:eastAsia="Arial Unicode MS" w:hAnsi="Times New Roman"/>
                <w:color w:val="000000" w:themeColor="text1"/>
                <w:sz w:val="20"/>
                <w:szCs w:val="20"/>
                <w:shd w:val="clear" w:color="auto" w:fill="FFFFFF"/>
              </w:rPr>
              <w:t>intră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3ga </w:t>
            </w:r>
            <w:proofErr w:type="spellStart"/>
            <w:r w:rsidRPr="00804FEE">
              <w:rPr>
                <w:rFonts w:ascii="Times New Roman" w:eastAsia="Arial Unicode MS" w:hAnsi="Times New Roman"/>
                <w:color w:val="000000" w:themeColor="text1"/>
                <w:sz w:val="20"/>
                <w:szCs w:val="20"/>
                <w:shd w:val="clear" w:color="auto" w:fill="FFFFFF"/>
              </w:rPr>
              <w:t>sau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începând</w:t>
            </w:r>
            <w:proofErr w:type="spellEnd"/>
            <w:r w:rsidRPr="00804FEE">
              <w:rPr>
                <w:rFonts w:ascii="Times New Roman" w:eastAsia="Arial Unicode MS" w:hAnsi="Times New Roman"/>
                <w:color w:val="000000" w:themeColor="text1"/>
                <w:sz w:val="20"/>
                <w:szCs w:val="20"/>
                <w:shd w:val="clear" w:color="auto" w:fill="FFFFFF"/>
              </w:rPr>
              <w:t xml:space="preserve"> cu 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ianuarie</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2024, </w:t>
            </w:r>
            <w:proofErr w:type="spellStart"/>
            <w:r w:rsidRPr="00804FEE">
              <w:rPr>
                <w:rFonts w:ascii="Times New Roman" w:eastAsia="Arial Unicode MS" w:hAnsi="Times New Roman"/>
                <w:color w:val="000000" w:themeColor="text1"/>
                <w:sz w:val="20"/>
                <w:szCs w:val="20"/>
                <w:shd w:val="clear" w:color="auto" w:fill="FFFFFF"/>
              </w:rPr>
              <w:t>specificând</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autoritatea</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administrare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în conformitate cu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(1) de la </w:t>
            </w:r>
            <w:proofErr w:type="spellStart"/>
            <w:r w:rsidRPr="00804FEE">
              <w:rPr>
                <w:rFonts w:ascii="Times New Roman" w:eastAsia="Arial Unicode MS" w:hAnsi="Times New Roman"/>
                <w:color w:val="000000" w:themeColor="text1"/>
                <w:sz w:val="20"/>
                <w:szCs w:val="20"/>
                <w:shd w:val="clear" w:color="auto" w:fill="FFFFFF"/>
              </w:rPr>
              <w:t>prezentul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proofErr w:type="gramStart"/>
            <w:r w:rsidRPr="00804FEE">
              <w:rPr>
                <w:rFonts w:ascii="Times New Roman" w:eastAsia="Arial Unicode MS" w:hAnsi="Times New Roman"/>
                <w:color w:val="000000" w:themeColor="text1"/>
                <w:sz w:val="20"/>
                <w:szCs w:val="20"/>
                <w:shd w:val="clear" w:color="auto" w:fill="FFFFFF"/>
              </w:rPr>
              <w:t>articol</w:t>
            </w:r>
            <w:proofErr w:type="spellEnd"/>
            <w:r w:rsidRPr="00804FEE">
              <w:rPr>
                <w:rFonts w:ascii="Times New Roman" w:eastAsia="Arial Unicode MS" w:hAnsi="Times New Roman"/>
                <w:color w:val="000000" w:themeColor="text1"/>
                <w:sz w:val="20"/>
                <w:szCs w:val="20"/>
                <w:shd w:val="clear" w:color="auto" w:fill="FFFFFF"/>
              </w:rPr>
              <w:t>;</w:t>
            </w:r>
            <w:proofErr w:type="gramEnd"/>
          </w:p>
          <w:p w14:paraId="6AF83713" w14:textId="0C624C0D" w:rsidR="00124364" w:rsidRPr="00804FEE" w:rsidRDefault="00000000" w:rsidP="00804FEE">
            <w:pPr>
              <w:pStyle w:val="af8"/>
              <w:numPr>
                <w:ilvl w:val="0"/>
                <w:numId w:val="2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înainte</w:t>
            </w:r>
            <w:proofErr w:type="spellEnd"/>
            <w:r w:rsidRPr="00804FEE">
              <w:rPr>
                <w:rFonts w:ascii="Times New Roman" w:eastAsia="Arial Unicode MS" w:hAnsi="Times New Roman"/>
                <w:color w:val="000000" w:themeColor="text1"/>
                <w:sz w:val="20"/>
                <w:szCs w:val="20"/>
                <w:shd w:val="clear" w:color="auto" w:fill="FFFFFF"/>
              </w:rPr>
              <w:t xml:space="preserve"> de 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februarie</w:t>
            </w:r>
            <w:proofErr w:type="spellEnd"/>
            <w:r w:rsidRPr="00804FEE">
              <w:rPr>
                <w:rFonts w:ascii="Times New Roman" w:eastAsia="Arial Unicode MS" w:hAnsi="Times New Roman"/>
                <w:color w:val="000000" w:themeColor="text1"/>
                <w:sz w:val="20"/>
                <w:szCs w:val="20"/>
                <w:shd w:val="clear" w:color="auto" w:fill="FFFFFF"/>
              </w:rPr>
              <w:t xml:space="preserve"> 2026 și, ulterior, la </w:t>
            </w:r>
            <w:proofErr w:type="spellStart"/>
            <w:r w:rsidRPr="00804FEE">
              <w:rPr>
                <w:rFonts w:ascii="Times New Roman" w:eastAsia="Arial Unicode MS" w:hAnsi="Times New Roman"/>
                <w:color w:val="000000" w:themeColor="text1"/>
                <w:sz w:val="20"/>
                <w:szCs w:val="20"/>
                <w:shd w:val="clear" w:color="auto" w:fill="FFFFFF"/>
              </w:rPr>
              <w:t>fiecare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doi</w:t>
            </w:r>
            <w:proofErr w:type="spellEnd"/>
            <w:r w:rsidRPr="00804FEE">
              <w:rPr>
                <w:rFonts w:ascii="Times New Roman" w:eastAsia="Arial Unicode MS" w:hAnsi="Times New Roman"/>
                <w:color w:val="000000" w:themeColor="text1"/>
                <w:sz w:val="20"/>
                <w:szCs w:val="20"/>
                <w:shd w:val="clear" w:color="auto" w:fill="FFFFFF"/>
              </w:rPr>
              <w:t xml:space="preserve"> ani, o </w:t>
            </w:r>
            <w:proofErr w:type="spellStart"/>
            <w:r w:rsidRPr="00804FEE">
              <w:rPr>
                <w:rFonts w:ascii="Times New Roman" w:eastAsia="Arial Unicode MS" w:hAnsi="Times New Roman"/>
                <w:color w:val="000000" w:themeColor="text1"/>
                <w:sz w:val="20"/>
                <w:szCs w:val="20"/>
                <w:shd w:val="clear" w:color="auto" w:fill="FFFFFF"/>
              </w:rPr>
              <w:t>listă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actualizată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atribui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companiile</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înregistrate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stat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alte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autorități</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administrare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în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în care </w:t>
            </w:r>
            <w:proofErr w:type="spellStart"/>
            <w:r w:rsidRPr="00804FEE">
              <w:rPr>
                <w:rFonts w:ascii="Times New Roman" w:eastAsia="Arial Unicode MS" w:hAnsi="Times New Roman"/>
                <w:color w:val="000000" w:themeColor="text1"/>
                <w:sz w:val="20"/>
                <w:szCs w:val="20"/>
                <w:shd w:val="clear" w:color="auto" w:fill="FFFFFF"/>
              </w:rPr>
              <w:t>respectivele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și-au </w:t>
            </w:r>
            <w:proofErr w:type="spellStart"/>
            <w:r w:rsidRPr="00804FEE">
              <w:rPr>
                <w:rFonts w:ascii="Times New Roman" w:eastAsia="Arial Unicode MS" w:hAnsi="Times New Roman"/>
                <w:color w:val="000000" w:themeColor="text1"/>
                <w:sz w:val="20"/>
                <w:szCs w:val="20"/>
                <w:shd w:val="clear" w:color="auto" w:fill="FFFFFF"/>
              </w:rPr>
              <w:t>schimbat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înregistrare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Uniune</w:t>
            </w:r>
            <w:proofErr w:type="spellEnd"/>
            <w:r w:rsidRPr="00804FEE">
              <w:rPr>
                <w:rFonts w:ascii="Times New Roman" w:eastAsia="Arial Unicode MS" w:hAnsi="Times New Roman"/>
                <w:color w:val="000000" w:themeColor="text1"/>
                <w:sz w:val="20"/>
                <w:szCs w:val="20"/>
                <w:shd w:val="clear" w:color="auto" w:fill="FFFFFF"/>
              </w:rPr>
              <w:t xml:space="preserve"> în conformitate cu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Pr="00804FEE">
              <w:rPr>
                <w:rFonts w:ascii="Times New Roman" w:eastAsia="Arial Unicode MS" w:hAnsi="Times New Roman"/>
                <w:color w:val="000000" w:themeColor="text1"/>
                <w:sz w:val="20"/>
                <w:szCs w:val="20"/>
                <w:shd w:val="clear" w:color="auto" w:fill="FFFFFF"/>
              </w:rPr>
              <w:t xml:space="preserve"> (1) </w:t>
            </w:r>
            <w:proofErr w:type="spellStart"/>
            <w:r w:rsidRPr="00804FEE">
              <w:rPr>
                <w:rFonts w:ascii="Times New Roman" w:eastAsia="Arial Unicode MS" w:hAnsi="Times New Roman"/>
                <w:color w:val="000000" w:themeColor="text1"/>
                <w:sz w:val="20"/>
                <w:szCs w:val="20"/>
                <w:shd w:val="clear" w:color="auto" w:fill="FFFFFF"/>
              </w:rPr>
              <w:t>litera</w:t>
            </w:r>
            <w:proofErr w:type="spellEnd"/>
            <w:r w:rsidRPr="00804FEE">
              <w:rPr>
                <w:rFonts w:ascii="Times New Roman" w:eastAsia="Arial Unicode MS" w:hAnsi="Times New Roman"/>
                <w:color w:val="000000" w:themeColor="text1"/>
                <w:sz w:val="20"/>
                <w:szCs w:val="20"/>
                <w:shd w:val="clear" w:color="auto" w:fill="FFFFFF"/>
              </w:rPr>
              <w:t xml:space="preserve"> (a) de la </w:t>
            </w:r>
            <w:proofErr w:type="spellStart"/>
            <w:r w:rsidRPr="00804FEE">
              <w:rPr>
                <w:rFonts w:ascii="Times New Roman" w:eastAsia="Arial Unicode MS" w:hAnsi="Times New Roman"/>
                <w:color w:val="000000" w:themeColor="text1"/>
                <w:sz w:val="20"/>
                <w:szCs w:val="20"/>
                <w:shd w:val="clear" w:color="auto" w:fill="FFFFFF"/>
              </w:rPr>
              <w:t>prezentul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articol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sau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a include </w:t>
            </w:r>
            <w:proofErr w:type="spellStart"/>
            <w:r w:rsidRPr="00804FEE">
              <w:rPr>
                <w:rFonts w:ascii="Times New Roman" w:eastAsia="Arial Unicode MS" w:hAnsi="Times New Roman"/>
                <w:color w:val="000000" w:themeColor="text1"/>
                <w:sz w:val="20"/>
                <w:szCs w:val="20"/>
                <w:shd w:val="clear" w:color="auto" w:fill="FFFFFF"/>
              </w:rPr>
              <w:t>companiile</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au </w:t>
            </w:r>
            <w:proofErr w:type="spellStart"/>
            <w:r w:rsidRPr="00804FEE">
              <w:rPr>
                <w:rFonts w:ascii="Times New Roman" w:eastAsia="Arial Unicode MS" w:hAnsi="Times New Roman"/>
                <w:color w:val="000000" w:themeColor="text1"/>
                <w:sz w:val="20"/>
                <w:szCs w:val="20"/>
                <w:shd w:val="clear" w:color="auto" w:fill="FFFFFF"/>
              </w:rPr>
              <w:t>efectuat</w:t>
            </w:r>
            <w:proofErr w:type="spellEnd"/>
            <w:r w:rsidRPr="00804FEE">
              <w:rPr>
                <w:rFonts w:ascii="Times New Roman" w:eastAsia="Arial Unicode MS" w:hAnsi="Times New Roman"/>
                <w:color w:val="000000" w:themeColor="text1"/>
                <w:sz w:val="20"/>
                <w:szCs w:val="20"/>
                <w:shd w:val="clear" w:color="auto" w:fill="FFFFFF"/>
              </w:rPr>
              <w:t xml:space="preserve"> ulterior o </w:t>
            </w:r>
            <w:proofErr w:type="spellStart"/>
            <w:r w:rsidRPr="00804FEE">
              <w:rPr>
                <w:rFonts w:ascii="Times New Roman" w:eastAsia="Arial Unicode MS" w:hAnsi="Times New Roman"/>
                <w:color w:val="000000" w:themeColor="text1"/>
                <w:sz w:val="20"/>
                <w:szCs w:val="20"/>
                <w:shd w:val="clear" w:color="auto" w:fill="FFFFFF"/>
              </w:rPr>
              <w:t>activitate</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menționată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anexa</w:t>
            </w:r>
            <w:proofErr w:type="spellEnd"/>
            <w:r w:rsidRPr="00804FEE">
              <w:rPr>
                <w:rFonts w:ascii="Times New Roman" w:eastAsia="Arial Unicode MS" w:hAnsi="Times New Roman"/>
                <w:color w:val="000000" w:themeColor="text1"/>
                <w:sz w:val="20"/>
                <w:szCs w:val="20"/>
                <w:shd w:val="clear" w:color="auto" w:fill="FFFFFF"/>
              </w:rPr>
              <w:t xml:space="preserve"> I care s-a </w:t>
            </w:r>
            <w:proofErr w:type="spellStart"/>
            <w:r w:rsidRPr="00804FEE">
              <w:rPr>
                <w:rFonts w:ascii="Times New Roman" w:eastAsia="Arial Unicode MS" w:hAnsi="Times New Roman"/>
                <w:color w:val="000000" w:themeColor="text1"/>
                <w:sz w:val="20"/>
                <w:szCs w:val="20"/>
                <w:shd w:val="clear" w:color="auto" w:fill="FFFFFF"/>
              </w:rPr>
              <w:t>încadrat</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3ga, în conformitate cu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Pr="00804FEE">
              <w:rPr>
                <w:rFonts w:ascii="Times New Roman" w:eastAsia="Arial Unicode MS" w:hAnsi="Times New Roman"/>
                <w:color w:val="000000" w:themeColor="text1"/>
                <w:sz w:val="20"/>
                <w:szCs w:val="20"/>
                <w:shd w:val="clear" w:color="auto" w:fill="FFFFFF"/>
              </w:rPr>
              <w:t xml:space="preserve"> (1) </w:t>
            </w:r>
            <w:proofErr w:type="spellStart"/>
            <w:r w:rsidRPr="00804FEE">
              <w:rPr>
                <w:rFonts w:ascii="Times New Roman" w:eastAsia="Arial Unicode MS" w:hAnsi="Times New Roman"/>
                <w:color w:val="000000" w:themeColor="text1"/>
                <w:sz w:val="20"/>
                <w:szCs w:val="20"/>
                <w:shd w:val="clear" w:color="auto" w:fill="FFFFFF"/>
              </w:rPr>
              <w:t>litera</w:t>
            </w:r>
            <w:proofErr w:type="spellEnd"/>
            <w:r w:rsidRPr="00804FEE">
              <w:rPr>
                <w:rFonts w:ascii="Times New Roman" w:eastAsia="Arial Unicode MS" w:hAnsi="Times New Roman"/>
                <w:color w:val="000000" w:themeColor="text1"/>
                <w:sz w:val="20"/>
                <w:szCs w:val="20"/>
                <w:shd w:val="clear" w:color="auto" w:fill="FFFFFF"/>
              </w:rPr>
              <w:t xml:space="preserve"> (c) de la </w:t>
            </w:r>
            <w:proofErr w:type="spellStart"/>
            <w:r w:rsidRPr="00804FEE">
              <w:rPr>
                <w:rFonts w:ascii="Times New Roman" w:eastAsia="Arial Unicode MS" w:hAnsi="Times New Roman"/>
                <w:color w:val="000000" w:themeColor="text1"/>
                <w:sz w:val="20"/>
                <w:szCs w:val="20"/>
                <w:shd w:val="clear" w:color="auto" w:fill="FFFFFF"/>
              </w:rPr>
              <w:t>prezentul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articol</w:t>
            </w:r>
            <w:proofErr w:type="spellEnd"/>
            <w:r w:rsidRPr="00804FEE">
              <w:rPr>
                <w:rFonts w:ascii="Times New Roman" w:eastAsia="Arial Unicode MS" w:hAnsi="Times New Roman"/>
                <w:color w:val="000000" w:themeColor="text1"/>
                <w:sz w:val="20"/>
                <w:szCs w:val="20"/>
                <w:shd w:val="clear" w:color="auto" w:fill="FFFFFF"/>
              </w:rPr>
              <w:t>; și</w:t>
            </w:r>
          </w:p>
          <w:p w14:paraId="4F65B8FB" w14:textId="1B20B288" w:rsidR="00124364" w:rsidRPr="00804FEE" w:rsidRDefault="00000000" w:rsidP="00804FEE">
            <w:pPr>
              <w:pStyle w:val="af8"/>
              <w:numPr>
                <w:ilvl w:val="0"/>
                <w:numId w:val="2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înainte</w:t>
            </w:r>
            <w:proofErr w:type="spellEnd"/>
            <w:r w:rsidRPr="00804FEE">
              <w:rPr>
                <w:rFonts w:ascii="Times New Roman" w:eastAsia="Arial Unicode MS" w:hAnsi="Times New Roman"/>
                <w:color w:val="000000" w:themeColor="text1"/>
                <w:sz w:val="20"/>
                <w:szCs w:val="20"/>
                <w:shd w:val="clear" w:color="auto" w:fill="FFFFFF"/>
              </w:rPr>
              <w:t xml:space="preserve"> de 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februarie</w:t>
            </w:r>
            <w:proofErr w:type="spellEnd"/>
            <w:r w:rsidRPr="00804FEE">
              <w:rPr>
                <w:rFonts w:ascii="Times New Roman" w:eastAsia="Arial Unicode MS" w:hAnsi="Times New Roman"/>
                <w:color w:val="000000" w:themeColor="text1"/>
                <w:sz w:val="20"/>
                <w:szCs w:val="20"/>
                <w:shd w:val="clear" w:color="auto" w:fill="FFFFFF"/>
              </w:rPr>
              <w:t xml:space="preserve"> 2028 și, ulterior, la </w:t>
            </w:r>
            <w:proofErr w:type="spellStart"/>
            <w:r w:rsidRPr="00804FEE">
              <w:rPr>
                <w:rFonts w:ascii="Times New Roman" w:eastAsia="Arial Unicode MS" w:hAnsi="Times New Roman"/>
                <w:color w:val="000000" w:themeColor="text1"/>
                <w:sz w:val="20"/>
                <w:szCs w:val="20"/>
                <w:shd w:val="clear" w:color="auto" w:fill="FFFFFF"/>
              </w:rPr>
              <w:t>fiecare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patru</w:t>
            </w:r>
            <w:proofErr w:type="spellEnd"/>
            <w:r w:rsidRPr="00804FEE">
              <w:rPr>
                <w:rFonts w:ascii="Times New Roman" w:eastAsia="Arial Unicode MS" w:hAnsi="Times New Roman"/>
                <w:color w:val="000000" w:themeColor="text1"/>
                <w:sz w:val="20"/>
                <w:szCs w:val="20"/>
                <w:shd w:val="clear" w:color="auto" w:fill="FFFFFF"/>
              </w:rPr>
              <w:t xml:space="preserve"> ani, o </w:t>
            </w:r>
            <w:proofErr w:type="spellStart"/>
            <w:r w:rsidRPr="00804FEE">
              <w:rPr>
                <w:rFonts w:ascii="Times New Roman" w:eastAsia="Arial Unicode MS" w:hAnsi="Times New Roman"/>
                <w:color w:val="000000" w:themeColor="text1"/>
                <w:sz w:val="20"/>
                <w:szCs w:val="20"/>
                <w:shd w:val="clear" w:color="auto" w:fill="FFFFFF"/>
              </w:rPr>
              <w:t>listă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actualizată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w:t>
            </w:r>
            <w:proofErr w:type="gramStart"/>
            <w:r w:rsidRPr="00804FEE">
              <w:rPr>
                <w:rFonts w:ascii="Times New Roman" w:eastAsia="Arial Unicode MS" w:hAnsi="Times New Roman"/>
                <w:color w:val="000000" w:themeColor="text1"/>
                <w:sz w:val="20"/>
                <w:szCs w:val="20"/>
                <w:shd w:val="clear" w:color="auto" w:fill="FFFFFF"/>
              </w:rPr>
              <w:t>a</w:t>
            </w:r>
            <w:proofErr w:type="gram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atribui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companiile</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nu sunt </w:t>
            </w:r>
            <w:proofErr w:type="spellStart"/>
            <w:r w:rsidRPr="00804FEE">
              <w:rPr>
                <w:rFonts w:ascii="Times New Roman" w:eastAsia="Arial Unicode MS" w:hAnsi="Times New Roman"/>
                <w:color w:val="000000" w:themeColor="text1"/>
                <w:sz w:val="20"/>
                <w:szCs w:val="20"/>
                <w:shd w:val="clear" w:color="auto" w:fill="FFFFFF"/>
              </w:rPr>
              <w:t>înregistrate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stat </w:t>
            </w:r>
            <w:proofErr w:type="spellStart"/>
            <w:r w:rsidRPr="00804FEE">
              <w:rPr>
                <w:rFonts w:ascii="Times New Roman" w:eastAsia="Arial Unicode MS" w:hAnsi="Times New Roman"/>
                <w:color w:val="000000" w:themeColor="text1"/>
                <w:sz w:val="20"/>
                <w:szCs w:val="20"/>
                <w:shd w:val="clear" w:color="auto" w:fill="FFFFFF"/>
              </w:rPr>
              <w:t>membru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alte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autorități</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administrare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în conformitate cu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Pr="00804FEE">
              <w:rPr>
                <w:rFonts w:ascii="Times New Roman" w:eastAsia="Arial Unicode MS" w:hAnsi="Times New Roman"/>
                <w:color w:val="000000" w:themeColor="text1"/>
                <w:sz w:val="20"/>
                <w:szCs w:val="20"/>
                <w:shd w:val="clear" w:color="auto" w:fill="FFFFFF"/>
              </w:rPr>
              <w:t xml:space="preserve"> (1) </w:t>
            </w:r>
            <w:proofErr w:type="spellStart"/>
            <w:r w:rsidRPr="00804FEE">
              <w:rPr>
                <w:rFonts w:ascii="Times New Roman" w:eastAsia="Arial Unicode MS" w:hAnsi="Times New Roman"/>
                <w:color w:val="000000" w:themeColor="text1"/>
                <w:sz w:val="20"/>
                <w:szCs w:val="20"/>
                <w:shd w:val="clear" w:color="auto" w:fill="FFFFFF"/>
              </w:rPr>
              <w:t>litera</w:t>
            </w:r>
            <w:proofErr w:type="spellEnd"/>
            <w:r w:rsidRPr="00804FEE">
              <w:rPr>
                <w:rFonts w:ascii="Times New Roman" w:eastAsia="Arial Unicode MS" w:hAnsi="Times New Roman"/>
                <w:color w:val="000000" w:themeColor="text1"/>
                <w:sz w:val="20"/>
                <w:szCs w:val="20"/>
                <w:shd w:val="clear" w:color="auto" w:fill="FFFFFF"/>
              </w:rPr>
              <w:t xml:space="preserve"> (b) de la </w:t>
            </w:r>
            <w:proofErr w:type="spellStart"/>
            <w:r w:rsidRPr="00804FEE">
              <w:rPr>
                <w:rFonts w:ascii="Times New Roman" w:eastAsia="Arial Unicode MS" w:hAnsi="Times New Roman"/>
                <w:color w:val="000000" w:themeColor="text1"/>
                <w:sz w:val="20"/>
                <w:szCs w:val="20"/>
                <w:shd w:val="clear" w:color="auto" w:fill="FFFFFF"/>
              </w:rPr>
              <w:t>prezentul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articol</w:t>
            </w:r>
            <w:proofErr w:type="spellEnd"/>
            <w:r w:rsidRPr="00804FEE">
              <w:rPr>
                <w:rFonts w:ascii="Times New Roman" w:eastAsia="Arial Unicode MS" w:hAnsi="Times New Roman"/>
                <w:color w:val="000000" w:themeColor="text1"/>
                <w:sz w:val="20"/>
                <w:szCs w:val="20"/>
                <w:shd w:val="clear" w:color="auto" w:fill="FFFFFF"/>
              </w:rPr>
              <w:t>.</w:t>
            </w:r>
          </w:p>
          <w:p w14:paraId="0C765060" w14:textId="77777777" w:rsidR="00124364" w:rsidRPr="00804FEE" w:rsidRDefault="00000000" w:rsidP="00804FEE">
            <w:pPr>
              <w:pStyle w:val="af8"/>
              <w:numPr>
                <w:ilvl w:val="0"/>
                <w:numId w:val="2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autoritate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administrare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în conformitate cu </w:t>
            </w:r>
            <w:proofErr w:type="spellStart"/>
            <w:r w:rsidRPr="00804FEE">
              <w:rPr>
                <w:rFonts w:ascii="Times New Roman" w:eastAsia="Arial Unicode MS" w:hAnsi="Times New Roman"/>
                <w:color w:val="000000" w:themeColor="text1"/>
                <w:sz w:val="20"/>
                <w:szCs w:val="20"/>
                <w:shd w:val="clear" w:color="auto" w:fill="FFFFFF"/>
              </w:rPr>
              <w:t>lista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stabilită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temeiul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alineatului</w:t>
            </w:r>
            <w:proofErr w:type="spellEnd"/>
            <w:r w:rsidRPr="00804FEE">
              <w:rPr>
                <w:rFonts w:ascii="Times New Roman" w:eastAsia="Arial Unicode MS" w:hAnsi="Times New Roman"/>
                <w:color w:val="000000" w:themeColor="text1"/>
                <w:sz w:val="20"/>
                <w:szCs w:val="20"/>
                <w:shd w:val="clear" w:color="auto" w:fill="FFFFFF"/>
              </w:rPr>
              <w:t xml:space="preserve"> (2),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responsabilă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o </w:t>
            </w:r>
            <w:proofErr w:type="spellStart"/>
            <w:r w:rsidRPr="00804FEE">
              <w:rPr>
                <w:rFonts w:ascii="Times New Roman" w:eastAsia="Arial Unicode MS" w:hAnsi="Times New Roman"/>
                <w:color w:val="000000" w:themeColor="text1"/>
                <w:sz w:val="20"/>
                <w:szCs w:val="20"/>
                <w:shd w:val="clear" w:color="auto" w:fill="FFFFFF"/>
              </w:rPr>
              <w:t>companie</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își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păstrează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această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responsabilitate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indiferent</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modificările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ulterioare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suferite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activitățile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sau</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datele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înregistrare</w:t>
            </w:r>
            <w:proofErr w:type="spellEnd"/>
            <w:r w:rsidRPr="00804FEE">
              <w:rPr>
                <w:rFonts w:ascii="Times New Roman" w:eastAsia="Arial Unicode MS" w:hAnsi="Times New Roman"/>
                <w:color w:val="000000" w:themeColor="text1"/>
                <w:sz w:val="20"/>
                <w:szCs w:val="20"/>
                <w:shd w:val="clear" w:color="auto" w:fill="FFFFFF"/>
              </w:rPr>
              <w:t xml:space="preserve"> ale </w:t>
            </w:r>
            <w:proofErr w:type="spellStart"/>
            <w:r w:rsidRPr="00804FEE">
              <w:rPr>
                <w:rFonts w:ascii="Times New Roman" w:eastAsia="Arial Unicode MS" w:hAnsi="Times New Roman"/>
                <w:color w:val="000000" w:themeColor="text1"/>
                <w:sz w:val="20"/>
                <w:szCs w:val="20"/>
                <w:shd w:val="clear" w:color="auto" w:fill="FFFFFF"/>
              </w:rPr>
              <w:t>companiei</w:t>
            </w:r>
            <w:proofErr w:type="spellEnd"/>
            <w:r w:rsidRPr="00804FEE">
              <w:rPr>
                <w:rFonts w:ascii="Times New Roman" w:eastAsia="Arial Unicode MS" w:hAnsi="Times New Roman"/>
                <w:color w:val="000000" w:themeColor="text1"/>
                <w:sz w:val="20"/>
                <w:szCs w:val="20"/>
                <w:shd w:val="clear" w:color="auto" w:fill="FFFFFF"/>
              </w:rPr>
              <w:t xml:space="preserve"> de transport maritim, </w:t>
            </w:r>
            <w:proofErr w:type="spellStart"/>
            <w:r w:rsidRPr="00804FEE">
              <w:rPr>
                <w:rFonts w:ascii="Times New Roman" w:eastAsia="Arial Unicode MS" w:hAnsi="Times New Roman"/>
                <w:color w:val="000000" w:themeColor="text1"/>
                <w:sz w:val="20"/>
                <w:szCs w:val="20"/>
                <w:shd w:val="clear" w:color="auto" w:fill="FFFFFF"/>
              </w:rPr>
              <w:t>până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când</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modificările</w:t>
            </w:r>
            <w:proofErr w:type="spellEnd"/>
            <w:r w:rsidRPr="00804FEE">
              <w:rPr>
                <w:rFonts w:ascii="Times New Roman" w:eastAsia="Arial Unicode MS" w:hAnsi="Times New Roman"/>
                <w:color w:val="000000" w:themeColor="text1"/>
                <w:sz w:val="20"/>
                <w:szCs w:val="20"/>
                <w:shd w:val="clear" w:color="auto" w:fill="FFFFFF"/>
              </w:rPr>
              <w:t xml:space="preserve"> respective se </w:t>
            </w:r>
            <w:proofErr w:type="spellStart"/>
            <w:r w:rsidRPr="00804FEE">
              <w:rPr>
                <w:rFonts w:ascii="Times New Roman" w:eastAsia="Arial Unicode MS" w:hAnsi="Times New Roman"/>
                <w:color w:val="000000" w:themeColor="text1"/>
                <w:sz w:val="20"/>
                <w:szCs w:val="20"/>
                <w:shd w:val="clear" w:color="auto" w:fill="FFFFFF"/>
              </w:rPr>
              <w:t>reflectă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-o </w:t>
            </w:r>
            <w:proofErr w:type="spellStart"/>
            <w:r w:rsidRPr="00804FEE">
              <w:rPr>
                <w:rFonts w:ascii="Times New Roman" w:eastAsia="Arial Unicode MS" w:hAnsi="Times New Roman"/>
                <w:color w:val="000000" w:themeColor="text1"/>
                <w:sz w:val="20"/>
                <w:szCs w:val="20"/>
                <w:shd w:val="clear" w:color="auto" w:fill="FFFFFF"/>
              </w:rPr>
              <w:t>listă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actualizată</w:t>
            </w:r>
            <w:proofErr w:type="spellEnd"/>
            <w:r w:rsidRPr="00804FEE">
              <w:rPr>
                <w:rFonts w:ascii="Times New Roman" w:eastAsia="Arial Unicode MS" w:hAnsi="Times New Roman"/>
                <w:color w:val="000000" w:themeColor="text1"/>
                <w:sz w:val="20"/>
                <w:szCs w:val="20"/>
                <w:shd w:val="clear" w:color="auto" w:fill="FFFFFF"/>
              </w:rPr>
              <w:t>.</w:t>
            </w:r>
          </w:p>
          <w:p w14:paraId="31F62886" w14:textId="0DCBFDE8" w:rsidR="00124364" w:rsidRDefault="00000000" w:rsidP="00804FEE">
            <w:pPr>
              <w:pStyle w:val="af8"/>
              <w:numPr>
                <w:ilvl w:val="0"/>
                <w:numId w:val="26"/>
              </w:numPr>
              <w:suppressAutoHyphens w:val="0"/>
              <w:autoSpaceDN/>
              <w:spacing w:after="0" w:line="240" w:lineRule="auto"/>
              <w:jc w:val="both"/>
              <w:textAlignment w:val="auto"/>
              <w:rPr>
                <w:rFonts w:ascii="Times New Roman" w:hAnsi="Times New Roman"/>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adoptă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acte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punere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stabili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normele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detaliate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privind</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administrarea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companiilor</w:t>
            </w:r>
            <w:proofErr w:type="spellEnd"/>
            <w:r w:rsidRPr="00804FEE">
              <w:rPr>
                <w:rFonts w:ascii="Times New Roman" w:eastAsia="Arial Unicode MS" w:hAnsi="Times New Roman"/>
                <w:color w:val="000000" w:themeColor="text1"/>
                <w:sz w:val="20"/>
                <w:szCs w:val="20"/>
                <w:shd w:val="clear" w:color="auto" w:fill="FFFFFF"/>
              </w:rPr>
              <w:t xml:space="preserve"> de transport maritim de </w:t>
            </w:r>
            <w:proofErr w:type="spellStart"/>
            <w:r w:rsidRPr="00804FEE">
              <w:rPr>
                <w:rFonts w:ascii="Times New Roman" w:eastAsia="Arial Unicode MS" w:hAnsi="Times New Roman"/>
                <w:color w:val="000000" w:themeColor="text1"/>
                <w:sz w:val="20"/>
                <w:szCs w:val="20"/>
                <w:shd w:val="clear" w:color="auto" w:fill="FFFFFF"/>
              </w:rPr>
              <w:t>către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autoritățile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administrare</w:t>
            </w:r>
            <w:proofErr w:type="spellEnd"/>
            <w:r w:rsidRPr="00804FEE">
              <w:rPr>
                <w:rFonts w:ascii="Times New Roman" w:eastAsia="Arial Unicode MS" w:hAnsi="Times New Roman"/>
                <w:color w:val="000000" w:themeColor="text1"/>
                <w:sz w:val="20"/>
                <w:szCs w:val="20"/>
                <w:shd w:val="clear" w:color="auto" w:fill="FFFFFF"/>
              </w:rPr>
              <w:t xml:space="preserve"> ale </w:t>
            </w:r>
            <w:proofErr w:type="spellStart"/>
            <w:r w:rsidRPr="00804FEE">
              <w:rPr>
                <w:rFonts w:ascii="Times New Roman" w:eastAsia="Arial Unicode MS" w:hAnsi="Times New Roman"/>
                <w:color w:val="000000" w:themeColor="text1"/>
                <w:sz w:val="20"/>
                <w:szCs w:val="20"/>
                <w:shd w:val="clear" w:color="auto" w:fill="FFFFFF"/>
              </w:rPr>
              <w:t>companiilor</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w:t>
            </w:r>
            <w:proofErr w:type="spellStart"/>
            <w:r w:rsidRPr="00804FEE">
              <w:rPr>
                <w:rFonts w:ascii="Times New Roman" w:eastAsia="Arial Unicode MS" w:hAnsi="Times New Roman"/>
                <w:color w:val="000000" w:themeColor="text1"/>
                <w:sz w:val="20"/>
                <w:szCs w:val="20"/>
                <w:shd w:val="clear" w:color="auto" w:fill="FFFFFF"/>
              </w:rPr>
              <w:t>intră</w:t>
            </w:r>
            <w:proofErr w:type="spellEnd"/>
            <w:r w:rsidRPr="00804FEE">
              <w:rPr>
                <w:rFonts w:ascii="Times New Roman" w:eastAsia="Arial Unicode MS" w:hAnsi="Times New Roman"/>
                <w:color w:val="000000" w:themeColor="text1"/>
                <w:sz w:val="20"/>
                <w:szCs w:val="20"/>
                <w:shd w:val="clear" w:color="auto" w:fill="FFFFFF"/>
              </w:rPr>
              <w:t xml:space="preserve"> sub </w:t>
            </w:r>
            <w:proofErr w:type="spellStart"/>
            <w:r w:rsidRPr="00804FEE">
              <w:rPr>
                <w:rFonts w:ascii="Times New Roman" w:eastAsia="Arial Unicode MS" w:hAnsi="Times New Roman"/>
                <w:color w:val="000000" w:themeColor="text1"/>
                <w:sz w:val="20"/>
                <w:szCs w:val="20"/>
                <w:shd w:val="clear" w:color="auto" w:fill="FFFFFF"/>
              </w:rPr>
              <w:t>incidența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lastRenderedPageBreak/>
              <w:t xml:space="preserve">directive. </w:t>
            </w:r>
            <w:proofErr w:type="spellStart"/>
            <w:r w:rsidRPr="00804FEE">
              <w:rPr>
                <w:rFonts w:ascii="Times New Roman" w:eastAsia="Arial Unicode MS" w:hAnsi="Times New Roman"/>
                <w:color w:val="000000" w:themeColor="text1"/>
                <w:sz w:val="20"/>
                <w:szCs w:val="20"/>
                <w:shd w:val="clear" w:color="auto" w:fill="FFFFFF"/>
              </w:rPr>
              <w:t>Actele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punere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respective se </w:t>
            </w:r>
            <w:proofErr w:type="spellStart"/>
            <w:r w:rsidRPr="00804FEE">
              <w:rPr>
                <w:rFonts w:ascii="Times New Roman" w:eastAsia="Arial Unicode MS" w:hAnsi="Times New Roman"/>
                <w:color w:val="000000" w:themeColor="text1"/>
                <w:sz w:val="20"/>
                <w:szCs w:val="20"/>
                <w:shd w:val="clear" w:color="auto" w:fill="FFFFFF"/>
              </w:rPr>
              <w:t>adoptă</w:t>
            </w:r>
            <w:proofErr w:type="spellEnd"/>
            <w:r w:rsidRPr="00804FEE">
              <w:rPr>
                <w:rFonts w:ascii="Times New Roman" w:eastAsia="Arial Unicode MS" w:hAnsi="Times New Roman"/>
                <w:color w:val="000000" w:themeColor="text1"/>
                <w:sz w:val="20"/>
                <w:szCs w:val="20"/>
                <w:shd w:val="clear" w:color="auto" w:fill="FFFFFF"/>
              </w:rPr>
              <w:t xml:space="preserve"> în conformitate cu </w:t>
            </w:r>
            <w:proofErr w:type="spellStart"/>
            <w:r w:rsidRPr="00804FEE">
              <w:rPr>
                <w:rFonts w:ascii="Times New Roman" w:eastAsia="Arial Unicode MS" w:hAnsi="Times New Roman"/>
                <w:color w:val="000000" w:themeColor="text1"/>
                <w:sz w:val="20"/>
                <w:szCs w:val="20"/>
                <w:shd w:val="clear" w:color="auto" w:fill="FFFFFF"/>
              </w:rPr>
              <w:t>procedura</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examinare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menționată</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articolul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22a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(2).</w:t>
            </w:r>
          </w:p>
        </w:tc>
        <w:tc>
          <w:tcPr>
            <w:tcW w:w="4394" w:type="dxa"/>
            <w:shd w:val="clear" w:color="auto" w:fill="auto"/>
          </w:tcPr>
          <w:p w14:paraId="4B7D789E"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1C5613D" w14:textId="5166A6C0" w:rsidR="00124364" w:rsidRDefault="00804FEE" w:rsidP="00804FEE">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1C3039E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29052AF" w14:textId="77777777" w:rsidR="00804FEE" w:rsidRPr="00197FD0" w:rsidRDefault="00804FEE" w:rsidP="00804FE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0129229E"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0BDAF90" w14:textId="77777777" w:rsidR="00124364" w:rsidRDefault="00124364" w:rsidP="00804FEE">
            <w:pPr>
              <w:autoSpaceDE w:val="0"/>
              <w:spacing w:after="0" w:line="240" w:lineRule="auto"/>
              <w:rPr>
                <w:rFonts w:ascii="Times New Roman" w:hAnsi="Times New Roman"/>
                <w:sz w:val="20"/>
                <w:szCs w:val="20"/>
                <w:lang w:val="fr-FR"/>
              </w:rPr>
            </w:pPr>
          </w:p>
        </w:tc>
      </w:tr>
      <w:tr w:rsidR="00124364" w14:paraId="6D266620" w14:textId="77777777">
        <w:trPr>
          <w:trHeight w:val="558"/>
        </w:trPr>
        <w:tc>
          <w:tcPr>
            <w:tcW w:w="4957" w:type="dxa"/>
            <w:shd w:val="clear" w:color="auto" w:fill="auto"/>
          </w:tcPr>
          <w:p w14:paraId="3F11E48F" w14:textId="32B4E849" w:rsidR="00124364" w:rsidRPr="00804FEE"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804FEE">
              <w:rPr>
                <w:rFonts w:eastAsia="Arial Unicode MS"/>
                <w:i/>
                <w:iCs/>
                <w:color w:val="000000" w:themeColor="text1"/>
                <w:sz w:val="20"/>
                <w:szCs w:val="20"/>
                <w:shd w:val="clear" w:color="auto" w:fill="FFFFFF"/>
                <w:lang w:val="en-US"/>
              </w:rPr>
              <w:lastRenderedPageBreak/>
              <w:t>Articolul</w:t>
            </w:r>
            <w:proofErr w:type="spellEnd"/>
            <w:r w:rsidR="00804FEE" w:rsidRPr="00804FEE">
              <w:rPr>
                <w:rFonts w:eastAsia="Arial Unicode MS"/>
                <w:i/>
                <w:iCs/>
                <w:color w:val="000000" w:themeColor="text1"/>
                <w:sz w:val="20"/>
                <w:szCs w:val="20"/>
                <w:shd w:val="clear" w:color="auto" w:fill="FFFFFF"/>
                <w:lang w:val="ro-RO"/>
              </w:rPr>
              <w:t xml:space="preserve"> </w:t>
            </w:r>
            <w:r w:rsidRPr="00804FEE">
              <w:rPr>
                <w:rFonts w:eastAsia="Arial Unicode MS"/>
                <w:i/>
                <w:iCs/>
                <w:color w:val="000000" w:themeColor="text1"/>
                <w:sz w:val="20"/>
                <w:szCs w:val="20"/>
                <w:shd w:val="clear" w:color="auto" w:fill="FFFFFF"/>
                <w:lang w:val="en-US"/>
              </w:rPr>
              <w:t>3gg</w:t>
            </w:r>
          </w:p>
          <w:p w14:paraId="2C7A12A6" w14:textId="77777777" w:rsidR="00124364" w:rsidRPr="00804FEE"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804FEE">
              <w:rPr>
                <w:rFonts w:eastAsia="Arial Unicode MS"/>
                <w:b/>
                <w:bCs/>
                <w:color w:val="000000" w:themeColor="text1"/>
                <w:sz w:val="20"/>
                <w:szCs w:val="20"/>
                <w:shd w:val="clear" w:color="auto" w:fill="FFFFFF"/>
                <w:lang w:val="en-US"/>
              </w:rPr>
              <w:t>Raportare</w:t>
            </w:r>
            <w:proofErr w:type="spellEnd"/>
            <w:r w:rsidRPr="00804FEE">
              <w:rPr>
                <w:rFonts w:eastAsia="Arial Unicode MS"/>
                <w:b/>
                <w:bCs/>
                <w:color w:val="000000" w:themeColor="text1"/>
                <w:sz w:val="20"/>
                <w:szCs w:val="20"/>
                <w:shd w:val="clear" w:color="auto" w:fill="FFFFFF"/>
                <w:lang w:val="en-US"/>
              </w:rPr>
              <w:t xml:space="preserve"> și </w:t>
            </w:r>
            <w:proofErr w:type="spellStart"/>
            <w:r w:rsidRPr="00804FEE">
              <w:rPr>
                <w:rFonts w:eastAsia="Arial Unicode MS"/>
                <w:b/>
                <w:bCs/>
                <w:color w:val="000000" w:themeColor="text1"/>
                <w:sz w:val="20"/>
                <w:szCs w:val="20"/>
                <w:shd w:val="clear" w:color="auto" w:fill="FFFFFF"/>
                <w:lang w:val="en-US"/>
              </w:rPr>
              <w:t>revizuire</w:t>
            </w:r>
            <w:proofErr w:type="spellEnd"/>
          </w:p>
          <w:p w14:paraId="622A35D5" w14:textId="77777777" w:rsidR="00124364" w:rsidRPr="00804FEE" w:rsidRDefault="00000000" w:rsidP="00804FEE">
            <w:pPr>
              <w:pStyle w:val="af8"/>
              <w:numPr>
                <w:ilvl w:val="0"/>
                <w:numId w:val="29"/>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rPr>
              <w:t xml:space="preserve">În </w:t>
            </w:r>
            <w:proofErr w:type="spellStart"/>
            <w:r w:rsidRPr="00804FEE">
              <w:rPr>
                <w:rFonts w:ascii="Times New Roman" w:eastAsia="Arial Unicode MS" w:hAnsi="Times New Roman"/>
                <w:color w:val="000000" w:themeColor="text1"/>
                <w:sz w:val="20"/>
                <w:szCs w:val="20"/>
              </w:rPr>
              <w:t>cazul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adoptării</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către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Organizația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Maritimă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Internațională</w:t>
            </w:r>
            <w:proofErr w:type="spellEnd"/>
            <w:r w:rsidRPr="00804FEE">
              <w:rPr>
                <w:rFonts w:ascii="Times New Roman" w:eastAsia="Arial Unicode MS" w:hAnsi="Times New Roman"/>
                <w:color w:val="000000" w:themeColor="text1"/>
                <w:sz w:val="20"/>
                <w:szCs w:val="20"/>
              </w:rPr>
              <w:t xml:space="preserve"> (OMI) a </w:t>
            </w:r>
            <w:proofErr w:type="spellStart"/>
            <w:r w:rsidRPr="00804FEE">
              <w:rPr>
                <w:rFonts w:ascii="Times New Roman" w:eastAsia="Arial Unicode MS" w:hAnsi="Times New Roman"/>
                <w:color w:val="000000" w:themeColor="text1"/>
                <w:sz w:val="20"/>
                <w:szCs w:val="20"/>
              </w:rPr>
              <w:t>unei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măsuri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globale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bazate</w:t>
            </w:r>
            <w:proofErr w:type="spellEnd"/>
            <w:r w:rsidRPr="00804FEE">
              <w:rPr>
                <w:rFonts w:ascii="Times New Roman" w:eastAsia="Arial Unicode MS" w:hAnsi="Times New Roman"/>
                <w:color w:val="000000" w:themeColor="text1"/>
                <w:sz w:val="20"/>
                <w:szCs w:val="20"/>
              </w:rPr>
              <w:t xml:space="preserve"> pe </w:t>
            </w:r>
            <w:proofErr w:type="spellStart"/>
            <w:r w:rsidRPr="00804FEE">
              <w:rPr>
                <w:rFonts w:ascii="Times New Roman" w:eastAsia="Arial Unicode MS" w:hAnsi="Times New Roman"/>
                <w:color w:val="000000" w:themeColor="text1"/>
                <w:sz w:val="20"/>
                <w:szCs w:val="20"/>
              </w:rPr>
              <w:t>piață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pentru</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reducerea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emisiilor</w:t>
            </w:r>
            <w:proofErr w:type="spellEnd"/>
            <w:r w:rsidRPr="00804FEE">
              <w:rPr>
                <w:rFonts w:ascii="Times New Roman" w:eastAsia="Arial Unicode MS" w:hAnsi="Times New Roman"/>
                <w:color w:val="000000" w:themeColor="text1"/>
                <w:sz w:val="20"/>
                <w:szCs w:val="20"/>
              </w:rPr>
              <w:t xml:space="preserve"> de gaze cu </w:t>
            </w:r>
            <w:proofErr w:type="spellStart"/>
            <w:r w:rsidRPr="00804FEE">
              <w:rPr>
                <w:rFonts w:ascii="Times New Roman" w:eastAsia="Arial Unicode MS" w:hAnsi="Times New Roman"/>
                <w:color w:val="000000" w:themeColor="text1"/>
                <w:sz w:val="20"/>
                <w:szCs w:val="20"/>
              </w:rPr>
              <w:t>efect</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seră</w:t>
            </w:r>
            <w:proofErr w:type="spellEnd"/>
            <w:r w:rsidRPr="00804FEE">
              <w:rPr>
                <w:rFonts w:ascii="Times New Roman" w:eastAsia="Arial Unicode MS" w:hAnsi="Times New Roman"/>
                <w:color w:val="000000" w:themeColor="text1"/>
                <w:sz w:val="20"/>
                <w:szCs w:val="20"/>
              </w:rPr>
              <w:t xml:space="preserve"> generate de </w:t>
            </w:r>
            <w:proofErr w:type="spellStart"/>
            <w:r w:rsidRPr="00804FEE">
              <w:rPr>
                <w:rFonts w:ascii="Times New Roman" w:eastAsia="Arial Unicode MS" w:hAnsi="Times New Roman"/>
                <w:color w:val="000000" w:themeColor="text1"/>
                <w:sz w:val="20"/>
                <w:szCs w:val="20"/>
              </w:rPr>
              <w:t>transportul</w:t>
            </w:r>
            <w:proofErr w:type="spellEnd"/>
            <w:r w:rsidRPr="00804FEE">
              <w:rPr>
                <w:rFonts w:ascii="Times New Roman" w:eastAsia="Arial Unicode MS" w:hAnsi="Times New Roman"/>
                <w:color w:val="000000" w:themeColor="text1"/>
                <w:sz w:val="20"/>
                <w:szCs w:val="20"/>
              </w:rPr>
              <w:t xml:space="preserve"> maritim, </w:t>
            </w:r>
            <w:proofErr w:type="spellStart"/>
            <w:r w:rsidRPr="00804FEE">
              <w:rPr>
                <w:rFonts w:ascii="Times New Roman" w:eastAsia="Arial Unicode MS" w:hAnsi="Times New Roman"/>
                <w:color w:val="000000" w:themeColor="text1"/>
                <w:sz w:val="20"/>
                <w:szCs w:val="20"/>
              </w:rPr>
              <w:t>Comisia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revizuiește</w:t>
            </w:r>
            <w:proofErr w:type="spellEnd"/>
            <w:r w:rsidRPr="00804FEE">
              <w:rPr>
                <w:rFonts w:ascii="Times New Roman" w:eastAsia="Arial Unicode MS" w:hAnsi="Times New Roman"/>
                <w:color w:val="000000" w:themeColor="text1"/>
                <w:sz w:val="20"/>
                <w:szCs w:val="20"/>
              </w:rPr>
              <w:t xml:space="preserve"> prezenta </w:t>
            </w:r>
            <w:proofErr w:type="spellStart"/>
            <w:r w:rsidRPr="00804FEE">
              <w:rPr>
                <w:rFonts w:ascii="Times New Roman" w:eastAsia="Arial Unicode MS" w:hAnsi="Times New Roman"/>
                <w:color w:val="000000" w:themeColor="text1"/>
                <w:sz w:val="20"/>
                <w:szCs w:val="20"/>
              </w:rPr>
              <w:t>directivă</w:t>
            </w:r>
            <w:proofErr w:type="spellEnd"/>
            <w:r w:rsidRPr="00804FEE">
              <w:rPr>
                <w:rFonts w:ascii="Times New Roman" w:eastAsia="Arial Unicode MS" w:hAnsi="Times New Roman"/>
                <w:color w:val="000000" w:themeColor="text1"/>
                <w:sz w:val="20"/>
                <w:szCs w:val="20"/>
              </w:rPr>
              <w:t xml:space="preserve"> în </w:t>
            </w:r>
            <w:proofErr w:type="spellStart"/>
            <w:r w:rsidRPr="00804FEE">
              <w:rPr>
                <w:rFonts w:ascii="Times New Roman" w:eastAsia="Arial Unicode MS" w:hAnsi="Times New Roman"/>
                <w:color w:val="000000" w:themeColor="text1"/>
                <w:sz w:val="20"/>
                <w:szCs w:val="20"/>
              </w:rPr>
              <w:t>funcție</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măsura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adoptată</w:t>
            </w:r>
            <w:proofErr w:type="spellEnd"/>
            <w:r w:rsidRPr="00804FEE">
              <w:rPr>
                <w:rFonts w:ascii="Times New Roman" w:eastAsia="Arial Unicode MS" w:hAnsi="Times New Roman"/>
                <w:color w:val="000000" w:themeColor="text1"/>
                <w:sz w:val="20"/>
                <w:szCs w:val="20"/>
              </w:rPr>
              <w:t>.</w:t>
            </w:r>
          </w:p>
          <w:p w14:paraId="086009D1" w14:textId="77777777" w:rsidR="00124364" w:rsidRPr="00804FEE" w:rsidRDefault="00000000" w:rsidP="00804FEE">
            <w:pPr>
              <w:pStyle w:val="af8"/>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804FEE">
              <w:rPr>
                <w:rFonts w:ascii="Times New Roman" w:eastAsia="Arial Unicode MS" w:hAnsi="Times New Roman"/>
                <w:color w:val="000000" w:themeColor="text1"/>
                <w:sz w:val="20"/>
                <w:szCs w:val="20"/>
                <w:shd w:val="clear" w:color="auto" w:fill="FFFFFF"/>
              </w:rPr>
              <w:t xml:space="preserve">În </w:t>
            </w:r>
            <w:proofErr w:type="spellStart"/>
            <w:r w:rsidRPr="00804FEE">
              <w:rPr>
                <w:rFonts w:ascii="Times New Roman" w:eastAsia="Arial Unicode MS" w:hAnsi="Times New Roman"/>
                <w:color w:val="000000" w:themeColor="text1"/>
                <w:sz w:val="20"/>
                <w:szCs w:val="20"/>
                <w:shd w:val="clear" w:color="auto" w:fill="FFFFFF"/>
              </w:rPr>
              <w:t>acest</w:t>
            </w:r>
            <w:proofErr w:type="spellEnd"/>
            <w:r w:rsidRPr="00804FEE">
              <w:rPr>
                <w:rFonts w:ascii="Times New Roman" w:eastAsia="Arial Unicode MS" w:hAnsi="Times New Roman"/>
                <w:color w:val="000000" w:themeColor="text1"/>
                <w:sz w:val="20"/>
                <w:szCs w:val="20"/>
                <w:shd w:val="clear" w:color="auto" w:fill="FFFFFF"/>
              </w:rPr>
              <w:t xml:space="preserve"> scop,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prezintă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Parlamentului</w:t>
            </w:r>
            <w:proofErr w:type="spellEnd"/>
            <w:r w:rsidRPr="00804FEE">
              <w:rPr>
                <w:rFonts w:ascii="Times New Roman" w:eastAsia="Arial Unicode MS" w:hAnsi="Times New Roman"/>
                <w:color w:val="000000" w:themeColor="text1"/>
                <w:sz w:val="20"/>
                <w:szCs w:val="20"/>
                <w:shd w:val="clear" w:color="auto" w:fill="FFFFFF"/>
              </w:rPr>
              <w:t xml:space="preserve"> European și </w:t>
            </w:r>
            <w:proofErr w:type="spellStart"/>
            <w:r w:rsidRPr="00804FEE">
              <w:rPr>
                <w:rFonts w:ascii="Times New Roman" w:eastAsia="Arial Unicode MS" w:hAnsi="Times New Roman"/>
                <w:color w:val="000000" w:themeColor="text1"/>
                <w:sz w:val="20"/>
                <w:szCs w:val="20"/>
                <w:shd w:val="clear" w:color="auto" w:fill="FFFFFF"/>
              </w:rPr>
              <w:t>Consiliului</w:t>
            </w:r>
            <w:proofErr w:type="spellEnd"/>
            <w:r w:rsidRPr="00804FEE">
              <w:rPr>
                <w:rFonts w:ascii="Times New Roman" w:eastAsia="Arial Unicode MS" w:hAnsi="Times New Roman"/>
                <w:color w:val="000000" w:themeColor="text1"/>
                <w:sz w:val="20"/>
                <w:szCs w:val="20"/>
                <w:shd w:val="clear" w:color="auto" w:fill="FFFFFF"/>
              </w:rPr>
              <w:t xml:space="preserve"> un </w:t>
            </w:r>
            <w:proofErr w:type="spellStart"/>
            <w:r w:rsidRPr="00804FEE">
              <w:rPr>
                <w:rFonts w:ascii="Times New Roman" w:eastAsia="Arial Unicode MS" w:hAnsi="Times New Roman"/>
                <w:color w:val="000000" w:themeColor="text1"/>
                <w:sz w:val="20"/>
                <w:szCs w:val="20"/>
                <w:shd w:val="clear" w:color="auto" w:fill="FFFFFF"/>
              </w:rPr>
              <w:t>raport</w:t>
            </w:r>
            <w:proofErr w:type="spellEnd"/>
            <w:r w:rsidRPr="00804FEE">
              <w:rPr>
                <w:rFonts w:ascii="Times New Roman" w:eastAsia="Arial Unicode MS" w:hAnsi="Times New Roman"/>
                <w:color w:val="000000" w:themeColor="text1"/>
                <w:sz w:val="20"/>
                <w:szCs w:val="20"/>
                <w:shd w:val="clear" w:color="auto" w:fill="FFFFFF"/>
              </w:rPr>
              <w:t xml:space="preserve">, în termen de 18 </w:t>
            </w:r>
            <w:proofErr w:type="spellStart"/>
            <w:r w:rsidRPr="00804FEE">
              <w:rPr>
                <w:rFonts w:ascii="Times New Roman" w:eastAsia="Arial Unicode MS" w:hAnsi="Times New Roman"/>
                <w:color w:val="000000" w:themeColor="text1"/>
                <w:sz w:val="20"/>
                <w:szCs w:val="20"/>
                <w:shd w:val="clear" w:color="auto" w:fill="FFFFFF"/>
              </w:rPr>
              <w:t>luni</w:t>
            </w:r>
            <w:proofErr w:type="spellEnd"/>
            <w:r w:rsidRPr="00804FEE">
              <w:rPr>
                <w:rFonts w:ascii="Times New Roman" w:eastAsia="Arial Unicode MS" w:hAnsi="Times New Roman"/>
                <w:color w:val="000000" w:themeColor="text1"/>
                <w:sz w:val="20"/>
                <w:szCs w:val="20"/>
                <w:shd w:val="clear" w:color="auto" w:fill="FFFFFF"/>
              </w:rPr>
              <w:t xml:space="preserve"> de la </w:t>
            </w:r>
            <w:proofErr w:type="spellStart"/>
            <w:r w:rsidRPr="00804FEE">
              <w:rPr>
                <w:rFonts w:ascii="Times New Roman" w:eastAsia="Arial Unicode MS" w:hAnsi="Times New Roman"/>
                <w:color w:val="000000" w:themeColor="text1"/>
                <w:sz w:val="20"/>
                <w:szCs w:val="20"/>
                <w:shd w:val="clear" w:color="auto" w:fill="FFFFFF"/>
              </w:rPr>
              <w:t>adoptarea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astfel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măsuri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globale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bazate</w:t>
            </w:r>
            <w:proofErr w:type="spellEnd"/>
            <w:r w:rsidRPr="00804FEE">
              <w:rPr>
                <w:rFonts w:ascii="Times New Roman" w:eastAsia="Arial Unicode MS" w:hAnsi="Times New Roman"/>
                <w:color w:val="000000" w:themeColor="text1"/>
                <w:sz w:val="20"/>
                <w:szCs w:val="20"/>
                <w:shd w:val="clear" w:color="auto" w:fill="FFFFFF"/>
              </w:rPr>
              <w:t xml:space="preserve"> pe </w:t>
            </w:r>
            <w:proofErr w:type="spellStart"/>
            <w:r w:rsidRPr="00804FEE">
              <w:rPr>
                <w:rFonts w:ascii="Times New Roman" w:eastAsia="Arial Unicode MS" w:hAnsi="Times New Roman"/>
                <w:color w:val="000000" w:themeColor="text1"/>
                <w:sz w:val="20"/>
                <w:szCs w:val="20"/>
                <w:shd w:val="clear" w:color="auto" w:fill="FFFFFF"/>
              </w:rPr>
              <w:t>piață</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înainte</w:t>
            </w:r>
            <w:proofErr w:type="spellEnd"/>
            <w:r w:rsidRPr="00804FEE">
              <w:rPr>
                <w:rFonts w:ascii="Times New Roman" w:eastAsia="Arial Unicode MS" w:hAnsi="Times New Roman"/>
                <w:color w:val="000000" w:themeColor="text1"/>
                <w:sz w:val="20"/>
                <w:szCs w:val="20"/>
                <w:shd w:val="clear" w:color="auto" w:fill="FFFFFF"/>
              </w:rPr>
              <w:t xml:space="preserve"> ca </w:t>
            </w:r>
            <w:proofErr w:type="spellStart"/>
            <w:r w:rsidRPr="00804FEE">
              <w:rPr>
                <w:rFonts w:ascii="Times New Roman" w:eastAsia="Arial Unicode MS" w:hAnsi="Times New Roman"/>
                <w:color w:val="000000" w:themeColor="text1"/>
                <w:sz w:val="20"/>
                <w:szCs w:val="20"/>
                <w:shd w:val="clear" w:color="auto" w:fill="FFFFFF"/>
              </w:rPr>
              <w:t>aceasta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devină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operațională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examinează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măsura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globală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bazată</w:t>
            </w:r>
            <w:proofErr w:type="spellEnd"/>
            <w:r w:rsidRPr="00804FEE">
              <w:rPr>
                <w:rFonts w:ascii="Times New Roman" w:eastAsia="Arial Unicode MS" w:hAnsi="Times New Roman"/>
                <w:color w:val="000000" w:themeColor="text1"/>
                <w:sz w:val="20"/>
                <w:szCs w:val="20"/>
                <w:shd w:val="clear" w:color="auto" w:fill="FFFFFF"/>
              </w:rPr>
              <w:t xml:space="preserve"> pe </w:t>
            </w:r>
            <w:proofErr w:type="spellStart"/>
            <w:r w:rsidRPr="00804FEE">
              <w:rPr>
                <w:rFonts w:ascii="Times New Roman" w:eastAsia="Arial Unicode MS" w:hAnsi="Times New Roman"/>
                <w:color w:val="000000" w:themeColor="text1"/>
                <w:sz w:val="20"/>
                <w:szCs w:val="20"/>
                <w:shd w:val="clear" w:color="auto" w:fill="FFFFFF"/>
              </w:rPr>
              <w:t>piață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w:t>
            </w:r>
          </w:p>
          <w:p w14:paraId="67655DCE" w14:textId="77777777" w:rsidR="00124364" w:rsidRPr="00804FEE" w:rsidRDefault="00000000" w:rsidP="00804FEE">
            <w:pPr>
              <w:pStyle w:val="af8"/>
              <w:numPr>
                <w:ilvl w:val="0"/>
                <w:numId w:val="30"/>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ambiția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acesteia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raport</w:t>
            </w:r>
            <w:proofErr w:type="spellEnd"/>
            <w:r w:rsidRPr="00804FEE">
              <w:rPr>
                <w:rFonts w:ascii="Times New Roman" w:eastAsia="Arial Unicode MS" w:hAnsi="Times New Roman"/>
                <w:color w:val="000000" w:themeColor="text1"/>
                <w:sz w:val="20"/>
                <w:szCs w:val="20"/>
                <w:shd w:val="clear" w:color="auto" w:fill="FFFFFF"/>
              </w:rPr>
              <w:t xml:space="preserve"> cu </w:t>
            </w:r>
            <w:proofErr w:type="spellStart"/>
            <w:r w:rsidRPr="00804FEE">
              <w:rPr>
                <w:rFonts w:ascii="Times New Roman" w:eastAsia="Arial Unicode MS" w:hAnsi="Times New Roman"/>
                <w:color w:val="000000" w:themeColor="text1"/>
                <w:sz w:val="20"/>
                <w:szCs w:val="20"/>
                <w:shd w:val="clear" w:color="auto" w:fill="FFFFFF"/>
              </w:rPr>
              <w:t>obiectivele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Acordului</w:t>
            </w:r>
            <w:proofErr w:type="spellEnd"/>
            <w:r w:rsidRPr="00804FEE">
              <w:rPr>
                <w:rFonts w:ascii="Times New Roman" w:eastAsia="Arial Unicode MS" w:hAnsi="Times New Roman"/>
                <w:color w:val="000000" w:themeColor="text1"/>
                <w:sz w:val="20"/>
                <w:szCs w:val="20"/>
                <w:shd w:val="clear" w:color="auto" w:fill="FFFFFF"/>
              </w:rPr>
              <w:t xml:space="preserve"> de la </w:t>
            </w:r>
            <w:proofErr w:type="gramStart"/>
            <w:r w:rsidRPr="00804FEE">
              <w:rPr>
                <w:rFonts w:ascii="Times New Roman" w:eastAsia="Arial Unicode MS" w:hAnsi="Times New Roman"/>
                <w:color w:val="000000" w:themeColor="text1"/>
                <w:sz w:val="20"/>
                <w:szCs w:val="20"/>
                <w:shd w:val="clear" w:color="auto" w:fill="FFFFFF"/>
              </w:rPr>
              <w:t>Paris;</w:t>
            </w:r>
            <w:proofErr w:type="gramEnd"/>
          </w:p>
          <w:p w14:paraId="36CCA198" w14:textId="77777777" w:rsidR="00124364" w:rsidRPr="00804FEE" w:rsidRDefault="00000000" w:rsidP="00804FEE">
            <w:pPr>
              <w:pStyle w:val="af8"/>
              <w:numPr>
                <w:ilvl w:val="0"/>
                <w:numId w:val="30"/>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integritatea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sa</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mediu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generală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inclusiv</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comparație</w:t>
            </w:r>
            <w:proofErr w:type="spellEnd"/>
            <w:r w:rsidRPr="00804FEE">
              <w:rPr>
                <w:rFonts w:ascii="Times New Roman" w:eastAsia="Arial Unicode MS" w:hAnsi="Times New Roman"/>
                <w:color w:val="000000" w:themeColor="text1"/>
                <w:sz w:val="20"/>
                <w:szCs w:val="20"/>
                <w:shd w:val="clear" w:color="auto" w:fill="FFFFFF"/>
              </w:rPr>
              <w:t xml:space="preserve"> cu </w:t>
            </w:r>
            <w:proofErr w:type="spellStart"/>
            <w:r w:rsidRPr="00804FEE">
              <w:rPr>
                <w:rFonts w:ascii="Times New Roman" w:eastAsia="Arial Unicode MS" w:hAnsi="Times New Roman"/>
                <w:color w:val="000000" w:themeColor="text1"/>
                <w:sz w:val="20"/>
                <w:szCs w:val="20"/>
                <w:shd w:val="clear" w:color="auto" w:fill="FFFFFF"/>
              </w:rPr>
              <w:t>dispozițiile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directive </w:t>
            </w:r>
            <w:proofErr w:type="spellStart"/>
            <w:r w:rsidRPr="00804FEE">
              <w:rPr>
                <w:rFonts w:ascii="Times New Roman" w:eastAsia="Arial Unicode MS" w:hAnsi="Times New Roman"/>
                <w:color w:val="000000" w:themeColor="text1"/>
                <w:sz w:val="20"/>
                <w:szCs w:val="20"/>
                <w:shd w:val="clear" w:color="auto" w:fill="FFFFFF"/>
              </w:rPr>
              <w:t>referitoare</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transportul</w:t>
            </w:r>
            <w:proofErr w:type="spellEnd"/>
            <w:r w:rsidRPr="00804FEE">
              <w:rPr>
                <w:rFonts w:ascii="Times New Roman" w:eastAsia="Arial Unicode MS" w:hAnsi="Times New Roman"/>
                <w:color w:val="000000" w:themeColor="text1"/>
                <w:sz w:val="20"/>
                <w:szCs w:val="20"/>
                <w:shd w:val="clear" w:color="auto" w:fill="FFFFFF"/>
              </w:rPr>
              <w:t xml:space="preserve"> maritim; și</w:t>
            </w:r>
          </w:p>
          <w:p w14:paraId="6360246D" w14:textId="77777777" w:rsidR="00124364" w:rsidRPr="00804FEE" w:rsidRDefault="00000000" w:rsidP="00804FEE">
            <w:pPr>
              <w:pStyle w:val="af8"/>
              <w:numPr>
                <w:ilvl w:val="0"/>
                <w:numId w:val="30"/>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eventualele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aspecte</w:t>
            </w:r>
            <w:proofErr w:type="spellEnd"/>
            <w:r w:rsidRPr="00804FEE">
              <w:rPr>
                <w:rFonts w:ascii="Times New Roman" w:eastAsia="Arial Unicode MS" w:hAnsi="Times New Roman"/>
                <w:color w:val="000000" w:themeColor="text1"/>
                <w:sz w:val="20"/>
                <w:szCs w:val="20"/>
                <w:shd w:val="clear" w:color="auto" w:fill="FFFFFF"/>
              </w:rPr>
              <w:t xml:space="preserve"> legate de </w:t>
            </w:r>
            <w:proofErr w:type="spellStart"/>
            <w:r w:rsidRPr="00804FEE">
              <w:rPr>
                <w:rFonts w:ascii="Times New Roman" w:eastAsia="Arial Unicode MS" w:hAnsi="Times New Roman"/>
                <w:color w:val="000000" w:themeColor="text1"/>
                <w:sz w:val="20"/>
                <w:szCs w:val="20"/>
                <w:shd w:val="clear" w:color="auto" w:fill="FFFFFF"/>
              </w:rPr>
              <w:t>coerența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între</w:t>
            </w:r>
            <w:proofErr w:type="spellEnd"/>
            <w:r w:rsidRPr="00804FEE">
              <w:rPr>
                <w:rFonts w:ascii="Times New Roman" w:eastAsia="Arial Unicode MS" w:hAnsi="Times New Roman"/>
                <w:color w:val="000000" w:themeColor="text1"/>
                <w:sz w:val="20"/>
                <w:szCs w:val="20"/>
                <w:shd w:val="clear" w:color="auto" w:fill="FFFFFF"/>
              </w:rPr>
              <w:t xml:space="preserve"> EU ETS și </w:t>
            </w:r>
            <w:proofErr w:type="spellStart"/>
            <w:r w:rsidRPr="00804FEE">
              <w:rPr>
                <w:rFonts w:ascii="Times New Roman" w:eastAsia="Arial Unicode MS" w:hAnsi="Times New Roman"/>
                <w:color w:val="000000" w:themeColor="text1"/>
                <w:sz w:val="20"/>
                <w:szCs w:val="20"/>
                <w:shd w:val="clear" w:color="auto" w:fill="FFFFFF"/>
              </w:rPr>
              <w:t>măsura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respectivă</w:t>
            </w:r>
            <w:proofErr w:type="spellEnd"/>
            <w:r w:rsidRPr="00804FEE">
              <w:rPr>
                <w:rFonts w:ascii="Times New Roman" w:eastAsia="Arial Unicode MS" w:hAnsi="Times New Roman"/>
                <w:color w:val="000000" w:themeColor="text1"/>
                <w:sz w:val="20"/>
                <w:szCs w:val="20"/>
                <w:shd w:val="clear" w:color="auto" w:fill="FFFFFF"/>
              </w:rPr>
              <w:t>.</w:t>
            </w:r>
          </w:p>
          <w:p w14:paraId="7A624C20" w14:textId="71580D3D" w:rsidR="00124364" w:rsidRPr="00804FEE" w:rsidRDefault="00000000" w:rsidP="00804FEE">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804FEE">
              <w:rPr>
                <w:rFonts w:ascii="Times New Roman" w:eastAsia="Arial Unicode MS" w:hAnsi="Times New Roman"/>
                <w:color w:val="000000" w:themeColor="text1"/>
                <w:sz w:val="20"/>
                <w:szCs w:val="20"/>
                <w:shd w:val="clear" w:color="auto" w:fill="FFFFFF"/>
              </w:rPr>
              <w:t>După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caz</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însoți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menționat</w:t>
            </w:r>
            <w:proofErr w:type="spellEnd"/>
            <w:r w:rsidRPr="00804FEE">
              <w:rPr>
                <w:rFonts w:ascii="Times New Roman" w:eastAsia="Arial Unicode MS" w:hAnsi="Times New Roman"/>
                <w:color w:val="000000" w:themeColor="text1"/>
                <w:sz w:val="20"/>
                <w:szCs w:val="20"/>
                <w:shd w:val="clear" w:color="auto" w:fill="FFFFFF"/>
              </w:rPr>
              <w:t xml:space="preserve"> la al </w:t>
            </w:r>
            <w:proofErr w:type="spellStart"/>
            <w:r w:rsidRPr="00804FEE">
              <w:rPr>
                <w:rFonts w:ascii="Times New Roman" w:eastAsia="Arial Unicode MS" w:hAnsi="Times New Roman"/>
                <w:color w:val="000000" w:themeColor="text1"/>
                <w:sz w:val="20"/>
                <w:szCs w:val="20"/>
                <w:shd w:val="clear" w:color="auto" w:fill="FFFFFF"/>
              </w:rPr>
              <w:t>doilea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paragraf</w:t>
            </w:r>
            <w:proofErr w:type="spellEnd"/>
            <w:r w:rsidRPr="00804FEE">
              <w:rPr>
                <w:rFonts w:ascii="Times New Roman" w:eastAsia="Arial Unicode MS" w:hAnsi="Times New Roman"/>
                <w:color w:val="000000" w:themeColor="text1"/>
                <w:sz w:val="20"/>
                <w:szCs w:val="20"/>
                <w:shd w:val="clear" w:color="auto" w:fill="FFFFFF"/>
              </w:rPr>
              <w:t xml:space="preserve"> de la </w:t>
            </w:r>
            <w:proofErr w:type="spellStart"/>
            <w:r w:rsidRPr="00804FEE">
              <w:rPr>
                <w:rFonts w:ascii="Times New Roman" w:eastAsia="Arial Unicode MS" w:hAnsi="Times New Roman"/>
                <w:color w:val="000000" w:themeColor="text1"/>
                <w:sz w:val="20"/>
                <w:szCs w:val="20"/>
                <w:shd w:val="clear" w:color="auto" w:fill="FFFFFF"/>
              </w:rPr>
              <w:t>prezentul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alineat</w:t>
            </w:r>
            <w:proofErr w:type="spellEnd"/>
            <w:r w:rsidRPr="00804FEE">
              <w:rPr>
                <w:rFonts w:ascii="Times New Roman" w:eastAsia="Arial Unicode MS" w:hAnsi="Times New Roman"/>
                <w:color w:val="000000" w:themeColor="text1"/>
                <w:sz w:val="20"/>
                <w:szCs w:val="20"/>
                <w:shd w:val="clear" w:color="auto" w:fill="FFFFFF"/>
              </w:rPr>
              <w:t xml:space="preserve"> cu o </w:t>
            </w:r>
            <w:proofErr w:type="spellStart"/>
            <w:r w:rsidRPr="00804FEE">
              <w:rPr>
                <w:rFonts w:ascii="Times New Roman" w:eastAsia="Arial Unicode MS" w:hAnsi="Times New Roman"/>
                <w:color w:val="000000" w:themeColor="text1"/>
                <w:sz w:val="20"/>
                <w:szCs w:val="20"/>
                <w:shd w:val="clear" w:color="auto" w:fill="FFFFFF"/>
              </w:rPr>
              <w:t>propunere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legislativă</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modificare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directive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mod care </w:t>
            </w:r>
            <w:proofErr w:type="spellStart"/>
            <w:r w:rsidRPr="00804FEE">
              <w:rPr>
                <w:rFonts w:ascii="Times New Roman" w:eastAsia="Arial Unicode MS" w:hAnsi="Times New Roman"/>
                <w:color w:val="000000" w:themeColor="text1"/>
                <w:sz w:val="20"/>
                <w:szCs w:val="20"/>
                <w:shd w:val="clear" w:color="auto" w:fill="FFFFFF"/>
              </w:rPr>
              <w:t>să</w:t>
            </w:r>
            <w:proofErr w:type="spellEnd"/>
            <w:r w:rsidRPr="00804FEE">
              <w:rPr>
                <w:rFonts w:ascii="Times New Roman" w:eastAsia="Arial Unicode MS" w:hAnsi="Times New Roman"/>
                <w:color w:val="000000" w:themeColor="text1"/>
                <w:sz w:val="20"/>
                <w:szCs w:val="20"/>
                <w:shd w:val="clear" w:color="auto" w:fill="FFFFFF"/>
              </w:rPr>
              <w:t xml:space="preserve"> fie </w:t>
            </w:r>
            <w:proofErr w:type="spellStart"/>
            <w:r w:rsidRPr="00804FEE">
              <w:rPr>
                <w:rFonts w:ascii="Times New Roman" w:eastAsia="Arial Unicode MS" w:hAnsi="Times New Roman"/>
                <w:color w:val="000000" w:themeColor="text1"/>
                <w:sz w:val="20"/>
                <w:szCs w:val="20"/>
                <w:shd w:val="clear" w:color="auto" w:fill="FFFFFF"/>
              </w:rPr>
              <w:t>coerent</w:t>
            </w:r>
            <w:proofErr w:type="spellEnd"/>
            <w:r w:rsidRPr="00804FEE">
              <w:rPr>
                <w:rFonts w:ascii="Times New Roman" w:eastAsia="Arial Unicode MS" w:hAnsi="Times New Roman"/>
                <w:color w:val="000000" w:themeColor="text1"/>
                <w:sz w:val="20"/>
                <w:szCs w:val="20"/>
                <w:shd w:val="clear" w:color="auto" w:fill="FFFFFF"/>
              </w:rPr>
              <w:t xml:space="preserve"> cu </w:t>
            </w:r>
            <w:proofErr w:type="spellStart"/>
            <w:r w:rsidRPr="00804FEE">
              <w:rPr>
                <w:rFonts w:ascii="Times New Roman" w:eastAsia="Arial Unicode MS" w:hAnsi="Times New Roman"/>
                <w:color w:val="000000" w:themeColor="text1"/>
                <w:sz w:val="20"/>
                <w:szCs w:val="20"/>
                <w:shd w:val="clear" w:color="auto" w:fill="FFFFFF"/>
              </w:rPr>
              <w:t>obiectivul</w:t>
            </w:r>
            <w:proofErr w:type="spellEnd"/>
            <w:r w:rsidRPr="00804FEE">
              <w:rPr>
                <w:rFonts w:ascii="Times New Roman" w:eastAsia="Arial Unicode MS" w:hAnsi="Times New Roman"/>
                <w:color w:val="000000" w:themeColor="text1"/>
                <w:sz w:val="20"/>
                <w:szCs w:val="20"/>
                <w:shd w:val="clear" w:color="auto" w:fill="FFFFFF"/>
              </w:rPr>
              <w:t xml:space="preserve"> climatic al </w:t>
            </w:r>
            <w:proofErr w:type="spellStart"/>
            <w:r w:rsidRPr="00804FEE">
              <w:rPr>
                <w:rFonts w:ascii="Times New Roman" w:eastAsia="Arial Unicode MS" w:hAnsi="Times New Roman"/>
                <w:color w:val="000000" w:themeColor="text1"/>
                <w:sz w:val="20"/>
                <w:szCs w:val="20"/>
                <w:shd w:val="clear" w:color="auto" w:fill="FFFFFF"/>
              </w:rPr>
              <w:t>Uniunii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2030 și cu </w:t>
            </w:r>
            <w:proofErr w:type="spellStart"/>
            <w:r w:rsidRPr="00804FEE">
              <w:rPr>
                <w:rFonts w:ascii="Times New Roman" w:eastAsia="Arial Unicode MS" w:hAnsi="Times New Roman"/>
                <w:color w:val="000000" w:themeColor="text1"/>
                <w:sz w:val="20"/>
                <w:szCs w:val="20"/>
                <w:shd w:val="clear" w:color="auto" w:fill="FFFFFF"/>
              </w:rPr>
              <w:t>obiectivul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neutralității</w:t>
            </w:r>
            <w:proofErr w:type="spellEnd"/>
            <w:r w:rsidRPr="00804FEE">
              <w:rPr>
                <w:rFonts w:ascii="Times New Roman" w:eastAsia="Arial Unicode MS" w:hAnsi="Times New Roman"/>
                <w:color w:val="000000" w:themeColor="text1"/>
                <w:sz w:val="20"/>
                <w:szCs w:val="20"/>
                <w:shd w:val="clear" w:color="auto" w:fill="FFFFFF"/>
              </w:rPr>
              <w:t xml:space="preserve"> climatice </w:t>
            </w:r>
            <w:proofErr w:type="spellStart"/>
            <w:r w:rsidRPr="00804FEE">
              <w:rPr>
                <w:rFonts w:ascii="Times New Roman" w:eastAsia="Arial Unicode MS" w:hAnsi="Times New Roman"/>
                <w:color w:val="000000" w:themeColor="text1"/>
                <w:sz w:val="20"/>
                <w:szCs w:val="20"/>
                <w:shd w:val="clear" w:color="auto" w:fill="FFFFFF"/>
              </w:rPr>
              <w:t>prevăzut</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Regulamentul</w:t>
            </w:r>
            <w:proofErr w:type="spellEnd"/>
            <w:r w:rsidRPr="00804FEE">
              <w:rPr>
                <w:rFonts w:ascii="Times New Roman" w:eastAsia="Arial Unicode MS" w:hAnsi="Times New Roman"/>
                <w:color w:val="000000" w:themeColor="text1"/>
                <w:sz w:val="20"/>
                <w:szCs w:val="20"/>
                <w:shd w:val="clear" w:color="auto" w:fill="FFFFFF"/>
              </w:rPr>
              <w:t xml:space="preserve"> (UE)</w:t>
            </w:r>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2021/1119, precum și cu </w:t>
            </w:r>
            <w:proofErr w:type="spellStart"/>
            <w:r w:rsidRPr="00804FEE">
              <w:rPr>
                <w:rFonts w:ascii="Times New Roman" w:eastAsia="Arial Unicode MS" w:hAnsi="Times New Roman"/>
                <w:color w:val="000000" w:themeColor="text1"/>
                <w:sz w:val="20"/>
                <w:szCs w:val="20"/>
                <w:shd w:val="clear" w:color="auto" w:fill="FFFFFF"/>
              </w:rPr>
              <w:t>scopul</w:t>
            </w:r>
            <w:proofErr w:type="spellEnd"/>
            <w:r w:rsidRPr="00804FEE">
              <w:rPr>
                <w:rFonts w:ascii="Times New Roman" w:eastAsia="Arial Unicode MS" w:hAnsi="Times New Roman"/>
                <w:color w:val="000000" w:themeColor="text1"/>
                <w:sz w:val="20"/>
                <w:szCs w:val="20"/>
                <w:shd w:val="clear" w:color="auto" w:fill="FFFFFF"/>
              </w:rPr>
              <w:t xml:space="preserve"> de a </w:t>
            </w:r>
            <w:proofErr w:type="spellStart"/>
            <w:r w:rsidRPr="00804FEE">
              <w:rPr>
                <w:rFonts w:ascii="Times New Roman" w:eastAsia="Arial Unicode MS" w:hAnsi="Times New Roman"/>
                <w:color w:val="000000" w:themeColor="text1"/>
                <w:sz w:val="20"/>
                <w:szCs w:val="20"/>
                <w:shd w:val="clear" w:color="auto" w:fill="FFFFFF"/>
              </w:rPr>
              <w:t>menține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integritatea</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mediu</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eficacitatea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acțiunilor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Uniunii</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domeniul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climei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asigura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coerența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punerea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măsurii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globale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bazată</w:t>
            </w:r>
            <w:proofErr w:type="spellEnd"/>
            <w:r w:rsidRPr="00804FEE">
              <w:rPr>
                <w:rFonts w:ascii="Times New Roman" w:eastAsia="Arial Unicode MS" w:hAnsi="Times New Roman"/>
                <w:color w:val="000000" w:themeColor="text1"/>
                <w:sz w:val="20"/>
                <w:szCs w:val="20"/>
                <w:shd w:val="clear" w:color="auto" w:fill="FFFFFF"/>
              </w:rPr>
              <w:t xml:space="preserve"> pe </w:t>
            </w:r>
            <w:proofErr w:type="spellStart"/>
            <w:r w:rsidRPr="00804FEE">
              <w:rPr>
                <w:rFonts w:ascii="Times New Roman" w:eastAsia="Arial Unicode MS" w:hAnsi="Times New Roman"/>
                <w:color w:val="000000" w:themeColor="text1"/>
                <w:sz w:val="20"/>
                <w:szCs w:val="20"/>
                <w:shd w:val="clear" w:color="auto" w:fill="FFFFFF"/>
              </w:rPr>
              <w:t>piață</w:t>
            </w:r>
            <w:proofErr w:type="spellEnd"/>
            <w:r w:rsidRPr="00804FEE">
              <w:rPr>
                <w:rFonts w:ascii="Times New Roman" w:eastAsia="Arial Unicode MS" w:hAnsi="Times New Roman"/>
                <w:color w:val="000000" w:themeColor="text1"/>
                <w:sz w:val="20"/>
                <w:szCs w:val="20"/>
                <w:shd w:val="clear" w:color="auto" w:fill="FFFFFF"/>
              </w:rPr>
              <w:t xml:space="preserve"> și EU ETS, </w:t>
            </w:r>
            <w:proofErr w:type="spellStart"/>
            <w:r w:rsidRPr="00804FEE">
              <w:rPr>
                <w:rFonts w:ascii="Times New Roman" w:eastAsia="Arial Unicode MS" w:hAnsi="Times New Roman"/>
                <w:color w:val="000000" w:themeColor="text1"/>
                <w:sz w:val="20"/>
                <w:szCs w:val="20"/>
                <w:shd w:val="clear" w:color="auto" w:fill="FFFFFF"/>
              </w:rPr>
              <w:t>evitând</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același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timp</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dublarea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oricărei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sarcini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semnificative</w:t>
            </w:r>
            <w:proofErr w:type="spellEnd"/>
            <w:r w:rsidRPr="00804FEE">
              <w:rPr>
                <w:rFonts w:ascii="Times New Roman" w:eastAsia="Arial Unicode MS" w:hAnsi="Times New Roman"/>
                <w:color w:val="000000" w:themeColor="text1"/>
                <w:sz w:val="20"/>
                <w:szCs w:val="20"/>
                <w:shd w:val="clear" w:color="auto" w:fill="FFFFFF"/>
              </w:rPr>
              <w:t>.</w:t>
            </w:r>
          </w:p>
          <w:p w14:paraId="280F625C" w14:textId="77777777" w:rsidR="00124364" w:rsidRPr="00804FEE" w:rsidRDefault="00000000" w:rsidP="00804FEE">
            <w:pPr>
              <w:pStyle w:val="af8"/>
              <w:numPr>
                <w:ilvl w:val="0"/>
                <w:numId w:val="29"/>
              </w:numPr>
              <w:suppressAutoHyphens w:val="0"/>
              <w:autoSpaceDN/>
              <w:spacing w:after="0" w:line="240" w:lineRule="auto"/>
              <w:jc w:val="both"/>
              <w:textAlignment w:val="auto"/>
              <w:rPr>
                <w:rFonts w:ascii="Times New Roman" w:hAnsi="Times New Roman"/>
                <w:color w:val="000000" w:themeColor="text1"/>
                <w:sz w:val="20"/>
                <w:szCs w:val="20"/>
                <w:lang w:val="en-US"/>
              </w:rPr>
            </w:pPr>
            <w:r w:rsidRPr="00804FEE">
              <w:rPr>
                <w:rFonts w:ascii="Times New Roman" w:eastAsia="Arial Unicode MS" w:hAnsi="Times New Roman"/>
                <w:color w:val="000000" w:themeColor="text1"/>
                <w:sz w:val="20"/>
                <w:szCs w:val="20"/>
              </w:rPr>
              <w:t xml:space="preserve">În </w:t>
            </w:r>
            <w:proofErr w:type="spellStart"/>
            <w:r w:rsidRPr="00804FEE">
              <w:rPr>
                <w:rFonts w:ascii="Times New Roman" w:eastAsia="Arial Unicode MS" w:hAnsi="Times New Roman"/>
                <w:color w:val="000000" w:themeColor="text1"/>
                <w:sz w:val="20"/>
                <w:szCs w:val="20"/>
              </w:rPr>
              <w:t>cazul</w:t>
            </w:r>
            <w:proofErr w:type="spellEnd"/>
            <w:r w:rsidRPr="00804FEE">
              <w:rPr>
                <w:rFonts w:ascii="Times New Roman" w:eastAsia="Arial Unicode MS" w:hAnsi="Times New Roman"/>
                <w:color w:val="000000" w:themeColor="text1"/>
                <w:sz w:val="20"/>
                <w:szCs w:val="20"/>
              </w:rPr>
              <w:t xml:space="preserve"> în care OMI nu </w:t>
            </w:r>
            <w:proofErr w:type="spellStart"/>
            <w:r w:rsidRPr="00804FEE">
              <w:rPr>
                <w:rFonts w:ascii="Times New Roman" w:eastAsia="Arial Unicode MS" w:hAnsi="Times New Roman"/>
                <w:color w:val="000000" w:themeColor="text1"/>
                <w:sz w:val="20"/>
                <w:szCs w:val="20"/>
              </w:rPr>
              <w:t>adoptă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până</w:t>
            </w:r>
            <w:proofErr w:type="spellEnd"/>
            <w:r w:rsidRPr="00804FEE">
              <w:rPr>
                <w:rFonts w:ascii="Times New Roman" w:eastAsia="Arial Unicode MS" w:hAnsi="Times New Roman"/>
                <w:color w:val="000000" w:themeColor="text1"/>
                <w:sz w:val="20"/>
                <w:szCs w:val="20"/>
              </w:rPr>
              <w:t xml:space="preserve"> în 2028, o </w:t>
            </w:r>
            <w:proofErr w:type="spellStart"/>
            <w:r w:rsidRPr="00804FEE">
              <w:rPr>
                <w:rFonts w:ascii="Times New Roman" w:eastAsia="Arial Unicode MS" w:hAnsi="Times New Roman"/>
                <w:color w:val="000000" w:themeColor="text1"/>
                <w:sz w:val="20"/>
                <w:szCs w:val="20"/>
              </w:rPr>
              <w:t>măsură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globală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bazată</w:t>
            </w:r>
            <w:proofErr w:type="spellEnd"/>
            <w:r w:rsidRPr="00804FEE">
              <w:rPr>
                <w:rFonts w:ascii="Times New Roman" w:eastAsia="Arial Unicode MS" w:hAnsi="Times New Roman"/>
                <w:color w:val="000000" w:themeColor="text1"/>
                <w:sz w:val="20"/>
                <w:szCs w:val="20"/>
              </w:rPr>
              <w:t xml:space="preserve"> pe </w:t>
            </w:r>
            <w:proofErr w:type="spellStart"/>
            <w:r w:rsidRPr="00804FEE">
              <w:rPr>
                <w:rFonts w:ascii="Times New Roman" w:eastAsia="Arial Unicode MS" w:hAnsi="Times New Roman"/>
                <w:color w:val="000000" w:themeColor="text1"/>
                <w:sz w:val="20"/>
                <w:szCs w:val="20"/>
              </w:rPr>
              <w:t>piață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pentru</w:t>
            </w:r>
            <w:proofErr w:type="spellEnd"/>
            <w:r w:rsidRPr="00804FEE">
              <w:rPr>
                <w:rFonts w:ascii="Times New Roman" w:eastAsia="Arial Unicode MS" w:hAnsi="Times New Roman"/>
                <w:color w:val="000000" w:themeColor="text1"/>
                <w:sz w:val="20"/>
                <w:szCs w:val="20"/>
              </w:rPr>
              <w:t xml:space="preserve"> a reduce </w:t>
            </w:r>
            <w:proofErr w:type="spellStart"/>
            <w:r w:rsidRPr="00804FEE">
              <w:rPr>
                <w:rFonts w:ascii="Times New Roman" w:eastAsia="Arial Unicode MS" w:hAnsi="Times New Roman"/>
                <w:color w:val="000000" w:themeColor="text1"/>
                <w:sz w:val="20"/>
                <w:szCs w:val="20"/>
              </w:rPr>
              <w:t>emisiile</w:t>
            </w:r>
            <w:proofErr w:type="spellEnd"/>
            <w:r w:rsidRPr="00804FEE">
              <w:rPr>
                <w:rFonts w:ascii="Times New Roman" w:eastAsia="Arial Unicode MS" w:hAnsi="Times New Roman"/>
                <w:color w:val="000000" w:themeColor="text1"/>
                <w:sz w:val="20"/>
                <w:szCs w:val="20"/>
              </w:rPr>
              <w:t xml:space="preserve"> de gaze cu </w:t>
            </w:r>
            <w:proofErr w:type="spellStart"/>
            <w:r w:rsidRPr="00804FEE">
              <w:rPr>
                <w:rFonts w:ascii="Times New Roman" w:eastAsia="Arial Unicode MS" w:hAnsi="Times New Roman"/>
                <w:color w:val="000000" w:themeColor="text1"/>
                <w:sz w:val="20"/>
                <w:szCs w:val="20"/>
              </w:rPr>
              <w:t>efect</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seră</w:t>
            </w:r>
            <w:proofErr w:type="spellEnd"/>
            <w:r w:rsidRPr="00804FEE">
              <w:rPr>
                <w:rFonts w:ascii="Times New Roman" w:eastAsia="Arial Unicode MS" w:hAnsi="Times New Roman"/>
                <w:color w:val="000000" w:themeColor="text1"/>
                <w:sz w:val="20"/>
                <w:szCs w:val="20"/>
              </w:rPr>
              <w:t xml:space="preserve"> generate de </w:t>
            </w:r>
            <w:proofErr w:type="spellStart"/>
            <w:r w:rsidRPr="00804FEE">
              <w:rPr>
                <w:rFonts w:ascii="Times New Roman" w:eastAsia="Arial Unicode MS" w:hAnsi="Times New Roman"/>
                <w:color w:val="000000" w:themeColor="text1"/>
                <w:sz w:val="20"/>
                <w:szCs w:val="20"/>
              </w:rPr>
              <w:t>transportul</w:t>
            </w:r>
            <w:proofErr w:type="spellEnd"/>
            <w:r w:rsidRPr="00804FEE">
              <w:rPr>
                <w:rFonts w:ascii="Times New Roman" w:eastAsia="Arial Unicode MS" w:hAnsi="Times New Roman"/>
                <w:color w:val="000000" w:themeColor="text1"/>
                <w:sz w:val="20"/>
                <w:szCs w:val="20"/>
              </w:rPr>
              <w:t xml:space="preserve"> maritim, în conformitate cu </w:t>
            </w:r>
            <w:proofErr w:type="spellStart"/>
            <w:r w:rsidRPr="00804FEE">
              <w:rPr>
                <w:rFonts w:ascii="Times New Roman" w:eastAsia="Arial Unicode MS" w:hAnsi="Times New Roman"/>
                <w:color w:val="000000" w:themeColor="text1"/>
                <w:sz w:val="20"/>
                <w:szCs w:val="20"/>
              </w:rPr>
              <w:t>obiectivele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Acordului</w:t>
            </w:r>
            <w:proofErr w:type="spellEnd"/>
            <w:r w:rsidRPr="00804FEE">
              <w:rPr>
                <w:rFonts w:ascii="Times New Roman" w:eastAsia="Arial Unicode MS" w:hAnsi="Times New Roman"/>
                <w:color w:val="000000" w:themeColor="text1"/>
                <w:sz w:val="20"/>
                <w:szCs w:val="20"/>
              </w:rPr>
              <w:t xml:space="preserve"> de la Paris, </w:t>
            </w:r>
            <w:proofErr w:type="spellStart"/>
            <w:r w:rsidRPr="00804FEE">
              <w:rPr>
                <w:rFonts w:ascii="Times New Roman" w:eastAsia="Arial Unicode MS" w:hAnsi="Times New Roman"/>
                <w:color w:val="000000" w:themeColor="text1"/>
                <w:sz w:val="20"/>
                <w:szCs w:val="20"/>
              </w:rPr>
              <w:t>dar</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cel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puțin</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până</w:t>
            </w:r>
            <w:proofErr w:type="spellEnd"/>
            <w:r w:rsidRPr="00804FEE">
              <w:rPr>
                <w:rFonts w:ascii="Times New Roman" w:eastAsia="Arial Unicode MS" w:hAnsi="Times New Roman"/>
                <w:color w:val="000000" w:themeColor="text1"/>
                <w:sz w:val="20"/>
                <w:szCs w:val="20"/>
              </w:rPr>
              <w:t xml:space="preserve"> la un </w:t>
            </w:r>
            <w:proofErr w:type="spellStart"/>
            <w:r w:rsidRPr="00804FEE">
              <w:rPr>
                <w:rFonts w:ascii="Times New Roman" w:eastAsia="Arial Unicode MS" w:hAnsi="Times New Roman"/>
                <w:color w:val="000000" w:themeColor="text1"/>
                <w:sz w:val="20"/>
                <w:szCs w:val="20"/>
              </w:rPr>
              <w:t>nivel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comparabil</w:t>
            </w:r>
            <w:proofErr w:type="spellEnd"/>
            <w:r w:rsidRPr="00804FEE">
              <w:rPr>
                <w:rFonts w:ascii="Times New Roman" w:eastAsia="Arial Unicode MS" w:hAnsi="Times New Roman"/>
                <w:color w:val="000000" w:themeColor="text1"/>
                <w:sz w:val="20"/>
                <w:szCs w:val="20"/>
              </w:rPr>
              <w:t xml:space="preserve"> cu </w:t>
            </w:r>
            <w:proofErr w:type="spellStart"/>
            <w:r w:rsidRPr="00804FEE">
              <w:rPr>
                <w:rFonts w:ascii="Times New Roman" w:eastAsia="Arial Unicode MS" w:hAnsi="Times New Roman"/>
                <w:color w:val="000000" w:themeColor="text1"/>
                <w:sz w:val="20"/>
                <w:szCs w:val="20"/>
              </w:rPr>
              <w:t>cel</w:t>
            </w:r>
            <w:proofErr w:type="spellEnd"/>
            <w:r w:rsidRPr="00804FEE">
              <w:rPr>
                <w:rFonts w:ascii="Times New Roman" w:eastAsia="Arial Unicode MS" w:hAnsi="Times New Roman"/>
                <w:color w:val="000000" w:themeColor="text1"/>
                <w:sz w:val="20"/>
                <w:szCs w:val="20"/>
              </w:rPr>
              <w:t xml:space="preserve"> care </w:t>
            </w:r>
            <w:proofErr w:type="spellStart"/>
            <w:r w:rsidRPr="00804FEE">
              <w:rPr>
                <w:rFonts w:ascii="Times New Roman" w:eastAsia="Arial Unicode MS" w:hAnsi="Times New Roman"/>
                <w:color w:val="000000" w:themeColor="text1"/>
                <w:sz w:val="20"/>
                <w:szCs w:val="20"/>
              </w:rPr>
              <w:t>rezultă</w:t>
            </w:r>
            <w:proofErr w:type="spellEnd"/>
            <w:r w:rsidRPr="00804FEE">
              <w:rPr>
                <w:rFonts w:ascii="Times New Roman" w:eastAsia="Arial Unicode MS" w:hAnsi="Times New Roman"/>
                <w:color w:val="000000" w:themeColor="text1"/>
                <w:sz w:val="20"/>
                <w:szCs w:val="20"/>
              </w:rPr>
              <w:t xml:space="preserve"> din </w:t>
            </w:r>
            <w:proofErr w:type="spellStart"/>
            <w:r w:rsidRPr="00804FEE">
              <w:rPr>
                <w:rFonts w:ascii="Times New Roman" w:eastAsia="Arial Unicode MS" w:hAnsi="Times New Roman"/>
                <w:color w:val="000000" w:themeColor="text1"/>
                <w:sz w:val="20"/>
                <w:szCs w:val="20"/>
              </w:rPr>
              <w:t>măsurile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luate</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Uniune</w:t>
            </w:r>
            <w:proofErr w:type="spellEnd"/>
            <w:r w:rsidRPr="00804FEE">
              <w:rPr>
                <w:rFonts w:ascii="Times New Roman" w:eastAsia="Arial Unicode MS" w:hAnsi="Times New Roman"/>
                <w:color w:val="000000" w:themeColor="text1"/>
                <w:sz w:val="20"/>
                <w:szCs w:val="20"/>
              </w:rPr>
              <w:t xml:space="preserve"> în </w:t>
            </w:r>
            <w:proofErr w:type="spellStart"/>
            <w:r w:rsidRPr="00804FEE">
              <w:rPr>
                <w:rFonts w:ascii="Times New Roman" w:eastAsia="Arial Unicode MS" w:hAnsi="Times New Roman"/>
                <w:color w:val="000000" w:themeColor="text1"/>
                <w:sz w:val="20"/>
                <w:szCs w:val="20"/>
              </w:rPr>
              <w:t>temeiul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prezentei</w:t>
            </w:r>
            <w:proofErr w:type="spellEnd"/>
            <w:r w:rsidRPr="00804FEE">
              <w:rPr>
                <w:rFonts w:ascii="Times New Roman" w:eastAsia="Arial Unicode MS" w:hAnsi="Times New Roman"/>
                <w:color w:val="000000" w:themeColor="text1"/>
                <w:sz w:val="20"/>
                <w:szCs w:val="20"/>
              </w:rPr>
              <w:t xml:space="preserve"> directive, </w:t>
            </w:r>
            <w:proofErr w:type="spellStart"/>
            <w:r w:rsidRPr="00804FEE">
              <w:rPr>
                <w:rFonts w:ascii="Times New Roman" w:eastAsia="Arial Unicode MS" w:hAnsi="Times New Roman"/>
                <w:color w:val="000000" w:themeColor="text1"/>
                <w:sz w:val="20"/>
                <w:szCs w:val="20"/>
              </w:rPr>
              <w:t>Comisia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prezintă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Parlamentului</w:t>
            </w:r>
            <w:proofErr w:type="spellEnd"/>
            <w:r w:rsidRPr="00804FEE">
              <w:rPr>
                <w:rFonts w:ascii="Times New Roman" w:eastAsia="Arial Unicode MS" w:hAnsi="Times New Roman"/>
                <w:color w:val="000000" w:themeColor="text1"/>
                <w:sz w:val="20"/>
                <w:szCs w:val="20"/>
              </w:rPr>
              <w:t xml:space="preserve"> European și </w:t>
            </w:r>
            <w:proofErr w:type="spellStart"/>
            <w:r w:rsidRPr="00804FEE">
              <w:rPr>
                <w:rFonts w:ascii="Times New Roman" w:eastAsia="Arial Unicode MS" w:hAnsi="Times New Roman"/>
                <w:color w:val="000000" w:themeColor="text1"/>
                <w:sz w:val="20"/>
                <w:szCs w:val="20"/>
              </w:rPr>
              <w:t>Consiliului</w:t>
            </w:r>
            <w:proofErr w:type="spellEnd"/>
            <w:r w:rsidRPr="00804FEE">
              <w:rPr>
                <w:rFonts w:ascii="Times New Roman" w:eastAsia="Arial Unicode MS" w:hAnsi="Times New Roman"/>
                <w:color w:val="000000" w:themeColor="text1"/>
                <w:sz w:val="20"/>
                <w:szCs w:val="20"/>
              </w:rPr>
              <w:t xml:space="preserve"> un </w:t>
            </w:r>
            <w:proofErr w:type="spellStart"/>
            <w:r w:rsidRPr="00804FEE">
              <w:rPr>
                <w:rFonts w:ascii="Times New Roman" w:eastAsia="Arial Unicode MS" w:hAnsi="Times New Roman"/>
                <w:color w:val="000000" w:themeColor="text1"/>
                <w:sz w:val="20"/>
                <w:szCs w:val="20"/>
              </w:rPr>
              <w:t>raport</w:t>
            </w:r>
            <w:proofErr w:type="spellEnd"/>
            <w:r w:rsidRPr="00804FEE">
              <w:rPr>
                <w:rFonts w:ascii="Times New Roman" w:eastAsia="Arial Unicode MS" w:hAnsi="Times New Roman"/>
                <w:color w:val="000000" w:themeColor="text1"/>
                <w:sz w:val="20"/>
                <w:szCs w:val="20"/>
              </w:rPr>
              <w:t xml:space="preserve"> în care </w:t>
            </w:r>
            <w:proofErr w:type="spellStart"/>
            <w:r w:rsidRPr="00804FEE">
              <w:rPr>
                <w:rFonts w:ascii="Times New Roman" w:eastAsia="Arial Unicode MS" w:hAnsi="Times New Roman"/>
                <w:color w:val="000000" w:themeColor="text1"/>
                <w:sz w:val="20"/>
                <w:szCs w:val="20"/>
              </w:rPr>
              <w:t>examinează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necesitatea</w:t>
            </w:r>
            <w:proofErr w:type="spellEnd"/>
            <w:r w:rsidRPr="00804FEE">
              <w:rPr>
                <w:rFonts w:ascii="Times New Roman" w:eastAsia="Arial Unicode MS" w:hAnsi="Times New Roman"/>
                <w:color w:val="000000" w:themeColor="text1"/>
                <w:sz w:val="20"/>
                <w:szCs w:val="20"/>
              </w:rPr>
              <w:t xml:space="preserve"> de a </w:t>
            </w:r>
            <w:proofErr w:type="spellStart"/>
            <w:r w:rsidRPr="00804FEE">
              <w:rPr>
                <w:rFonts w:ascii="Times New Roman" w:eastAsia="Arial Unicode MS" w:hAnsi="Times New Roman"/>
                <w:color w:val="000000" w:themeColor="text1"/>
                <w:sz w:val="20"/>
                <w:szCs w:val="20"/>
              </w:rPr>
              <w:t>aplica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cerințele</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alocare</w:t>
            </w:r>
            <w:proofErr w:type="spellEnd"/>
            <w:r w:rsidRPr="00804FEE">
              <w:rPr>
                <w:rFonts w:ascii="Times New Roman" w:eastAsia="Arial Unicode MS" w:hAnsi="Times New Roman"/>
                <w:color w:val="000000" w:themeColor="text1"/>
                <w:sz w:val="20"/>
                <w:szCs w:val="20"/>
              </w:rPr>
              <w:t xml:space="preserve"> a </w:t>
            </w:r>
            <w:proofErr w:type="spellStart"/>
            <w:r w:rsidRPr="00804FEE">
              <w:rPr>
                <w:rFonts w:ascii="Times New Roman" w:eastAsia="Arial Unicode MS" w:hAnsi="Times New Roman"/>
                <w:color w:val="000000" w:themeColor="text1"/>
                <w:sz w:val="20"/>
                <w:szCs w:val="20"/>
              </w:rPr>
              <w:t>certificatelor</w:t>
            </w:r>
            <w:proofErr w:type="spellEnd"/>
            <w:r w:rsidRPr="00804FEE">
              <w:rPr>
                <w:rFonts w:ascii="Times New Roman" w:eastAsia="Arial Unicode MS" w:hAnsi="Times New Roman"/>
                <w:color w:val="000000" w:themeColor="text1"/>
                <w:sz w:val="20"/>
                <w:szCs w:val="20"/>
              </w:rPr>
              <w:t xml:space="preserve"> și </w:t>
            </w:r>
            <w:proofErr w:type="spellStart"/>
            <w:r w:rsidRPr="00804FEE">
              <w:rPr>
                <w:rFonts w:ascii="Times New Roman" w:eastAsia="Arial Unicode MS" w:hAnsi="Times New Roman"/>
                <w:color w:val="000000" w:themeColor="text1"/>
                <w:sz w:val="20"/>
                <w:szCs w:val="20"/>
              </w:rPr>
              <w:t>obligațiile</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restituire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pentru</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mai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mult</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cincizeci</w:t>
            </w:r>
            <w:proofErr w:type="spellEnd"/>
            <w:r w:rsidRPr="00804FEE">
              <w:rPr>
                <w:rFonts w:ascii="Times New Roman" w:eastAsia="Arial Unicode MS" w:hAnsi="Times New Roman"/>
                <w:color w:val="000000" w:themeColor="text1"/>
                <w:sz w:val="20"/>
                <w:szCs w:val="20"/>
              </w:rPr>
              <w:t xml:space="preserve"> la </w:t>
            </w:r>
            <w:proofErr w:type="spellStart"/>
            <w:r w:rsidRPr="00804FEE">
              <w:rPr>
                <w:rFonts w:ascii="Times New Roman" w:eastAsia="Arial Unicode MS" w:hAnsi="Times New Roman"/>
                <w:color w:val="000000" w:themeColor="text1"/>
                <w:sz w:val="20"/>
                <w:szCs w:val="20"/>
              </w:rPr>
              <w:t>sută</w:t>
            </w:r>
            <w:proofErr w:type="spellEnd"/>
            <w:r w:rsidRPr="00804FEE">
              <w:rPr>
                <w:rFonts w:ascii="Times New Roman" w:eastAsia="Arial Unicode MS" w:hAnsi="Times New Roman"/>
                <w:color w:val="000000" w:themeColor="text1"/>
                <w:sz w:val="20"/>
                <w:szCs w:val="20"/>
              </w:rPr>
              <w:t xml:space="preserve"> (50 %) din </w:t>
            </w:r>
            <w:proofErr w:type="spellStart"/>
            <w:r w:rsidRPr="00804FEE">
              <w:rPr>
                <w:rFonts w:ascii="Times New Roman" w:eastAsia="Arial Unicode MS" w:hAnsi="Times New Roman"/>
                <w:color w:val="000000" w:themeColor="text1"/>
                <w:sz w:val="20"/>
                <w:szCs w:val="20"/>
              </w:rPr>
              <w:t>emisiile</w:t>
            </w:r>
            <w:proofErr w:type="spellEnd"/>
            <w:r w:rsidRPr="00804FEE">
              <w:rPr>
                <w:rFonts w:ascii="Times New Roman" w:eastAsia="Arial Unicode MS" w:hAnsi="Times New Roman"/>
                <w:color w:val="000000" w:themeColor="text1"/>
                <w:sz w:val="20"/>
                <w:szCs w:val="20"/>
              </w:rPr>
              <w:t xml:space="preserve"> generate de </w:t>
            </w:r>
            <w:proofErr w:type="spellStart"/>
            <w:r w:rsidRPr="00804FEE">
              <w:rPr>
                <w:rFonts w:ascii="Times New Roman" w:eastAsia="Arial Unicode MS" w:hAnsi="Times New Roman"/>
                <w:color w:val="000000" w:themeColor="text1"/>
                <w:sz w:val="20"/>
                <w:szCs w:val="20"/>
              </w:rPr>
              <w:t>călătoriile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navelor</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lastRenderedPageBreak/>
              <w:t>între</w:t>
            </w:r>
            <w:proofErr w:type="spellEnd"/>
            <w:r w:rsidRPr="00804FEE">
              <w:rPr>
                <w:rFonts w:ascii="Times New Roman" w:eastAsia="Arial Unicode MS" w:hAnsi="Times New Roman"/>
                <w:color w:val="000000" w:themeColor="text1"/>
                <w:sz w:val="20"/>
                <w:szCs w:val="20"/>
              </w:rPr>
              <w:t xml:space="preserve"> un port de </w:t>
            </w:r>
            <w:proofErr w:type="spellStart"/>
            <w:r w:rsidRPr="00804FEE">
              <w:rPr>
                <w:rFonts w:ascii="Times New Roman" w:eastAsia="Arial Unicode MS" w:hAnsi="Times New Roman"/>
                <w:color w:val="000000" w:themeColor="text1"/>
                <w:sz w:val="20"/>
                <w:szCs w:val="20"/>
              </w:rPr>
              <w:t>escală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aflat</w:t>
            </w:r>
            <w:proofErr w:type="spellEnd"/>
            <w:r w:rsidRPr="00804FEE">
              <w:rPr>
                <w:rFonts w:ascii="Times New Roman" w:eastAsia="Arial Unicode MS" w:hAnsi="Times New Roman"/>
                <w:color w:val="000000" w:themeColor="text1"/>
                <w:sz w:val="20"/>
                <w:szCs w:val="20"/>
              </w:rPr>
              <w:t xml:space="preserve"> sub </w:t>
            </w:r>
            <w:proofErr w:type="spellStart"/>
            <w:r w:rsidRPr="00804FEE">
              <w:rPr>
                <w:rFonts w:ascii="Times New Roman" w:eastAsia="Arial Unicode MS" w:hAnsi="Times New Roman"/>
                <w:color w:val="000000" w:themeColor="text1"/>
                <w:sz w:val="20"/>
                <w:szCs w:val="20"/>
              </w:rPr>
              <w:t>jurisdicția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unui</w:t>
            </w:r>
            <w:proofErr w:type="spellEnd"/>
            <w:r w:rsidRPr="00804FEE">
              <w:rPr>
                <w:rFonts w:ascii="Times New Roman" w:eastAsia="Arial Unicode MS" w:hAnsi="Times New Roman"/>
                <w:color w:val="000000" w:themeColor="text1"/>
                <w:sz w:val="20"/>
                <w:szCs w:val="20"/>
              </w:rPr>
              <w:t xml:space="preserve"> stat </w:t>
            </w:r>
            <w:proofErr w:type="spellStart"/>
            <w:r w:rsidRPr="00804FEE">
              <w:rPr>
                <w:rFonts w:ascii="Times New Roman" w:eastAsia="Arial Unicode MS" w:hAnsi="Times New Roman"/>
                <w:color w:val="000000" w:themeColor="text1"/>
                <w:sz w:val="20"/>
                <w:szCs w:val="20"/>
              </w:rPr>
              <w:t>membru</w:t>
            </w:r>
            <w:proofErr w:type="spellEnd"/>
            <w:r w:rsidRPr="00804FEE">
              <w:rPr>
                <w:rFonts w:ascii="Times New Roman" w:eastAsia="Arial Unicode MS" w:hAnsi="Times New Roman"/>
                <w:color w:val="000000" w:themeColor="text1"/>
                <w:sz w:val="20"/>
                <w:szCs w:val="20"/>
              </w:rPr>
              <w:t xml:space="preserve"> și un port de </w:t>
            </w:r>
            <w:proofErr w:type="spellStart"/>
            <w:r w:rsidRPr="00804FEE">
              <w:rPr>
                <w:rFonts w:ascii="Times New Roman" w:eastAsia="Arial Unicode MS" w:hAnsi="Times New Roman"/>
                <w:color w:val="000000" w:themeColor="text1"/>
                <w:sz w:val="20"/>
                <w:szCs w:val="20"/>
              </w:rPr>
              <w:t>escală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aflat</w:t>
            </w:r>
            <w:proofErr w:type="spellEnd"/>
            <w:r w:rsidRPr="00804FEE">
              <w:rPr>
                <w:rFonts w:ascii="Times New Roman" w:eastAsia="Arial Unicode MS" w:hAnsi="Times New Roman"/>
                <w:color w:val="000000" w:themeColor="text1"/>
                <w:sz w:val="20"/>
                <w:szCs w:val="20"/>
              </w:rPr>
              <w:t xml:space="preserve"> în afara </w:t>
            </w:r>
            <w:proofErr w:type="spellStart"/>
            <w:r w:rsidRPr="00804FEE">
              <w:rPr>
                <w:rFonts w:ascii="Times New Roman" w:eastAsia="Arial Unicode MS" w:hAnsi="Times New Roman"/>
                <w:color w:val="000000" w:themeColor="text1"/>
                <w:sz w:val="20"/>
                <w:szCs w:val="20"/>
              </w:rPr>
              <w:t>jurisdicției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unui</w:t>
            </w:r>
            <w:proofErr w:type="spellEnd"/>
            <w:r w:rsidRPr="00804FEE">
              <w:rPr>
                <w:rFonts w:ascii="Times New Roman" w:eastAsia="Arial Unicode MS" w:hAnsi="Times New Roman"/>
                <w:color w:val="000000" w:themeColor="text1"/>
                <w:sz w:val="20"/>
                <w:szCs w:val="20"/>
              </w:rPr>
              <w:t xml:space="preserve"> stat </w:t>
            </w:r>
            <w:proofErr w:type="spellStart"/>
            <w:r w:rsidRPr="00804FEE">
              <w:rPr>
                <w:rFonts w:ascii="Times New Roman" w:eastAsia="Arial Unicode MS" w:hAnsi="Times New Roman"/>
                <w:color w:val="000000" w:themeColor="text1"/>
                <w:sz w:val="20"/>
                <w:szCs w:val="20"/>
              </w:rPr>
              <w:t>membru</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având</w:t>
            </w:r>
            <w:proofErr w:type="spellEnd"/>
            <w:r w:rsidRPr="00804FEE">
              <w:rPr>
                <w:rFonts w:ascii="Times New Roman" w:eastAsia="Arial Unicode MS" w:hAnsi="Times New Roman"/>
                <w:color w:val="000000" w:themeColor="text1"/>
                <w:sz w:val="20"/>
                <w:szCs w:val="20"/>
              </w:rPr>
              <w:t xml:space="preserve"> în </w:t>
            </w:r>
            <w:proofErr w:type="spellStart"/>
            <w:r w:rsidRPr="00804FEE">
              <w:rPr>
                <w:rFonts w:ascii="Times New Roman" w:eastAsia="Arial Unicode MS" w:hAnsi="Times New Roman"/>
                <w:color w:val="000000" w:themeColor="text1"/>
                <w:sz w:val="20"/>
                <w:szCs w:val="20"/>
              </w:rPr>
              <w:t>vedere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obiectivele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Acordului</w:t>
            </w:r>
            <w:proofErr w:type="spellEnd"/>
            <w:r w:rsidRPr="00804FEE">
              <w:rPr>
                <w:rFonts w:ascii="Times New Roman" w:eastAsia="Arial Unicode MS" w:hAnsi="Times New Roman"/>
                <w:color w:val="000000" w:themeColor="text1"/>
                <w:sz w:val="20"/>
                <w:szCs w:val="20"/>
              </w:rPr>
              <w:t xml:space="preserve"> de la Paris. În </w:t>
            </w:r>
            <w:proofErr w:type="spellStart"/>
            <w:r w:rsidRPr="00804FEE">
              <w:rPr>
                <w:rFonts w:ascii="Times New Roman" w:eastAsia="Arial Unicode MS" w:hAnsi="Times New Roman"/>
                <w:color w:val="000000" w:themeColor="text1"/>
                <w:sz w:val="20"/>
                <w:szCs w:val="20"/>
              </w:rPr>
              <w:t>raportul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respectiv</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Comisia</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analizează</w:t>
            </w:r>
            <w:proofErr w:type="spellEnd"/>
            <w:r w:rsidRPr="00804FEE">
              <w:rPr>
                <w:rFonts w:ascii="Times New Roman" w:eastAsia="Arial Unicode MS" w:hAnsi="Times New Roman"/>
                <w:color w:val="000000" w:themeColor="text1"/>
                <w:sz w:val="20"/>
                <w:szCs w:val="20"/>
              </w:rPr>
              <w:t xml:space="preserve">, în special, </w:t>
            </w:r>
            <w:proofErr w:type="spellStart"/>
            <w:r w:rsidRPr="00804FEE">
              <w:rPr>
                <w:rFonts w:ascii="Times New Roman" w:eastAsia="Arial Unicode MS" w:hAnsi="Times New Roman"/>
                <w:color w:val="000000" w:themeColor="text1"/>
                <w:sz w:val="20"/>
                <w:szCs w:val="20"/>
              </w:rPr>
              <w:t>progresele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înregistrate</w:t>
            </w:r>
            <w:proofErr w:type="spellEnd"/>
            <w:r w:rsidRPr="00804FEE">
              <w:rPr>
                <w:rFonts w:ascii="Times New Roman" w:eastAsia="Arial Unicode MS" w:hAnsi="Times New Roman"/>
                <w:color w:val="000000" w:themeColor="text1"/>
                <w:sz w:val="20"/>
                <w:szCs w:val="20"/>
              </w:rPr>
              <w:t xml:space="preserve"> la </w:t>
            </w:r>
            <w:proofErr w:type="spellStart"/>
            <w:r w:rsidRPr="00804FEE">
              <w:rPr>
                <w:rFonts w:ascii="Times New Roman" w:eastAsia="Arial Unicode MS" w:hAnsi="Times New Roman"/>
                <w:color w:val="000000" w:themeColor="text1"/>
                <w:sz w:val="20"/>
                <w:szCs w:val="20"/>
              </w:rPr>
              <w:t>nivelul</w:t>
            </w:r>
            <w:proofErr w:type="spellEnd"/>
            <w:r w:rsidRPr="00804FEE">
              <w:rPr>
                <w:rFonts w:ascii="Times New Roman" w:eastAsia="Arial Unicode MS" w:hAnsi="Times New Roman"/>
                <w:color w:val="000000" w:themeColor="text1"/>
                <w:sz w:val="20"/>
                <w:szCs w:val="20"/>
              </w:rPr>
              <w:t xml:space="preserve"> OMI și </w:t>
            </w:r>
            <w:proofErr w:type="spellStart"/>
            <w:r w:rsidRPr="00804FEE">
              <w:rPr>
                <w:rFonts w:ascii="Times New Roman" w:eastAsia="Arial Unicode MS" w:hAnsi="Times New Roman"/>
                <w:color w:val="000000" w:themeColor="text1"/>
                <w:sz w:val="20"/>
                <w:szCs w:val="20"/>
              </w:rPr>
              <w:t>examinează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dacă</w:t>
            </w:r>
            <w:proofErr w:type="spellEnd"/>
            <w:r w:rsidRPr="00804FEE">
              <w:rPr>
                <w:rFonts w:ascii="Times New Roman" w:eastAsia="Arial Unicode MS" w:hAnsi="Times New Roman"/>
                <w:color w:val="000000" w:themeColor="text1"/>
                <w:sz w:val="20"/>
                <w:szCs w:val="20"/>
              </w:rPr>
              <w:t xml:space="preserve"> o </w:t>
            </w:r>
            <w:proofErr w:type="spellStart"/>
            <w:r w:rsidRPr="00804FEE">
              <w:rPr>
                <w:rFonts w:ascii="Times New Roman" w:eastAsia="Arial Unicode MS" w:hAnsi="Times New Roman"/>
                <w:color w:val="000000" w:themeColor="text1"/>
                <w:sz w:val="20"/>
                <w:szCs w:val="20"/>
              </w:rPr>
              <w:t>țară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terță</w:t>
            </w:r>
            <w:proofErr w:type="spellEnd"/>
            <w:r w:rsidRPr="00804FEE">
              <w:rPr>
                <w:rFonts w:ascii="Times New Roman" w:eastAsia="Arial Unicode MS" w:hAnsi="Times New Roman"/>
                <w:color w:val="000000" w:themeColor="text1"/>
                <w:sz w:val="20"/>
                <w:szCs w:val="20"/>
              </w:rPr>
              <w:t xml:space="preserve"> are o </w:t>
            </w:r>
            <w:proofErr w:type="spellStart"/>
            <w:r w:rsidRPr="00804FEE">
              <w:rPr>
                <w:rFonts w:ascii="Times New Roman" w:eastAsia="Arial Unicode MS" w:hAnsi="Times New Roman"/>
                <w:color w:val="000000" w:themeColor="text1"/>
                <w:sz w:val="20"/>
                <w:szCs w:val="20"/>
              </w:rPr>
              <w:t>măsură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bazată</w:t>
            </w:r>
            <w:proofErr w:type="spellEnd"/>
            <w:r w:rsidRPr="00804FEE">
              <w:rPr>
                <w:rFonts w:ascii="Times New Roman" w:eastAsia="Arial Unicode MS" w:hAnsi="Times New Roman"/>
                <w:color w:val="000000" w:themeColor="text1"/>
                <w:sz w:val="20"/>
                <w:szCs w:val="20"/>
              </w:rPr>
              <w:t xml:space="preserve"> pe </w:t>
            </w:r>
            <w:proofErr w:type="spellStart"/>
            <w:r w:rsidRPr="00804FEE">
              <w:rPr>
                <w:rFonts w:ascii="Times New Roman" w:eastAsia="Arial Unicode MS" w:hAnsi="Times New Roman"/>
                <w:color w:val="000000" w:themeColor="text1"/>
                <w:sz w:val="20"/>
                <w:szCs w:val="20"/>
              </w:rPr>
              <w:t>piață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echivalentă</w:t>
            </w:r>
            <w:proofErr w:type="spellEnd"/>
            <w:r w:rsidRPr="00804FEE">
              <w:rPr>
                <w:rFonts w:ascii="Times New Roman" w:eastAsia="Arial Unicode MS" w:hAnsi="Times New Roman"/>
                <w:color w:val="000000" w:themeColor="text1"/>
                <w:sz w:val="20"/>
                <w:szCs w:val="20"/>
              </w:rPr>
              <w:t xml:space="preserve"> cu prezenta </w:t>
            </w:r>
            <w:proofErr w:type="spellStart"/>
            <w:r w:rsidRPr="00804FEE">
              <w:rPr>
                <w:rFonts w:ascii="Times New Roman" w:eastAsia="Arial Unicode MS" w:hAnsi="Times New Roman"/>
                <w:color w:val="000000" w:themeColor="text1"/>
                <w:sz w:val="20"/>
                <w:szCs w:val="20"/>
              </w:rPr>
              <w:t>directivă</w:t>
            </w:r>
            <w:proofErr w:type="spellEnd"/>
            <w:r w:rsidRPr="00804FEE">
              <w:rPr>
                <w:rFonts w:ascii="Times New Roman" w:eastAsia="Arial Unicode MS" w:hAnsi="Times New Roman"/>
                <w:color w:val="000000" w:themeColor="text1"/>
                <w:sz w:val="20"/>
                <w:szCs w:val="20"/>
              </w:rPr>
              <w:t xml:space="preserve"> și </w:t>
            </w:r>
            <w:proofErr w:type="spellStart"/>
            <w:r w:rsidRPr="00804FEE">
              <w:rPr>
                <w:rFonts w:ascii="Times New Roman" w:eastAsia="Arial Unicode MS" w:hAnsi="Times New Roman"/>
                <w:color w:val="000000" w:themeColor="text1"/>
                <w:sz w:val="20"/>
                <w:szCs w:val="20"/>
              </w:rPr>
              <w:t>evaluează</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riscul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unei</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creșteri</w:t>
            </w:r>
            <w:proofErr w:type="spellEnd"/>
            <w:r w:rsidRPr="00804FEE">
              <w:rPr>
                <w:rFonts w:ascii="Times New Roman" w:eastAsia="Arial Unicode MS" w:hAnsi="Times New Roman"/>
                <w:color w:val="000000" w:themeColor="text1"/>
                <w:sz w:val="20"/>
                <w:szCs w:val="20"/>
              </w:rPr>
              <w:t xml:space="preserve"> a </w:t>
            </w:r>
            <w:proofErr w:type="spellStart"/>
            <w:r w:rsidRPr="00804FEE">
              <w:rPr>
                <w:rFonts w:ascii="Times New Roman" w:eastAsia="Arial Unicode MS" w:hAnsi="Times New Roman"/>
                <w:color w:val="000000" w:themeColor="text1"/>
                <w:sz w:val="20"/>
                <w:szCs w:val="20"/>
              </w:rPr>
              <w:t>practicilor</w:t>
            </w:r>
            <w:proofErr w:type="spellEnd"/>
            <w:r w:rsidRPr="00804FEE">
              <w:rPr>
                <w:rFonts w:ascii="Times New Roman" w:eastAsia="Arial Unicode MS" w:hAnsi="Times New Roman"/>
                <w:color w:val="000000" w:themeColor="text1"/>
                <w:sz w:val="20"/>
                <w:szCs w:val="20"/>
              </w:rPr>
              <w:t xml:space="preserve"> de </w:t>
            </w:r>
            <w:proofErr w:type="spellStart"/>
            <w:r w:rsidRPr="00804FEE">
              <w:rPr>
                <w:rFonts w:ascii="Times New Roman" w:eastAsia="Arial Unicode MS" w:hAnsi="Times New Roman"/>
                <w:color w:val="000000" w:themeColor="text1"/>
                <w:sz w:val="20"/>
                <w:szCs w:val="20"/>
              </w:rPr>
              <w:t>eludare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inclusiv</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prin</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trecerea</w:t>
            </w:r>
            <w:proofErr w:type="spellEnd"/>
            <w:r w:rsidRPr="00804FEE">
              <w:rPr>
                <w:rFonts w:ascii="Times New Roman" w:eastAsia="Arial Unicode MS" w:hAnsi="Times New Roman"/>
                <w:color w:val="000000" w:themeColor="text1"/>
                <w:sz w:val="20"/>
                <w:szCs w:val="20"/>
              </w:rPr>
              <w:t xml:space="preserve"> la </w:t>
            </w:r>
            <w:proofErr w:type="spellStart"/>
            <w:r w:rsidRPr="00804FEE">
              <w:rPr>
                <w:rFonts w:ascii="Times New Roman" w:eastAsia="Arial Unicode MS" w:hAnsi="Times New Roman"/>
                <w:color w:val="000000" w:themeColor="text1"/>
                <w:sz w:val="20"/>
                <w:szCs w:val="20"/>
              </w:rPr>
              <w:t>alte</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moduri</w:t>
            </w:r>
            <w:proofErr w:type="spellEnd"/>
            <w:r w:rsidRPr="00804FEE">
              <w:rPr>
                <w:rFonts w:ascii="Times New Roman" w:eastAsia="Arial Unicode MS" w:hAnsi="Times New Roman"/>
                <w:color w:val="000000" w:themeColor="text1"/>
                <w:sz w:val="20"/>
                <w:szCs w:val="20"/>
              </w:rPr>
              <w:t xml:space="preserve"> de transport </w:t>
            </w:r>
            <w:proofErr w:type="spellStart"/>
            <w:r w:rsidRPr="00804FEE">
              <w:rPr>
                <w:rFonts w:ascii="Times New Roman" w:eastAsia="Arial Unicode MS" w:hAnsi="Times New Roman"/>
                <w:color w:val="000000" w:themeColor="text1"/>
                <w:sz w:val="20"/>
                <w:szCs w:val="20"/>
              </w:rPr>
              <w:t>sau</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prin</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transferul</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nodurilor</w:t>
            </w:r>
            <w:proofErr w:type="spellEnd"/>
            <w:r w:rsidRPr="00804FEE">
              <w:rPr>
                <w:rFonts w:ascii="Times New Roman" w:eastAsia="Arial Unicode MS" w:hAnsi="Times New Roman"/>
                <w:color w:val="000000" w:themeColor="text1"/>
                <w:sz w:val="20"/>
                <w:szCs w:val="20"/>
              </w:rPr>
              <w:t xml:space="preserve"> </w:t>
            </w:r>
            <w:proofErr w:type="spellStart"/>
            <w:r w:rsidRPr="00804FEE">
              <w:rPr>
                <w:rFonts w:ascii="Times New Roman" w:eastAsia="Arial Unicode MS" w:hAnsi="Times New Roman"/>
                <w:color w:val="000000" w:themeColor="text1"/>
                <w:sz w:val="20"/>
                <w:szCs w:val="20"/>
              </w:rPr>
              <w:t>portuare</w:t>
            </w:r>
            <w:proofErr w:type="spellEnd"/>
            <w:r w:rsidRPr="00804FEE">
              <w:rPr>
                <w:rFonts w:ascii="Times New Roman" w:eastAsia="Arial Unicode MS" w:hAnsi="Times New Roman"/>
                <w:color w:val="000000" w:themeColor="text1"/>
                <w:sz w:val="20"/>
                <w:szCs w:val="20"/>
              </w:rPr>
              <w:t xml:space="preserve"> în </w:t>
            </w:r>
            <w:proofErr w:type="spellStart"/>
            <w:r w:rsidRPr="00804FEE">
              <w:rPr>
                <w:rFonts w:ascii="Times New Roman" w:eastAsia="Arial Unicode MS" w:hAnsi="Times New Roman"/>
                <w:color w:val="000000" w:themeColor="text1"/>
                <w:sz w:val="20"/>
                <w:szCs w:val="20"/>
              </w:rPr>
              <w:t>porturi</w:t>
            </w:r>
            <w:proofErr w:type="spellEnd"/>
            <w:r w:rsidRPr="00804FEE">
              <w:rPr>
                <w:rFonts w:ascii="Times New Roman" w:eastAsia="Arial Unicode MS" w:hAnsi="Times New Roman"/>
                <w:color w:val="000000" w:themeColor="text1"/>
                <w:sz w:val="20"/>
                <w:szCs w:val="20"/>
              </w:rPr>
              <w:t xml:space="preserve"> din afara </w:t>
            </w:r>
            <w:proofErr w:type="spellStart"/>
            <w:r w:rsidRPr="00804FEE">
              <w:rPr>
                <w:rFonts w:ascii="Times New Roman" w:eastAsia="Arial Unicode MS" w:hAnsi="Times New Roman"/>
                <w:color w:val="000000" w:themeColor="text1"/>
                <w:sz w:val="20"/>
                <w:szCs w:val="20"/>
              </w:rPr>
              <w:t>Uniunii</w:t>
            </w:r>
            <w:proofErr w:type="spellEnd"/>
            <w:r w:rsidRPr="00804FEE">
              <w:rPr>
                <w:rFonts w:ascii="Times New Roman" w:eastAsia="Arial Unicode MS" w:hAnsi="Times New Roman"/>
                <w:color w:val="000000" w:themeColor="text1"/>
                <w:sz w:val="20"/>
                <w:szCs w:val="20"/>
              </w:rPr>
              <w:t>.</w:t>
            </w:r>
          </w:p>
          <w:p w14:paraId="713D2B20" w14:textId="77777777" w:rsidR="00124364" w:rsidRPr="00804FEE" w:rsidRDefault="00000000" w:rsidP="00804FEE">
            <w:pPr>
              <w:pStyle w:val="af8"/>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Dacă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menționat</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primul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paragraf</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însoțit</w:t>
            </w:r>
            <w:proofErr w:type="spellEnd"/>
            <w:r w:rsidRPr="00804FEE">
              <w:rPr>
                <w:rFonts w:ascii="Times New Roman" w:eastAsia="Arial Unicode MS" w:hAnsi="Times New Roman"/>
                <w:color w:val="000000" w:themeColor="text1"/>
                <w:sz w:val="20"/>
                <w:szCs w:val="20"/>
                <w:shd w:val="clear" w:color="auto" w:fill="FFFFFF"/>
              </w:rPr>
              <w:t xml:space="preserve"> de o </w:t>
            </w:r>
            <w:proofErr w:type="spellStart"/>
            <w:r w:rsidRPr="00804FEE">
              <w:rPr>
                <w:rFonts w:ascii="Times New Roman" w:eastAsia="Arial Unicode MS" w:hAnsi="Times New Roman"/>
                <w:color w:val="000000" w:themeColor="text1"/>
                <w:sz w:val="20"/>
                <w:szCs w:val="20"/>
                <w:shd w:val="clear" w:color="auto" w:fill="FFFFFF"/>
              </w:rPr>
              <w:t>propunere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legislativă</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modificare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directive.</w:t>
            </w:r>
          </w:p>
          <w:p w14:paraId="52AC644F" w14:textId="77777777" w:rsidR="00124364" w:rsidRPr="00804FEE" w:rsidRDefault="00000000" w:rsidP="00804FEE">
            <w:pPr>
              <w:pStyle w:val="af8"/>
              <w:numPr>
                <w:ilvl w:val="0"/>
                <w:numId w:val="29"/>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monitorizează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punerea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prezentului</w:t>
            </w:r>
            <w:proofErr w:type="spellEnd"/>
            <w:r w:rsidRPr="00804FEE">
              <w:rPr>
                <w:rFonts w:ascii="Times New Roman" w:eastAsia="Arial Unicode MS" w:hAnsi="Times New Roman"/>
                <w:color w:val="000000" w:themeColor="text1"/>
                <w:sz w:val="20"/>
                <w:szCs w:val="20"/>
                <w:shd w:val="clear" w:color="auto" w:fill="FFFFFF"/>
              </w:rPr>
              <w:t xml:space="preserve"> capitol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transportul</w:t>
            </w:r>
            <w:proofErr w:type="spellEnd"/>
            <w:r w:rsidRPr="00804FEE">
              <w:rPr>
                <w:rFonts w:ascii="Times New Roman" w:eastAsia="Arial Unicode MS" w:hAnsi="Times New Roman"/>
                <w:color w:val="000000" w:themeColor="text1"/>
                <w:sz w:val="20"/>
                <w:szCs w:val="20"/>
                <w:shd w:val="clear" w:color="auto" w:fill="FFFFFF"/>
              </w:rPr>
              <w:t xml:space="preserve"> maritim, în special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depista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practicile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eludare</w:t>
            </w:r>
            <w:proofErr w:type="spellEnd"/>
            <w:r w:rsidRPr="00804FEE">
              <w:rPr>
                <w:rFonts w:ascii="Times New Roman" w:eastAsia="Arial Unicode MS" w:hAnsi="Times New Roman"/>
                <w:color w:val="000000" w:themeColor="text1"/>
                <w:sz w:val="20"/>
                <w:szCs w:val="20"/>
                <w:shd w:val="clear" w:color="auto" w:fill="FFFFFF"/>
              </w:rPr>
              <w:t xml:space="preserve">, cu </w:t>
            </w:r>
            <w:proofErr w:type="spellStart"/>
            <w:r w:rsidRPr="00804FEE">
              <w:rPr>
                <w:rFonts w:ascii="Times New Roman" w:eastAsia="Arial Unicode MS" w:hAnsi="Times New Roman"/>
                <w:color w:val="000000" w:themeColor="text1"/>
                <w:sz w:val="20"/>
                <w:szCs w:val="20"/>
                <w:shd w:val="clear" w:color="auto" w:fill="FFFFFF"/>
              </w:rPr>
              <w:t>scopul</w:t>
            </w:r>
            <w:proofErr w:type="spellEnd"/>
            <w:r w:rsidRPr="00804FEE">
              <w:rPr>
                <w:rFonts w:ascii="Times New Roman" w:eastAsia="Arial Unicode MS" w:hAnsi="Times New Roman"/>
                <w:color w:val="000000" w:themeColor="text1"/>
                <w:sz w:val="20"/>
                <w:szCs w:val="20"/>
                <w:shd w:val="clear" w:color="auto" w:fill="FFFFFF"/>
              </w:rPr>
              <w:t xml:space="preserve"> de a </w:t>
            </w:r>
            <w:proofErr w:type="spellStart"/>
            <w:r w:rsidRPr="00804FEE">
              <w:rPr>
                <w:rFonts w:ascii="Times New Roman" w:eastAsia="Arial Unicode MS" w:hAnsi="Times New Roman"/>
                <w:color w:val="000000" w:themeColor="text1"/>
                <w:sz w:val="20"/>
                <w:szCs w:val="20"/>
                <w:shd w:val="clear" w:color="auto" w:fill="FFFFFF"/>
              </w:rPr>
              <w:t>preîntâmpina</w:t>
            </w:r>
            <w:proofErr w:type="spellEnd"/>
            <w:r w:rsidRPr="00804FEE">
              <w:rPr>
                <w:rFonts w:ascii="Times New Roman" w:eastAsia="Arial Unicode MS" w:hAnsi="Times New Roman"/>
                <w:color w:val="000000" w:themeColor="text1"/>
                <w:sz w:val="20"/>
                <w:szCs w:val="20"/>
                <w:shd w:val="clear" w:color="auto" w:fill="FFFFFF"/>
              </w:rPr>
              <w:t xml:space="preserve"> un </w:t>
            </w:r>
            <w:proofErr w:type="spellStart"/>
            <w:r w:rsidRPr="00804FEE">
              <w:rPr>
                <w:rFonts w:ascii="Times New Roman" w:eastAsia="Arial Unicode MS" w:hAnsi="Times New Roman"/>
                <w:color w:val="000000" w:themeColor="text1"/>
                <w:sz w:val="20"/>
                <w:szCs w:val="20"/>
                <w:shd w:val="clear" w:color="auto" w:fill="FFFFFF"/>
              </w:rPr>
              <w:t>astfel</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comportament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într</w:t>
            </w:r>
            <w:proofErr w:type="spellEnd"/>
            <w:r w:rsidRPr="00804FEE">
              <w:rPr>
                <w:rFonts w:ascii="Times New Roman" w:eastAsia="Arial Unicode MS" w:hAnsi="Times New Roman"/>
                <w:color w:val="000000" w:themeColor="text1"/>
                <w:sz w:val="20"/>
                <w:szCs w:val="20"/>
                <w:shd w:val="clear" w:color="auto" w:fill="FFFFFF"/>
              </w:rPr>
              <w:t xml:space="preserve">-un </w:t>
            </w:r>
            <w:proofErr w:type="spellStart"/>
            <w:r w:rsidRPr="00804FEE">
              <w:rPr>
                <w:rFonts w:ascii="Times New Roman" w:eastAsia="Arial Unicode MS" w:hAnsi="Times New Roman"/>
                <w:color w:val="000000" w:themeColor="text1"/>
                <w:sz w:val="20"/>
                <w:szCs w:val="20"/>
                <w:shd w:val="clear" w:color="auto" w:fill="FFFFFF"/>
              </w:rPr>
              <w:t>stadiu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timpuriu</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inclusiv</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acordând</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atenție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regiunilor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ultraperiferice</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raportează</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fiecare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doi</w:t>
            </w:r>
            <w:proofErr w:type="spellEnd"/>
            <w:r w:rsidRPr="00804FEE">
              <w:rPr>
                <w:rFonts w:ascii="Times New Roman" w:eastAsia="Arial Unicode MS" w:hAnsi="Times New Roman"/>
                <w:color w:val="000000" w:themeColor="text1"/>
                <w:sz w:val="20"/>
                <w:szCs w:val="20"/>
                <w:shd w:val="clear" w:color="auto" w:fill="FFFFFF"/>
              </w:rPr>
              <w:t xml:space="preserve"> ani, </w:t>
            </w:r>
            <w:proofErr w:type="spellStart"/>
            <w:r w:rsidRPr="00804FEE">
              <w:rPr>
                <w:rFonts w:ascii="Times New Roman" w:eastAsia="Arial Unicode MS" w:hAnsi="Times New Roman"/>
                <w:color w:val="000000" w:themeColor="text1"/>
                <w:sz w:val="20"/>
                <w:szCs w:val="20"/>
                <w:shd w:val="clear" w:color="auto" w:fill="FFFFFF"/>
              </w:rPr>
              <w:t>începând</w:t>
            </w:r>
            <w:proofErr w:type="spellEnd"/>
            <w:r w:rsidRPr="00804FEE">
              <w:rPr>
                <w:rFonts w:ascii="Times New Roman" w:eastAsia="Arial Unicode MS" w:hAnsi="Times New Roman"/>
                <w:color w:val="000000" w:themeColor="text1"/>
                <w:sz w:val="20"/>
                <w:szCs w:val="20"/>
                <w:shd w:val="clear" w:color="auto" w:fill="FFFFFF"/>
              </w:rPr>
              <w:t xml:space="preserve"> cu 2024, cu </w:t>
            </w:r>
            <w:proofErr w:type="spellStart"/>
            <w:r w:rsidRPr="00804FEE">
              <w:rPr>
                <w:rFonts w:ascii="Times New Roman" w:eastAsia="Arial Unicode MS" w:hAnsi="Times New Roman"/>
                <w:color w:val="000000" w:themeColor="text1"/>
                <w:sz w:val="20"/>
                <w:szCs w:val="20"/>
                <w:shd w:val="clear" w:color="auto" w:fill="FFFFFF"/>
              </w:rPr>
              <w:t>privire</w:t>
            </w:r>
            <w:proofErr w:type="spellEnd"/>
            <w:r w:rsidRPr="00804FEE">
              <w:rPr>
                <w:rFonts w:ascii="Times New Roman" w:eastAsia="Arial Unicode MS" w:hAnsi="Times New Roman"/>
                <w:color w:val="000000" w:themeColor="text1"/>
                <w:sz w:val="20"/>
                <w:szCs w:val="20"/>
                <w:shd w:val="clear" w:color="auto" w:fill="FFFFFF"/>
              </w:rPr>
              <w:t xml:space="preserve"> la </w:t>
            </w:r>
            <w:proofErr w:type="spellStart"/>
            <w:r w:rsidRPr="00804FEE">
              <w:rPr>
                <w:rFonts w:ascii="Times New Roman" w:eastAsia="Arial Unicode MS" w:hAnsi="Times New Roman"/>
                <w:color w:val="000000" w:themeColor="text1"/>
                <w:sz w:val="20"/>
                <w:szCs w:val="20"/>
                <w:shd w:val="clear" w:color="auto" w:fill="FFFFFF"/>
              </w:rPr>
              <w:t>punerea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prezentului</w:t>
            </w:r>
            <w:proofErr w:type="spellEnd"/>
            <w:r w:rsidRPr="00804FEE">
              <w:rPr>
                <w:rFonts w:ascii="Times New Roman" w:eastAsia="Arial Unicode MS" w:hAnsi="Times New Roman"/>
                <w:color w:val="000000" w:themeColor="text1"/>
                <w:sz w:val="20"/>
                <w:szCs w:val="20"/>
                <w:shd w:val="clear" w:color="auto" w:fill="FFFFFF"/>
              </w:rPr>
              <w:t xml:space="preserve"> capitol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transportul</w:t>
            </w:r>
            <w:proofErr w:type="spellEnd"/>
            <w:r w:rsidRPr="00804FEE">
              <w:rPr>
                <w:rFonts w:ascii="Times New Roman" w:eastAsia="Arial Unicode MS" w:hAnsi="Times New Roman"/>
                <w:color w:val="000000" w:themeColor="text1"/>
                <w:sz w:val="20"/>
                <w:szCs w:val="20"/>
                <w:shd w:val="clear" w:color="auto" w:fill="FFFFFF"/>
              </w:rPr>
              <w:t xml:space="preserve"> maritim și la </w:t>
            </w:r>
            <w:proofErr w:type="spellStart"/>
            <w:r w:rsidRPr="00804FEE">
              <w:rPr>
                <w:rFonts w:ascii="Times New Roman" w:eastAsia="Arial Unicode MS" w:hAnsi="Times New Roman"/>
                <w:color w:val="000000" w:themeColor="text1"/>
                <w:sz w:val="20"/>
                <w:szCs w:val="20"/>
                <w:shd w:val="clear" w:color="auto" w:fill="FFFFFF"/>
              </w:rPr>
              <w:t>posibilele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tendințe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companiile</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w:t>
            </w:r>
            <w:proofErr w:type="spellStart"/>
            <w:r w:rsidRPr="00804FEE">
              <w:rPr>
                <w:rFonts w:ascii="Times New Roman" w:eastAsia="Arial Unicode MS" w:hAnsi="Times New Roman"/>
                <w:color w:val="000000" w:themeColor="text1"/>
                <w:sz w:val="20"/>
                <w:szCs w:val="20"/>
                <w:shd w:val="clear" w:color="auto" w:fill="FFFFFF"/>
              </w:rPr>
              <w:t>urmăresc</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eludeze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cerințele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directive.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monitorizează</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asemenea</w:t>
            </w:r>
            <w:proofErr w:type="spellEnd"/>
            <w:r w:rsidRPr="00804FEE">
              <w:rPr>
                <w:rFonts w:ascii="Times New Roman" w:eastAsia="Arial Unicode MS" w:hAnsi="Times New Roman"/>
                <w:color w:val="000000" w:themeColor="text1"/>
                <w:sz w:val="20"/>
                <w:szCs w:val="20"/>
                <w:shd w:val="clear" w:color="auto" w:fill="FFFFFF"/>
              </w:rPr>
              <w:t xml:space="preserve">, efectele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printre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altele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posibila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creștere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costurilor</w:t>
            </w:r>
            <w:proofErr w:type="spellEnd"/>
            <w:r w:rsidRPr="00804FEE">
              <w:rPr>
                <w:rFonts w:ascii="Times New Roman" w:eastAsia="Arial Unicode MS" w:hAnsi="Times New Roman"/>
                <w:color w:val="000000" w:themeColor="text1"/>
                <w:sz w:val="20"/>
                <w:szCs w:val="20"/>
                <w:shd w:val="clear" w:color="auto" w:fill="FFFFFF"/>
              </w:rPr>
              <w:t xml:space="preserve"> de transport, </w:t>
            </w:r>
            <w:proofErr w:type="spellStart"/>
            <w:r w:rsidRPr="00804FEE">
              <w:rPr>
                <w:rFonts w:ascii="Times New Roman" w:eastAsia="Arial Unicode MS" w:hAnsi="Times New Roman"/>
                <w:color w:val="000000" w:themeColor="text1"/>
                <w:sz w:val="20"/>
                <w:szCs w:val="20"/>
                <w:shd w:val="clear" w:color="auto" w:fill="FFFFFF"/>
              </w:rPr>
              <w:t>posibilele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denaturări</w:t>
            </w:r>
            <w:proofErr w:type="spellEnd"/>
            <w:r w:rsidRPr="00804FEE">
              <w:rPr>
                <w:rFonts w:ascii="Times New Roman" w:eastAsia="Arial Unicode MS" w:hAnsi="Times New Roman"/>
                <w:color w:val="000000" w:themeColor="text1"/>
                <w:sz w:val="20"/>
                <w:szCs w:val="20"/>
                <w:shd w:val="clear" w:color="auto" w:fill="FFFFFF"/>
              </w:rPr>
              <w:t xml:space="preserve"> ale </w:t>
            </w:r>
            <w:proofErr w:type="spellStart"/>
            <w:r w:rsidRPr="00804FEE">
              <w:rPr>
                <w:rFonts w:ascii="Times New Roman" w:eastAsia="Arial Unicode MS" w:hAnsi="Times New Roman"/>
                <w:color w:val="000000" w:themeColor="text1"/>
                <w:sz w:val="20"/>
                <w:szCs w:val="20"/>
                <w:shd w:val="clear" w:color="auto" w:fill="FFFFFF"/>
              </w:rPr>
              <w:t>pieței</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modificări</w:t>
            </w:r>
            <w:proofErr w:type="spellEnd"/>
            <w:r w:rsidRPr="00804FEE">
              <w:rPr>
                <w:rFonts w:ascii="Times New Roman" w:eastAsia="Arial Unicode MS" w:hAnsi="Times New Roman"/>
                <w:color w:val="000000" w:themeColor="text1"/>
                <w:sz w:val="20"/>
                <w:szCs w:val="20"/>
                <w:shd w:val="clear" w:color="auto" w:fill="FFFFFF"/>
              </w:rPr>
              <w:t xml:space="preserve"> ale </w:t>
            </w:r>
            <w:proofErr w:type="spellStart"/>
            <w:r w:rsidRPr="00804FEE">
              <w:rPr>
                <w:rFonts w:ascii="Times New Roman" w:eastAsia="Arial Unicode MS" w:hAnsi="Times New Roman"/>
                <w:color w:val="000000" w:themeColor="text1"/>
                <w:sz w:val="20"/>
                <w:szCs w:val="20"/>
                <w:shd w:val="clear" w:color="auto" w:fill="FFFFFF"/>
              </w:rPr>
              <w:t>traficului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portuar</w:t>
            </w:r>
            <w:proofErr w:type="spellEnd"/>
            <w:r w:rsidRPr="00804FEE">
              <w:rPr>
                <w:rFonts w:ascii="Times New Roman" w:eastAsia="Arial Unicode MS" w:hAnsi="Times New Roman"/>
                <w:color w:val="000000" w:themeColor="text1"/>
                <w:sz w:val="20"/>
                <w:szCs w:val="20"/>
                <w:shd w:val="clear" w:color="auto" w:fill="FFFFFF"/>
              </w:rPr>
              <w:t xml:space="preserve">, cum </w:t>
            </w:r>
            <w:proofErr w:type="spellStart"/>
            <w:r w:rsidRPr="00804FEE">
              <w:rPr>
                <w:rFonts w:ascii="Times New Roman" w:eastAsia="Arial Unicode MS" w:hAnsi="Times New Roman"/>
                <w:color w:val="000000" w:themeColor="text1"/>
                <w:sz w:val="20"/>
                <w:szCs w:val="20"/>
                <w:shd w:val="clear" w:color="auto" w:fill="FFFFFF"/>
              </w:rPr>
              <w:t>ar</w:t>
            </w:r>
            <w:proofErr w:type="spellEnd"/>
            <w:r w:rsidRPr="00804FEE">
              <w:rPr>
                <w:rFonts w:ascii="Times New Roman" w:eastAsia="Arial Unicode MS" w:hAnsi="Times New Roman"/>
                <w:color w:val="000000" w:themeColor="text1"/>
                <w:sz w:val="20"/>
                <w:szCs w:val="20"/>
                <w:shd w:val="clear" w:color="auto" w:fill="FFFFFF"/>
              </w:rPr>
              <w:t xml:space="preserve"> fi </w:t>
            </w:r>
            <w:proofErr w:type="spellStart"/>
            <w:r w:rsidRPr="00804FEE">
              <w:rPr>
                <w:rFonts w:ascii="Times New Roman" w:eastAsia="Arial Unicode MS" w:hAnsi="Times New Roman"/>
                <w:color w:val="000000" w:themeColor="text1"/>
                <w:sz w:val="20"/>
                <w:szCs w:val="20"/>
                <w:shd w:val="clear" w:color="auto" w:fill="FFFFFF"/>
              </w:rPr>
              <w:t>evitarea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porturilor</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schimbarea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nodurilor</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transbordare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competitivitatea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generală</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sectorului</w:t>
            </w:r>
            <w:proofErr w:type="spellEnd"/>
            <w:r w:rsidRPr="00804FEE">
              <w:rPr>
                <w:rFonts w:ascii="Times New Roman" w:eastAsia="Arial Unicode MS" w:hAnsi="Times New Roman"/>
                <w:color w:val="000000" w:themeColor="text1"/>
                <w:sz w:val="20"/>
                <w:szCs w:val="20"/>
                <w:shd w:val="clear" w:color="auto" w:fill="FFFFFF"/>
              </w:rPr>
              <w:t xml:space="preserve"> maritim din </w:t>
            </w:r>
            <w:proofErr w:type="spellStart"/>
            <w:r w:rsidRPr="00804FEE">
              <w:rPr>
                <w:rFonts w:ascii="Times New Roman" w:eastAsia="Arial Unicode MS" w:hAnsi="Times New Roman"/>
                <w:color w:val="000000" w:themeColor="text1"/>
                <w:sz w:val="20"/>
                <w:szCs w:val="20"/>
                <w:shd w:val="clear" w:color="auto" w:fill="FFFFFF"/>
              </w:rPr>
              <w:t>statele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membre</w:t>
            </w:r>
            <w:proofErr w:type="spellEnd"/>
            <w:r w:rsidRPr="00804FEE">
              <w:rPr>
                <w:rFonts w:ascii="Times New Roman" w:eastAsia="Arial Unicode MS" w:hAnsi="Times New Roman"/>
                <w:color w:val="000000" w:themeColor="text1"/>
                <w:sz w:val="20"/>
                <w:szCs w:val="20"/>
                <w:shd w:val="clear" w:color="auto" w:fill="FFFFFF"/>
              </w:rPr>
              <w:t xml:space="preserve"> și, în special, efectele </w:t>
            </w:r>
            <w:proofErr w:type="spellStart"/>
            <w:r w:rsidRPr="00804FEE">
              <w:rPr>
                <w:rFonts w:ascii="Times New Roman" w:eastAsia="Arial Unicode MS" w:hAnsi="Times New Roman"/>
                <w:color w:val="000000" w:themeColor="text1"/>
                <w:sz w:val="20"/>
                <w:szCs w:val="20"/>
                <w:shd w:val="clear" w:color="auto" w:fill="FFFFFF"/>
              </w:rPr>
              <w:t>asupra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serviciilor</w:t>
            </w:r>
            <w:proofErr w:type="spellEnd"/>
            <w:r w:rsidRPr="00804FEE">
              <w:rPr>
                <w:rFonts w:ascii="Times New Roman" w:eastAsia="Arial Unicode MS" w:hAnsi="Times New Roman"/>
                <w:color w:val="000000" w:themeColor="text1"/>
                <w:sz w:val="20"/>
                <w:szCs w:val="20"/>
                <w:shd w:val="clear" w:color="auto" w:fill="FFFFFF"/>
              </w:rPr>
              <w:t xml:space="preserve"> de transport maritim care </w:t>
            </w:r>
            <w:proofErr w:type="spellStart"/>
            <w:r w:rsidRPr="00804FEE">
              <w:rPr>
                <w:rFonts w:ascii="Times New Roman" w:eastAsia="Arial Unicode MS" w:hAnsi="Times New Roman"/>
                <w:color w:val="000000" w:themeColor="text1"/>
                <w:sz w:val="20"/>
                <w:szCs w:val="20"/>
                <w:shd w:val="clear" w:color="auto" w:fill="FFFFFF"/>
              </w:rPr>
              <w:t>constituie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servicii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esențiale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continuitate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teritorială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Dacă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propune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măsuri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pentru</w:t>
            </w:r>
            <w:proofErr w:type="spellEnd"/>
            <w:r w:rsidRPr="00804FEE">
              <w:rPr>
                <w:rFonts w:ascii="Times New Roman" w:eastAsia="Arial Unicode MS" w:hAnsi="Times New Roman"/>
                <w:color w:val="000000" w:themeColor="text1"/>
                <w:sz w:val="20"/>
                <w:szCs w:val="20"/>
                <w:shd w:val="clear" w:color="auto" w:fill="FFFFFF"/>
              </w:rPr>
              <w:t xml:space="preserve"> </w:t>
            </w:r>
            <w:proofErr w:type="gramStart"/>
            <w:r w:rsidRPr="00804FEE">
              <w:rPr>
                <w:rFonts w:ascii="Times New Roman" w:eastAsia="Arial Unicode MS" w:hAnsi="Times New Roman"/>
                <w:color w:val="000000" w:themeColor="text1"/>
                <w:sz w:val="20"/>
                <w:szCs w:val="20"/>
                <w:shd w:val="clear" w:color="auto" w:fill="FFFFFF"/>
              </w:rPr>
              <w:t>a</w:t>
            </w:r>
            <w:proofErr w:type="gram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asigura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punerea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aplicare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efectivă</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prezentului</w:t>
            </w:r>
            <w:proofErr w:type="spellEnd"/>
            <w:r w:rsidRPr="00804FEE">
              <w:rPr>
                <w:rFonts w:ascii="Times New Roman" w:eastAsia="Arial Unicode MS" w:hAnsi="Times New Roman"/>
                <w:color w:val="000000" w:themeColor="text1"/>
                <w:sz w:val="20"/>
                <w:szCs w:val="20"/>
                <w:shd w:val="clear" w:color="auto" w:fill="FFFFFF"/>
              </w:rPr>
              <w:t xml:space="preserve"> capitol în </w:t>
            </w:r>
            <w:proofErr w:type="spellStart"/>
            <w:r w:rsidRPr="00804FEE">
              <w:rPr>
                <w:rFonts w:ascii="Times New Roman" w:eastAsia="Arial Unicode MS" w:hAnsi="Times New Roman"/>
                <w:color w:val="000000" w:themeColor="text1"/>
                <w:sz w:val="20"/>
                <w:szCs w:val="20"/>
                <w:shd w:val="clear" w:color="auto" w:fill="FFFFFF"/>
              </w:rPr>
              <w:t>ceea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privește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transportul</w:t>
            </w:r>
            <w:proofErr w:type="spellEnd"/>
            <w:r w:rsidRPr="00804FEE">
              <w:rPr>
                <w:rFonts w:ascii="Times New Roman" w:eastAsia="Arial Unicode MS" w:hAnsi="Times New Roman"/>
                <w:color w:val="000000" w:themeColor="text1"/>
                <w:sz w:val="20"/>
                <w:szCs w:val="20"/>
                <w:shd w:val="clear" w:color="auto" w:fill="FFFFFF"/>
              </w:rPr>
              <w:t xml:space="preserve"> maritim, în special </w:t>
            </w:r>
            <w:proofErr w:type="spellStart"/>
            <w:r w:rsidRPr="00804FEE">
              <w:rPr>
                <w:rFonts w:ascii="Times New Roman" w:eastAsia="Arial Unicode MS" w:hAnsi="Times New Roman"/>
                <w:color w:val="000000" w:themeColor="text1"/>
                <w:sz w:val="20"/>
                <w:szCs w:val="20"/>
                <w:shd w:val="clear" w:color="auto" w:fill="FFFFFF"/>
              </w:rPr>
              <w:t>măsuri</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contracarare</w:t>
            </w:r>
            <w:proofErr w:type="spellEnd"/>
            <w:r w:rsidRPr="00804FEE">
              <w:rPr>
                <w:rFonts w:ascii="Times New Roman" w:eastAsia="Arial Unicode MS" w:hAnsi="Times New Roman"/>
                <w:color w:val="000000" w:themeColor="text1"/>
                <w:sz w:val="20"/>
                <w:szCs w:val="20"/>
                <w:shd w:val="clear" w:color="auto" w:fill="FFFFFF"/>
              </w:rPr>
              <w:t xml:space="preserve"> a </w:t>
            </w:r>
            <w:proofErr w:type="spellStart"/>
            <w:r w:rsidRPr="00804FEE">
              <w:rPr>
                <w:rFonts w:ascii="Times New Roman" w:eastAsia="Arial Unicode MS" w:hAnsi="Times New Roman"/>
                <w:color w:val="000000" w:themeColor="text1"/>
                <w:sz w:val="20"/>
                <w:szCs w:val="20"/>
                <w:shd w:val="clear" w:color="auto" w:fill="FFFFFF"/>
              </w:rPr>
              <w:t>tentativelor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companiilor</w:t>
            </w:r>
            <w:proofErr w:type="spellEnd"/>
            <w:r w:rsidRPr="00804FEE">
              <w:rPr>
                <w:rFonts w:ascii="Times New Roman" w:eastAsia="Arial Unicode MS" w:hAnsi="Times New Roman"/>
                <w:color w:val="000000" w:themeColor="text1"/>
                <w:sz w:val="20"/>
                <w:szCs w:val="20"/>
                <w:shd w:val="clear" w:color="auto" w:fill="FFFFFF"/>
              </w:rPr>
              <w:t xml:space="preserve"> de transport maritim de a se </w:t>
            </w:r>
            <w:proofErr w:type="spellStart"/>
            <w:r w:rsidRPr="00804FEE">
              <w:rPr>
                <w:rFonts w:ascii="Times New Roman" w:eastAsia="Arial Unicode MS" w:hAnsi="Times New Roman"/>
                <w:color w:val="000000" w:themeColor="text1"/>
                <w:sz w:val="20"/>
                <w:szCs w:val="20"/>
                <w:shd w:val="clear" w:color="auto" w:fill="FFFFFF"/>
              </w:rPr>
              <w:t>sustrage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cerințelor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prezentei</w:t>
            </w:r>
            <w:proofErr w:type="spellEnd"/>
            <w:r w:rsidRPr="00804FEE">
              <w:rPr>
                <w:rFonts w:ascii="Times New Roman" w:eastAsia="Arial Unicode MS" w:hAnsi="Times New Roman"/>
                <w:color w:val="000000" w:themeColor="text1"/>
                <w:sz w:val="20"/>
                <w:szCs w:val="20"/>
                <w:shd w:val="clear" w:color="auto" w:fill="FFFFFF"/>
              </w:rPr>
              <w:t xml:space="preserve"> directive.</w:t>
            </w:r>
          </w:p>
          <w:p w14:paraId="3A9103F1" w14:textId="6D2A99A5" w:rsidR="00124364" w:rsidRPr="00804FEE" w:rsidRDefault="00000000" w:rsidP="00804FEE">
            <w:pPr>
              <w:pStyle w:val="af8"/>
              <w:numPr>
                <w:ilvl w:val="0"/>
                <w:numId w:val="29"/>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Până</w:t>
            </w:r>
            <w:proofErr w:type="spellEnd"/>
            <w:r w:rsidRPr="00804FEE">
              <w:rPr>
                <w:rFonts w:ascii="Times New Roman" w:eastAsia="Arial Unicode MS" w:hAnsi="Times New Roman"/>
                <w:color w:val="000000" w:themeColor="text1"/>
                <w:sz w:val="20"/>
                <w:szCs w:val="20"/>
                <w:shd w:val="clear" w:color="auto" w:fill="FFFFFF"/>
              </w:rPr>
              <w:t xml:space="preserve"> la 30</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septembrie</w:t>
            </w:r>
            <w:proofErr w:type="spellEnd"/>
            <w:r w:rsidRPr="00804FEE">
              <w:rPr>
                <w:rFonts w:ascii="Times New Roman" w:eastAsia="Arial Unicode MS" w:hAnsi="Times New Roman"/>
                <w:color w:val="000000" w:themeColor="text1"/>
                <w:sz w:val="20"/>
                <w:szCs w:val="20"/>
                <w:shd w:val="clear" w:color="auto" w:fill="FFFFFF"/>
              </w:rPr>
              <w:t xml:space="preserve"> 2028,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evaluează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pertinența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prelungirii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aplicării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articolului</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3ga </w:t>
            </w:r>
            <w:proofErr w:type="spellStart"/>
            <w:r w:rsidRPr="00804FEE">
              <w:rPr>
                <w:rFonts w:ascii="Times New Roman" w:eastAsia="Arial Unicode MS" w:hAnsi="Times New Roman"/>
                <w:color w:val="000000" w:themeColor="text1"/>
                <w:sz w:val="20"/>
                <w:szCs w:val="20"/>
                <w:shd w:val="clear" w:color="auto" w:fill="FFFFFF"/>
              </w:rPr>
              <w:t>alineatul</w:t>
            </w:r>
            <w:proofErr w:type="spellEnd"/>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(3) al </w:t>
            </w:r>
            <w:proofErr w:type="spellStart"/>
            <w:r w:rsidRPr="00804FEE">
              <w:rPr>
                <w:rFonts w:ascii="Times New Roman" w:eastAsia="Arial Unicode MS" w:hAnsi="Times New Roman"/>
                <w:color w:val="000000" w:themeColor="text1"/>
                <w:sz w:val="20"/>
                <w:szCs w:val="20"/>
                <w:shd w:val="clear" w:color="auto" w:fill="FFFFFF"/>
              </w:rPr>
              <w:t>doilea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paragraf</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după</w:t>
            </w:r>
            <w:proofErr w:type="spellEnd"/>
            <w:r w:rsidRPr="00804FEE">
              <w:rPr>
                <w:rFonts w:ascii="Times New Roman" w:eastAsia="Arial Unicode MS" w:hAnsi="Times New Roman"/>
                <w:color w:val="000000" w:themeColor="text1"/>
                <w:sz w:val="20"/>
                <w:szCs w:val="20"/>
                <w:shd w:val="clear" w:color="auto" w:fill="FFFFFF"/>
              </w:rPr>
              <w:t xml:space="preserve"> data de 31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decembrie</w:t>
            </w:r>
            <w:proofErr w:type="spellEnd"/>
            <w:r w:rsidRPr="00804FEE">
              <w:rPr>
                <w:rFonts w:ascii="Times New Roman" w:eastAsia="Arial Unicode MS" w:hAnsi="Times New Roman"/>
                <w:color w:val="000000" w:themeColor="text1"/>
                <w:sz w:val="20"/>
                <w:szCs w:val="20"/>
                <w:shd w:val="clear" w:color="auto" w:fill="FFFFFF"/>
              </w:rPr>
              <w:t xml:space="preserve"> 2030 și, </w:t>
            </w:r>
            <w:proofErr w:type="spellStart"/>
            <w:r w:rsidRPr="00804FEE">
              <w:rPr>
                <w:rFonts w:ascii="Times New Roman" w:eastAsia="Arial Unicode MS" w:hAnsi="Times New Roman"/>
                <w:color w:val="000000" w:themeColor="text1"/>
                <w:sz w:val="20"/>
                <w:szCs w:val="20"/>
                <w:shd w:val="clear" w:color="auto" w:fill="FFFFFF"/>
              </w:rPr>
              <w:t>dacă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prezintă</w:t>
            </w:r>
            <w:proofErr w:type="spellEnd"/>
            <w:r w:rsidRPr="00804FEE">
              <w:rPr>
                <w:rFonts w:ascii="Times New Roman" w:eastAsia="Arial Unicode MS" w:hAnsi="Times New Roman"/>
                <w:color w:val="000000" w:themeColor="text1"/>
                <w:sz w:val="20"/>
                <w:szCs w:val="20"/>
                <w:shd w:val="clear" w:color="auto" w:fill="FFFFFF"/>
              </w:rPr>
              <w:t xml:space="preserve"> o </w:t>
            </w:r>
            <w:proofErr w:type="spellStart"/>
            <w:r w:rsidRPr="00804FEE">
              <w:rPr>
                <w:rFonts w:ascii="Times New Roman" w:eastAsia="Arial Unicode MS" w:hAnsi="Times New Roman"/>
                <w:color w:val="000000" w:themeColor="text1"/>
                <w:sz w:val="20"/>
                <w:szCs w:val="20"/>
                <w:shd w:val="clear" w:color="auto" w:fill="FFFFFF"/>
              </w:rPr>
              <w:t>propunere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legislativă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acest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sens.</w:t>
            </w:r>
            <w:proofErr w:type="spellEnd"/>
          </w:p>
          <w:p w14:paraId="6850F4D6" w14:textId="6639D07A" w:rsidR="00124364" w:rsidRPr="00804FEE" w:rsidRDefault="00000000" w:rsidP="00804FEE">
            <w:pPr>
              <w:pStyle w:val="af8"/>
              <w:numPr>
                <w:ilvl w:val="0"/>
                <w:numId w:val="29"/>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804FEE">
              <w:rPr>
                <w:rFonts w:ascii="Times New Roman" w:eastAsia="Arial Unicode MS" w:hAnsi="Times New Roman"/>
                <w:color w:val="000000" w:themeColor="text1"/>
                <w:sz w:val="20"/>
                <w:szCs w:val="20"/>
                <w:shd w:val="clear" w:color="auto" w:fill="FFFFFF"/>
              </w:rPr>
              <w:t>Până</w:t>
            </w:r>
            <w:proofErr w:type="spellEnd"/>
            <w:r w:rsidRPr="00804FEE">
              <w:rPr>
                <w:rFonts w:ascii="Times New Roman" w:eastAsia="Arial Unicode MS" w:hAnsi="Times New Roman"/>
                <w:color w:val="000000" w:themeColor="text1"/>
                <w:sz w:val="20"/>
                <w:szCs w:val="20"/>
                <w:shd w:val="clear" w:color="auto" w:fill="FFFFFF"/>
              </w:rPr>
              <w:t xml:space="preserve"> la 31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decembrie</w:t>
            </w:r>
            <w:proofErr w:type="spellEnd"/>
            <w:r w:rsidRPr="00804FEE">
              <w:rPr>
                <w:rFonts w:ascii="Times New Roman" w:eastAsia="Arial Unicode MS" w:hAnsi="Times New Roman"/>
                <w:color w:val="000000" w:themeColor="text1"/>
                <w:sz w:val="20"/>
                <w:szCs w:val="20"/>
                <w:shd w:val="clear" w:color="auto" w:fill="FFFFFF"/>
              </w:rPr>
              <w:t xml:space="preserve"> 2026,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prezintă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Parlamentului</w:t>
            </w:r>
            <w:proofErr w:type="spellEnd"/>
            <w:r w:rsidRPr="00804FEE">
              <w:rPr>
                <w:rFonts w:ascii="Times New Roman" w:eastAsia="Arial Unicode MS" w:hAnsi="Times New Roman"/>
                <w:color w:val="000000" w:themeColor="text1"/>
                <w:sz w:val="20"/>
                <w:szCs w:val="20"/>
                <w:shd w:val="clear" w:color="auto" w:fill="FFFFFF"/>
              </w:rPr>
              <w:t xml:space="preserve"> European și </w:t>
            </w:r>
            <w:proofErr w:type="spellStart"/>
            <w:r w:rsidRPr="00804FEE">
              <w:rPr>
                <w:rFonts w:ascii="Times New Roman" w:eastAsia="Arial Unicode MS" w:hAnsi="Times New Roman"/>
                <w:color w:val="000000" w:themeColor="text1"/>
                <w:sz w:val="20"/>
                <w:szCs w:val="20"/>
                <w:shd w:val="clear" w:color="auto" w:fill="FFFFFF"/>
              </w:rPr>
              <w:t>Consiliului</w:t>
            </w:r>
            <w:proofErr w:type="spellEnd"/>
            <w:r w:rsidRPr="00804FEE">
              <w:rPr>
                <w:rFonts w:ascii="Times New Roman" w:eastAsia="Arial Unicode MS" w:hAnsi="Times New Roman"/>
                <w:color w:val="000000" w:themeColor="text1"/>
                <w:sz w:val="20"/>
                <w:szCs w:val="20"/>
                <w:shd w:val="clear" w:color="auto" w:fill="FFFFFF"/>
              </w:rPr>
              <w:t xml:space="preserve"> un </w:t>
            </w:r>
            <w:proofErr w:type="spellStart"/>
            <w:r w:rsidRPr="00804FEE">
              <w:rPr>
                <w:rFonts w:ascii="Times New Roman" w:eastAsia="Arial Unicode MS" w:hAnsi="Times New Roman"/>
                <w:color w:val="000000" w:themeColor="text1"/>
                <w:sz w:val="20"/>
                <w:szCs w:val="20"/>
                <w:shd w:val="clear" w:color="auto" w:fill="FFFFFF"/>
              </w:rPr>
              <w:t>raport</w:t>
            </w:r>
            <w:proofErr w:type="spellEnd"/>
            <w:r w:rsidRPr="00804FEE">
              <w:rPr>
                <w:rFonts w:ascii="Times New Roman" w:eastAsia="Arial Unicode MS" w:hAnsi="Times New Roman"/>
                <w:color w:val="000000" w:themeColor="text1"/>
                <w:sz w:val="20"/>
                <w:szCs w:val="20"/>
                <w:shd w:val="clear" w:color="auto" w:fill="FFFFFF"/>
              </w:rPr>
              <w:t xml:space="preserve"> în </w:t>
            </w:r>
            <w:r w:rsidRPr="00804FEE">
              <w:rPr>
                <w:rFonts w:ascii="Times New Roman" w:eastAsia="Arial Unicode MS" w:hAnsi="Times New Roman"/>
                <w:color w:val="000000" w:themeColor="text1"/>
                <w:sz w:val="20"/>
                <w:szCs w:val="20"/>
                <w:shd w:val="clear" w:color="auto" w:fill="FFFFFF"/>
              </w:rPr>
              <w:lastRenderedPageBreak/>
              <w:t xml:space="preserve">care </w:t>
            </w:r>
            <w:proofErr w:type="spellStart"/>
            <w:r w:rsidRPr="00804FEE">
              <w:rPr>
                <w:rFonts w:ascii="Times New Roman" w:eastAsia="Arial Unicode MS" w:hAnsi="Times New Roman"/>
                <w:color w:val="000000" w:themeColor="text1"/>
                <w:sz w:val="20"/>
                <w:szCs w:val="20"/>
                <w:shd w:val="clear" w:color="auto" w:fill="FFFFFF"/>
              </w:rPr>
              <w:t>examinează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fezabilitatea</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impactul</w:t>
            </w:r>
            <w:proofErr w:type="spellEnd"/>
            <w:r w:rsidRPr="00804FEE">
              <w:rPr>
                <w:rFonts w:ascii="Times New Roman" w:eastAsia="Arial Unicode MS" w:hAnsi="Times New Roman"/>
                <w:color w:val="000000" w:themeColor="text1"/>
                <w:sz w:val="20"/>
                <w:szCs w:val="20"/>
                <w:shd w:val="clear" w:color="auto" w:fill="FFFFFF"/>
              </w:rPr>
              <w:t xml:space="preserve"> economic, de </w:t>
            </w:r>
            <w:proofErr w:type="spellStart"/>
            <w:r w:rsidRPr="00804FEE">
              <w:rPr>
                <w:rFonts w:ascii="Times New Roman" w:eastAsia="Arial Unicode MS" w:hAnsi="Times New Roman"/>
                <w:color w:val="000000" w:themeColor="text1"/>
                <w:sz w:val="20"/>
                <w:szCs w:val="20"/>
                <w:shd w:val="clear" w:color="auto" w:fill="FFFFFF"/>
              </w:rPr>
              <w:t>mediu</w:t>
            </w:r>
            <w:proofErr w:type="spellEnd"/>
            <w:r w:rsidRPr="00804FEE">
              <w:rPr>
                <w:rFonts w:ascii="Times New Roman" w:eastAsia="Arial Unicode MS" w:hAnsi="Times New Roman"/>
                <w:color w:val="000000" w:themeColor="text1"/>
                <w:sz w:val="20"/>
                <w:szCs w:val="20"/>
                <w:shd w:val="clear" w:color="auto" w:fill="FFFFFF"/>
              </w:rPr>
              <w:t xml:space="preserve"> și social al </w:t>
            </w:r>
            <w:proofErr w:type="spellStart"/>
            <w:r w:rsidRPr="00804FEE">
              <w:rPr>
                <w:rFonts w:ascii="Times New Roman" w:eastAsia="Arial Unicode MS" w:hAnsi="Times New Roman"/>
                <w:color w:val="000000" w:themeColor="text1"/>
                <w:sz w:val="20"/>
                <w:szCs w:val="20"/>
                <w:shd w:val="clear" w:color="auto" w:fill="FFFFFF"/>
              </w:rPr>
              <w:t>includerii</w:t>
            </w:r>
            <w:proofErr w:type="spellEnd"/>
            <w:r w:rsidRPr="00804FEE">
              <w:rPr>
                <w:rFonts w:ascii="Times New Roman" w:eastAsia="Arial Unicode MS" w:hAnsi="Times New Roman"/>
                <w:color w:val="000000" w:themeColor="text1"/>
                <w:sz w:val="20"/>
                <w:szCs w:val="20"/>
                <w:shd w:val="clear" w:color="auto" w:fill="FFFFFF"/>
              </w:rPr>
              <w:t xml:space="preserve"> în prezenta </w:t>
            </w:r>
            <w:proofErr w:type="spellStart"/>
            <w:r w:rsidRPr="00804FEE">
              <w:rPr>
                <w:rFonts w:ascii="Times New Roman" w:eastAsia="Arial Unicode MS" w:hAnsi="Times New Roman"/>
                <w:color w:val="000000" w:themeColor="text1"/>
                <w:sz w:val="20"/>
                <w:szCs w:val="20"/>
                <w:shd w:val="clear" w:color="auto" w:fill="FFFFFF"/>
              </w:rPr>
              <w:t>directivă</w:t>
            </w:r>
            <w:proofErr w:type="spellEnd"/>
            <w:r w:rsidRPr="00804FEE">
              <w:rPr>
                <w:rFonts w:ascii="Times New Roman" w:eastAsia="Arial Unicode MS" w:hAnsi="Times New Roman"/>
                <w:color w:val="000000" w:themeColor="text1"/>
                <w:sz w:val="20"/>
                <w:szCs w:val="20"/>
                <w:shd w:val="clear" w:color="auto" w:fill="FFFFFF"/>
              </w:rPr>
              <w:t xml:space="preserve"> </w:t>
            </w:r>
            <w:proofErr w:type="gramStart"/>
            <w:r w:rsidRPr="00804FEE">
              <w:rPr>
                <w:rFonts w:ascii="Times New Roman" w:eastAsia="Arial Unicode MS" w:hAnsi="Times New Roman"/>
                <w:color w:val="000000" w:themeColor="text1"/>
                <w:sz w:val="20"/>
                <w:szCs w:val="20"/>
                <w:shd w:val="clear" w:color="auto" w:fill="FFFFFF"/>
              </w:rPr>
              <w:t>a</w:t>
            </w:r>
            <w:proofErr w:type="gram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emisiilor</w:t>
            </w:r>
            <w:proofErr w:type="spellEnd"/>
            <w:r w:rsidRPr="00804FEE">
              <w:rPr>
                <w:rFonts w:ascii="Times New Roman" w:eastAsia="Arial Unicode MS" w:hAnsi="Times New Roman"/>
                <w:color w:val="000000" w:themeColor="text1"/>
                <w:sz w:val="20"/>
                <w:szCs w:val="20"/>
                <w:shd w:val="clear" w:color="auto" w:fill="FFFFFF"/>
              </w:rPr>
              <w:t xml:space="preserve"> generate de nave, </w:t>
            </w:r>
            <w:proofErr w:type="spellStart"/>
            <w:r w:rsidRPr="00804FEE">
              <w:rPr>
                <w:rFonts w:ascii="Times New Roman" w:eastAsia="Arial Unicode MS" w:hAnsi="Times New Roman"/>
                <w:color w:val="000000" w:themeColor="text1"/>
                <w:sz w:val="20"/>
                <w:szCs w:val="20"/>
                <w:shd w:val="clear" w:color="auto" w:fill="FFFFFF"/>
              </w:rPr>
              <w:t>inclusiv</w:t>
            </w:r>
            <w:proofErr w:type="spellEnd"/>
            <w:r w:rsidRPr="00804FEE">
              <w:rPr>
                <w:rFonts w:ascii="Times New Roman" w:eastAsia="Arial Unicode MS" w:hAnsi="Times New Roman"/>
                <w:color w:val="000000" w:themeColor="text1"/>
                <w:sz w:val="20"/>
                <w:szCs w:val="20"/>
                <w:shd w:val="clear" w:color="auto" w:fill="FFFFFF"/>
              </w:rPr>
              <w:t xml:space="preserve"> de la </w:t>
            </w:r>
            <w:proofErr w:type="spellStart"/>
            <w:r w:rsidRPr="00804FEE">
              <w:rPr>
                <w:rFonts w:ascii="Times New Roman" w:eastAsia="Arial Unicode MS" w:hAnsi="Times New Roman"/>
                <w:color w:val="000000" w:themeColor="text1"/>
                <w:sz w:val="20"/>
                <w:szCs w:val="20"/>
                <w:shd w:val="clear" w:color="auto" w:fill="FFFFFF"/>
              </w:rPr>
              <w:t>navele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aprovizionare</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larg</w:t>
            </w:r>
            <w:proofErr w:type="spellEnd"/>
            <w:r w:rsidRPr="00804FEE">
              <w:rPr>
                <w:rFonts w:ascii="Times New Roman" w:eastAsia="Arial Unicode MS" w:hAnsi="Times New Roman"/>
                <w:color w:val="000000" w:themeColor="text1"/>
                <w:sz w:val="20"/>
                <w:szCs w:val="20"/>
                <w:shd w:val="clear" w:color="auto" w:fill="FFFFFF"/>
              </w:rPr>
              <w:t xml:space="preserve">, cu un </w:t>
            </w:r>
            <w:proofErr w:type="spellStart"/>
            <w:r w:rsidRPr="00804FEE">
              <w:rPr>
                <w:rFonts w:ascii="Times New Roman" w:eastAsia="Arial Unicode MS" w:hAnsi="Times New Roman"/>
                <w:color w:val="000000" w:themeColor="text1"/>
                <w:sz w:val="20"/>
                <w:szCs w:val="20"/>
                <w:shd w:val="clear" w:color="auto" w:fill="FFFFFF"/>
              </w:rPr>
              <w:t>tonaj</w:t>
            </w:r>
            <w:proofErr w:type="spellEnd"/>
            <w:r w:rsidRPr="00804FEE">
              <w:rPr>
                <w:rFonts w:ascii="Times New Roman" w:eastAsia="Arial Unicode MS" w:hAnsi="Times New Roman"/>
                <w:color w:val="000000" w:themeColor="text1"/>
                <w:sz w:val="20"/>
                <w:szCs w:val="20"/>
                <w:shd w:val="clear" w:color="auto" w:fill="FFFFFF"/>
              </w:rPr>
              <w:t xml:space="preserve"> brut </w:t>
            </w:r>
            <w:proofErr w:type="spellStart"/>
            <w:r w:rsidRPr="00804FEE">
              <w:rPr>
                <w:rFonts w:ascii="Times New Roman" w:eastAsia="Arial Unicode MS" w:hAnsi="Times New Roman"/>
                <w:color w:val="000000" w:themeColor="text1"/>
                <w:sz w:val="20"/>
                <w:szCs w:val="20"/>
                <w:shd w:val="clear" w:color="auto" w:fill="FFFFFF"/>
              </w:rPr>
              <w:t>mai</w:t>
            </w:r>
            <w:proofErr w:type="spellEnd"/>
            <w:r w:rsidRPr="00804FEE">
              <w:rPr>
                <w:rFonts w:ascii="Times New Roman" w:eastAsia="Arial Unicode MS" w:hAnsi="Times New Roman"/>
                <w:color w:val="000000" w:themeColor="text1"/>
                <w:sz w:val="20"/>
                <w:szCs w:val="20"/>
                <w:shd w:val="clear" w:color="auto" w:fill="FFFFFF"/>
              </w:rPr>
              <w:t xml:space="preserve"> mic de 5</w:t>
            </w:r>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000 de tone, </w:t>
            </w:r>
            <w:proofErr w:type="spellStart"/>
            <w:r w:rsidRPr="00804FEE">
              <w:rPr>
                <w:rFonts w:ascii="Times New Roman" w:eastAsia="Arial Unicode MS" w:hAnsi="Times New Roman"/>
                <w:color w:val="000000" w:themeColor="text1"/>
                <w:sz w:val="20"/>
                <w:szCs w:val="20"/>
                <w:shd w:val="clear" w:color="auto" w:fill="FFFFFF"/>
              </w:rPr>
              <w:t>dar</w:t>
            </w:r>
            <w:proofErr w:type="spellEnd"/>
            <w:r w:rsidRPr="00804FEE">
              <w:rPr>
                <w:rFonts w:ascii="Times New Roman" w:eastAsia="Arial Unicode MS" w:hAnsi="Times New Roman"/>
                <w:color w:val="000000" w:themeColor="text1"/>
                <w:sz w:val="20"/>
                <w:szCs w:val="20"/>
                <w:shd w:val="clear" w:color="auto" w:fill="FFFFFF"/>
              </w:rPr>
              <w:t xml:space="preserve"> nu </w:t>
            </w:r>
            <w:proofErr w:type="spellStart"/>
            <w:r w:rsidRPr="00804FEE">
              <w:rPr>
                <w:rFonts w:ascii="Times New Roman" w:eastAsia="Arial Unicode MS" w:hAnsi="Times New Roman"/>
                <w:color w:val="000000" w:themeColor="text1"/>
                <w:sz w:val="20"/>
                <w:szCs w:val="20"/>
                <w:shd w:val="clear" w:color="auto" w:fill="FFFFFF"/>
              </w:rPr>
              <w:t>mai</w:t>
            </w:r>
            <w:proofErr w:type="spellEnd"/>
            <w:r w:rsidRPr="00804FEE">
              <w:rPr>
                <w:rFonts w:ascii="Times New Roman" w:eastAsia="Arial Unicode MS" w:hAnsi="Times New Roman"/>
                <w:color w:val="000000" w:themeColor="text1"/>
                <w:sz w:val="20"/>
                <w:szCs w:val="20"/>
                <w:shd w:val="clear" w:color="auto" w:fill="FFFFFF"/>
              </w:rPr>
              <w:t xml:space="preserve"> mic de</w:t>
            </w:r>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400 de tone, </w:t>
            </w:r>
            <w:proofErr w:type="spellStart"/>
            <w:r w:rsidRPr="00804FEE">
              <w:rPr>
                <w:rFonts w:ascii="Times New Roman" w:eastAsia="Arial Unicode MS" w:hAnsi="Times New Roman"/>
                <w:color w:val="000000" w:themeColor="text1"/>
                <w:sz w:val="20"/>
                <w:szCs w:val="20"/>
                <w:shd w:val="clear" w:color="auto" w:fill="FFFFFF"/>
              </w:rPr>
              <w:t>bazându</w:t>
            </w:r>
            <w:proofErr w:type="spellEnd"/>
            <w:r w:rsidRPr="00804FEE">
              <w:rPr>
                <w:rFonts w:ascii="Times New Roman" w:eastAsia="Arial Unicode MS" w:hAnsi="Times New Roman"/>
                <w:color w:val="000000" w:themeColor="text1"/>
                <w:sz w:val="20"/>
                <w:szCs w:val="20"/>
                <w:shd w:val="clear" w:color="auto" w:fill="FFFFFF"/>
              </w:rPr>
              <w:t xml:space="preserve">-se în special pe </w:t>
            </w:r>
            <w:proofErr w:type="spellStart"/>
            <w:r w:rsidRPr="00804FEE">
              <w:rPr>
                <w:rFonts w:ascii="Times New Roman" w:eastAsia="Arial Unicode MS" w:hAnsi="Times New Roman"/>
                <w:color w:val="000000" w:themeColor="text1"/>
                <w:sz w:val="20"/>
                <w:szCs w:val="20"/>
                <w:shd w:val="clear" w:color="auto" w:fill="FFFFFF"/>
              </w:rPr>
              <w:t>analiza</w:t>
            </w:r>
            <w:proofErr w:type="spellEnd"/>
            <w:r w:rsidRPr="00804FEE">
              <w:rPr>
                <w:rFonts w:ascii="Times New Roman" w:eastAsia="Arial Unicode MS" w:hAnsi="Times New Roman"/>
                <w:color w:val="000000" w:themeColor="text1"/>
                <w:sz w:val="20"/>
                <w:szCs w:val="20"/>
                <w:shd w:val="clear" w:color="auto" w:fill="FFFFFF"/>
              </w:rPr>
              <w:t xml:space="preserve"> care </w:t>
            </w:r>
            <w:proofErr w:type="spellStart"/>
            <w:r w:rsidRPr="00804FEE">
              <w:rPr>
                <w:rFonts w:ascii="Times New Roman" w:eastAsia="Arial Unicode MS" w:hAnsi="Times New Roman"/>
                <w:color w:val="000000" w:themeColor="text1"/>
                <w:sz w:val="20"/>
                <w:szCs w:val="20"/>
                <w:shd w:val="clear" w:color="auto" w:fill="FFFFFF"/>
              </w:rPr>
              <w:t>însoțește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revizuirea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Regulamentului</w:t>
            </w:r>
            <w:proofErr w:type="spellEnd"/>
            <w:r w:rsidRPr="00804FEE">
              <w:rPr>
                <w:rFonts w:ascii="Times New Roman" w:eastAsia="Arial Unicode MS" w:hAnsi="Times New Roman"/>
                <w:color w:val="000000" w:themeColor="text1"/>
                <w:sz w:val="20"/>
                <w:szCs w:val="20"/>
                <w:shd w:val="clear" w:color="auto" w:fill="FFFFFF"/>
              </w:rPr>
              <w:t xml:space="preserve"> (UE)</w:t>
            </w:r>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2015/757, </w:t>
            </w:r>
            <w:proofErr w:type="spellStart"/>
            <w:r w:rsidRPr="00804FEE">
              <w:rPr>
                <w:rFonts w:ascii="Times New Roman" w:eastAsia="Arial Unicode MS" w:hAnsi="Times New Roman"/>
                <w:color w:val="000000" w:themeColor="text1"/>
                <w:sz w:val="20"/>
                <w:szCs w:val="20"/>
                <w:shd w:val="clear" w:color="auto" w:fill="FFFFFF"/>
              </w:rPr>
              <w:t>scadentă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până</w:t>
            </w:r>
            <w:proofErr w:type="spellEnd"/>
            <w:r w:rsidRPr="00804FEE">
              <w:rPr>
                <w:rFonts w:ascii="Times New Roman" w:eastAsia="Arial Unicode MS" w:hAnsi="Times New Roman"/>
                <w:color w:val="000000" w:themeColor="text1"/>
                <w:sz w:val="20"/>
                <w:szCs w:val="20"/>
                <w:shd w:val="clear" w:color="auto" w:fill="FFFFFF"/>
              </w:rPr>
              <w:t xml:space="preserve"> la 31</w:t>
            </w:r>
            <w:r w:rsidR="00804FEE"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decembrie</w:t>
            </w:r>
            <w:proofErr w:type="spellEnd"/>
            <w:r w:rsidRPr="00804FEE">
              <w:rPr>
                <w:rFonts w:ascii="Times New Roman" w:eastAsia="Arial Unicode MS" w:hAnsi="Times New Roman"/>
                <w:color w:val="000000" w:themeColor="text1"/>
                <w:sz w:val="20"/>
                <w:szCs w:val="20"/>
                <w:shd w:val="clear" w:color="auto" w:fill="FFFFFF"/>
              </w:rPr>
              <w:t xml:space="preserve"> 2024.</w:t>
            </w:r>
          </w:p>
          <w:p w14:paraId="04CDB01B" w14:textId="3B1CCA1F" w:rsidR="00124364" w:rsidRPr="00804FEE" w:rsidRDefault="00000000" w:rsidP="00804FEE">
            <w:pPr>
              <w:pStyle w:val="af8"/>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804FEE">
              <w:rPr>
                <w:rFonts w:ascii="Times New Roman" w:eastAsia="Arial Unicode MS" w:hAnsi="Times New Roman"/>
                <w:color w:val="000000" w:themeColor="text1"/>
                <w:sz w:val="20"/>
                <w:szCs w:val="20"/>
                <w:shd w:val="clear" w:color="auto" w:fill="FFFFFF"/>
              </w:rPr>
              <w:t xml:space="preserve">În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w:t>
            </w:r>
            <w:proofErr w:type="spellEnd"/>
            <w:r w:rsidRPr="00804FEE">
              <w:rPr>
                <w:rFonts w:ascii="Times New Roman" w:eastAsia="Arial Unicode MS" w:hAnsi="Times New Roman"/>
                <w:color w:val="000000" w:themeColor="text1"/>
                <w:sz w:val="20"/>
                <w:szCs w:val="20"/>
                <w:shd w:val="clear" w:color="auto" w:fill="FFFFFF"/>
              </w:rPr>
              <w:t xml:space="preserve"> se </w:t>
            </w:r>
            <w:proofErr w:type="spellStart"/>
            <w:r w:rsidRPr="00804FEE">
              <w:rPr>
                <w:rFonts w:ascii="Times New Roman" w:eastAsia="Arial Unicode MS" w:hAnsi="Times New Roman"/>
                <w:color w:val="000000" w:themeColor="text1"/>
                <w:sz w:val="20"/>
                <w:szCs w:val="20"/>
                <w:shd w:val="clear" w:color="auto" w:fill="FFFFFF"/>
              </w:rPr>
              <w:t>analizează</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asemenea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interconexiunile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dintre</w:t>
            </w:r>
            <w:proofErr w:type="spellEnd"/>
            <w:r w:rsidRPr="00804FEE">
              <w:rPr>
                <w:rFonts w:ascii="Times New Roman" w:eastAsia="Arial Unicode MS" w:hAnsi="Times New Roman"/>
                <w:color w:val="000000" w:themeColor="text1"/>
                <w:sz w:val="20"/>
                <w:szCs w:val="20"/>
                <w:shd w:val="clear" w:color="auto" w:fill="FFFFFF"/>
              </w:rPr>
              <w:t xml:space="preserve"> prezenta </w:t>
            </w:r>
            <w:proofErr w:type="spellStart"/>
            <w:r w:rsidRPr="00804FEE">
              <w:rPr>
                <w:rFonts w:ascii="Times New Roman" w:eastAsia="Arial Unicode MS" w:hAnsi="Times New Roman"/>
                <w:color w:val="000000" w:themeColor="text1"/>
                <w:sz w:val="20"/>
                <w:szCs w:val="20"/>
                <w:shd w:val="clear" w:color="auto" w:fill="FFFFFF"/>
              </w:rPr>
              <w:t>directivă</w:t>
            </w:r>
            <w:proofErr w:type="spellEnd"/>
            <w:r w:rsidRPr="00804FEE">
              <w:rPr>
                <w:rFonts w:ascii="Times New Roman" w:eastAsia="Arial Unicode MS" w:hAnsi="Times New Roman"/>
                <w:color w:val="000000" w:themeColor="text1"/>
                <w:sz w:val="20"/>
                <w:szCs w:val="20"/>
                <w:shd w:val="clear" w:color="auto" w:fill="FFFFFF"/>
              </w:rPr>
              <w:t xml:space="preserve"> și </w:t>
            </w:r>
            <w:proofErr w:type="spellStart"/>
            <w:r w:rsidRPr="00804FEE">
              <w:rPr>
                <w:rFonts w:ascii="Times New Roman" w:eastAsia="Arial Unicode MS" w:hAnsi="Times New Roman"/>
                <w:color w:val="000000" w:themeColor="text1"/>
                <w:sz w:val="20"/>
                <w:szCs w:val="20"/>
                <w:shd w:val="clear" w:color="auto" w:fill="FFFFFF"/>
              </w:rPr>
              <w:t>Regulamentul</w:t>
            </w:r>
            <w:proofErr w:type="spellEnd"/>
            <w:r w:rsidRPr="00804FEE">
              <w:rPr>
                <w:rFonts w:ascii="Times New Roman" w:eastAsia="Arial Unicode MS" w:hAnsi="Times New Roman"/>
                <w:color w:val="000000" w:themeColor="text1"/>
                <w:sz w:val="20"/>
                <w:szCs w:val="20"/>
                <w:shd w:val="clear" w:color="auto" w:fill="FFFFFF"/>
              </w:rPr>
              <w:t xml:space="preserve"> (UE)</w:t>
            </w:r>
            <w:r w:rsidR="00804FEE" w:rsidRPr="00804FEE">
              <w:rPr>
                <w:rFonts w:ascii="Times New Roman" w:eastAsia="Arial Unicode MS" w:hAnsi="Times New Roman"/>
                <w:color w:val="000000" w:themeColor="text1"/>
                <w:sz w:val="20"/>
                <w:szCs w:val="20"/>
                <w:shd w:val="clear" w:color="auto" w:fill="FFFFFF"/>
              </w:rPr>
              <w:t xml:space="preserve"> </w:t>
            </w:r>
            <w:r w:rsidRPr="00804FEE">
              <w:rPr>
                <w:rFonts w:ascii="Times New Roman" w:eastAsia="Arial Unicode MS" w:hAnsi="Times New Roman"/>
                <w:color w:val="000000" w:themeColor="text1"/>
                <w:sz w:val="20"/>
                <w:szCs w:val="20"/>
                <w:shd w:val="clear" w:color="auto" w:fill="FFFFFF"/>
              </w:rPr>
              <w:t xml:space="preserve">2015/757 și se </w:t>
            </w:r>
            <w:proofErr w:type="spellStart"/>
            <w:r w:rsidRPr="00804FEE">
              <w:rPr>
                <w:rFonts w:ascii="Times New Roman" w:eastAsia="Arial Unicode MS" w:hAnsi="Times New Roman"/>
                <w:color w:val="000000" w:themeColor="text1"/>
                <w:sz w:val="20"/>
                <w:szCs w:val="20"/>
                <w:shd w:val="clear" w:color="auto" w:fill="FFFFFF"/>
              </w:rPr>
              <w:t>fructifică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experiența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dobândită</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urma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aplicării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acestuia</w:t>
            </w:r>
            <w:proofErr w:type="spellEnd"/>
            <w:r w:rsidRPr="00804FEE">
              <w:rPr>
                <w:rFonts w:ascii="Times New Roman" w:eastAsia="Arial Unicode MS" w:hAnsi="Times New Roman"/>
                <w:color w:val="000000" w:themeColor="text1"/>
                <w:sz w:val="20"/>
                <w:szCs w:val="20"/>
                <w:shd w:val="clear" w:color="auto" w:fill="FFFFFF"/>
              </w:rPr>
              <w:t xml:space="preserve">. În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respectiv</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Comisia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examinează</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asemenea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modul</w:t>
            </w:r>
            <w:proofErr w:type="spellEnd"/>
            <w:r w:rsidRPr="00804FEE">
              <w:rPr>
                <w:rFonts w:ascii="Times New Roman" w:eastAsia="Arial Unicode MS" w:hAnsi="Times New Roman"/>
                <w:color w:val="000000" w:themeColor="text1"/>
                <w:sz w:val="20"/>
                <w:szCs w:val="20"/>
                <w:shd w:val="clear" w:color="auto" w:fill="FFFFFF"/>
              </w:rPr>
              <w:t xml:space="preserve"> în care prezenta </w:t>
            </w:r>
            <w:proofErr w:type="spellStart"/>
            <w:r w:rsidRPr="00804FEE">
              <w:rPr>
                <w:rFonts w:ascii="Times New Roman" w:eastAsia="Arial Unicode MS" w:hAnsi="Times New Roman"/>
                <w:color w:val="000000" w:themeColor="text1"/>
                <w:sz w:val="20"/>
                <w:szCs w:val="20"/>
                <w:shd w:val="clear" w:color="auto" w:fill="FFFFFF"/>
              </w:rPr>
              <w:t>directivă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promova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cel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mai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eficient</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adoptarea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combustibililor</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maritimi</w:t>
            </w:r>
            <w:proofErr w:type="spellEnd"/>
            <w:r w:rsidRPr="00804FEE">
              <w:rPr>
                <w:rFonts w:ascii="Times New Roman" w:eastAsia="Arial Unicode MS" w:hAnsi="Times New Roman"/>
                <w:color w:val="000000" w:themeColor="text1"/>
                <w:sz w:val="20"/>
                <w:szCs w:val="20"/>
                <w:shd w:val="clear" w:color="auto" w:fill="FFFFFF"/>
              </w:rPr>
              <w:t xml:space="preserve"> din surse </w:t>
            </w:r>
            <w:proofErr w:type="spellStart"/>
            <w:r w:rsidRPr="00804FEE">
              <w:rPr>
                <w:rFonts w:ascii="Times New Roman" w:eastAsia="Arial Unicode MS" w:hAnsi="Times New Roman"/>
                <w:color w:val="000000" w:themeColor="text1"/>
                <w:sz w:val="20"/>
                <w:szCs w:val="20"/>
                <w:shd w:val="clear" w:color="auto" w:fill="FFFFFF"/>
              </w:rPr>
              <w:t>regenerabile</w:t>
            </w:r>
            <w:proofErr w:type="spellEnd"/>
            <w:r w:rsidRPr="00804FEE">
              <w:rPr>
                <w:rFonts w:ascii="Times New Roman" w:eastAsia="Arial Unicode MS" w:hAnsi="Times New Roman"/>
                <w:color w:val="000000" w:themeColor="text1"/>
                <w:sz w:val="20"/>
                <w:szCs w:val="20"/>
                <w:shd w:val="clear" w:color="auto" w:fill="FFFFFF"/>
              </w:rPr>
              <w:t xml:space="preserve"> și cu </w:t>
            </w:r>
            <w:proofErr w:type="spellStart"/>
            <w:r w:rsidRPr="00804FEE">
              <w:rPr>
                <w:rFonts w:ascii="Times New Roman" w:eastAsia="Arial Unicode MS" w:hAnsi="Times New Roman"/>
                <w:color w:val="000000" w:themeColor="text1"/>
                <w:sz w:val="20"/>
                <w:szCs w:val="20"/>
                <w:shd w:val="clear" w:color="auto" w:fill="FFFFFF"/>
              </w:rPr>
              <w:t>emisii</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reduse</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dioxid</w:t>
            </w:r>
            <w:proofErr w:type="spellEnd"/>
            <w:r w:rsidRPr="00804FEE">
              <w:rPr>
                <w:rFonts w:ascii="Times New Roman" w:eastAsia="Arial Unicode MS" w:hAnsi="Times New Roman"/>
                <w:color w:val="000000" w:themeColor="text1"/>
                <w:sz w:val="20"/>
                <w:szCs w:val="20"/>
                <w:shd w:val="clear" w:color="auto" w:fill="FFFFFF"/>
              </w:rPr>
              <w:t xml:space="preserve"> de carbon, pe </w:t>
            </w:r>
            <w:proofErr w:type="spellStart"/>
            <w:r w:rsidRPr="00804FEE">
              <w:rPr>
                <w:rFonts w:ascii="Times New Roman" w:eastAsia="Arial Unicode MS" w:hAnsi="Times New Roman"/>
                <w:color w:val="000000" w:themeColor="text1"/>
                <w:sz w:val="20"/>
                <w:szCs w:val="20"/>
                <w:shd w:val="clear" w:color="auto" w:fill="FFFFFF"/>
              </w:rPr>
              <w:t>baza</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duratei</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viață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Dacă</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este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cazul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raportul</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poate</w:t>
            </w:r>
            <w:proofErr w:type="spellEnd"/>
            <w:r w:rsidRPr="00804FEE">
              <w:rPr>
                <w:rFonts w:ascii="Times New Roman" w:eastAsia="Arial Unicode MS" w:hAnsi="Times New Roman"/>
                <w:color w:val="000000" w:themeColor="text1"/>
                <w:sz w:val="20"/>
                <w:szCs w:val="20"/>
                <w:shd w:val="clear" w:color="auto" w:fill="FFFFFF"/>
              </w:rPr>
              <w:t xml:space="preserve"> </w:t>
            </w:r>
            <w:proofErr w:type="spellStart"/>
            <w:r w:rsidRPr="00804FEE">
              <w:rPr>
                <w:rFonts w:ascii="Times New Roman" w:eastAsia="Arial Unicode MS" w:hAnsi="Times New Roman"/>
                <w:color w:val="000000" w:themeColor="text1"/>
                <w:sz w:val="20"/>
                <w:szCs w:val="20"/>
                <w:shd w:val="clear" w:color="auto" w:fill="FFFFFF"/>
              </w:rPr>
              <w:t>să</w:t>
            </w:r>
            <w:proofErr w:type="spellEnd"/>
            <w:r w:rsidRPr="00804FEE">
              <w:rPr>
                <w:rFonts w:ascii="Times New Roman" w:eastAsia="Arial Unicode MS" w:hAnsi="Times New Roman"/>
                <w:color w:val="000000" w:themeColor="text1"/>
                <w:sz w:val="20"/>
                <w:szCs w:val="20"/>
                <w:shd w:val="clear" w:color="auto" w:fill="FFFFFF"/>
              </w:rPr>
              <w:t xml:space="preserve"> fie </w:t>
            </w:r>
            <w:proofErr w:type="spellStart"/>
            <w:r w:rsidRPr="00804FEE">
              <w:rPr>
                <w:rFonts w:ascii="Times New Roman" w:eastAsia="Arial Unicode MS" w:hAnsi="Times New Roman"/>
                <w:color w:val="000000" w:themeColor="text1"/>
                <w:sz w:val="20"/>
                <w:szCs w:val="20"/>
                <w:shd w:val="clear" w:color="auto" w:fill="FFFFFF"/>
              </w:rPr>
              <w:t>însoțit</w:t>
            </w:r>
            <w:proofErr w:type="spellEnd"/>
            <w:r w:rsidRPr="00804FEE">
              <w:rPr>
                <w:rFonts w:ascii="Times New Roman" w:eastAsia="Arial Unicode MS" w:hAnsi="Times New Roman"/>
                <w:color w:val="000000" w:themeColor="text1"/>
                <w:sz w:val="20"/>
                <w:szCs w:val="20"/>
                <w:shd w:val="clear" w:color="auto" w:fill="FFFFFF"/>
              </w:rPr>
              <w:t xml:space="preserve"> de </w:t>
            </w:r>
            <w:proofErr w:type="spellStart"/>
            <w:r w:rsidRPr="00804FEE">
              <w:rPr>
                <w:rFonts w:ascii="Times New Roman" w:eastAsia="Arial Unicode MS" w:hAnsi="Times New Roman"/>
                <w:color w:val="000000" w:themeColor="text1"/>
                <w:sz w:val="20"/>
                <w:szCs w:val="20"/>
                <w:shd w:val="clear" w:color="auto" w:fill="FFFFFF"/>
              </w:rPr>
              <w:t>propuneri</w:t>
            </w:r>
            <w:proofErr w:type="spellEnd"/>
            <w:r w:rsidRPr="00804FEE">
              <w:rPr>
                <w:rFonts w:ascii="Times New Roman" w:eastAsia="Arial Unicode MS" w:hAnsi="Times New Roman"/>
                <w:color w:val="000000" w:themeColor="text1"/>
                <w:sz w:val="20"/>
                <w:szCs w:val="20"/>
                <w:shd w:val="clear" w:color="auto" w:fill="FFFFFF"/>
              </w:rPr>
              <w:t xml:space="preserve"> legislative.</w:t>
            </w:r>
          </w:p>
          <w:p w14:paraId="61E9A0AC"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61" w:tooltip="32008L0101: INSERTED" w:history="1">
              <w:r>
                <w:rPr>
                  <w:rStyle w:val="af3"/>
                  <w:rFonts w:ascii="Times New Roman" w:eastAsia="Arial Unicode MS" w:hAnsi="Times New Roman"/>
                  <w:b/>
                  <w:bCs/>
                  <w:color w:val="4472C4" w:themeColor="accent1"/>
                  <w:sz w:val="20"/>
                  <w:szCs w:val="20"/>
                </w:rPr>
                <w:t>▼M2</w:t>
              </w:r>
            </w:hyperlink>
          </w:p>
        </w:tc>
        <w:tc>
          <w:tcPr>
            <w:tcW w:w="4394" w:type="dxa"/>
            <w:shd w:val="clear" w:color="auto" w:fill="auto"/>
          </w:tcPr>
          <w:p w14:paraId="5AC5CE6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2B8987D" w14:textId="7F709AE5" w:rsidR="00124364" w:rsidRDefault="00804FEE" w:rsidP="00804FEE">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6EBEBB6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29BDD3A" w14:textId="77777777" w:rsidR="00804FEE" w:rsidRPr="000643DF" w:rsidRDefault="00804FEE" w:rsidP="00804FEE">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2628C0B4"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B0EAD98" w14:textId="77777777" w:rsidR="00124364" w:rsidRDefault="00124364" w:rsidP="00804FEE">
            <w:pPr>
              <w:autoSpaceDE w:val="0"/>
              <w:spacing w:after="0" w:line="240" w:lineRule="auto"/>
              <w:rPr>
                <w:rFonts w:ascii="Times New Roman" w:hAnsi="Times New Roman"/>
                <w:sz w:val="20"/>
                <w:szCs w:val="20"/>
                <w:lang w:val="fr-FR"/>
              </w:rPr>
            </w:pPr>
          </w:p>
        </w:tc>
      </w:tr>
      <w:tr w:rsidR="00124364" w14:paraId="5AA074B6" w14:textId="77777777">
        <w:trPr>
          <w:trHeight w:val="558"/>
        </w:trPr>
        <w:tc>
          <w:tcPr>
            <w:tcW w:w="4957" w:type="dxa"/>
            <w:shd w:val="clear" w:color="auto" w:fill="auto"/>
          </w:tcPr>
          <w:p w14:paraId="7528C585" w14:textId="77777777" w:rsidR="00124364" w:rsidRPr="000A6807"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0A6807">
              <w:rPr>
                <w:rFonts w:eastAsia="Arial Unicode MS"/>
                <w:color w:val="000000" w:themeColor="text1"/>
                <w:sz w:val="20"/>
                <w:szCs w:val="20"/>
                <w:shd w:val="clear" w:color="auto" w:fill="FFFFFF"/>
                <w:lang w:val="en-US"/>
              </w:rPr>
              <w:lastRenderedPageBreak/>
              <w:t>CAPITOLUL III</w:t>
            </w:r>
          </w:p>
          <w:p w14:paraId="382E6EBC" w14:textId="77777777" w:rsidR="00124364" w:rsidRPr="000A6807"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0A6807">
              <w:rPr>
                <w:rFonts w:eastAsia="Arial Unicode MS"/>
                <w:b/>
                <w:bCs/>
                <w:color w:val="000000" w:themeColor="text1"/>
                <w:sz w:val="20"/>
                <w:szCs w:val="20"/>
                <w:shd w:val="clear" w:color="auto" w:fill="FFFFFF"/>
                <w:lang w:val="en-US"/>
              </w:rPr>
              <w:t>INSTALAȚII STAȚIONARE</w:t>
            </w:r>
          </w:p>
          <w:p w14:paraId="685B0008" w14:textId="77777777" w:rsidR="00124364" w:rsidRPr="000A6807" w:rsidRDefault="00000000">
            <w:pPr>
              <w:pStyle w:val="ti-art"/>
              <w:shd w:val="clear" w:color="auto" w:fill="FFFFFF"/>
              <w:spacing w:before="0" w:beforeAutospacing="0" w:after="0" w:afterAutospacing="0"/>
              <w:rPr>
                <w:color w:val="000000" w:themeColor="text1"/>
                <w:sz w:val="20"/>
                <w:szCs w:val="20"/>
                <w:lang w:val="en-US"/>
              </w:rPr>
            </w:pPr>
            <w:hyperlink r:id="rId62" w:tooltip="32023L0959: REPLACED" w:history="1">
              <w:r w:rsidRPr="000A6807">
                <w:rPr>
                  <w:rStyle w:val="af3"/>
                  <w:rFonts w:eastAsia="Arial Unicode MS"/>
                  <w:b/>
                  <w:bCs/>
                  <w:color w:val="000000" w:themeColor="text1"/>
                  <w:sz w:val="20"/>
                  <w:szCs w:val="20"/>
                  <w:lang w:val="en-US"/>
                </w:rPr>
                <w:t>▼M15</w:t>
              </w:r>
            </w:hyperlink>
          </w:p>
          <w:p w14:paraId="061D15AA" w14:textId="68A6A3C3" w:rsidR="00124364" w:rsidRPr="000A6807"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0A6807">
              <w:rPr>
                <w:rFonts w:eastAsia="Arial Unicode MS"/>
                <w:i/>
                <w:iCs/>
                <w:color w:val="000000" w:themeColor="text1"/>
                <w:sz w:val="20"/>
                <w:szCs w:val="20"/>
                <w:shd w:val="clear" w:color="auto" w:fill="FFFFFF"/>
                <w:lang w:val="en-US"/>
              </w:rPr>
              <w:t>Articolul</w:t>
            </w:r>
            <w:proofErr w:type="spellEnd"/>
            <w:r w:rsidR="00804FEE" w:rsidRPr="000A6807">
              <w:rPr>
                <w:rFonts w:eastAsia="Arial Unicode MS"/>
                <w:i/>
                <w:iCs/>
                <w:color w:val="000000" w:themeColor="text1"/>
                <w:sz w:val="20"/>
                <w:szCs w:val="20"/>
                <w:shd w:val="clear" w:color="auto" w:fill="FFFFFF"/>
                <w:lang w:val="en-US"/>
              </w:rPr>
              <w:t xml:space="preserve"> </w:t>
            </w:r>
            <w:r w:rsidRPr="000A6807">
              <w:rPr>
                <w:rFonts w:eastAsia="Arial Unicode MS"/>
                <w:i/>
                <w:iCs/>
                <w:color w:val="000000" w:themeColor="text1"/>
                <w:sz w:val="20"/>
                <w:szCs w:val="20"/>
                <w:shd w:val="clear" w:color="auto" w:fill="FFFFFF"/>
                <w:lang w:val="en-US"/>
              </w:rPr>
              <w:t>3h</w:t>
            </w:r>
          </w:p>
          <w:p w14:paraId="24D4DDAC" w14:textId="77777777" w:rsidR="00124364" w:rsidRPr="000A6807"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0A6807">
              <w:rPr>
                <w:rFonts w:eastAsia="Arial Unicode MS"/>
                <w:b/>
                <w:bCs/>
                <w:color w:val="000000" w:themeColor="text1"/>
                <w:sz w:val="20"/>
                <w:szCs w:val="20"/>
                <w:shd w:val="clear" w:color="auto" w:fill="FFFFFF"/>
                <w:lang w:val="en-US"/>
              </w:rPr>
              <w:t>Domeniu</w:t>
            </w:r>
            <w:proofErr w:type="spellEnd"/>
            <w:r w:rsidRPr="000A6807">
              <w:rPr>
                <w:rFonts w:eastAsia="Arial Unicode MS"/>
                <w:b/>
                <w:bCs/>
                <w:color w:val="000000" w:themeColor="text1"/>
                <w:sz w:val="20"/>
                <w:szCs w:val="20"/>
                <w:shd w:val="clear" w:color="auto" w:fill="FFFFFF"/>
                <w:lang w:val="en-US"/>
              </w:rPr>
              <w:t xml:space="preserve"> de </w:t>
            </w:r>
            <w:proofErr w:type="spellStart"/>
            <w:r w:rsidRPr="000A6807">
              <w:rPr>
                <w:rFonts w:eastAsia="Arial Unicode MS"/>
                <w:b/>
                <w:bCs/>
                <w:color w:val="000000" w:themeColor="text1"/>
                <w:sz w:val="20"/>
                <w:szCs w:val="20"/>
                <w:shd w:val="clear" w:color="auto" w:fill="FFFFFF"/>
                <w:lang w:val="en-US"/>
              </w:rPr>
              <w:t>aplicare</w:t>
            </w:r>
            <w:proofErr w:type="spellEnd"/>
          </w:p>
          <w:p w14:paraId="1548CAD5" w14:textId="0BF40894" w:rsidR="00124364" w:rsidRPr="000A6807" w:rsidRDefault="00000000" w:rsidP="00804FE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A6807">
              <w:rPr>
                <w:rFonts w:eastAsia="Arial Unicode MS"/>
                <w:color w:val="000000" w:themeColor="text1"/>
                <w:sz w:val="20"/>
                <w:szCs w:val="20"/>
                <w:shd w:val="clear" w:color="auto" w:fill="FFFFFF"/>
                <w:lang w:val="en-US"/>
              </w:rPr>
              <w:t>Dispozițiile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prezentului</w:t>
            </w:r>
            <w:proofErr w:type="spellEnd"/>
            <w:r w:rsidRPr="000A6807">
              <w:rPr>
                <w:rFonts w:eastAsia="Arial Unicode MS"/>
                <w:color w:val="000000" w:themeColor="text1"/>
                <w:sz w:val="20"/>
                <w:szCs w:val="20"/>
                <w:shd w:val="clear" w:color="auto" w:fill="FFFFFF"/>
                <w:lang w:val="en-US"/>
              </w:rPr>
              <w:t xml:space="preserve"> capitol se </w:t>
            </w:r>
            <w:proofErr w:type="spellStart"/>
            <w:r w:rsidRPr="000A6807">
              <w:rPr>
                <w:rFonts w:eastAsia="Arial Unicode MS"/>
                <w:color w:val="000000" w:themeColor="text1"/>
                <w:sz w:val="20"/>
                <w:szCs w:val="20"/>
                <w:shd w:val="clear" w:color="auto" w:fill="FFFFFF"/>
                <w:lang w:val="en-US"/>
              </w:rPr>
              <w:t>aplică</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autorizațiilor</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emisii</w:t>
            </w:r>
            <w:proofErr w:type="spellEnd"/>
            <w:r w:rsidRPr="000A6807">
              <w:rPr>
                <w:rFonts w:eastAsia="Arial Unicode MS"/>
                <w:color w:val="000000" w:themeColor="text1"/>
                <w:sz w:val="20"/>
                <w:szCs w:val="20"/>
                <w:shd w:val="clear" w:color="auto" w:fill="FFFFFF"/>
                <w:lang w:val="en-US"/>
              </w:rPr>
              <w:t xml:space="preserve"> de gaze cu </w:t>
            </w:r>
            <w:proofErr w:type="spellStart"/>
            <w:r w:rsidRPr="000A6807">
              <w:rPr>
                <w:rFonts w:eastAsia="Arial Unicode MS"/>
                <w:color w:val="000000" w:themeColor="text1"/>
                <w:sz w:val="20"/>
                <w:szCs w:val="20"/>
                <w:shd w:val="clear" w:color="auto" w:fill="FFFFFF"/>
                <w:lang w:val="en-US"/>
              </w:rPr>
              <w:t>efect</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seră</w:t>
            </w:r>
            <w:proofErr w:type="spellEnd"/>
            <w:r w:rsidRPr="000A6807">
              <w:rPr>
                <w:rFonts w:eastAsia="Arial Unicode MS"/>
                <w:color w:val="000000" w:themeColor="text1"/>
                <w:sz w:val="20"/>
                <w:szCs w:val="20"/>
                <w:shd w:val="clear" w:color="auto" w:fill="FFFFFF"/>
                <w:lang w:val="en-US"/>
              </w:rPr>
              <w:t xml:space="preserve"> și </w:t>
            </w:r>
            <w:proofErr w:type="spellStart"/>
            <w:r w:rsidRPr="000A6807">
              <w:rPr>
                <w:rFonts w:eastAsia="Arial Unicode MS"/>
                <w:color w:val="000000" w:themeColor="text1"/>
                <w:sz w:val="20"/>
                <w:szCs w:val="20"/>
                <w:shd w:val="clear" w:color="auto" w:fill="FFFFFF"/>
                <w:lang w:val="en-US"/>
              </w:rPr>
              <w:t>alocării</w:t>
            </w:r>
            <w:proofErr w:type="spellEnd"/>
            <w:r w:rsidRPr="000A6807">
              <w:rPr>
                <w:rFonts w:eastAsia="Arial Unicode MS"/>
                <w:color w:val="000000" w:themeColor="text1"/>
                <w:sz w:val="20"/>
                <w:szCs w:val="20"/>
                <w:shd w:val="clear" w:color="auto" w:fill="FFFFFF"/>
                <w:lang w:val="en-US"/>
              </w:rPr>
              <w:t xml:space="preserve"> și </w:t>
            </w:r>
            <w:proofErr w:type="spellStart"/>
            <w:r w:rsidRPr="000A6807">
              <w:rPr>
                <w:rFonts w:eastAsia="Arial Unicode MS"/>
                <w:color w:val="000000" w:themeColor="text1"/>
                <w:sz w:val="20"/>
                <w:szCs w:val="20"/>
                <w:shd w:val="clear" w:color="auto" w:fill="FFFFFF"/>
                <w:lang w:val="en-US"/>
              </w:rPr>
              <w:t>emiterii</w:t>
            </w:r>
            <w:proofErr w:type="spellEnd"/>
            <w:r w:rsidRPr="000A6807">
              <w:rPr>
                <w:rFonts w:eastAsia="Arial Unicode MS"/>
                <w:color w:val="000000" w:themeColor="text1"/>
                <w:sz w:val="20"/>
                <w:szCs w:val="20"/>
                <w:shd w:val="clear" w:color="auto" w:fill="FFFFFF"/>
                <w:lang w:val="en-US"/>
              </w:rPr>
              <w:t xml:space="preserve"> de certificate </w:t>
            </w:r>
            <w:proofErr w:type="spellStart"/>
            <w:r w:rsidRPr="000A6807">
              <w:rPr>
                <w:rFonts w:eastAsia="Arial Unicode MS"/>
                <w:color w:val="000000" w:themeColor="text1"/>
                <w:sz w:val="20"/>
                <w:szCs w:val="20"/>
                <w:shd w:val="clear" w:color="auto" w:fill="FFFFFF"/>
                <w:lang w:val="en-US"/>
              </w:rPr>
              <w:t>pentru</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activitățile</w:t>
            </w:r>
            <w:proofErr w:type="spellEnd"/>
            <w:r w:rsidRPr="000A6807">
              <w:rPr>
                <w:rFonts w:eastAsia="Arial Unicode MS"/>
                <w:color w:val="000000" w:themeColor="text1"/>
                <w:sz w:val="20"/>
                <w:szCs w:val="20"/>
                <w:shd w:val="clear" w:color="auto" w:fill="FFFFFF"/>
                <w:lang w:val="en-US"/>
              </w:rPr>
              <w:t xml:space="preserve"> enumerate în </w:t>
            </w:r>
            <w:proofErr w:type="spellStart"/>
            <w:r w:rsidRPr="000A6807">
              <w:rPr>
                <w:rFonts w:eastAsia="Arial Unicode MS"/>
                <w:color w:val="000000" w:themeColor="text1"/>
                <w:sz w:val="20"/>
                <w:szCs w:val="20"/>
                <w:shd w:val="clear" w:color="auto" w:fill="FFFFFF"/>
                <w:lang w:val="en-US"/>
              </w:rPr>
              <w:t>anexa</w:t>
            </w:r>
            <w:proofErr w:type="spellEnd"/>
            <w:r w:rsidR="00804FEE" w:rsidRPr="000A6807">
              <w:rPr>
                <w:rFonts w:eastAsia="Arial Unicode MS"/>
                <w:color w:val="000000" w:themeColor="text1"/>
                <w:sz w:val="20"/>
                <w:szCs w:val="20"/>
                <w:shd w:val="clear" w:color="auto" w:fill="FFFFFF"/>
                <w:lang w:val="en-US"/>
              </w:rPr>
              <w:t xml:space="preserve"> </w:t>
            </w:r>
            <w:r w:rsidRPr="000A6807">
              <w:rPr>
                <w:rFonts w:eastAsia="Arial Unicode MS"/>
                <w:color w:val="000000" w:themeColor="text1"/>
                <w:sz w:val="20"/>
                <w:szCs w:val="20"/>
                <w:shd w:val="clear" w:color="auto" w:fill="FFFFFF"/>
                <w:lang w:val="en-US"/>
              </w:rPr>
              <w:t xml:space="preserve">I, </w:t>
            </w:r>
            <w:proofErr w:type="spellStart"/>
            <w:r w:rsidRPr="000A6807">
              <w:rPr>
                <w:rFonts w:eastAsia="Arial Unicode MS"/>
                <w:color w:val="000000" w:themeColor="text1"/>
                <w:sz w:val="20"/>
                <w:szCs w:val="20"/>
                <w:shd w:val="clear" w:color="auto" w:fill="FFFFFF"/>
                <w:lang w:val="en-US"/>
              </w:rPr>
              <w:t>altele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decât</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activitățile</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aviație</w:t>
            </w:r>
            <w:proofErr w:type="spellEnd"/>
            <w:r w:rsidRPr="000A6807">
              <w:rPr>
                <w:rFonts w:eastAsia="Arial Unicode MS"/>
                <w:color w:val="000000" w:themeColor="text1"/>
                <w:sz w:val="20"/>
                <w:szCs w:val="20"/>
                <w:shd w:val="clear" w:color="auto" w:fill="FFFFFF"/>
                <w:lang w:val="en-US"/>
              </w:rPr>
              <w:t xml:space="preserve"> și de transport maritim.</w:t>
            </w:r>
          </w:p>
          <w:p w14:paraId="2499FB76" w14:textId="77777777" w:rsidR="00124364" w:rsidRPr="000A6807"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63" w:tooltip="32009L0029R(04): REPLACED" w:history="1">
              <w:r w:rsidRPr="000A6807">
                <w:rPr>
                  <w:rStyle w:val="af3"/>
                  <w:rFonts w:eastAsia="Arial Unicode MS"/>
                  <w:b/>
                  <w:bCs/>
                  <w:color w:val="4472C4" w:themeColor="accent1"/>
                  <w:sz w:val="20"/>
                  <w:szCs w:val="20"/>
                </w:rPr>
                <w:t>▼C5</w:t>
              </w:r>
            </w:hyperlink>
          </w:p>
        </w:tc>
        <w:tc>
          <w:tcPr>
            <w:tcW w:w="4394" w:type="dxa"/>
            <w:shd w:val="clear" w:color="auto" w:fill="auto"/>
          </w:tcPr>
          <w:p w14:paraId="14C02EDD" w14:textId="42FCA7FC" w:rsidR="000A6807" w:rsidRPr="000A6807" w:rsidRDefault="000A6807" w:rsidP="000A6807">
            <w:pPr>
              <w:spacing w:after="0" w:line="240" w:lineRule="auto"/>
              <w:rPr>
                <w:rFonts w:ascii="Times New Roman" w:hAnsi="Times New Roman"/>
                <w:color w:val="000000"/>
                <w:sz w:val="20"/>
                <w:szCs w:val="20"/>
                <w:shd w:val="clear" w:color="auto" w:fill="FFFFFF"/>
                <w:lang w:val="ro-MD"/>
              </w:rPr>
            </w:pPr>
            <w:r w:rsidRPr="000A6807">
              <w:rPr>
                <w:rFonts w:ascii="Times New Roman" w:hAnsi="Times New Roman"/>
                <w:b/>
                <w:bCs/>
                <w:sz w:val="20"/>
                <w:szCs w:val="20"/>
                <w:lang w:val="ro-MD"/>
              </w:rPr>
              <w:t xml:space="preserve">Articolul </w:t>
            </w:r>
            <w:r w:rsidRPr="000A6807">
              <w:rPr>
                <w:rFonts w:ascii="Times New Roman" w:hAnsi="Times New Roman"/>
                <w:b/>
                <w:bCs/>
                <w:sz w:val="20"/>
                <w:szCs w:val="20"/>
                <w:lang w:val="ro-MD"/>
              </w:rPr>
              <w:t>27</w:t>
            </w:r>
            <w:r w:rsidRPr="000A6807">
              <w:rPr>
                <w:rFonts w:ascii="Times New Roman" w:hAnsi="Times New Roman"/>
                <w:b/>
                <w:bCs/>
                <w:sz w:val="20"/>
                <w:szCs w:val="20"/>
                <w:lang w:val="ro-MD"/>
              </w:rPr>
              <w:t>.</w:t>
            </w:r>
            <w:r w:rsidRPr="000A6807">
              <w:rPr>
                <w:rFonts w:ascii="Times New Roman" w:hAnsi="Times New Roman"/>
                <w:b/>
                <w:bCs/>
                <w:sz w:val="20"/>
                <w:szCs w:val="20"/>
                <w:lang w:val="ro-MD"/>
              </w:rPr>
              <w:t xml:space="preserve"> </w:t>
            </w:r>
            <w:r w:rsidRPr="000A6807">
              <w:rPr>
                <w:rFonts w:ascii="Times New Roman" w:hAnsi="Times New Roman"/>
                <w:sz w:val="20"/>
                <w:szCs w:val="20"/>
                <w:lang w:val="ro-MD"/>
              </w:rPr>
              <w:t>Responsabilitățile operatorilor de instalații staționare, operatorilor de aeronave și de transport maritim</w:t>
            </w:r>
          </w:p>
          <w:p w14:paraId="0B3AD861" w14:textId="4A2F5441" w:rsidR="000A6807" w:rsidRPr="000A6807" w:rsidRDefault="000A6807" w:rsidP="000A6807">
            <w:pPr>
              <w:spacing w:after="0" w:line="240" w:lineRule="auto"/>
              <w:ind w:firstLine="709"/>
              <w:rPr>
                <w:rFonts w:ascii="Times New Roman" w:hAnsi="Times New Roman"/>
                <w:color w:val="000000"/>
                <w:sz w:val="20"/>
                <w:szCs w:val="20"/>
                <w:shd w:val="clear" w:color="auto" w:fill="FFFFFF"/>
                <w:lang w:val="ro-MD"/>
              </w:rPr>
            </w:pPr>
            <w:r w:rsidRPr="000A6807">
              <w:rPr>
                <w:rFonts w:ascii="Times New Roman" w:hAnsi="Times New Roman"/>
                <w:color w:val="000000"/>
                <w:sz w:val="20"/>
                <w:szCs w:val="20"/>
                <w:shd w:val="clear" w:color="auto" w:fill="FFFFFF"/>
                <w:lang w:val="ro-MD"/>
              </w:rPr>
              <w:t>Operatorii care desfășoară activități în domeniul de aplicare a legii au următoarele responsabilităţi:</w:t>
            </w:r>
          </w:p>
          <w:p w14:paraId="4250AC8B" w14:textId="5FBD34A8" w:rsidR="00124364" w:rsidRPr="000A6807" w:rsidRDefault="000A6807" w:rsidP="000A6807">
            <w:pPr>
              <w:pStyle w:val="af8"/>
              <w:numPr>
                <w:ilvl w:val="0"/>
                <w:numId w:val="243"/>
              </w:numPr>
              <w:suppressAutoHyphens w:val="0"/>
              <w:autoSpaceDN/>
              <w:spacing w:after="0" w:line="240" w:lineRule="auto"/>
              <w:ind w:left="0" w:firstLine="709"/>
              <w:jc w:val="both"/>
              <w:textAlignment w:val="auto"/>
              <w:rPr>
                <w:rFonts w:ascii="Times New Roman" w:hAnsi="Times New Roman"/>
                <w:sz w:val="20"/>
                <w:szCs w:val="20"/>
                <w:shd w:val="clear" w:color="auto" w:fill="FFFFFF"/>
                <w:lang w:val="ro-MD"/>
              </w:rPr>
            </w:pPr>
            <w:r w:rsidRPr="000A6807">
              <w:rPr>
                <w:rFonts w:ascii="Times New Roman" w:hAnsi="Times New Roman"/>
                <w:sz w:val="20"/>
                <w:szCs w:val="20"/>
                <w:shd w:val="clear" w:color="auto" w:fill="FFFFFF"/>
                <w:lang w:val="ro-MD"/>
              </w:rPr>
              <w:t xml:space="preserve">desfășoară activități industriale și economice specificate în Anexa nr. 1, în baza autorizației integrate de mediu, </w:t>
            </w:r>
            <w:r w:rsidRPr="000A6807">
              <w:rPr>
                <w:rFonts w:ascii="Times New Roman" w:hAnsi="Times New Roman"/>
                <w:color w:val="000000"/>
                <w:sz w:val="20"/>
                <w:szCs w:val="20"/>
                <w:shd w:val="clear" w:color="auto" w:fill="FFFFFF"/>
                <w:lang w:val="ro-MD"/>
              </w:rPr>
              <w:t xml:space="preserve">care acordă dreptul de a emite </w:t>
            </w:r>
            <w:r w:rsidRPr="000A6807">
              <w:rPr>
                <w:rFonts w:ascii="Times New Roman" w:hAnsi="Times New Roman"/>
                <w:sz w:val="20"/>
                <w:szCs w:val="20"/>
                <w:lang w:val="ro-MD"/>
              </w:rPr>
              <w:t xml:space="preserve">emisiile de </w:t>
            </w:r>
            <w:r w:rsidRPr="000A6807">
              <w:rPr>
                <w:rFonts w:ascii="Times New Roman" w:hAnsi="Times New Roman"/>
                <w:sz w:val="20"/>
                <w:szCs w:val="20"/>
                <w:shd w:val="clear" w:color="auto" w:fill="FFFFFF"/>
                <w:lang w:val="ro-MD"/>
              </w:rPr>
              <w:t>GES</w:t>
            </w:r>
            <w:r w:rsidRPr="000A6807">
              <w:rPr>
                <w:rFonts w:ascii="Times New Roman" w:hAnsi="Times New Roman"/>
                <w:color w:val="333333"/>
                <w:sz w:val="20"/>
                <w:szCs w:val="20"/>
                <w:shd w:val="clear" w:color="auto" w:fill="FFFFFF"/>
                <w:lang w:val="ro-MD"/>
              </w:rPr>
              <w:t xml:space="preserve"> </w:t>
            </w:r>
            <w:r w:rsidRPr="000A6807">
              <w:rPr>
                <w:rFonts w:ascii="Times New Roman" w:hAnsi="Times New Roman"/>
                <w:sz w:val="20"/>
                <w:szCs w:val="20"/>
                <w:shd w:val="clear" w:color="auto" w:fill="FFFFFF"/>
                <w:lang w:val="ro-MD"/>
              </w:rPr>
              <w:t>din întreaga instalație staționară sau dintr-o parte a acesteia,</w:t>
            </w:r>
            <w:r w:rsidRPr="000A6807">
              <w:rPr>
                <w:rFonts w:ascii="Times New Roman" w:hAnsi="Times New Roman"/>
                <w:color w:val="000000"/>
                <w:sz w:val="20"/>
                <w:szCs w:val="20"/>
                <w:shd w:val="clear" w:color="auto" w:fill="FFFFFF"/>
                <w:lang w:val="ro-MD"/>
              </w:rPr>
              <w:t xml:space="preserve"> </w:t>
            </w:r>
            <w:r w:rsidRPr="000A6807">
              <w:rPr>
                <w:rFonts w:ascii="Times New Roman" w:hAnsi="Times New Roman"/>
                <w:bCs/>
                <w:sz w:val="20"/>
                <w:szCs w:val="20"/>
                <w:shd w:val="clear" w:color="auto" w:fill="FFFFFF"/>
                <w:lang w:val="ro-MD"/>
              </w:rPr>
              <w:t xml:space="preserve">controlată </w:t>
            </w:r>
            <w:r w:rsidRPr="000A6807">
              <w:rPr>
                <w:rFonts w:ascii="Times New Roman" w:hAnsi="Times New Roman"/>
                <w:sz w:val="20"/>
                <w:szCs w:val="20"/>
                <w:shd w:val="clear" w:color="auto" w:fill="FFFFFF"/>
                <w:lang w:val="ro-MD"/>
              </w:rPr>
              <w:t>de același operator</w:t>
            </w:r>
            <w:r w:rsidRPr="000A6807">
              <w:rPr>
                <w:rFonts w:ascii="Times New Roman" w:hAnsi="Times New Roman"/>
                <w:color w:val="000000"/>
                <w:sz w:val="20"/>
                <w:szCs w:val="20"/>
                <w:shd w:val="clear" w:color="auto" w:fill="FFFFFF"/>
                <w:lang w:val="ro-MD"/>
              </w:rPr>
              <w:t xml:space="preserve"> </w:t>
            </w:r>
            <w:r w:rsidRPr="000A6807">
              <w:rPr>
                <w:rFonts w:ascii="Times New Roman" w:hAnsi="Times New Roman"/>
                <w:sz w:val="20"/>
                <w:szCs w:val="20"/>
                <w:lang w:val="ro-MD"/>
              </w:rPr>
              <w:t>cu respectarea cerințelor de evaluare din PM a emisiilor de GES;</w:t>
            </w:r>
          </w:p>
        </w:tc>
        <w:tc>
          <w:tcPr>
            <w:tcW w:w="1276" w:type="dxa"/>
            <w:shd w:val="clear" w:color="auto" w:fill="auto"/>
          </w:tcPr>
          <w:p w14:paraId="27FBE0E5" w14:textId="77777777" w:rsidR="00804FEE" w:rsidRDefault="00804FEE" w:rsidP="00804FEE">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 xml:space="preserve">Parțial compatibil </w:t>
            </w:r>
          </w:p>
          <w:p w14:paraId="68E4C947" w14:textId="2442EE2A" w:rsidR="00124364" w:rsidRDefault="00124364" w:rsidP="00804FE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2C0A8BE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BA6C27D" w14:textId="76947A26" w:rsidR="00124364" w:rsidRPr="00FB6C41" w:rsidRDefault="00FB6C41" w:rsidP="00804FEE">
            <w:pPr>
              <w:autoSpaceDE w:val="0"/>
              <w:adjustRightInd w:val="0"/>
              <w:spacing w:after="0" w:line="240" w:lineRule="auto"/>
              <w:rPr>
                <w:rFonts w:ascii="Times New Roman" w:eastAsia="Times New Roman" w:hAnsi="Times New Roman"/>
                <w:sz w:val="20"/>
                <w:szCs w:val="20"/>
                <w:lang w:val="ro-RO"/>
              </w:rPr>
            </w:pPr>
            <w:r w:rsidRPr="00FB6C41">
              <w:rPr>
                <w:rFonts w:ascii="Times New Roman" w:hAnsi="Times New Roman"/>
                <w:color w:val="000000" w:themeColor="text1"/>
                <w:sz w:val="20"/>
                <w:szCs w:val="20"/>
                <w:lang w:val="ro-MD"/>
              </w:rPr>
              <w:t xml:space="preserve">Prevederile referitoare la autorizare sunt reglementate la art.12 și art.13 din </w:t>
            </w:r>
            <w:r w:rsidRPr="00FB6C41">
              <w:rPr>
                <w:rFonts w:ascii="Times New Roman" w:hAnsi="Times New Roman"/>
                <w:color w:val="000000" w:themeColor="text1"/>
                <w:sz w:val="20"/>
                <w:szCs w:val="20"/>
                <w:lang w:val="ro-MD"/>
              </w:rPr>
              <w:t>Legea nr.227/2022 privind emisiile industriale</w:t>
            </w:r>
          </w:p>
        </w:tc>
        <w:tc>
          <w:tcPr>
            <w:tcW w:w="1464" w:type="dxa"/>
            <w:shd w:val="clear" w:color="auto" w:fill="auto"/>
          </w:tcPr>
          <w:p w14:paraId="17D2EAC3" w14:textId="77777777" w:rsidR="00804FEE" w:rsidRDefault="00804FEE" w:rsidP="00804FEE">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1850326" w14:textId="77777777" w:rsidR="00804FEE" w:rsidRDefault="00804FEE" w:rsidP="00804FEE">
            <w:pPr>
              <w:autoSpaceDE w:val="0"/>
              <w:spacing w:after="0" w:line="240" w:lineRule="auto"/>
              <w:rPr>
                <w:rFonts w:ascii="Times New Roman" w:hAnsi="Times New Roman"/>
                <w:sz w:val="20"/>
                <w:szCs w:val="20"/>
                <w:lang w:val="fr-FR"/>
              </w:rPr>
            </w:pPr>
          </w:p>
          <w:p w14:paraId="44ED31E8" w14:textId="36D68725" w:rsidR="00124364" w:rsidRDefault="00804FEE" w:rsidP="00804FEE">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485AFA96" w14:textId="77777777">
        <w:trPr>
          <w:trHeight w:val="558"/>
        </w:trPr>
        <w:tc>
          <w:tcPr>
            <w:tcW w:w="4957" w:type="dxa"/>
            <w:shd w:val="clear" w:color="auto" w:fill="auto"/>
          </w:tcPr>
          <w:p w14:paraId="58AA4561" w14:textId="32BCB5EE" w:rsidR="00124364" w:rsidRPr="00804FEE"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804FEE">
              <w:rPr>
                <w:rFonts w:eastAsia="Arial Unicode MS"/>
                <w:i/>
                <w:iCs/>
                <w:color w:val="000000" w:themeColor="text1"/>
                <w:sz w:val="20"/>
                <w:szCs w:val="20"/>
                <w:shd w:val="clear" w:color="auto" w:fill="FFFFFF"/>
                <w:lang w:val="en-US"/>
              </w:rPr>
              <w:t>Articolul</w:t>
            </w:r>
            <w:proofErr w:type="spellEnd"/>
            <w:r w:rsidR="00804FEE" w:rsidRPr="00804FEE">
              <w:rPr>
                <w:rFonts w:eastAsia="Arial Unicode MS"/>
                <w:i/>
                <w:iCs/>
                <w:color w:val="000000" w:themeColor="text1"/>
                <w:sz w:val="20"/>
                <w:szCs w:val="20"/>
                <w:shd w:val="clear" w:color="auto" w:fill="FFFFFF"/>
                <w:lang w:val="en-US"/>
              </w:rPr>
              <w:t xml:space="preserve"> </w:t>
            </w:r>
            <w:r w:rsidRPr="00804FEE">
              <w:rPr>
                <w:rFonts w:eastAsia="Arial Unicode MS"/>
                <w:i/>
                <w:iCs/>
                <w:color w:val="000000" w:themeColor="text1"/>
                <w:sz w:val="20"/>
                <w:szCs w:val="20"/>
                <w:shd w:val="clear" w:color="auto" w:fill="FFFFFF"/>
                <w:lang w:val="en-US"/>
              </w:rPr>
              <w:t>4</w:t>
            </w:r>
          </w:p>
          <w:p w14:paraId="17347D39" w14:textId="77777777" w:rsidR="00124364" w:rsidRPr="00804FEE"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804FEE">
              <w:rPr>
                <w:rFonts w:eastAsia="Arial Unicode MS"/>
                <w:b/>
                <w:bCs/>
                <w:color w:val="000000" w:themeColor="text1"/>
                <w:sz w:val="20"/>
                <w:szCs w:val="20"/>
                <w:shd w:val="clear" w:color="auto" w:fill="FFFFFF"/>
                <w:lang w:val="en-US"/>
              </w:rPr>
              <w:t>Autorizații</w:t>
            </w:r>
            <w:proofErr w:type="spellEnd"/>
            <w:r w:rsidRPr="00804FEE">
              <w:rPr>
                <w:rFonts w:eastAsia="Arial Unicode MS"/>
                <w:b/>
                <w:bCs/>
                <w:color w:val="000000" w:themeColor="text1"/>
                <w:sz w:val="20"/>
                <w:szCs w:val="20"/>
                <w:shd w:val="clear" w:color="auto" w:fill="FFFFFF"/>
                <w:lang w:val="en-US"/>
              </w:rPr>
              <w:t xml:space="preserve"> de </w:t>
            </w:r>
            <w:proofErr w:type="spellStart"/>
            <w:r w:rsidRPr="00804FEE">
              <w:rPr>
                <w:rFonts w:eastAsia="Arial Unicode MS"/>
                <w:b/>
                <w:bCs/>
                <w:color w:val="000000" w:themeColor="text1"/>
                <w:sz w:val="20"/>
                <w:szCs w:val="20"/>
                <w:shd w:val="clear" w:color="auto" w:fill="FFFFFF"/>
                <w:lang w:val="en-US"/>
              </w:rPr>
              <w:t>emisii</w:t>
            </w:r>
            <w:proofErr w:type="spellEnd"/>
            <w:r w:rsidRPr="00804FEE">
              <w:rPr>
                <w:rFonts w:eastAsia="Arial Unicode MS"/>
                <w:b/>
                <w:bCs/>
                <w:color w:val="000000" w:themeColor="text1"/>
                <w:sz w:val="20"/>
                <w:szCs w:val="20"/>
                <w:shd w:val="clear" w:color="auto" w:fill="FFFFFF"/>
                <w:lang w:val="en-US"/>
              </w:rPr>
              <w:t xml:space="preserve"> de gaze cu </w:t>
            </w:r>
            <w:proofErr w:type="spellStart"/>
            <w:r w:rsidRPr="00804FEE">
              <w:rPr>
                <w:rFonts w:eastAsia="Arial Unicode MS"/>
                <w:b/>
                <w:bCs/>
                <w:color w:val="000000" w:themeColor="text1"/>
                <w:sz w:val="20"/>
                <w:szCs w:val="20"/>
                <w:shd w:val="clear" w:color="auto" w:fill="FFFFFF"/>
                <w:lang w:val="en-US"/>
              </w:rPr>
              <w:t>efect</w:t>
            </w:r>
            <w:proofErr w:type="spellEnd"/>
            <w:r w:rsidRPr="00804FEE">
              <w:rPr>
                <w:rFonts w:eastAsia="Arial Unicode MS"/>
                <w:b/>
                <w:bCs/>
                <w:color w:val="000000" w:themeColor="text1"/>
                <w:sz w:val="20"/>
                <w:szCs w:val="20"/>
                <w:shd w:val="clear" w:color="auto" w:fill="FFFFFF"/>
                <w:lang w:val="en-US"/>
              </w:rPr>
              <w:t xml:space="preserve"> de </w:t>
            </w:r>
            <w:proofErr w:type="spellStart"/>
            <w:r w:rsidRPr="00804FEE">
              <w:rPr>
                <w:rFonts w:eastAsia="Arial Unicode MS"/>
                <w:b/>
                <w:bCs/>
                <w:color w:val="000000" w:themeColor="text1"/>
                <w:sz w:val="20"/>
                <w:szCs w:val="20"/>
                <w:shd w:val="clear" w:color="auto" w:fill="FFFFFF"/>
                <w:lang w:val="en-US"/>
              </w:rPr>
              <w:t>seră</w:t>
            </w:r>
            <w:proofErr w:type="spellEnd"/>
          </w:p>
          <w:p w14:paraId="53B4A529" w14:textId="0AB70905" w:rsidR="00124364" w:rsidRPr="00804FEE" w:rsidRDefault="00000000" w:rsidP="00804FE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04FEE">
              <w:rPr>
                <w:rFonts w:eastAsia="Arial Unicode MS"/>
                <w:color w:val="000000" w:themeColor="text1"/>
                <w:sz w:val="20"/>
                <w:szCs w:val="20"/>
                <w:shd w:val="clear" w:color="auto" w:fill="FFFFFF"/>
                <w:lang w:val="en-US"/>
              </w:rPr>
              <w:t>Statele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membre</w:t>
            </w:r>
            <w:proofErr w:type="spellEnd"/>
            <w:r w:rsidRPr="00804FEE">
              <w:rPr>
                <w:rFonts w:eastAsia="Arial Unicode MS"/>
                <w:color w:val="000000" w:themeColor="text1"/>
                <w:sz w:val="20"/>
                <w:szCs w:val="20"/>
                <w:shd w:val="clear" w:color="auto" w:fill="FFFFFF"/>
                <w:lang w:val="en-US"/>
              </w:rPr>
              <w:t xml:space="preserve"> se </w:t>
            </w:r>
            <w:proofErr w:type="spellStart"/>
            <w:r w:rsidRPr="00804FEE">
              <w:rPr>
                <w:rFonts w:eastAsia="Arial Unicode MS"/>
                <w:color w:val="000000" w:themeColor="text1"/>
                <w:sz w:val="20"/>
                <w:szCs w:val="20"/>
                <w:shd w:val="clear" w:color="auto" w:fill="FFFFFF"/>
                <w:lang w:val="en-US"/>
              </w:rPr>
              <w:t>asigură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că</w:t>
            </w:r>
            <w:proofErr w:type="spellEnd"/>
            <w:r w:rsidRPr="00804FEE">
              <w:rPr>
                <w:rFonts w:eastAsia="Arial Unicode MS"/>
                <w:color w:val="000000" w:themeColor="text1"/>
                <w:sz w:val="20"/>
                <w:szCs w:val="20"/>
                <w:shd w:val="clear" w:color="auto" w:fill="FFFFFF"/>
                <w:lang w:val="en-US"/>
              </w:rPr>
              <w:t>, de la 1</w:t>
            </w:r>
            <w:r w:rsidR="00804FEE"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ianuarie</w:t>
            </w:r>
            <w:proofErr w:type="spellEnd"/>
            <w:r w:rsidRPr="00804FEE">
              <w:rPr>
                <w:rFonts w:eastAsia="Arial Unicode MS"/>
                <w:color w:val="000000" w:themeColor="text1"/>
                <w:sz w:val="20"/>
                <w:szCs w:val="20"/>
                <w:shd w:val="clear" w:color="auto" w:fill="FFFFFF"/>
                <w:lang w:val="en-US"/>
              </w:rPr>
              <w:t xml:space="preserve"> 2005, </w:t>
            </w:r>
            <w:proofErr w:type="spellStart"/>
            <w:r w:rsidRPr="00804FEE">
              <w:rPr>
                <w:rFonts w:eastAsia="Arial Unicode MS"/>
                <w:color w:val="000000" w:themeColor="text1"/>
                <w:sz w:val="20"/>
                <w:szCs w:val="20"/>
                <w:shd w:val="clear" w:color="auto" w:fill="FFFFFF"/>
                <w:lang w:val="en-US"/>
              </w:rPr>
              <w:t>nicio</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instalație</w:t>
            </w:r>
            <w:proofErr w:type="spellEnd"/>
            <w:r w:rsidRPr="00804FEE">
              <w:rPr>
                <w:rFonts w:eastAsia="Arial Unicode MS"/>
                <w:color w:val="000000" w:themeColor="text1"/>
                <w:sz w:val="20"/>
                <w:szCs w:val="20"/>
                <w:shd w:val="clear" w:color="auto" w:fill="FFFFFF"/>
                <w:lang w:val="en-US"/>
              </w:rPr>
              <w:t xml:space="preserve"> nu </w:t>
            </w:r>
            <w:proofErr w:type="spellStart"/>
            <w:r w:rsidRPr="00804FEE">
              <w:rPr>
                <w:rFonts w:eastAsia="Arial Unicode MS"/>
                <w:color w:val="000000" w:themeColor="text1"/>
                <w:sz w:val="20"/>
                <w:szCs w:val="20"/>
                <w:shd w:val="clear" w:color="auto" w:fill="FFFFFF"/>
                <w:lang w:val="en-US"/>
              </w:rPr>
              <w:t>desfășoară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niciuna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dintre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activitățile</w:t>
            </w:r>
            <w:proofErr w:type="spellEnd"/>
            <w:r w:rsidRPr="00804FEE">
              <w:rPr>
                <w:rFonts w:eastAsia="Arial Unicode MS"/>
                <w:color w:val="000000" w:themeColor="text1"/>
                <w:sz w:val="20"/>
                <w:szCs w:val="20"/>
                <w:shd w:val="clear" w:color="auto" w:fill="FFFFFF"/>
                <w:lang w:val="en-US"/>
              </w:rPr>
              <w:t xml:space="preserve"> enumerate în </w:t>
            </w:r>
            <w:proofErr w:type="spellStart"/>
            <w:r w:rsidRPr="00804FEE">
              <w:rPr>
                <w:rFonts w:eastAsia="Arial Unicode MS"/>
                <w:color w:val="000000" w:themeColor="text1"/>
                <w:sz w:val="20"/>
                <w:szCs w:val="20"/>
                <w:shd w:val="clear" w:color="auto" w:fill="FFFFFF"/>
                <w:lang w:val="en-US"/>
              </w:rPr>
              <w:t>anexa</w:t>
            </w:r>
            <w:proofErr w:type="spellEnd"/>
            <w:r w:rsidRPr="00804FEE">
              <w:rPr>
                <w:rFonts w:eastAsia="Arial Unicode MS"/>
                <w:color w:val="000000" w:themeColor="text1"/>
                <w:sz w:val="20"/>
                <w:szCs w:val="20"/>
                <w:shd w:val="clear" w:color="auto" w:fill="FFFFFF"/>
                <w:lang w:val="en-US"/>
              </w:rPr>
              <w:t xml:space="preserve"> I care </w:t>
            </w:r>
            <w:proofErr w:type="spellStart"/>
            <w:r w:rsidRPr="00804FEE">
              <w:rPr>
                <w:rFonts w:eastAsia="Arial Unicode MS"/>
                <w:color w:val="000000" w:themeColor="text1"/>
                <w:sz w:val="20"/>
                <w:szCs w:val="20"/>
                <w:shd w:val="clear" w:color="auto" w:fill="FFFFFF"/>
                <w:lang w:val="en-US"/>
              </w:rPr>
              <w:t>generează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emisii</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specificate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pentru</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activitatea</w:t>
            </w:r>
            <w:proofErr w:type="spellEnd"/>
            <w:r w:rsidRPr="00804FEE">
              <w:rPr>
                <w:rFonts w:eastAsia="Arial Unicode MS"/>
                <w:color w:val="000000" w:themeColor="text1"/>
                <w:sz w:val="20"/>
                <w:szCs w:val="20"/>
                <w:shd w:val="clear" w:color="auto" w:fill="FFFFFF"/>
                <w:lang w:val="en-US"/>
              </w:rPr>
              <w:t xml:space="preserve"> în </w:t>
            </w:r>
            <w:proofErr w:type="spellStart"/>
            <w:r w:rsidRPr="00804FEE">
              <w:rPr>
                <w:rFonts w:eastAsia="Arial Unicode MS"/>
                <w:color w:val="000000" w:themeColor="text1"/>
                <w:sz w:val="20"/>
                <w:szCs w:val="20"/>
                <w:shd w:val="clear" w:color="auto" w:fill="FFFFFF"/>
                <w:lang w:val="en-US"/>
              </w:rPr>
              <w:t>cauză</w:t>
            </w:r>
            <w:proofErr w:type="spellEnd"/>
            <w:r w:rsidRPr="00804FEE">
              <w:rPr>
                <w:rFonts w:eastAsia="Arial Unicode MS"/>
                <w:color w:val="000000" w:themeColor="text1"/>
                <w:sz w:val="20"/>
                <w:szCs w:val="20"/>
                <w:shd w:val="clear" w:color="auto" w:fill="FFFFFF"/>
                <w:lang w:val="en-US"/>
              </w:rPr>
              <w:t xml:space="preserve">, cu </w:t>
            </w:r>
            <w:proofErr w:type="spellStart"/>
            <w:r w:rsidRPr="00804FEE">
              <w:rPr>
                <w:rFonts w:eastAsia="Arial Unicode MS"/>
                <w:color w:val="000000" w:themeColor="text1"/>
                <w:sz w:val="20"/>
                <w:szCs w:val="20"/>
                <w:shd w:val="clear" w:color="auto" w:fill="FFFFFF"/>
                <w:lang w:val="en-US"/>
              </w:rPr>
              <w:t>excepția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cazurilor</w:t>
            </w:r>
            <w:proofErr w:type="spellEnd"/>
            <w:r w:rsidRPr="00804FEE">
              <w:rPr>
                <w:rFonts w:eastAsia="Arial Unicode MS"/>
                <w:color w:val="000000" w:themeColor="text1"/>
                <w:sz w:val="20"/>
                <w:szCs w:val="20"/>
                <w:shd w:val="clear" w:color="auto" w:fill="FFFFFF"/>
                <w:lang w:val="en-US"/>
              </w:rPr>
              <w:t xml:space="preserve"> în care </w:t>
            </w:r>
            <w:proofErr w:type="spellStart"/>
            <w:r w:rsidRPr="00804FEE">
              <w:rPr>
                <w:rFonts w:eastAsia="Arial Unicode MS"/>
                <w:color w:val="000000" w:themeColor="text1"/>
                <w:sz w:val="20"/>
                <w:szCs w:val="20"/>
                <w:shd w:val="clear" w:color="auto" w:fill="FFFFFF"/>
                <w:lang w:val="en-US"/>
              </w:rPr>
              <w:t>operatorul</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deține</w:t>
            </w:r>
            <w:proofErr w:type="spellEnd"/>
            <w:r w:rsidRPr="00804FEE">
              <w:rPr>
                <w:rFonts w:eastAsia="Arial Unicode MS"/>
                <w:color w:val="000000" w:themeColor="text1"/>
                <w:sz w:val="20"/>
                <w:szCs w:val="20"/>
                <w:shd w:val="clear" w:color="auto" w:fill="FFFFFF"/>
                <w:lang w:val="en-US"/>
              </w:rPr>
              <w:t xml:space="preserve"> o </w:t>
            </w:r>
            <w:proofErr w:type="spellStart"/>
            <w:r w:rsidRPr="00804FEE">
              <w:rPr>
                <w:rFonts w:eastAsia="Arial Unicode MS"/>
                <w:color w:val="000000" w:themeColor="text1"/>
                <w:sz w:val="20"/>
                <w:szCs w:val="20"/>
                <w:shd w:val="clear" w:color="auto" w:fill="FFFFFF"/>
                <w:lang w:val="en-US"/>
              </w:rPr>
              <w:t>autorizație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eliberată</w:t>
            </w:r>
            <w:proofErr w:type="spellEnd"/>
            <w:r w:rsidRPr="00804FEE">
              <w:rPr>
                <w:rFonts w:eastAsia="Arial Unicode MS"/>
                <w:color w:val="000000" w:themeColor="text1"/>
                <w:sz w:val="20"/>
                <w:szCs w:val="20"/>
                <w:shd w:val="clear" w:color="auto" w:fill="FFFFFF"/>
                <w:lang w:val="en-US"/>
              </w:rPr>
              <w:t xml:space="preserve"> de </w:t>
            </w:r>
            <w:proofErr w:type="spellStart"/>
            <w:r w:rsidRPr="00804FEE">
              <w:rPr>
                <w:rFonts w:eastAsia="Arial Unicode MS"/>
                <w:color w:val="000000" w:themeColor="text1"/>
                <w:sz w:val="20"/>
                <w:szCs w:val="20"/>
                <w:shd w:val="clear" w:color="auto" w:fill="FFFFFF"/>
                <w:lang w:val="en-US"/>
              </w:rPr>
              <w:t>autoritatea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competentă</w:t>
            </w:r>
            <w:proofErr w:type="spellEnd"/>
            <w:r w:rsidRPr="00804FEE">
              <w:rPr>
                <w:rFonts w:eastAsia="Arial Unicode MS"/>
                <w:color w:val="000000" w:themeColor="text1"/>
                <w:sz w:val="20"/>
                <w:szCs w:val="20"/>
                <w:shd w:val="clear" w:color="auto" w:fill="FFFFFF"/>
                <w:lang w:val="en-US"/>
              </w:rPr>
              <w:t xml:space="preserve"> în conformitate cu </w:t>
            </w:r>
            <w:proofErr w:type="spellStart"/>
            <w:r w:rsidRPr="00804FEE">
              <w:rPr>
                <w:rFonts w:eastAsia="Arial Unicode MS"/>
                <w:color w:val="000000" w:themeColor="text1"/>
                <w:sz w:val="20"/>
                <w:szCs w:val="20"/>
                <w:shd w:val="clear" w:color="auto" w:fill="FFFFFF"/>
                <w:lang w:val="en-US"/>
              </w:rPr>
              <w:t>articolele</w:t>
            </w:r>
            <w:proofErr w:type="spellEnd"/>
            <w:r w:rsidRPr="00804FEE">
              <w:rPr>
                <w:rFonts w:eastAsia="Arial Unicode MS"/>
                <w:color w:val="000000" w:themeColor="text1"/>
                <w:sz w:val="20"/>
                <w:szCs w:val="20"/>
                <w:shd w:val="clear" w:color="auto" w:fill="FFFFFF"/>
                <w:lang w:val="en-US"/>
              </w:rPr>
              <w:t xml:space="preserve"> 5 și</w:t>
            </w:r>
            <w:r w:rsidR="00804FEE" w:rsidRP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 xml:space="preserve">6, </w:t>
            </w:r>
            <w:proofErr w:type="spellStart"/>
            <w:r w:rsidRPr="00804FEE">
              <w:rPr>
                <w:rFonts w:eastAsia="Arial Unicode MS"/>
                <w:color w:val="000000" w:themeColor="text1"/>
                <w:sz w:val="20"/>
                <w:szCs w:val="20"/>
                <w:shd w:val="clear" w:color="auto" w:fill="FFFFFF"/>
                <w:lang w:val="en-US"/>
              </w:rPr>
              <w:t>sau</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dacă</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instalația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este</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exclusă</w:t>
            </w:r>
            <w:proofErr w:type="spellEnd"/>
            <w:r w:rsidRPr="00804FEE">
              <w:rPr>
                <w:rFonts w:eastAsia="Arial Unicode MS"/>
                <w:color w:val="000000" w:themeColor="text1"/>
                <w:sz w:val="20"/>
                <w:szCs w:val="20"/>
                <w:shd w:val="clear" w:color="auto" w:fill="FFFFFF"/>
                <w:lang w:val="en-US"/>
              </w:rPr>
              <w:t xml:space="preserve"> din</w:t>
            </w:r>
            <w:r w:rsidRPr="00804FEE">
              <w:rPr>
                <w:color w:val="000000" w:themeColor="text1"/>
              </w:rPr>
              <w:fldChar w:fldCharType="begin"/>
            </w:r>
            <w:r w:rsidRPr="00804FEE">
              <w:rPr>
                <w:color w:val="000000" w:themeColor="text1"/>
                <w:lang w:val="en-US"/>
              </w:rPr>
              <w:instrText>HYPERLINK "https://eur-lex.europa.eu/legal-content/RO/AUTO/?uri=celex:32018L0410" \o "32018L0410: REPLACED"</w:instrText>
            </w:r>
            <w:r w:rsidRPr="00804FEE">
              <w:rPr>
                <w:color w:val="000000" w:themeColor="text1"/>
              </w:rPr>
            </w:r>
            <w:r w:rsidRPr="00804FEE">
              <w:rPr>
                <w:color w:val="000000" w:themeColor="text1"/>
              </w:rPr>
              <w:fldChar w:fldCharType="separate"/>
            </w:r>
            <w:r w:rsidRPr="00804FEE">
              <w:rPr>
                <w:rStyle w:val="boldface"/>
                <w:rFonts w:eastAsia="Arial Unicode MS"/>
                <w:b/>
                <w:bCs/>
                <w:color w:val="000000" w:themeColor="text1"/>
                <w:sz w:val="20"/>
                <w:szCs w:val="20"/>
                <w:lang w:val="en-US"/>
              </w:rPr>
              <w:t>►M9</w:t>
            </w:r>
            <w:r w:rsidRPr="00804FEE">
              <w:rPr>
                <w:rStyle w:val="apple-converted-space"/>
                <w:rFonts w:eastAsia="Arial Unicode MS"/>
                <w:color w:val="000000" w:themeColor="text1"/>
                <w:sz w:val="20"/>
                <w:szCs w:val="20"/>
                <w:lang w:val="en-US"/>
              </w:rPr>
              <w:fldChar w:fldCharType="end"/>
            </w:r>
            <w:r w:rsidR="00804FEE" w:rsidRPr="00804FEE">
              <w:rPr>
                <w:rStyle w:val="apple-converted-space"/>
                <w:rFonts w:eastAsia="Arial Unicode MS"/>
                <w:color w:val="000000" w:themeColor="text1"/>
                <w:sz w:val="20"/>
                <w:szCs w:val="20"/>
                <w:lang w:val="en-US"/>
              </w:rPr>
              <w:t xml:space="preserve"> </w:t>
            </w:r>
            <w:r w:rsidRPr="00804FEE">
              <w:rPr>
                <w:rFonts w:eastAsia="Arial Unicode MS"/>
                <w:color w:val="000000" w:themeColor="text1"/>
                <w:sz w:val="20"/>
                <w:szCs w:val="20"/>
                <w:shd w:val="clear" w:color="auto" w:fill="FFFFFF"/>
                <w:lang w:val="en-US"/>
              </w:rPr>
              <w:t>EU ETS</w:t>
            </w:r>
            <w:r w:rsidR="00804FEE" w:rsidRPr="00804FEE">
              <w:rPr>
                <w:rStyle w:val="boldface"/>
                <w:rFonts w:eastAsia="Arial Unicode MS"/>
                <w:b/>
                <w:bCs/>
                <w:color w:val="000000" w:themeColor="text1"/>
                <w:sz w:val="20"/>
                <w:szCs w:val="20"/>
                <w:lang w:val="en-US"/>
              </w:rPr>
              <w:t xml:space="preserve"> </w:t>
            </w:r>
            <w:r w:rsidRPr="00804FEE">
              <w:rPr>
                <w:rStyle w:val="boldface"/>
                <w:rFonts w:eastAsia="Arial Unicode MS"/>
                <w:b/>
                <w:bCs/>
                <w:color w:val="000000" w:themeColor="text1"/>
                <w:sz w:val="20"/>
                <w:szCs w:val="20"/>
                <w:lang w:val="en-US"/>
              </w:rPr>
              <w:t>◄</w:t>
            </w:r>
            <w:r w:rsidR="00804FEE" w:rsidRPr="00804FEE">
              <w:rPr>
                <w:rStyle w:val="apple-converted-space"/>
                <w:rFonts w:eastAsia="Arial Unicode MS"/>
                <w:b/>
                <w:bCs/>
                <w:color w:val="000000" w:themeColor="text1"/>
                <w:sz w:val="20"/>
                <w:szCs w:val="20"/>
                <w:lang w:val="en-US"/>
              </w:rPr>
              <w:t xml:space="preserve"> </w:t>
            </w:r>
            <w:r w:rsidRPr="00804FEE">
              <w:rPr>
                <w:rFonts w:eastAsia="Arial Unicode MS"/>
                <w:color w:val="000000" w:themeColor="text1"/>
                <w:sz w:val="20"/>
                <w:szCs w:val="20"/>
                <w:shd w:val="clear" w:color="auto" w:fill="FFFFFF"/>
                <w:lang w:val="en-US"/>
              </w:rPr>
              <w:t xml:space="preserve">în </w:t>
            </w:r>
            <w:proofErr w:type="spellStart"/>
            <w:r w:rsidRPr="00804FEE">
              <w:rPr>
                <w:rFonts w:eastAsia="Arial Unicode MS"/>
                <w:color w:val="000000" w:themeColor="text1"/>
                <w:sz w:val="20"/>
                <w:szCs w:val="20"/>
                <w:shd w:val="clear" w:color="auto" w:fill="FFFFFF"/>
                <w:lang w:val="en-US"/>
              </w:rPr>
              <w:t>temeiul</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articolului</w:t>
            </w:r>
            <w:proofErr w:type="spellEnd"/>
            <w:r w:rsidR="00804FEE" w:rsidRP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 xml:space="preserve">27. </w:t>
            </w:r>
            <w:proofErr w:type="spellStart"/>
            <w:r w:rsidRPr="00804FEE">
              <w:rPr>
                <w:rFonts w:eastAsia="Arial Unicode MS"/>
                <w:color w:val="000000" w:themeColor="text1"/>
                <w:sz w:val="20"/>
                <w:szCs w:val="20"/>
                <w:shd w:val="clear" w:color="auto" w:fill="FFFFFF"/>
                <w:lang w:val="en-US"/>
              </w:rPr>
              <w:t>Acestea</w:t>
            </w:r>
            <w:proofErr w:type="spellEnd"/>
            <w:r w:rsidRPr="00804FEE">
              <w:rPr>
                <w:rFonts w:eastAsia="Arial Unicode MS"/>
                <w:color w:val="000000" w:themeColor="text1"/>
                <w:sz w:val="20"/>
                <w:szCs w:val="20"/>
                <w:shd w:val="clear" w:color="auto" w:fill="FFFFFF"/>
                <w:lang w:val="en-US"/>
              </w:rPr>
              <w:t xml:space="preserve"> se </w:t>
            </w:r>
            <w:proofErr w:type="spellStart"/>
            <w:r w:rsidRPr="00804FEE">
              <w:rPr>
                <w:rFonts w:eastAsia="Arial Unicode MS"/>
                <w:color w:val="000000" w:themeColor="text1"/>
                <w:sz w:val="20"/>
                <w:szCs w:val="20"/>
                <w:shd w:val="clear" w:color="auto" w:fill="FFFFFF"/>
                <w:lang w:val="en-US"/>
              </w:rPr>
              <w:t>aplică</w:t>
            </w:r>
            <w:proofErr w:type="spellEnd"/>
            <w:r w:rsidRPr="00804FEE">
              <w:rPr>
                <w:rFonts w:eastAsia="Arial Unicode MS"/>
                <w:color w:val="000000" w:themeColor="text1"/>
                <w:sz w:val="20"/>
                <w:szCs w:val="20"/>
                <w:shd w:val="clear" w:color="auto" w:fill="FFFFFF"/>
                <w:lang w:val="en-US"/>
              </w:rPr>
              <w:t xml:space="preserve"> și în </w:t>
            </w:r>
            <w:proofErr w:type="spellStart"/>
            <w:r w:rsidRPr="00804FEE">
              <w:rPr>
                <w:rFonts w:eastAsia="Arial Unicode MS"/>
                <w:color w:val="000000" w:themeColor="text1"/>
                <w:sz w:val="20"/>
                <w:szCs w:val="20"/>
                <w:shd w:val="clear" w:color="auto" w:fill="FFFFFF"/>
                <w:lang w:val="en-US"/>
              </w:rPr>
              <w:t>cazul</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instalațiilor</w:t>
            </w:r>
            <w:proofErr w:type="spellEnd"/>
            <w:r w:rsidRPr="00804FEE">
              <w:rPr>
                <w:rFonts w:eastAsia="Arial Unicode MS"/>
                <w:color w:val="000000" w:themeColor="text1"/>
                <w:sz w:val="20"/>
                <w:szCs w:val="20"/>
                <w:shd w:val="clear" w:color="auto" w:fill="FFFFFF"/>
                <w:lang w:val="en-US"/>
              </w:rPr>
              <w:t xml:space="preserve"> care </w:t>
            </w:r>
            <w:proofErr w:type="spellStart"/>
            <w:r w:rsidRPr="00804FEE">
              <w:rPr>
                <w:rFonts w:eastAsia="Arial Unicode MS"/>
                <w:color w:val="000000" w:themeColor="text1"/>
                <w:sz w:val="20"/>
                <w:szCs w:val="20"/>
                <w:shd w:val="clear" w:color="auto" w:fill="FFFFFF"/>
                <w:lang w:val="en-US"/>
              </w:rPr>
              <w:t>intră</w:t>
            </w:r>
            <w:proofErr w:type="spellEnd"/>
            <w:r w:rsidRPr="00804FEE">
              <w:rPr>
                <w:rFonts w:eastAsia="Arial Unicode MS"/>
                <w:color w:val="000000" w:themeColor="text1"/>
                <w:sz w:val="20"/>
                <w:szCs w:val="20"/>
                <w:shd w:val="clear" w:color="auto" w:fill="FFFFFF"/>
                <w:lang w:val="en-US"/>
              </w:rPr>
              <w:t xml:space="preserve"> sub </w:t>
            </w:r>
            <w:proofErr w:type="spellStart"/>
            <w:r w:rsidRPr="00804FEE">
              <w:rPr>
                <w:rFonts w:eastAsia="Arial Unicode MS"/>
                <w:color w:val="000000" w:themeColor="text1"/>
                <w:sz w:val="20"/>
                <w:szCs w:val="20"/>
                <w:shd w:val="clear" w:color="auto" w:fill="FFFFFF"/>
                <w:lang w:val="en-US"/>
              </w:rPr>
              <w:t>incidența</w:t>
            </w:r>
            <w:proofErr w:type="spellEnd"/>
            <w:r w:rsidRPr="00804FEE">
              <w:rPr>
                <w:rFonts w:eastAsia="Arial Unicode MS"/>
                <w:color w:val="000000" w:themeColor="text1"/>
                <w:sz w:val="20"/>
                <w:szCs w:val="20"/>
                <w:shd w:val="clear" w:color="auto" w:fill="FFFFFF"/>
                <w:lang w:val="en-US"/>
              </w:rPr>
              <w:t xml:space="preserve"> </w:t>
            </w:r>
            <w:proofErr w:type="spellStart"/>
            <w:r w:rsidRPr="00804FEE">
              <w:rPr>
                <w:rFonts w:eastAsia="Arial Unicode MS"/>
                <w:color w:val="000000" w:themeColor="text1"/>
                <w:sz w:val="20"/>
                <w:szCs w:val="20"/>
                <w:shd w:val="clear" w:color="auto" w:fill="FFFFFF"/>
                <w:lang w:val="en-US"/>
              </w:rPr>
              <w:t>articolului</w:t>
            </w:r>
            <w:proofErr w:type="spellEnd"/>
            <w:r w:rsidR="00804FEE" w:rsidRPr="00804FEE">
              <w:rPr>
                <w:rFonts w:eastAsia="Arial Unicode MS"/>
                <w:color w:val="000000" w:themeColor="text1"/>
                <w:sz w:val="20"/>
                <w:szCs w:val="20"/>
                <w:shd w:val="clear" w:color="auto" w:fill="FFFFFF"/>
                <w:lang w:val="en-US"/>
              </w:rPr>
              <w:t xml:space="preserve"> </w:t>
            </w:r>
            <w:r w:rsidRPr="00804FEE">
              <w:rPr>
                <w:rFonts w:eastAsia="Arial Unicode MS"/>
                <w:color w:val="000000" w:themeColor="text1"/>
                <w:sz w:val="20"/>
                <w:szCs w:val="20"/>
                <w:shd w:val="clear" w:color="auto" w:fill="FFFFFF"/>
                <w:lang w:val="en-US"/>
              </w:rPr>
              <w:t>24.</w:t>
            </w:r>
          </w:p>
          <w:p w14:paraId="5430EB3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64" w:tooltip="32003L0087" w:history="1">
              <w:r>
                <w:rPr>
                  <w:rStyle w:val="af3"/>
                  <w:rFonts w:eastAsia="Arial Unicode MS"/>
                  <w:b/>
                  <w:bCs/>
                  <w:color w:val="4472C4" w:themeColor="accent1"/>
                  <w:sz w:val="20"/>
                  <w:szCs w:val="20"/>
                </w:rPr>
                <w:t>▼B</w:t>
              </w:r>
            </w:hyperlink>
          </w:p>
        </w:tc>
        <w:tc>
          <w:tcPr>
            <w:tcW w:w="4394" w:type="dxa"/>
            <w:shd w:val="clear" w:color="auto" w:fill="auto"/>
          </w:tcPr>
          <w:p w14:paraId="6064879C" w14:textId="77777777" w:rsidR="00974662" w:rsidRPr="000A6807" w:rsidRDefault="00974662" w:rsidP="00974662">
            <w:pPr>
              <w:spacing w:after="0" w:line="240" w:lineRule="auto"/>
              <w:rPr>
                <w:rFonts w:ascii="Times New Roman" w:hAnsi="Times New Roman"/>
                <w:color w:val="000000"/>
                <w:sz w:val="20"/>
                <w:szCs w:val="20"/>
                <w:shd w:val="clear" w:color="auto" w:fill="FFFFFF"/>
                <w:lang w:val="ro-MD"/>
              </w:rPr>
            </w:pPr>
            <w:r w:rsidRPr="000A6807">
              <w:rPr>
                <w:rFonts w:ascii="Times New Roman" w:hAnsi="Times New Roman"/>
                <w:b/>
                <w:bCs/>
                <w:sz w:val="20"/>
                <w:szCs w:val="20"/>
                <w:lang w:val="ro-MD"/>
              </w:rPr>
              <w:t xml:space="preserve">Articolul 27. </w:t>
            </w:r>
            <w:r w:rsidRPr="000A6807">
              <w:rPr>
                <w:rFonts w:ascii="Times New Roman" w:hAnsi="Times New Roman"/>
                <w:sz w:val="20"/>
                <w:szCs w:val="20"/>
                <w:lang w:val="ro-MD"/>
              </w:rPr>
              <w:t>Responsabilitățile operatorilor de instalații staționare, operatorilor de aeronave și de transport maritim</w:t>
            </w:r>
          </w:p>
          <w:p w14:paraId="0BB344D7" w14:textId="77777777" w:rsidR="00974662" w:rsidRPr="000A6807" w:rsidRDefault="00974662" w:rsidP="00974662">
            <w:pPr>
              <w:spacing w:after="0" w:line="240" w:lineRule="auto"/>
              <w:ind w:firstLine="709"/>
              <w:rPr>
                <w:rFonts w:ascii="Times New Roman" w:hAnsi="Times New Roman"/>
                <w:color w:val="000000"/>
                <w:sz w:val="20"/>
                <w:szCs w:val="20"/>
                <w:shd w:val="clear" w:color="auto" w:fill="FFFFFF"/>
                <w:lang w:val="ro-MD"/>
              </w:rPr>
            </w:pPr>
            <w:r w:rsidRPr="000A6807">
              <w:rPr>
                <w:rFonts w:ascii="Times New Roman" w:hAnsi="Times New Roman"/>
                <w:color w:val="000000"/>
                <w:sz w:val="20"/>
                <w:szCs w:val="20"/>
                <w:shd w:val="clear" w:color="auto" w:fill="FFFFFF"/>
                <w:lang w:val="ro-MD"/>
              </w:rPr>
              <w:t>Operatorii care desfășoară activități în domeniul de aplicare a legii au următoarele responsabilităţi:</w:t>
            </w:r>
          </w:p>
          <w:p w14:paraId="73BD58BA" w14:textId="5C750896" w:rsidR="00124364" w:rsidRPr="00974662" w:rsidRDefault="00974662" w:rsidP="00974662">
            <w:pPr>
              <w:spacing w:after="120"/>
              <w:jc w:val="both"/>
              <w:rPr>
                <w:rFonts w:ascii="Times New Roman" w:hAnsi="Times New Roman" w:hint="eastAsia"/>
                <w:sz w:val="20"/>
                <w:szCs w:val="20"/>
                <w:lang w:val="zh-CN" w:eastAsia="zh-CN"/>
              </w:rPr>
            </w:pPr>
            <w:r>
              <w:rPr>
                <w:rFonts w:ascii="Times New Roman" w:hAnsi="Times New Roman"/>
                <w:sz w:val="20"/>
                <w:szCs w:val="20"/>
                <w:shd w:val="clear" w:color="auto" w:fill="FFFFFF"/>
                <w:lang w:val="ro-MD"/>
              </w:rPr>
              <w:t>a)</w:t>
            </w:r>
            <w:r w:rsidRPr="000A6807">
              <w:rPr>
                <w:rFonts w:ascii="Times New Roman" w:hAnsi="Times New Roman"/>
                <w:sz w:val="20"/>
                <w:szCs w:val="20"/>
                <w:shd w:val="clear" w:color="auto" w:fill="FFFFFF"/>
                <w:lang w:val="ro-MD"/>
              </w:rPr>
              <w:t xml:space="preserve">desfășoară activități industriale și economice specificate în Anexa nr. 1, în baza autorizației integrate de mediu, </w:t>
            </w:r>
            <w:r w:rsidRPr="000A6807">
              <w:rPr>
                <w:rFonts w:ascii="Times New Roman" w:hAnsi="Times New Roman"/>
                <w:color w:val="000000"/>
                <w:sz w:val="20"/>
                <w:szCs w:val="20"/>
                <w:shd w:val="clear" w:color="auto" w:fill="FFFFFF"/>
                <w:lang w:val="ro-MD"/>
              </w:rPr>
              <w:t xml:space="preserve">care acordă dreptul de a emite </w:t>
            </w:r>
            <w:r w:rsidRPr="000A6807">
              <w:rPr>
                <w:rFonts w:ascii="Times New Roman" w:hAnsi="Times New Roman"/>
                <w:sz w:val="20"/>
                <w:szCs w:val="20"/>
                <w:lang w:val="ro-MD"/>
              </w:rPr>
              <w:t xml:space="preserve">emisiile de </w:t>
            </w:r>
            <w:r w:rsidRPr="000A6807">
              <w:rPr>
                <w:rFonts w:ascii="Times New Roman" w:hAnsi="Times New Roman"/>
                <w:sz w:val="20"/>
                <w:szCs w:val="20"/>
                <w:shd w:val="clear" w:color="auto" w:fill="FFFFFF"/>
                <w:lang w:val="ro-MD"/>
              </w:rPr>
              <w:t>GES</w:t>
            </w:r>
            <w:r w:rsidRPr="000A6807">
              <w:rPr>
                <w:rFonts w:ascii="Times New Roman" w:hAnsi="Times New Roman"/>
                <w:color w:val="333333"/>
                <w:sz w:val="20"/>
                <w:szCs w:val="20"/>
                <w:shd w:val="clear" w:color="auto" w:fill="FFFFFF"/>
                <w:lang w:val="ro-MD"/>
              </w:rPr>
              <w:t xml:space="preserve"> </w:t>
            </w:r>
            <w:r w:rsidRPr="000A6807">
              <w:rPr>
                <w:rFonts w:ascii="Times New Roman" w:hAnsi="Times New Roman"/>
                <w:sz w:val="20"/>
                <w:szCs w:val="20"/>
                <w:shd w:val="clear" w:color="auto" w:fill="FFFFFF"/>
                <w:lang w:val="ro-MD"/>
              </w:rPr>
              <w:t>din întreaga instalație staționară sau dintr-o parte a acesteia,</w:t>
            </w:r>
            <w:r w:rsidRPr="000A6807">
              <w:rPr>
                <w:rFonts w:ascii="Times New Roman" w:hAnsi="Times New Roman"/>
                <w:color w:val="000000"/>
                <w:sz w:val="20"/>
                <w:szCs w:val="20"/>
                <w:shd w:val="clear" w:color="auto" w:fill="FFFFFF"/>
                <w:lang w:val="ro-MD"/>
              </w:rPr>
              <w:t xml:space="preserve"> </w:t>
            </w:r>
            <w:r w:rsidRPr="000A6807">
              <w:rPr>
                <w:rFonts w:ascii="Times New Roman" w:hAnsi="Times New Roman"/>
                <w:bCs/>
                <w:sz w:val="20"/>
                <w:szCs w:val="20"/>
                <w:shd w:val="clear" w:color="auto" w:fill="FFFFFF"/>
                <w:lang w:val="ro-MD"/>
              </w:rPr>
              <w:t xml:space="preserve">controlată </w:t>
            </w:r>
            <w:r w:rsidRPr="000A6807">
              <w:rPr>
                <w:rFonts w:ascii="Times New Roman" w:hAnsi="Times New Roman"/>
                <w:sz w:val="20"/>
                <w:szCs w:val="20"/>
                <w:shd w:val="clear" w:color="auto" w:fill="FFFFFF"/>
                <w:lang w:val="ro-MD"/>
              </w:rPr>
              <w:t>de același operator</w:t>
            </w:r>
            <w:r w:rsidRPr="000A6807">
              <w:rPr>
                <w:rFonts w:ascii="Times New Roman" w:hAnsi="Times New Roman"/>
                <w:color w:val="000000"/>
                <w:sz w:val="20"/>
                <w:szCs w:val="20"/>
                <w:shd w:val="clear" w:color="auto" w:fill="FFFFFF"/>
                <w:lang w:val="ro-MD"/>
              </w:rPr>
              <w:t xml:space="preserve"> </w:t>
            </w:r>
            <w:r w:rsidRPr="000A6807">
              <w:rPr>
                <w:rFonts w:ascii="Times New Roman" w:hAnsi="Times New Roman"/>
                <w:sz w:val="20"/>
                <w:szCs w:val="20"/>
                <w:lang w:val="ro-MD"/>
              </w:rPr>
              <w:t>cu respectarea cerințelor de evaluare din PM a emisiilor de GES;</w:t>
            </w:r>
          </w:p>
        </w:tc>
        <w:tc>
          <w:tcPr>
            <w:tcW w:w="1276" w:type="dxa"/>
            <w:shd w:val="clear" w:color="auto" w:fill="auto"/>
          </w:tcPr>
          <w:p w14:paraId="4201C20B" w14:textId="6CF43345" w:rsidR="00124364" w:rsidRDefault="00804FEE">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compatibil</w:t>
            </w:r>
            <w:r w:rsidR="00000000">
              <w:rPr>
                <w:rFonts w:ascii="Times New Roman" w:hAnsi="Times New Roman"/>
                <w:bCs/>
                <w:sz w:val="20"/>
                <w:szCs w:val="20"/>
                <w:lang w:val="ro-RO"/>
              </w:rPr>
              <w:t xml:space="preserve"> </w:t>
            </w:r>
          </w:p>
          <w:p w14:paraId="587DFE2E"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48D10E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2CEB18E" w14:textId="64048D10" w:rsidR="00124364" w:rsidRDefault="00974662">
            <w:pPr>
              <w:autoSpaceDE w:val="0"/>
              <w:spacing w:after="0" w:line="240" w:lineRule="auto"/>
              <w:rPr>
                <w:rFonts w:ascii="Times New Roman" w:eastAsia="Times New Roman" w:hAnsi="Times New Roman"/>
                <w:sz w:val="20"/>
                <w:szCs w:val="20"/>
                <w:lang w:val="ro-RO"/>
              </w:rPr>
            </w:pPr>
            <w:r w:rsidRPr="00FB6C41">
              <w:rPr>
                <w:rFonts w:ascii="Times New Roman" w:hAnsi="Times New Roman"/>
                <w:color w:val="000000" w:themeColor="text1"/>
                <w:sz w:val="20"/>
                <w:szCs w:val="20"/>
                <w:lang w:val="ro-MD"/>
              </w:rPr>
              <w:t>Prevederile referitoare la autorizare sunt reglementate la art.12 și art.13 din Legea nr.227/2022 privind emisiile industriale</w:t>
            </w:r>
          </w:p>
        </w:tc>
        <w:tc>
          <w:tcPr>
            <w:tcW w:w="1464" w:type="dxa"/>
            <w:shd w:val="clear" w:color="auto" w:fill="auto"/>
          </w:tcPr>
          <w:p w14:paraId="2E7E789E"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7CB5DAF" w14:textId="77777777" w:rsidR="00124364" w:rsidRDefault="00124364">
            <w:pPr>
              <w:autoSpaceDE w:val="0"/>
              <w:spacing w:after="0" w:line="240" w:lineRule="auto"/>
              <w:rPr>
                <w:rFonts w:ascii="Times New Roman" w:hAnsi="Times New Roman"/>
                <w:sz w:val="20"/>
                <w:szCs w:val="20"/>
                <w:lang w:val="fr-FR"/>
              </w:rPr>
            </w:pPr>
          </w:p>
          <w:p w14:paraId="44E60BAE" w14:textId="4E18CB21" w:rsidR="00804FEE" w:rsidRDefault="00804FEE">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52231955" w14:textId="77777777">
        <w:trPr>
          <w:trHeight w:val="558"/>
        </w:trPr>
        <w:tc>
          <w:tcPr>
            <w:tcW w:w="4957" w:type="dxa"/>
            <w:shd w:val="clear" w:color="auto" w:fill="auto"/>
          </w:tcPr>
          <w:p w14:paraId="654C274E"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5</w:t>
            </w:r>
          </w:p>
          <w:p w14:paraId="358CBADF"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65" w:tooltip="32003L0087R(06): REPLACED" w:history="1">
              <w:r w:rsidRPr="00E34C2B">
                <w:rPr>
                  <w:rStyle w:val="af3"/>
                  <w:rFonts w:eastAsia="Arial Unicode MS"/>
                  <w:b/>
                  <w:bCs/>
                  <w:color w:val="4472C4" w:themeColor="accent1"/>
                  <w:sz w:val="20"/>
                  <w:szCs w:val="20"/>
                  <w:lang w:val="en-US"/>
                </w:rPr>
                <w:t>▼C2</w:t>
              </w:r>
            </w:hyperlink>
          </w:p>
          <w:p w14:paraId="72E9C730"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Cererile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pentru</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eliberarea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autorizațiilor</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emisii</w:t>
            </w:r>
            <w:proofErr w:type="spellEnd"/>
            <w:r>
              <w:rPr>
                <w:rFonts w:eastAsia="Arial Unicode MS"/>
                <w:b/>
                <w:bCs/>
                <w:color w:val="333333"/>
                <w:sz w:val="20"/>
                <w:szCs w:val="20"/>
                <w:shd w:val="clear" w:color="auto" w:fill="FFFFFF"/>
                <w:lang w:val="en-US"/>
              </w:rPr>
              <w:t xml:space="preserve"> de gaze cu </w:t>
            </w:r>
            <w:proofErr w:type="spellStart"/>
            <w:r>
              <w:rPr>
                <w:rFonts w:eastAsia="Arial Unicode MS"/>
                <w:b/>
                <w:bCs/>
                <w:color w:val="333333"/>
                <w:sz w:val="20"/>
                <w:szCs w:val="20"/>
                <w:shd w:val="clear" w:color="auto" w:fill="FFFFFF"/>
                <w:lang w:val="en-US"/>
              </w:rPr>
              <w:t>efect</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seră</w:t>
            </w:r>
            <w:proofErr w:type="spellEnd"/>
          </w:p>
          <w:p w14:paraId="0D8B75E6"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O </w:t>
            </w:r>
            <w:proofErr w:type="spellStart"/>
            <w:r>
              <w:rPr>
                <w:rFonts w:eastAsia="Arial Unicode MS"/>
                <w:color w:val="333333"/>
                <w:sz w:val="20"/>
                <w:szCs w:val="20"/>
                <w:shd w:val="clear" w:color="auto" w:fill="FFFFFF"/>
                <w:lang w:val="en-US"/>
              </w:rPr>
              <w:t>cerere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înaintată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eliberarea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autorizații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de 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cuprinde</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descriere</w:t>
            </w:r>
            <w:proofErr w:type="spellEnd"/>
            <w:r>
              <w:rPr>
                <w:rFonts w:eastAsia="Arial Unicode MS"/>
                <w:color w:val="333333"/>
                <w:sz w:val="20"/>
                <w:szCs w:val="20"/>
                <w:shd w:val="clear" w:color="auto" w:fill="FFFFFF"/>
                <w:lang w:val="en-US"/>
              </w:rPr>
              <w:t xml:space="preserve"> a:</w:t>
            </w:r>
          </w:p>
          <w:p w14:paraId="3A36BCF7" w14:textId="77777777" w:rsidR="00124364" w:rsidRDefault="00000000">
            <w:pPr>
              <w:pStyle w:val="ti-art"/>
              <w:shd w:val="clear" w:color="auto" w:fill="FFFFFF"/>
              <w:spacing w:before="0" w:beforeAutospacing="0" w:after="0" w:afterAutospacing="0"/>
              <w:rPr>
                <w:color w:val="4472C4" w:themeColor="accent1"/>
                <w:sz w:val="20"/>
                <w:szCs w:val="20"/>
              </w:rPr>
            </w:pPr>
            <w:hyperlink r:id="rId66" w:tooltip="32003L0087" w:history="1">
              <w:r>
                <w:rPr>
                  <w:rStyle w:val="af3"/>
                  <w:rFonts w:eastAsia="Arial Unicode MS"/>
                  <w:b/>
                  <w:bCs/>
                  <w:color w:val="4472C4" w:themeColor="accent1"/>
                  <w:sz w:val="20"/>
                  <w:szCs w:val="20"/>
                </w:rPr>
                <w:t>▼B</w:t>
              </w:r>
            </w:hyperlink>
          </w:p>
          <w:p w14:paraId="60FC2359" w14:textId="77777777" w:rsidR="00124364" w:rsidRPr="000A6807" w:rsidRDefault="00000000" w:rsidP="000A6807">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A6807">
              <w:rPr>
                <w:rFonts w:eastAsia="Arial Unicode MS"/>
                <w:color w:val="000000" w:themeColor="text1"/>
                <w:sz w:val="20"/>
                <w:szCs w:val="20"/>
                <w:shd w:val="clear" w:color="auto" w:fill="FFFFFF"/>
                <w:lang w:val="en-US"/>
              </w:rPr>
              <w:t>instalației</w:t>
            </w:r>
            <w:proofErr w:type="spellEnd"/>
            <w:r w:rsidRPr="000A6807">
              <w:rPr>
                <w:rFonts w:eastAsia="Arial Unicode MS"/>
                <w:color w:val="000000" w:themeColor="text1"/>
                <w:sz w:val="20"/>
                <w:szCs w:val="20"/>
                <w:shd w:val="clear" w:color="auto" w:fill="FFFFFF"/>
                <w:lang w:val="en-US"/>
              </w:rPr>
              <w:t xml:space="preserve"> și </w:t>
            </w:r>
            <w:proofErr w:type="gramStart"/>
            <w:r w:rsidRPr="000A6807">
              <w:rPr>
                <w:rFonts w:eastAsia="Arial Unicode MS"/>
                <w:color w:val="000000" w:themeColor="text1"/>
                <w:sz w:val="20"/>
                <w:szCs w:val="20"/>
                <w:shd w:val="clear" w:color="auto" w:fill="FFFFFF"/>
                <w:lang w:val="en-US"/>
              </w:rPr>
              <w:t>a</w:t>
            </w:r>
            <w:proofErr w:type="gram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activităților</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acesteia</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incluzând</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tehnologia</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utilizată</w:t>
            </w:r>
            <w:proofErr w:type="spellEnd"/>
            <w:r w:rsidRPr="000A6807">
              <w:rPr>
                <w:rFonts w:eastAsia="Arial Unicode MS"/>
                <w:color w:val="000000" w:themeColor="text1"/>
                <w:sz w:val="20"/>
                <w:szCs w:val="20"/>
                <w:shd w:val="clear" w:color="auto" w:fill="FFFFFF"/>
                <w:lang w:val="en-US"/>
              </w:rPr>
              <w:t>;</w:t>
            </w:r>
          </w:p>
          <w:p w14:paraId="43E50272" w14:textId="77777777" w:rsidR="00124364" w:rsidRPr="000A6807" w:rsidRDefault="00000000" w:rsidP="000A6807">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A6807">
              <w:rPr>
                <w:rFonts w:eastAsia="Arial Unicode MS"/>
                <w:color w:val="000000" w:themeColor="text1"/>
                <w:sz w:val="20"/>
                <w:szCs w:val="20"/>
                <w:shd w:val="clear" w:color="auto" w:fill="FFFFFF"/>
                <w:lang w:val="en-US"/>
              </w:rPr>
              <w:t>materiilor</w:t>
            </w:r>
            <w:proofErr w:type="spellEnd"/>
            <w:r w:rsidRPr="000A6807">
              <w:rPr>
                <w:rFonts w:eastAsia="Arial Unicode MS"/>
                <w:color w:val="000000" w:themeColor="text1"/>
                <w:sz w:val="20"/>
                <w:szCs w:val="20"/>
                <w:shd w:val="clear" w:color="auto" w:fill="FFFFFF"/>
                <w:lang w:val="en-US"/>
              </w:rPr>
              <w:t xml:space="preserve"> prime și </w:t>
            </w:r>
            <w:proofErr w:type="spellStart"/>
            <w:r w:rsidRPr="000A6807">
              <w:rPr>
                <w:rFonts w:eastAsia="Arial Unicode MS"/>
                <w:color w:val="000000" w:themeColor="text1"/>
                <w:sz w:val="20"/>
                <w:szCs w:val="20"/>
                <w:shd w:val="clear" w:color="auto" w:fill="FFFFFF"/>
                <w:lang w:val="en-US"/>
              </w:rPr>
              <w:t>auxiliare</w:t>
            </w:r>
            <w:proofErr w:type="spellEnd"/>
            <w:r w:rsidRPr="000A6807">
              <w:rPr>
                <w:rFonts w:eastAsia="Arial Unicode MS"/>
                <w:color w:val="000000" w:themeColor="text1"/>
                <w:sz w:val="20"/>
                <w:szCs w:val="20"/>
                <w:shd w:val="clear" w:color="auto" w:fill="FFFFFF"/>
                <w:lang w:val="en-US"/>
              </w:rPr>
              <w:t xml:space="preserve"> a </w:t>
            </w:r>
            <w:proofErr w:type="spellStart"/>
            <w:r w:rsidRPr="000A6807">
              <w:rPr>
                <w:rFonts w:eastAsia="Arial Unicode MS"/>
                <w:color w:val="000000" w:themeColor="text1"/>
                <w:sz w:val="20"/>
                <w:szCs w:val="20"/>
                <w:shd w:val="clear" w:color="auto" w:fill="FFFFFF"/>
                <w:lang w:val="en-US"/>
              </w:rPr>
              <w:t>căror</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utilizare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este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posibil</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să</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conducă</w:t>
            </w:r>
            <w:proofErr w:type="spellEnd"/>
            <w:r w:rsidRPr="000A6807">
              <w:rPr>
                <w:rFonts w:eastAsia="Arial Unicode MS"/>
                <w:color w:val="000000" w:themeColor="text1"/>
                <w:sz w:val="20"/>
                <w:szCs w:val="20"/>
                <w:shd w:val="clear" w:color="auto" w:fill="FFFFFF"/>
                <w:lang w:val="en-US"/>
              </w:rPr>
              <w:t xml:space="preserve"> la </w:t>
            </w:r>
            <w:proofErr w:type="spellStart"/>
            <w:r w:rsidRPr="000A6807">
              <w:rPr>
                <w:rFonts w:eastAsia="Arial Unicode MS"/>
                <w:color w:val="000000" w:themeColor="text1"/>
                <w:sz w:val="20"/>
                <w:szCs w:val="20"/>
                <w:shd w:val="clear" w:color="auto" w:fill="FFFFFF"/>
                <w:lang w:val="en-US"/>
              </w:rPr>
              <w:t>emisii</w:t>
            </w:r>
            <w:proofErr w:type="spellEnd"/>
            <w:r w:rsidRPr="000A6807">
              <w:rPr>
                <w:rFonts w:eastAsia="Arial Unicode MS"/>
                <w:color w:val="000000" w:themeColor="text1"/>
                <w:sz w:val="20"/>
                <w:szCs w:val="20"/>
                <w:shd w:val="clear" w:color="auto" w:fill="FFFFFF"/>
                <w:lang w:val="en-US"/>
              </w:rPr>
              <w:t xml:space="preserve"> de gaze cu </w:t>
            </w:r>
            <w:proofErr w:type="spellStart"/>
            <w:r w:rsidRPr="000A6807">
              <w:rPr>
                <w:rFonts w:eastAsia="Arial Unicode MS"/>
                <w:color w:val="000000" w:themeColor="text1"/>
                <w:sz w:val="20"/>
                <w:szCs w:val="20"/>
                <w:shd w:val="clear" w:color="auto" w:fill="FFFFFF"/>
                <w:lang w:val="en-US"/>
              </w:rPr>
              <w:t>efect</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seră</w:t>
            </w:r>
            <w:proofErr w:type="spellEnd"/>
            <w:r w:rsidRPr="000A6807">
              <w:rPr>
                <w:rFonts w:eastAsia="Arial Unicode MS"/>
                <w:color w:val="000000" w:themeColor="text1"/>
                <w:sz w:val="20"/>
                <w:szCs w:val="20"/>
                <w:shd w:val="clear" w:color="auto" w:fill="FFFFFF"/>
                <w:lang w:val="en-US"/>
              </w:rPr>
              <w:t xml:space="preserve"> enumerate în </w:t>
            </w:r>
            <w:proofErr w:type="spellStart"/>
            <w:r w:rsidRPr="000A6807">
              <w:rPr>
                <w:rFonts w:eastAsia="Arial Unicode MS"/>
                <w:color w:val="000000" w:themeColor="text1"/>
                <w:sz w:val="20"/>
                <w:szCs w:val="20"/>
                <w:shd w:val="clear" w:color="auto" w:fill="FFFFFF"/>
                <w:lang w:val="en-US"/>
              </w:rPr>
              <w:t>anexa</w:t>
            </w:r>
            <w:proofErr w:type="spellEnd"/>
            <w:r w:rsidRPr="000A6807">
              <w:rPr>
                <w:rFonts w:eastAsia="Arial Unicode MS"/>
                <w:color w:val="000000" w:themeColor="text1"/>
                <w:sz w:val="20"/>
                <w:szCs w:val="20"/>
                <w:shd w:val="clear" w:color="auto" w:fill="FFFFFF"/>
                <w:lang w:val="en-US"/>
              </w:rPr>
              <w:t xml:space="preserve"> I;</w:t>
            </w:r>
          </w:p>
          <w:p w14:paraId="439BA595" w14:textId="77777777" w:rsidR="00124364" w:rsidRPr="000A6807" w:rsidRDefault="00000000" w:rsidP="000A6807">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A6807">
              <w:rPr>
                <w:rFonts w:eastAsia="Arial Unicode MS"/>
                <w:color w:val="000000" w:themeColor="text1"/>
                <w:sz w:val="20"/>
                <w:szCs w:val="20"/>
                <w:shd w:val="clear" w:color="auto" w:fill="FFFFFF"/>
                <w:lang w:val="en-US"/>
              </w:rPr>
              <w:t xml:space="preserve">a </w:t>
            </w:r>
            <w:proofErr w:type="spellStart"/>
            <w:r w:rsidRPr="000A6807">
              <w:rPr>
                <w:rFonts w:eastAsia="Arial Unicode MS"/>
                <w:color w:val="000000" w:themeColor="text1"/>
                <w:sz w:val="20"/>
                <w:szCs w:val="20"/>
                <w:shd w:val="clear" w:color="auto" w:fill="FFFFFF"/>
                <w:lang w:val="en-US"/>
              </w:rPr>
              <w:t>surselor</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emisii</w:t>
            </w:r>
            <w:proofErr w:type="spellEnd"/>
            <w:r w:rsidRPr="000A6807">
              <w:rPr>
                <w:rFonts w:eastAsia="Arial Unicode MS"/>
                <w:color w:val="000000" w:themeColor="text1"/>
                <w:sz w:val="20"/>
                <w:szCs w:val="20"/>
                <w:shd w:val="clear" w:color="auto" w:fill="FFFFFF"/>
                <w:lang w:val="en-US"/>
              </w:rPr>
              <w:t xml:space="preserve"> de gaze </w:t>
            </w:r>
            <w:proofErr w:type="gramStart"/>
            <w:r w:rsidRPr="000A6807">
              <w:rPr>
                <w:rFonts w:eastAsia="Arial Unicode MS"/>
                <w:color w:val="000000" w:themeColor="text1"/>
                <w:sz w:val="20"/>
                <w:szCs w:val="20"/>
                <w:shd w:val="clear" w:color="auto" w:fill="FFFFFF"/>
                <w:lang w:val="en-US"/>
              </w:rPr>
              <w:t>enumerate</w:t>
            </w:r>
            <w:proofErr w:type="gramEnd"/>
            <w:r w:rsidRPr="000A6807">
              <w:rPr>
                <w:rFonts w:eastAsia="Arial Unicode MS"/>
                <w:color w:val="000000" w:themeColor="text1"/>
                <w:sz w:val="20"/>
                <w:szCs w:val="20"/>
                <w:shd w:val="clear" w:color="auto" w:fill="FFFFFF"/>
                <w:lang w:val="en-US"/>
              </w:rPr>
              <w:t xml:space="preserve"> în </w:t>
            </w:r>
            <w:proofErr w:type="spellStart"/>
            <w:r w:rsidRPr="000A6807">
              <w:rPr>
                <w:rFonts w:eastAsia="Arial Unicode MS"/>
                <w:color w:val="000000" w:themeColor="text1"/>
                <w:sz w:val="20"/>
                <w:szCs w:val="20"/>
                <w:shd w:val="clear" w:color="auto" w:fill="FFFFFF"/>
                <w:lang w:val="en-US"/>
              </w:rPr>
              <w:t>anexa</w:t>
            </w:r>
            <w:proofErr w:type="spellEnd"/>
            <w:r w:rsidRPr="000A6807">
              <w:rPr>
                <w:rFonts w:eastAsia="Arial Unicode MS"/>
                <w:color w:val="000000" w:themeColor="text1"/>
                <w:sz w:val="20"/>
                <w:szCs w:val="20"/>
                <w:shd w:val="clear" w:color="auto" w:fill="FFFFFF"/>
                <w:lang w:val="en-US"/>
              </w:rPr>
              <w:t xml:space="preserve"> I din </w:t>
            </w:r>
            <w:proofErr w:type="spellStart"/>
            <w:r w:rsidRPr="000A6807">
              <w:rPr>
                <w:rFonts w:eastAsia="Arial Unicode MS"/>
                <w:color w:val="000000" w:themeColor="text1"/>
                <w:sz w:val="20"/>
                <w:szCs w:val="20"/>
                <w:shd w:val="clear" w:color="auto" w:fill="FFFFFF"/>
                <w:lang w:val="en-US"/>
              </w:rPr>
              <w:t>instalație</w:t>
            </w:r>
            <w:proofErr w:type="spellEnd"/>
            <w:r w:rsidRPr="000A6807">
              <w:rPr>
                <w:rFonts w:eastAsia="Arial Unicode MS"/>
                <w:color w:val="000000" w:themeColor="text1"/>
                <w:sz w:val="20"/>
                <w:szCs w:val="20"/>
                <w:shd w:val="clear" w:color="auto" w:fill="FFFFFF"/>
                <w:lang w:val="en-US"/>
              </w:rPr>
              <w:t xml:space="preserve"> și</w:t>
            </w:r>
          </w:p>
          <w:p w14:paraId="452C1A9F"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67" w:tooltip="32009L0029: REPLACED" w:history="1">
              <w:r>
                <w:rPr>
                  <w:rStyle w:val="af3"/>
                  <w:rFonts w:eastAsia="Arial Unicode MS"/>
                  <w:b/>
                  <w:bCs/>
                  <w:color w:val="4472C4" w:themeColor="accent1"/>
                  <w:sz w:val="20"/>
                  <w:szCs w:val="20"/>
                </w:rPr>
                <w:t>▼M4</w:t>
              </w:r>
            </w:hyperlink>
          </w:p>
          <w:p w14:paraId="48062944" w14:textId="00347BDE" w:rsidR="00124364" w:rsidRDefault="00000000">
            <w:pPr>
              <w:pStyle w:val="ti-art"/>
              <w:numPr>
                <w:ilvl w:val="0"/>
                <w:numId w:val="31"/>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sidRPr="000A6807">
              <w:rPr>
                <w:rFonts w:eastAsia="Arial Unicode MS"/>
                <w:color w:val="000000" w:themeColor="text1"/>
                <w:sz w:val="20"/>
                <w:szCs w:val="20"/>
                <w:shd w:val="clear" w:color="auto" w:fill="FFFFFF"/>
                <w:lang w:val="en-US"/>
              </w:rPr>
              <w:t>măsurilor</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planificate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pentru</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monitorizarea</w:t>
            </w:r>
            <w:proofErr w:type="spellEnd"/>
            <w:r w:rsidRPr="000A6807">
              <w:rPr>
                <w:rFonts w:eastAsia="Arial Unicode MS"/>
                <w:color w:val="000000" w:themeColor="text1"/>
                <w:sz w:val="20"/>
                <w:szCs w:val="20"/>
                <w:shd w:val="clear" w:color="auto" w:fill="FFFFFF"/>
                <w:lang w:val="en-US"/>
              </w:rPr>
              <w:t xml:space="preserve"> și </w:t>
            </w:r>
            <w:proofErr w:type="spellStart"/>
            <w:r w:rsidRPr="000A6807">
              <w:rPr>
                <w:rFonts w:eastAsia="Arial Unicode MS"/>
                <w:color w:val="000000" w:themeColor="text1"/>
                <w:sz w:val="20"/>
                <w:szCs w:val="20"/>
                <w:shd w:val="clear" w:color="auto" w:fill="FFFFFF"/>
                <w:lang w:val="en-US"/>
              </w:rPr>
              <w:t>raportarea</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emisiilor</w:t>
            </w:r>
            <w:proofErr w:type="spellEnd"/>
            <w:r w:rsidRPr="000A6807">
              <w:rPr>
                <w:rFonts w:eastAsia="Arial Unicode MS"/>
                <w:color w:val="000000" w:themeColor="text1"/>
                <w:sz w:val="20"/>
                <w:szCs w:val="20"/>
                <w:shd w:val="clear" w:color="auto" w:fill="FFFFFF"/>
                <w:lang w:val="en-US"/>
              </w:rPr>
              <w:t xml:space="preserve"> în conformitate cu</w:t>
            </w:r>
            <w:r w:rsidR="000A6807">
              <w:rPr>
                <w:rStyle w:val="apple-converted-space"/>
                <w:rFonts w:eastAsia="Arial Unicode MS"/>
                <w:color w:val="000000" w:themeColor="text1"/>
                <w:sz w:val="20"/>
                <w:szCs w:val="20"/>
                <w:shd w:val="clear" w:color="auto" w:fill="FFFFFF"/>
                <w:lang w:val="en-US"/>
              </w:rPr>
              <w:t xml:space="preserve"> </w:t>
            </w:r>
            <w:hyperlink r:id="rId68" w:tooltip="32018L0410: REPLACED" w:history="1">
              <w:r w:rsidRPr="000A6807">
                <w:rPr>
                  <w:rStyle w:val="boldface"/>
                  <w:rFonts w:eastAsia="Arial Unicode MS"/>
                  <w:b/>
                  <w:bCs/>
                  <w:color w:val="000000" w:themeColor="text1"/>
                  <w:sz w:val="20"/>
                  <w:szCs w:val="20"/>
                  <w:lang w:val="en-US"/>
                </w:rPr>
                <w:t>►M9</w:t>
              </w:r>
            </w:hyperlink>
            <w:r w:rsidR="000A6807" w:rsidRPr="000A6807">
              <w:rPr>
                <w:rStyle w:val="apple-converted-space"/>
                <w:rFonts w:eastAsia="Arial Unicode MS"/>
                <w:color w:val="000000" w:themeColor="text1"/>
                <w:sz w:val="20"/>
                <w:szCs w:val="20"/>
                <w:lang w:val="en-US"/>
              </w:rPr>
              <w:t xml:space="preserve"> </w:t>
            </w:r>
            <w:proofErr w:type="spellStart"/>
            <w:r w:rsidRPr="000A6807">
              <w:rPr>
                <w:rFonts w:eastAsia="Arial Unicode MS"/>
                <w:color w:val="000000" w:themeColor="text1"/>
                <w:sz w:val="20"/>
                <w:szCs w:val="20"/>
                <w:shd w:val="clear" w:color="auto" w:fill="FFFFFF"/>
                <w:lang w:val="en-US"/>
              </w:rPr>
              <w:t>actele</w:t>
            </w:r>
            <w:proofErr w:type="spellEnd"/>
            <w:r w:rsidR="000A6807" w:rsidRPr="000A6807">
              <w:rPr>
                <w:rStyle w:val="boldface"/>
                <w:rFonts w:eastAsia="Arial Unicode MS"/>
                <w:b/>
                <w:bCs/>
                <w:color w:val="000000" w:themeColor="text1"/>
                <w:sz w:val="20"/>
                <w:szCs w:val="20"/>
                <w:lang w:val="en-US"/>
              </w:rPr>
              <w:t xml:space="preserve"> </w:t>
            </w:r>
            <w:r w:rsidRPr="000A6807">
              <w:rPr>
                <w:rStyle w:val="boldface"/>
                <w:rFonts w:eastAsia="Arial Unicode MS"/>
                <w:b/>
                <w:bCs/>
                <w:color w:val="000000" w:themeColor="text1"/>
                <w:sz w:val="20"/>
                <w:szCs w:val="20"/>
                <w:lang w:val="en-US"/>
              </w:rPr>
              <w:t>◄</w:t>
            </w:r>
            <w:r w:rsidR="000A6807" w:rsidRPr="000A6807">
              <w:rPr>
                <w:rStyle w:val="apple-converted-space"/>
                <w:rFonts w:eastAsia="Arial Unicode MS"/>
                <w:b/>
                <w:bCs/>
                <w:color w:val="000000" w:themeColor="text1"/>
                <w:sz w:val="20"/>
                <w:szCs w:val="20"/>
                <w:lang w:val="en-US"/>
              </w:rPr>
              <w:t xml:space="preserve"> </w:t>
            </w:r>
            <w:proofErr w:type="spellStart"/>
            <w:r w:rsidRPr="000A6807">
              <w:rPr>
                <w:rFonts w:eastAsia="Arial Unicode MS"/>
                <w:color w:val="000000" w:themeColor="text1"/>
                <w:sz w:val="20"/>
                <w:szCs w:val="20"/>
                <w:shd w:val="clear" w:color="auto" w:fill="FFFFFF"/>
                <w:lang w:val="en-US"/>
              </w:rPr>
              <w:t>menționate</w:t>
            </w:r>
            <w:proofErr w:type="spellEnd"/>
            <w:r w:rsidRPr="000A6807">
              <w:rPr>
                <w:rFonts w:eastAsia="Arial Unicode MS"/>
                <w:color w:val="000000" w:themeColor="text1"/>
                <w:sz w:val="20"/>
                <w:szCs w:val="20"/>
                <w:shd w:val="clear" w:color="auto" w:fill="FFFFFF"/>
                <w:lang w:val="en-US"/>
              </w:rPr>
              <w:t xml:space="preserve"> la </w:t>
            </w:r>
            <w:proofErr w:type="spellStart"/>
            <w:r w:rsidRPr="000A6807">
              <w:rPr>
                <w:rFonts w:eastAsia="Arial Unicode MS"/>
                <w:color w:val="000000" w:themeColor="text1"/>
                <w:sz w:val="20"/>
                <w:szCs w:val="20"/>
                <w:shd w:val="clear" w:color="auto" w:fill="FFFFFF"/>
                <w:lang w:val="en-US"/>
              </w:rPr>
              <w:t>articolul</w:t>
            </w:r>
            <w:proofErr w:type="spellEnd"/>
            <w:r w:rsidRPr="000A6807">
              <w:rPr>
                <w:rFonts w:eastAsia="Arial Unicode MS"/>
                <w:color w:val="000000" w:themeColor="text1"/>
                <w:sz w:val="20"/>
                <w:szCs w:val="20"/>
                <w:shd w:val="clear" w:color="auto" w:fill="FFFFFF"/>
                <w:lang w:val="en-US"/>
              </w:rPr>
              <w:t xml:space="preserve"> 14</w:t>
            </w:r>
            <w:r>
              <w:rPr>
                <w:rFonts w:eastAsia="Arial Unicode MS"/>
                <w:color w:val="333333"/>
                <w:sz w:val="20"/>
                <w:szCs w:val="20"/>
                <w:shd w:val="clear" w:color="auto" w:fill="FFFFFF"/>
                <w:lang w:val="en-US"/>
              </w:rPr>
              <w:t>.</w:t>
            </w:r>
          </w:p>
          <w:p w14:paraId="2F69F7EF"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69" w:tooltip="32003L0087" w:history="1">
              <w:r w:rsidRPr="00E34C2B">
                <w:rPr>
                  <w:rStyle w:val="af3"/>
                  <w:rFonts w:eastAsia="Arial Unicode MS"/>
                  <w:b/>
                  <w:bCs/>
                  <w:color w:val="4472C4" w:themeColor="accent1"/>
                  <w:sz w:val="20"/>
                  <w:szCs w:val="20"/>
                  <w:lang w:val="en-US"/>
                </w:rPr>
                <w:t>▼B</w:t>
              </w:r>
            </w:hyperlink>
          </w:p>
          <w:p w14:paraId="0F596AB0" w14:textId="77777777" w:rsidR="00124364" w:rsidRPr="000A6807" w:rsidRDefault="00000000" w:rsidP="000A6807">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A6807">
              <w:rPr>
                <w:rFonts w:eastAsia="Arial Unicode MS"/>
                <w:color w:val="000000" w:themeColor="text1"/>
                <w:sz w:val="20"/>
                <w:szCs w:val="20"/>
                <w:shd w:val="clear" w:color="auto" w:fill="FFFFFF"/>
                <w:lang w:val="en-US"/>
              </w:rPr>
              <w:t>Cererile</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cuprind</w:t>
            </w:r>
            <w:proofErr w:type="spellEnd"/>
            <w:r w:rsidRPr="000A6807">
              <w:rPr>
                <w:rFonts w:eastAsia="Arial Unicode MS"/>
                <w:color w:val="000000" w:themeColor="text1"/>
                <w:sz w:val="20"/>
                <w:szCs w:val="20"/>
                <w:shd w:val="clear" w:color="auto" w:fill="FFFFFF"/>
                <w:lang w:val="en-US"/>
              </w:rPr>
              <w:t xml:space="preserve">, de </w:t>
            </w:r>
            <w:proofErr w:type="spellStart"/>
            <w:r w:rsidRPr="000A6807">
              <w:rPr>
                <w:rFonts w:eastAsia="Arial Unicode MS"/>
                <w:color w:val="000000" w:themeColor="text1"/>
                <w:sz w:val="20"/>
                <w:szCs w:val="20"/>
                <w:shd w:val="clear" w:color="auto" w:fill="FFFFFF"/>
                <w:lang w:val="en-US"/>
              </w:rPr>
              <w:t>asemenea</w:t>
            </w:r>
            <w:proofErr w:type="spellEnd"/>
            <w:r w:rsidRPr="000A6807">
              <w:rPr>
                <w:rFonts w:eastAsia="Arial Unicode MS"/>
                <w:color w:val="000000" w:themeColor="text1"/>
                <w:sz w:val="20"/>
                <w:szCs w:val="20"/>
                <w:shd w:val="clear" w:color="auto" w:fill="FFFFFF"/>
                <w:lang w:val="en-US"/>
              </w:rPr>
              <w:t xml:space="preserve">, un </w:t>
            </w:r>
            <w:proofErr w:type="spellStart"/>
            <w:r w:rsidRPr="000A6807">
              <w:rPr>
                <w:rFonts w:eastAsia="Arial Unicode MS"/>
                <w:color w:val="000000" w:themeColor="text1"/>
                <w:sz w:val="20"/>
                <w:szCs w:val="20"/>
                <w:shd w:val="clear" w:color="auto" w:fill="FFFFFF"/>
                <w:lang w:val="en-US"/>
              </w:rPr>
              <w:t>rezumat</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netehnic</w:t>
            </w:r>
            <w:proofErr w:type="spellEnd"/>
            <w:r w:rsidRPr="000A6807">
              <w:rPr>
                <w:rFonts w:eastAsia="Arial Unicode MS"/>
                <w:color w:val="000000" w:themeColor="text1"/>
                <w:sz w:val="20"/>
                <w:szCs w:val="20"/>
                <w:shd w:val="clear" w:color="auto" w:fill="FFFFFF"/>
                <w:lang w:val="en-US"/>
              </w:rPr>
              <w:t xml:space="preserve"> al </w:t>
            </w:r>
            <w:proofErr w:type="spellStart"/>
            <w:r w:rsidRPr="000A6807">
              <w:rPr>
                <w:rFonts w:eastAsia="Arial Unicode MS"/>
                <w:color w:val="000000" w:themeColor="text1"/>
                <w:sz w:val="20"/>
                <w:szCs w:val="20"/>
                <w:shd w:val="clear" w:color="auto" w:fill="FFFFFF"/>
                <w:lang w:val="en-US"/>
              </w:rPr>
              <w:t>detaliilor</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menționate</w:t>
            </w:r>
            <w:proofErr w:type="spellEnd"/>
            <w:r w:rsidRPr="000A6807">
              <w:rPr>
                <w:rFonts w:eastAsia="Arial Unicode MS"/>
                <w:color w:val="000000" w:themeColor="text1"/>
                <w:sz w:val="20"/>
                <w:szCs w:val="20"/>
                <w:shd w:val="clear" w:color="auto" w:fill="FFFFFF"/>
                <w:lang w:val="en-US"/>
              </w:rPr>
              <w:t xml:space="preserve"> la </w:t>
            </w:r>
            <w:proofErr w:type="spellStart"/>
            <w:r w:rsidRPr="000A6807">
              <w:rPr>
                <w:rFonts w:eastAsia="Arial Unicode MS"/>
                <w:color w:val="000000" w:themeColor="text1"/>
                <w:sz w:val="20"/>
                <w:szCs w:val="20"/>
                <w:shd w:val="clear" w:color="auto" w:fill="FFFFFF"/>
                <w:lang w:val="en-US"/>
              </w:rPr>
              <w:t>primul</w:t>
            </w:r>
            <w:proofErr w:type="spellEnd"/>
            <w:r w:rsidRPr="000A6807">
              <w:rPr>
                <w:rFonts w:eastAsia="Arial Unicode MS"/>
                <w:color w:val="000000" w:themeColor="text1"/>
                <w:sz w:val="20"/>
                <w:szCs w:val="20"/>
                <w:shd w:val="clear" w:color="auto" w:fill="FFFFFF"/>
                <w:lang w:val="en-US"/>
              </w:rPr>
              <w:t xml:space="preserve"> </w:t>
            </w:r>
            <w:proofErr w:type="spellStart"/>
            <w:r w:rsidRPr="000A6807">
              <w:rPr>
                <w:rFonts w:eastAsia="Arial Unicode MS"/>
                <w:color w:val="000000" w:themeColor="text1"/>
                <w:sz w:val="20"/>
                <w:szCs w:val="20"/>
                <w:shd w:val="clear" w:color="auto" w:fill="FFFFFF"/>
                <w:lang w:val="en-US"/>
              </w:rPr>
              <w:t>paragraf</w:t>
            </w:r>
            <w:proofErr w:type="spellEnd"/>
            <w:r w:rsidRPr="000A6807">
              <w:rPr>
                <w:rFonts w:eastAsia="Arial Unicode MS"/>
                <w:color w:val="000000" w:themeColor="text1"/>
                <w:sz w:val="20"/>
                <w:szCs w:val="20"/>
                <w:shd w:val="clear" w:color="auto" w:fill="FFFFFF"/>
                <w:lang w:val="en-US"/>
              </w:rPr>
              <w:t>.</w:t>
            </w:r>
          </w:p>
          <w:p w14:paraId="745E93C3"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70" w:tooltip="32003L0087R(06): REPLACED" w:history="1">
              <w:r>
                <w:rPr>
                  <w:rStyle w:val="af3"/>
                  <w:rFonts w:eastAsia="Arial Unicode MS"/>
                  <w:b/>
                  <w:bCs/>
                  <w:color w:val="4472C4" w:themeColor="accent1"/>
                  <w:sz w:val="20"/>
                  <w:szCs w:val="20"/>
                </w:rPr>
                <w:t>▼C2</w:t>
              </w:r>
            </w:hyperlink>
          </w:p>
        </w:tc>
        <w:tc>
          <w:tcPr>
            <w:tcW w:w="4394" w:type="dxa"/>
            <w:shd w:val="clear" w:color="auto" w:fill="auto"/>
          </w:tcPr>
          <w:p w14:paraId="3A77D931" w14:textId="69EDC6CF" w:rsidR="00974662" w:rsidRPr="00974662" w:rsidRDefault="00974662" w:rsidP="00974662">
            <w:pPr>
              <w:suppressAutoHyphens w:val="0"/>
              <w:autoSpaceDN/>
              <w:spacing w:after="0" w:line="240" w:lineRule="auto"/>
              <w:jc w:val="both"/>
              <w:textAlignment w:val="auto"/>
              <w:rPr>
                <w:rFonts w:ascii="Times New Roman" w:hAnsi="Times New Roman"/>
                <w:sz w:val="20"/>
                <w:szCs w:val="20"/>
                <w:lang w:val="ro-MD"/>
              </w:rPr>
            </w:pPr>
            <w:r w:rsidRPr="00974662">
              <w:rPr>
                <w:rFonts w:ascii="Times New Roman" w:hAnsi="Times New Roman"/>
                <w:b/>
                <w:bCs/>
                <w:sz w:val="20"/>
                <w:szCs w:val="20"/>
                <w:lang w:val="ro-MD"/>
              </w:rPr>
              <w:t xml:space="preserve">Articolul </w:t>
            </w:r>
            <w:r>
              <w:rPr>
                <w:rFonts w:ascii="Times New Roman" w:hAnsi="Times New Roman"/>
                <w:b/>
                <w:bCs/>
                <w:sz w:val="20"/>
                <w:szCs w:val="20"/>
                <w:lang w:val="ro-MD"/>
              </w:rPr>
              <w:t>52</w:t>
            </w:r>
            <w:r w:rsidRPr="00974662">
              <w:rPr>
                <w:rFonts w:ascii="Times New Roman" w:hAnsi="Times New Roman"/>
                <w:b/>
                <w:bCs/>
                <w:sz w:val="20"/>
                <w:szCs w:val="20"/>
                <w:lang w:val="ro-MD"/>
              </w:rPr>
              <w:t>.</w:t>
            </w:r>
            <w:r>
              <w:rPr>
                <w:rFonts w:ascii="Times New Roman" w:hAnsi="Times New Roman"/>
                <w:b/>
                <w:bCs/>
                <w:sz w:val="20"/>
                <w:szCs w:val="20"/>
                <w:lang w:val="ro-MD"/>
              </w:rPr>
              <w:t xml:space="preserve"> </w:t>
            </w:r>
            <w:r w:rsidRPr="00974662">
              <w:rPr>
                <w:rFonts w:ascii="Times New Roman" w:hAnsi="Times New Roman"/>
                <w:sz w:val="20"/>
                <w:szCs w:val="20"/>
                <w:lang w:val="ro-MD"/>
              </w:rPr>
              <w:t>Monitorizarea, raportarea și verificarea emisiilor de GES de la instalațiile staționare</w:t>
            </w:r>
          </w:p>
          <w:p w14:paraId="47147D51" w14:textId="54FAF438" w:rsidR="00974662" w:rsidRPr="00974662" w:rsidRDefault="00974662" w:rsidP="00974662">
            <w:pPr>
              <w:pStyle w:val="af8"/>
              <w:numPr>
                <w:ilvl w:val="0"/>
                <w:numId w:val="244"/>
              </w:numPr>
              <w:suppressAutoHyphens w:val="0"/>
              <w:autoSpaceDN/>
              <w:spacing w:after="0" w:line="240" w:lineRule="auto"/>
              <w:ind w:left="397" w:firstLine="0"/>
              <w:jc w:val="both"/>
              <w:textAlignment w:val="auto"/>
              <w:rPr>
                <w:rFonts w:ascii="Times New Roman" w:hAnsi="Times New Roman"/>
                <w:sz w:val="20"/>
                <w:szCs w:val="20"/>
                <w:lang w:val="ro-MD"/>
              </w:rPr>
            </w:pPr>
            <w:r w:rsidRPr="00974662">
              <w:rPr>
                <w:rFonts w:ascii="Times New Roman" w:hAnsi="Times New Roman"/>
                <w:sz w:val="20"/>
                <w:szCs w:val="20"/>
                <w:lang w:val="ro-MD"/>
              </w:rPr>
              <w:t xml:space="preserve">Operatorul instalației staționare, </w:t>
            </w:r>
            <w:r w:rsidRPr="00974662">
              <w:rPr>
                <w:rFonts w:ascii="Times New Roman" w:hAnsi="Times New Roman"/>
                <w:sz w:val="20"/>
                <w:szCs w:val="20"/>
                <w:shd w:val="clear" w:color="auto" w:fill="FFFFFF"/>
                <w:lang w:val="ro-MD"/>
              </w:rPr>
              <w:t xml:space="preserve">în care se desfășoară un anumit tip de activitate prevăzută în Anexa nr.1 la prezenta lege și </w:t>
            </w:r>
            <w:r w:rsidRPr="00974662">
              <w:rPr>
                <w:rFonts w:ascii="Times New Roman" w:hAnsi="Times New Roman"/>
                <w:sz w:val="20"/>
                <w:szCs w:val="20"/>
                <w:lang w:val="ro-MD"/>
              </w:rPr>
              <w:t xml:space="preserve">deține </w:t>
            </w:r>
            <w:r w:rsidRPr="00974662">
              <w:rPr>
                <w:rFonts w:ascii="Times New Roman" w:hAnsi="Times New Roman"/>
                <w:color w:val="000000"/>
                <w:sz w:val="20"/>
                <w:szCs w:val="20"/>
                <w:shd w:val="clear" w:color="auto" w:fill="FFFFFF"/>
                <w:lang w:val="ro-MD"/>
              </w:rPr>
              <w:t>autorizația integrată de mediu pentru desfășurarea</w:t>
            </w:r>
            <w:r w:rsidRPr="00974662">
              <w:rPr>
                <w:rFonts w:ascii="Times New Roman" w:hAnsi="Times New Roman"/>
                <w:bCs/>
                <w:sz w:val="20"/>
                <w:szCs w:val="20"/>
                <w:lang w:val="ro-MD"/>
              </w:rPr>
              <w:t xml:space="preserve">  activității, </w:t>
            </w:r>
            <w:r w:rsidRPr="00974662">
              <w:rPr>
                <w:rFonts w:ascii="Times New Roman" w:hAnsi="Times New Roman"/>
                <w:sz w:val="20"/>
                <w:szCs w:val="20"/>
                <w:lang w:val="ro-MD"/>
              </w:rPr>
              <w:t xml:space="preserve">asigură monitorizarea și raportarea emisiilor de GES </w:t>
            </w:r>
            <w:r w:rsidRPr="00974662">
              <w:rPr>
                <w:rFonts w:ascii="Times New Roman" w:hAnsi="Times New Roman"/>
                <w:sz w:val="20"/>
                <w:szCs w:val="20"/>
                <w:shd w:val="clear" w:color="auto" w:fill="FFFFFF"/>
                <w:lang w:val="ro-MD"/>
              </w:rPr>
              <w:t xml:space="preserve">pe baza PM, care este partea integrantă a </w:t>
            </w:r>
            <w:r w:rsidRPr="00974662">
              <w:rPr>
                <w:rFonts w:ascii="Times New Roman" w:hAnsi="Times New Roman"/>
                <w:color w:val="000000"/>
                <w:sz w:val="20"/>
                <w:szCs w:val="20"/>
                <w:shd w:val="clear" w:color="auto" w:fill="FFFFFF"/>
                <w:lang w:val="ro-MD"/>
              </w:rPr>
              <w:t>autorizației integrate de mediu emisă de către Agenția de Mediu.</w:t>
            </w:r>
          </w:p>
          <w:p w14:paraId="6B579806" w14:textId="77777777" w:rsidR="00124364" w:rsidRPr="00974662" w:rsidRDefault="00124364" w:rsidP="00974662">
            <w:pPr>
              <w:spacing w:after="120"/>
              <w:jc w:val="both"/>
              <w:rPr>
                <w:rFonts w:ascii="Times New Roman" w:hAnsi="Times New Roman" w:hint="eastAsia"/>
                <w:sz w:val="20"/>
                <w:szCs w:val="20"/>
                <w:lang w:val="ro-MD" w:eastAsia="zh-CN"/>
              </w:rPr>
            </w:pPr>
          </w:p>
        </w:tc>
        <w:tc>
          <w:tcPr>
            <w:tcW w:w="1276" w:type="dxa"/>
            <w:shd w:val="clear" w:color="auto" w:fill="auto"/>
          </w:tcPr>
          <w:p w14:paraId="1A700582" w14:textId="29ED40E9" w:rsidR="00124364" w:rsidRDefault="000A6807">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compatibil</w:t>
            </w:r>
          </w:p>
          <w:p w14:paraId="56901249"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01A4DF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C2ECA16" w14:textId="569BD448" w:rsidR="00124364" w:rsidRDefault="00974662">
            <w:pPr>
              <w:autoSpaceDE w:val="0"/>
              <w:spacing w:after="0" w:line="240" w:lineRule="auto"/>
              <w:rPr>
                <w:rFonts w:ascii="Times New Roman" w:eastAsia="Times New Roman" w:hAnsi="Times New Roman"/>
                <w:sz w:val="20"/>
                <w:szCs w:val="20"/>
                <w:lang w:val="ro-RO"/>
              </w:rPr>
            </w:pPr>
            <w:r w:rsidRPr="00FB6C41">
              <w:rPr>
                <w:rFonts w:ascii="Times New Roman" w:hAnsi="Times New Roman"/>
                <w:color w:val="000000" w:themeColor="text1"/>
                <w:sz w:val="20"/>
                <w:szCs w:val="20"/>
                <w:lang w:val="ro-MD"/>
              </w:rPr>
              <w:t>Prevederile referitoare la autorizare sunt reglementate la art.12 și art.13 din Legea nr.227/2022 privind emisiile industriale</w:t>
            </w:r>
          </w:p>
        </w:tc>
        <w:tc>
          <w:tcPr>
            <w:tcW w:w="1464" w:type="dxa"/>
            <w:shd w:val="clear" w:color="auto" w:fill="auto"/>
          </w:tcPr>
          <w:p w14:paraId="6A0B8C79"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3B3B2DA" w14:textId="77777777" w:rsidR="00124364" w:rsidRDefault="00124364">
            <w:pPr>
              <w:autoSpaceDE w:val="0"/>
              <w:spacing w:after="0" w:line="240" w:lineRule="auto"/>
              <w:rPr>
                <w:rFonts w:ascii="Times New Roman" w:hAnsi="Times New Roman"/>
                <w:sz w:val="20"/>
                <w:szCs w:val="20"/>
                <w:lang w:val="fr-FR"/>
              </w:rPr>
            </w:pPr>
          </w:p>
          <w:p w14:paraId="58190008" w14:textId="3FE11B7A" w:rsidR="00974662" w:rsidRDefault="00974662">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1610E043" w14:textId="77777777">
        <w:trPr>
          <w:trHeight w:val="558"/>
        </w:trPr>
        <w:tc>
          <w:tcPr>
            <w:tcW w:w="4957" w:type="dxa"/>
            <w:shd w:val="clear" w:color="auto" w:fill="auto"/>
          </w:tcPr>
          <w:p w14:paraId="278FB755" w14:textId="055AF349" w:rsidR="00124364" w:rsidRPr="00974662" w:rsidRDefault="00000000" w:rsidP="00974662">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74662">
              <w:rPr>
                <w:rFonts w:eastAsia="Arial Unicode MS"/>
                <w:i/>
                <w:iCs/>
                <w:color w:val="000000" w:themeColor="text1"/>
                <w:sz w:val="20"/>
                <w:szCs w:val="20"/>
                <w:shd w:val="clear" w:color="auto" w:fill="FFFFFF"/>
                <w:lang w:val="en-US"/>
              </w:rPr>
              <w:t>Articolul</w:t>
            </w:r>
            <w:proofErr w:type="spellEnd"/>
            <w:r w:rsidR="000A6807" w:rsidRPr="00974662">
              <w:rPr>
                <w:rFonts w:eastAsia="Arial Unicode MS"/>
                <w:i/>
                <w:iCs/>
                <w:color w:val="000000" w:themeColor="text1"/>
                <w:sz w:val="20"/>
                <w:szCs w:val="20"/>
                <w:shd w:val="clear" w:color="auto" w:fill="FFFFFF"/>
                <w:lang w:val="en-US"/>
              </w:rPr>
              <w:t xml:space="preserve"> </w:t>
            </w:r>
            <w:r w:rsidRPr="00974662">
              <w:rPr>
                <w:rFonts w:eastAsia="Arial Unicode MS"/>
                <w:i/>
                <w:iCs/>
                <w:color w:val="000000" w:themeColor="text1"/>
                <w:sz w:val="20"/>
                <w:szCs w:val="20"/>
                <w:shd w:val="clear" w:color="auto" w:fill="FFFFFF"/>
                <w:lang w:val="en-US"/>
              </w:rPr>
              <w:t>6</w:t>
            </w:r>
          </w:p>
          <w:p w14:paraId="4F790F78" w14:textId="77777777" w:rsidR="00124364" w:rsidRPr="00974662" w:rsidRDefault="00000000" w:rsidP="00974662">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74662">
              <w:rPr>
                <w:rFonts w:eastAsia="Arial Unicode MS"/>
                <w:b/>
                <w:bCs/>
                <w:color w:val="000000" w:themeColor="text1"/>
                <w:sz w:val="20"/>
                <w:szCs w:val="20"/>
                <w:shd w:val="clear" w:color="auto" w:fill="FFFFFF"/>
                <w:lang w:val="en-US"/>
              </w:rPr>
              <w:t>Condițiile</w:t>
            </w:r>
            <w:proofErr w:type="spellEnd"/>
            <w:r w:rsidRPr="00974662">
              <w:rPr>
                <w:rFonts w:eastAsia="Arial Unicode MS"/>
                <w:b/>
                <w:bCs/>
                <w:color w:val="000000" w:themeColor="text1"/>
                <w:sz w:val="20"/>
                <w:szCs w:val="20"/>
                <w:shd w:val="clear" w:color="auto" w:fill="FFFFFF"/>
                <w:lang w:val="en-US"/>
              </w:rPr>
              <w:t xml:space="preserve"> de </w:t>
            </w:r>
            <w:proofErr w:type="spellStart"/>
            <w:r w:rsidRPr="00974662">
              <w:rPr>
                <w:rFonts w:eastAsia="Arial Unicode MS"/>
                <w:b/>
                <w:bCs/>
                <w:color w:val="000000" w:themeColor="text1"/>
                <w:sz w:val="20"/>
                <w:szCs w:val="20"/>
                <w:shd w:val="clear" w:color="auto" w:fill="FFFFFF"/>
                <w:lang w:val="en-US"/>
              </w:rPr>
              <w:t>acordare</w:t>
            </w:r>
            <w:proofErr w:type="spellEnd"/>
            <w:r w:rsidRPr="00974662">
              <w:rPr>
                <w:rFonts w:eastAsia="Arial Unicode MS"/>
                <w:b/>
                <w:bCs/>
                <w:color w:val="000000" w:themeColor="text1"/>
                <w:sz w:val="20"/>
                <w:szCs w:val="20"/>
                <w:shd w:val="clear" w:color="auto" w:fill="FFFFFF"/>
                <w:lang w:val="en-US"/>
              </w:rPr>
              <w:t xml:space="preserve"> și </w:t>
            </w:r>
            <w:proofErr w:type="spellStart"/>
            <w:r w:rsidRPr="00974662">
              <w:rPr>
                <w:rFonts w:eastAsia="Arial Unicode MS"/>
                <w:b/>
                <w:bCs/>
                <w:color w:val="000000" w:themeColor="text1"/>
                <w:sz w:val="20"/>
                <w:szCs w:val="20"/>
                <w:shd w:val="clear" w:color="auto" w:fill="FFFFFF"/>
                <w:lang w:val="en-US"/>
              </w:rPr>
              <w:t>conținutul</w:t>
            </w:r>
            <w:proofErr w:type="spellEnd"/>
            <w:r w:rsidRPr="00974662">
              <w:rPr>
                <w:rFonts w:eastAsia="Arial Unicode MS"/>
                <w:b/>
                <w:bCs/>
                <w:color w:val="000000" w:themeColor="text1"/>
                <w:sz w:val="20"/>
                <w:szCs w:val="20"/>
                <w:shd w:val="clear" w:color="auto" w:fill="FFFFFF"/>
                <w:lang w:val="en-US"/>
              </w:rPr>
              <w:t xml:space="preserve"> </w:t>
            </w:r>
            <w:proofErr w:type="spellStart"/>
            <w:r w:rsidRPr="00974662">
              <w:rPr>
                <w:rFonts w:eastAsia="Arial Unicode MS"/>
                <w:b/>
                <w:bCs/>
                <w:color w:val="000000" w:themeColor="text1"/>
                <w:sz w:val="20"/>
                <w:szCs w:val="20"/>
                <w:shd w:val="clear" w:color="auto" w:fill="FFFFFF"/>
                <w:lang w:val="en-US"/>
              </w:rPr>
              <w:t>autorizațiilor</w:t>
            </w:r>
            <w:proofErr w:type="spellEnd"/>
            <w:r w:rsidRPr="00974662">
              <w:rPr>
                <w:rFonts w:eastAsia="Arial Unicode MS"/>
                <w:b/>
                <w:bCs/>
                <w:color w:val="000000" w:themeColor="text1"/>
                <w:sz w:val="20"/>
                <w:szCs w:val="20"/>
                <w:shd w:val="clear" w:color="auto" w:fill="FFFFFF"/>
                <w:lang w:val="en-US"/>
              </w:rPr>
              <w:t xml:space="preserve"> de </w:t>
            </w:r>
            <w:proofErr w:type="spellStart"/>
            <w:r w:rsidRPr="00974662">
              <w:rPr>
                <w:rFonts w:eastAsia="Arial Unicode MS"/>
                <w:b/>
                <w:bCs/>
                <w:color w:val="000000" w:themeColor="text1"/>
                <w:sz w:val="20"/>
                <w:szCs w:val="20"/>
                <w:shd w:val="clear" w:color="auto" w:fill="FFFFFF"/>
                <w:lang w:val="en-US"/>
              </w:rPr>
              <w:t>emisii</w:t>
            </w:r>
            <w:proofErr w:type="spellEnd"/>
            <w:r w:rsidRPr="00974662">
              <w:rPr>
                <w:rFonts w:eastAsia="Arial Unicode MS"/>
                <w:b/>
                <w:bCs/>
                <w:color w:val="000000" w:themeColor="text1"/>
                <w:sz w:val="20"/>
                <w:szCs w:val="20"/>
                <w:shd w:val="clear" w:color="auto" w:fill="FFFFFF"/>
                <w:lang w:val="en-US"/>
              </w:rPr>
              <w:t xml:space="preserve"> de gaze cu </w:t>
            </w:r>
            <w:proofErr w:type="spellStart"/>
            <w:r w:rsidRPr="00974662">
              <w:rPr>
                <w:rFonts w:eastAsia="Arial Unicode MS"/>
                <w:b/>
                <w:bCs/>
                <w:color w:val="000000" w:themeColor="text1"/>
                <w:sz w:val="20"/>
                <w:szCs w:val="20"/>
                <w:shd w:val="clear" w:color="auto" w:fill="FFFFFF"/>
                <w:lang w:val="en-US"/>
              </w:rPr>
              <w:t>efect</w:t>
            </w:r>
            <w:proofErr w:type="spellEnd"/>
            <w:r w:rsidRPr="00974662">
              <w:rPr>
                <w:rFonts w:eastAsia="Arial Unicode MS"/>
                <w:b/>
                <w:bCs/>
                <w:color w:val="000000" w:themeColor="text1"/>
                <w:sz w:val="20"/>
                <w:szCs w:val="20"/>
                <w:shd w:val="clear" w:color="auto" w:fill="FFFFFF"/>
                <w:lang w:val="en-US"/>
              </w:rPr>
              <w:t xml:space="preserve"> de </w:t>
            </w:r>
            <w:proofErr w:type="spellStart"/>
            <w:r w:rsidRPr="00974662">
              <w:rPr>
                <w:rFonts w:eastAsia="Arial Unicode MS"/>
                <w:b/>
                <w:bCs/>
                <w:color w:val="000000" w:themeColor="text1"/>
                <w:sz w:val="20"/>
                <w:szCs w:val="20"/>
                <w:shd w:val="clear" w:color="auto" w:fill="FFFFFF"/>
                <w:lang w:val="en-US"/>
              </w:rPr>
              <w:t>seră</w:t>
            </w:r>
            <w:proofErr w:type="spellEnd"/>
          </w:p>
          <w:p w14:paraId="72535565" w14:textId="77777777" w:rsidR="00124364" w:rsidRPr="00974662" w:rsidRDefault="00000000" w:rsidP="00974662">
            <w:pPr>
              <w:pStyle w:val="ti-art"/>
              <w:numPr>
                <w:ilvl w:val="0"/>
                <w:numId w:val="3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74662">
              <w:rPr>
                <w:rFonts w:eastAsia="Arial Unicode MS"/>
                <w:color w:val="000000" w:themeColor="text1"/>
                <w:sz w:val="20"/>
                <w:szCs w:val="20"/>
                <w:shd w:val="clear" w:color="auto" w:fill="FFFFFF"/>
                <w:lang w:val="en-US"/>
              </w:rPr>
              <w:t>Autoritatea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eliberează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autorizații</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emisii</w:t>
            </w:r>
            <w:proofErr w:type="spellEnd"/>
            <w:r w:rsidRPr="00974662">
              <w:rPr>
                <w:rFonts w:eastAsia="Arial Unicode MS"/>
                <w:color w:val="000000" w:themeColor="text1"/>
                <w:sz w:val="20"/>
                <w:szCs w:val="20"/>
                <w:shd w:val="clear" w:color="auto" w:fill="FFFFFF"/>
                <w:lang w:val="en-US"/>
              </w:rPr>
              <w:t xml:space="preserve"> de gaze cu </w:t>
            </w:r>
            <w:proofErr w:type="spellStart"/>
            <w:r w:rsidRPr="00974662">
              <w:rPr>
                <w:rFonts w:eastAsia="Arial Unicode MS"/>
                <w:color w:val="000000" w:themeColor="text1"/>
                <w:sz w:val="20"/>
                <w:szCs w:val="20"/>
                <w:shd w:val="clear" w:color="auto" w:fill="FFFFFF"/>
                <w:lang w:val="en-US"/>
              </w:rPr>
              <w:t>efect</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seră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autorizând</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emisiile</w:t>
            </w:r>
            <w:proofErr w:type="spellEnd"/>
            <w:r w:rsidRPr="00974662">
              <w:rPr>
                <w:rFonts w:eastAsia="Arial Unicode MS"/>
                <w:color w:val="000000" w:themeColor="text1"/>
                <w:sz w:val="20"/>
                <w:szCs w:val="20"/>
                <w:shd w:val="clear" w:color="auto" w:fill="FFFFFF"/>
                <w:lang w:val="en-US"/>
              </w:rPr>
              <w:t xml:space="preserve"> de gaze cu </w:t>
            </w:r>
            <w:proofErr w:type="spellStart"/>
            <w:r w:rsidRPr="00974662">
              <w:rPr>
                <w:rFonts w:eastAsia="Arial Unicode MS"/>
                <w:color w:val="000000" w:themeColor="text1"/>
                <w:sz w:val="20"/>
                <w:szCs w:val="20"/>
                <w:shd w:val="clear" w:color="auto" w:fill="FFFFFF"/>
                <w:lang w:val="en-US"/>
              </w:rPr>
              <w:t>efect</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seră</w:t>
            </w:r>
            <w:proofErr w:type="spellEnd"/>
            <w:r w:rsidRPr="00974662">
              <w:rPr>
                <w:rFonts w:eastAsia="Arial Unicode MS"/>
                <w:color w:val="000000" w:themeColor="text1"/>
                <w:sz w:val="20"/>
                <w:szCs w:val="20"/>
                <w:shd w:val="clear" w:color="auto" w:fill="FFFFFF"/>
                <w:lang w:val="en-US"/>
              </w:rPr>
              <w:t xml:space="preserve"> din </w:t>
            </w:r>
            <w:proofErr w:type="spellStart"/>
            <w:r w:rsidRPr="00974662">
              <w:rPr>
                <w:rFonts w:eastAsia="Arial Unicode MS"/>
                <w:color w:val="000000" w:themeColor="text1"/>
                <w:sz w:val="20"/>
                <w:szCs w:val="20"/>
                <w:shd w:val="clear" w:color="auto" w:fill="FFFFFF"/>
                <w:lang w:val="en-US"/>
              </w:rPr>
              <w:t>întreaga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instalație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sau</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dintr</w:t>
            </w:r>
            <w:proofErr w:type="spellEnd"/>
            <w:r w:rsidRPr="00974662">
              <w:rPr>
                <w:rFonts w:eastAsia="Arial Unicode MS"/>
                <w:color w:val="000000" w:themeColor="text1"/>
                <w:sz w:val="20"/>
                <w:szCs w:val="20"/>
                <w:shd w:val="clear" w:color="auto" w:fill="FFFFFF"/>
                <w:lang w:val="en-US"/>
              </w:rPr>
              <w:t xml:space="preserve">-o </w:t>
            </w:r>
            <w:proofErr w:type="spellStart"/>
            <w:r w:rsidRPr="00974662">
              <w:rPr>
                <w:rFonts w:eastAsia="Arial Unicode MS"/>
                <w:color w:val="000000" w:themeColor="text1"/>
                <w:sz w:val="20"/>
                <w:szCs w:val="20"/>
                <w:shd w:val="clear" w:color="auto" w:fill="FFFFFF"/>
                <w:lang w:val="en-US"/>
              </w:rPr>
              <w:t>parte</w:t>
            </w:r>
            <w:proofErr w:type="spellEnd"/>
            <w:r w:rsidRPr="00974662">
              <w:rPr>
                <w:rFonts w:eastAsia="Arial Unicode MS"/>
                <w:color w:val="000000" w:themeColor="text1"/>
                <w:sz w:val="20"/>
                <w:szCs w:val="20"/>
                <w:shd w:val="clear" w:color="auto" w:fill="FFFFFF"/>
                <w:lang w:val="en-US"/>
              </w:rPr>
              <w:t xml:space="preserve"> </w:t>
            </w:r>
            <w:proofErr w:type="gramStart"/>
            <w:r w:rsidRPr="00974662">
              <w:rPr>
                <w:rFonts w:eastAsia="Arial Unicode MS"/>
                <w:color w:val="000000" w:themeColor="text1"/>
                <w:sz w:val="20"/>
                <w:szCs w:val="20"/>
                <w:shd w:val="clear" w:color="auto" w:fill="FFFFFF"/>
                <w:lang w:val="en-US"/>
              </w:rPr>
              <w:t>a</w:t>
            </w:r>
            <w:proofErr w:type="gram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acesteia</w:t>
            </w:r>
            <w:proofErr w:type="spellEnd"/>
            <w:r w:rsidRPr="00974662">
              <w:rPr>
                <w:rFonts w:eastAsia="Arial Unicode MS"/>
                <w:color w:val="000000" w:themeColor="text1"/>
                <w:sz w:val="20"/>
                <w:szCs w:val="20"/>
                <w:shd w:val="clear" w:color="auto" w:fill="FFFFFF"/>
                <w:lang w:val="en-US"/>
              </w:rPr>
              <w:t xml:space="preserve"> în </w:t>
            </w:r>
            <w:proofErr w:type="spellStart"/>
            <w:r w:rsidRPr="00974662">
              <w:rPr>
                <w:rFonts w:eastAsia="Arial Unicode MS"/>
                <w:color w:val="000000" w:themeColor="text1"/>
                <w:sz w:val="20"/>
                <w:szCs w:val="20"/>
                <w:shd w:val="clear" w:color="auto" w:fill="FFFFFF"/>
                <w:lang w:val="en-US"/>
              </w:rPr>
              <w:t>cazul</w:t>
            </w:r>
            <w:proofErr w:type="spellEnd"/>
            <w:r w:rsidRPr="00974662">
              <w:rPr>
                <w:rFonts w:eastAsia="Arial Unicode MS"/>
                <w:color w:val="000000" w:themeColor="text1"/>
                <w:sz w:val="20"/>
                <w:szCs w:val="20"/>
                <w:shd w:val="clear" w:color="auto" w:fill="FFFFFF"/>
                <w:lang w:val="en-US"/>
              </w:rPr>
              <w:t xml:space="preserve"> în care </w:t>
            </w:r>
            <w:proofErr w:type="spellStart"/>
            <w:r w:rsidRPr="00974662">
              <w:rPr>
                <w:rFonts w:eastAsia="Arial Unicode MS"/>
                <w:color w:val="000000" w:themeColor="text1"/>
                <w:sz w:val="20"/>
                <w:szCs w:val="20"/>
                <w:shd w:val="clear" w:color="auto" w:fill="FFFFFF"/>
                <w:lang w:val="en-US"/>
              </w:rPr>
              <w:t>autoritatea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competentă</w:t>
            </w:r>
            <w:proofErr w:type="spellEnd"/>
            <w:r w:rsidRPr="00974662">
              <w:rPr>
                <w:rFonts w:eastAsia="Arial Unicode MS"/>
                <w:color w:val="000000" w:themeColor="text1"/>
                <w:sz w:val="20"/>
                <w:szCs w:val="20"/>
                <w:shd w:val="clear" w:color="auto" w:fill="FFFFFF"/>
                <w:lang w:val="en-US"/>
              </w:rPr>
              <w:t xml:space="preserve"> a </w:t>
            </w:r>
            <w:proofErr w:type="spellStart"/>
            <w:r w:rsidRPr="00974662">
              <w:rPr>
                <w:rFonts w:eastAsia="Arial Unicode MS"/>
                <w:color w:val="000000" w:themeColor="text1"/>
                <w:sz w:val="20"/>
                <w:szCs w:val="20"/>
                <w:shd w:val="clear" w:color="auto" w:fill="FFFFFF"/>
                <w:lang w:val="en-US"/>
              </w:rPr>
              <w:t>stabilit</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operatorul</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poate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monitoriza</w:t>
            </w:r>
            <w:proofErr w:type="spellEnd"/>
            <w:r w:rsidRPr="00974662">
              <w:rPr>
                <w:rFonts w:eastAsia="Arial Unicode MS"/>
                <w:color w:val="000000" w:themeColor="text1"/>
                <w:sz w:val="20"/>
                <w:szCs w:val="20"/>
                <w:shd w:val="clear" w:color="auto" w:fill="FFFFFF"/>
                <w:lang w:val="en-US"/>
              </w:rPr>
              <w:t xml:space="preserve"> și </w:t>
            </w:r>
            <w:proofErr w:type="spellStart"/>
            <w:r w:rsidRPr="00974662">
              <w:rPr>
                <w:rFonts w:eastAsia="Arial Unicode MS"/>
                <w:color w:val="000000" w:themeColor="text1"/>
                <w:sz w:val="20"/>
                <w:szCs w:val="20"/>
                <w:shd w:val="clear" w:color="auto" w:fill="FFFFFF"/>
                <w:lang w:val="en-US"/>
              </w:rPr>
              <w:t>raporta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emisiile</w:t>
            </w:r>
            <w:proofErr w:type="spellEnd"/>
            <w:r w:rsidRPr="00974662">
              <w:rPr>
                <w:rFonts w:eastAsia="Arial Unicode MS"/>
                <w:color w:val="000000" w:themeColor="text1"/>
                <w:sz w:val="20"/>
                <w:szCs w:val="20"/>
                <w:shd w:val="clear" w:color="auto" w:fill="FFFFFF"/>
                <w:lang w:val="en-US"/>
              </w:rPr>
              <w:t>.</w:t>
            </w:r>
          </w:p>
          <w:p w14:paraId="01FFE5A0" w14:textId="77777777" w:rsidR="00124364" w:rsidRPr="00974662" w:rsidRDefault="00000000" w:rsidP="00974662">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r w:rsidRPr="00974662">
              <w:rPr>
                <w:rFonts w:eastAsia="Arial Unicode MS"/>
                <w:color w:val="000000" w:themeColor="text1"/>
                <w:sz w:val="20"/>
                <w:szCs w:val="20"/>
                <w:shd w:val="clear" w:color="auto" w:fill="FFFFFF"/>
                <w:lang w:val="en-US"/>
              </w:rPr>
              <w:t xml:space="preserve">O </w:t>
            </w:r>
            <w:proofErr w:type="spellStart"/>
            <w:r w:rsidRPr="00974662">
              <w:rPr>
                <w:rFonts w:eastAsia="Arial Unicode MS"/>
                <w:color w:val="000000" w:themeColor="text1"/>
                <w:sz w:val="20"/>
                <w:szCs w:val="20"/>
                <w:shd w:val="clear" w:color="auto" w:fill="FFFFFF"/>
                <w:lang w:val="en-US"/>
              </w:rPr>
              <w:t>autorizație</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emisii</w:t>
            </w:r>
            <w:proofErr w:type="spellEnd"/>
            <w:r w:rsidRPr="00974662">
              <w:rPr>
                <w:rFonts w:eastAsia="Arial Unicode MS"/>
                <w:color w:val="000000" w:themeColor="text1"/>
                <w:sz w:val="20"/>
                <w:szCs w:val="20"/>
                <w:shd w:val="clear" w:color="auto" w:fill="FFFFFF"/>
                <w:lang w:val="en-US"/>
              </w:rPr>
              <w:t xml:space="preserve"> de gaze cu </w:t>
            </w:r>
            <w:proofErr w:type="spellStart"/>
            <w:r w:rsidRPr="00974662">
              <w:rPr>
                <w:rFonts w:eastAsia="Arial Unicode MS"/>
                <w:color w:val="000000" w:themeColor="text1"/>
                <w:sz w:val="20"/>
                <w:szCs w:val="20"/>
                <w:shd w:val="clear" w:color="auto" w:fill="FFFFFF"/>
                <w:lang w:val="en-US"/>
              </w:rPr>
              <w:t>efect</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seră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poate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viza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una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sau</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mai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multe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instalații</w:t>
            </w:r>
            <w:proofErr w:type="spellEnd"/>
            <w:r w:rsidRPr="00974662">
              <w:rPr>
                <w:rFonts w:eastAsia="Arial Unicode MS"/>
                <w:color w:val="000000" w:themeColor="text1"/>
                <w:sz w:val="20"/>
                <w:szCs w:val="20"/>
                <w:shd w:val="clear" w:color="auto" w:fill="FFFFFF"/>
                <w:lang w:val="en-US"/>
              </w:rPr>
              <w:t xml:space="preserve"> de pe </w:t>
            </w:r>
            <w:proofErr w:type="spellStart"/>
            <w:r w:rsidRPr="00974662">
              <w:rPr>
                <w:rFonts w:eastAsia="Arial Unicode MS"/>
                <w:color w:val="000000" w:themeColor="text1"/>
                <w:sz w:val="20"/>
                <w:szCs w:val="20"/>
                <w:shd w:val="clear" w:color="auto" w:fill="FFFFFF"/>
                <w:lang w:val="en-US"/>
              </w:rPr>
              <w:t>același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amplasament</w:t>
            </w:r>
            <w:proofErr w:type="spellEnd"/>
            <w:r w:rsidRPr="00974662">
              <w:rPr>
                <w:rFonts w:eastAsia="Arial Unicode MS"/>
                <w:color w:val="000000" w:themeColor="text1"/>
                <w:sz w:val="20"/>
                <w:szCs w:val="20"/>
                <w:shd w:val="clear" w:color="auto" w:fill="FFFFFF"/>
                <w:lang w:val="en-US"/>
              </w:rPr>
              <w:t xml:space="preserve">, operate de </w:t>
            </w:r>
            <w:proofErr w:type="spellStart"/>
            <w:r w:rsidRPr="00974662">
              <w:rPr>
                <w:rFonts w:eastAsia="Arial Unicode MS"/>
                <w:color w:val="000000" w:themeColor="text1"/>
                <w:sz w:val="20"/>
                <w:szCs w:val="20"/>
                <w:shd w:val="clear" w:color="auto" w:fill="FFFFFF"/>
                <w:lang w:val="en-US"/>
              </w:rPr>
              <w:t>același</w:t>
            </w:r>
            <w:proofErr w:type="spellEnd"/>
            <w:r w:rsidRPr="00974662">
              <w:rPr>
                <w:rFonts w:eastAsia="Arial Unicode MS"/>
                <w:color w:val="000000" w:themeColor="text1"/>
                <w:sz w:val="20"/>
                <w:szCs w:val="20"/>
                <w:shd w:val="clear" w:color="auto" w:fill="FFFFFF"/>
                <w:lang w:val="en-US"/>
              </w:rPr>
              <w:t xml:space="preserve"> operator.</w:t>
            </w:r>
          </w:p>
          <w:p w14:paraId="5118EE2F" w14:textId="55EF69DA"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71" w:tooltip="32018L0410: DELETED" w:history="1">
              <w:r>
                <w:rPr>
                  <w:rStyle w:val="af3"/>
                  <w:rFonts w:eastAsia="Arial Unicode MS"/>
                  <w:b/>
                  <w:bCs/>
                  <w:color w:val="4472C4" w:themeColor="accent1"/>
                  <w:sz w:val="20"/>
                  <w:szCs w:val="20"/>
                </w:rPr>
                <w:t>▼M9</w:t>
              </w:r>
            </w:hyperlink>
            <w:r w:rsidR="00974662">
              <w:rPr>
                <w:rFonts w:ascii="Arial Unicode MS" w:eastAsia="Arial Unicode MS" w:hAnsi="Arial Unicode MS" w:cs="Arial Unicode MS"/>
                <w:b/>
                <w:bCs/>
                <w:color w:val="333333"/>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447670B8"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72" w:tooltip="32003L0087R(06): REPLACED" w:history="1">
              <w:r>
                <w:rPr>
                  <w:rStyle w:val="af3"/>
                  <w:rFonts w:eastAsia="Arial Unicode MS"/>
                  <w:b/>
                  <w:bCs/>
                  <w:color w:val="4472C4" w:themeColor="accent1"/>
                  <w:sz w:val="20"/>
                  <w:szCs w:val="20"/>
                </w:rPr>
                <w:t>▼C2</w:t>
              </w:r>
            </w:hyperlink>
          </w:p>
          <w:p w14:paraId="0ECF260D" w14:textId="77777777" w:rsidR="00124364" w:rsidRPr="00974662" w:rsidRDefault="00000000" w:rsidP="00974662">
            <w:pPr>
              <w:pStyle w:val="ti-art"/>
              <w:numPr>
                <w:ilvl w:val="0"/>
                <w:numId w:val="3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74662">
              <w:rPr>
                <w:rFonts w:eastAsia="Arial Unicode MS"/>
                <w:color w:val="000000" w:themeColor="text1"/>
                <w:sz w:val="20"/>
                <w:szCs w:val="20"/>
                <w:shd w:val="clear" w:color="auto" w:fill="FFFFFF"/>
                <w:lang w:val="en-US"/>
              </w:rPr>
              <w:t>Autorizațiile</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emisii</w:t>
            </w:r>
            <w:proofErr w:type="spellEnd"/>
            <w:r w:rsidRPr="00974662">
              <w:rPr>
                <w:rFonts w:eastAsia="Arial Unicode MS"/>
                <w:color w:val="000000" w:themeColor="text1"/>
                <w:sz w:val="20"/>
                <w:szCs w:val="20"/>
                <w:shd w:val="clear" w:color="auto" w:fill="FFFFFF"/>
                <w:lang w:val="en-US"/>
              </w:rPr>
              <w:t xml:space="preserve"> de gaze cu </w:t>
            </w:r>
            <w:proofErr w:type="spellStart"/>
            <w:r w:rsidRPr="00974662">
              <w:rPr>
                <w:rFonts w:eastAsia="Arial Unicode MS"/>
                <w:color w:val="000000" w:themeColor="text1"/>
                <w:sz w:val="20"/>
                <w:szCs w:val="20"/>
                <w:shd w:val="clear" w:color="auto" w:fill="FFFFFF"/>
                <w:lang w:val="en-US"/>
              </w:rPr>
              <w:t>efect</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seră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conțin</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următoarele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elemente</w:t>
            </w:r>
            <w:proofErr w:type="spellEnd"/>
            <w:r w:rsidRPr="00974662">
              <w:rPr>
                <w:rFonts w:eastAsia="Arial Unicode MS"/>
                <w:color w:val="000000" w:themeColor="text1"/>
                <w:sz w:val="20"/>
                <w:szCs w:val="20"/>
                <w:shd w:val="clear" w:color="auto" w:fill="FFFFFF"/>
                <w:lang w:val="en-US"/>
              </w:rPr>
              <w:t>:</w:t>
            </w:r>
          </w:p>
          <w:p w14:paraId="3BF38715" w14:textId="77777777" w:rsidR="00124364" w:rsidRPr="00974662" w:rsidRDefault="00000000" w:rsidP="00974662">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74662">
              <w:rPr>
                <w:rFonts w:eastAsia="Arial Unicode MS"/>
                <w:color w:val="000000" w:themeColor="text1"/>
                <w:sz w:val="20"/>
                <w:szCs w:val="20"/>
                <w:shd w:val="clear" w:color="auto" w:fill="FFFFFF"/>
              </w:rPr>
              <w:t>numele</w:t>
            </w:r>
            <w:proofErr w:type="spellEnd"/>
            <w:r w:rsidRPr="00974662">
              <w:rPr>
                <w:rFonts w:eastAsia="Arial Unicode MS"/>
                <w:color w:val="000000" w:themeColor="text1"/>
                <w:sz w:val="20"/>
                <w:szCs w:val="20"/>
                <w:shd w:val="clear" w:color="auto" w:fill="FFFFFF"/>
              </w:rPr>
              <w:t xml:space="preserve"> și </w:t>
            </w:r>
            <w:proofErr w:type="spellStart"/>
            <w:r w:rsidRPr="00974662">
              <w:rPr>
                <w:rFonts w:eastAsia="Arial Unicode MS"/>
                <w:color w:val="000000" w:themeColor="text1"/>
                <w:sz w:val="20"/>
                <w:szCs w:val="20"/>
                <w:shd w:val="clear" w:color="auto" w:fill="FFFFFF"/>
              </w:rPr>
              <w:t>adresa</w:t>
            </w:r>
            <w:proofErr w:type="spellEnd"/>
            <w:r w:rsidRPr="00974662">
              <w:rPr>
                <w:rFonts w:eastAsia="Arial Unicode MS"/>
                <w:color w:val="000000" w:themeColor="text1"/>
                <w:sz w:val="20"/>
                <w:szCs w:val="20"/>
                <w:shd w:val="clear" w:color="auto" w:fill="FFFFFF"/>
              </w:rPr>
              <w:t xml:space="preserve"> </w:t>
            </w:r>
            <w:proofErr w:type="spellStart"/>
            <w:r w:rsidRPr="00974662">
              <w:rPr>
                <w:rFonts w:eastAsia="Arial Unicode MS"/>
                <w:color w:val="000000" w:themeColor="text1"/>
                <w:sz w:val="20"/>
                <w:szCs w:val="20"/>
                <w:shd w:val="clear" w:color="auto" w:fill="FFFFFF"/>
              </w:rPr>
              <w:t>operatorului</w:t>
            </w:r>
            <w:proofErr w:type="spellEnd"/>
            <w:r w:rsidRPr="00974662">
              <w:rPr>
                <w:rFonts w:eastAsia="Arial Unicode MS"/>
                <w:color w:val="000000" w:themeColor="text1"/>
                <w:sz w:val="20"/>
                <w:szCs w:val="20"/>
                <w:shd w:val="clear" w:color="auto" w:fill="FFFFFF"/>
              </w:rPr>
              <w:t>;</w:t>
            </w:r>
          </w:p>
          <w:p w14:paraId="0891F99D" w14:textId="77777777" w:rsidR="00124364" w:rsidRPr="00974662" w:rsidRDefault="00000000" w:rsidP="00974662">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74662">
              <w:rPr>
                <w:rFonts w:eastAsia="Arial Unicode MS"/>
                <w:color w:val="000000" w:themeColor="text1"/>
                <w:sz w:val="20"/>
                <w:szCs w:val="20"/>
                <w:shd w:val="clear" w:color="auto" w:fill="FFFFFF"/>
                <w:lang w:val="en-US"/>
              </w:rPr>
              <w:t xml:space="preserve">o </w:t>
            </w:r>
            <w:proofErr w:type="spellStart"/>
            <w:r w:rsidRPr="00974662">
              <w:rPr>
                <w:rFonts w:eastAsia="Arial Unicode MS"/>
                <w:color w:val="000000" w:themeColor="text1"/>
                <w:sz w:val="20"/>
                <w:szCs w:val="20"/>
                <w:shd w:val="clear" w:color="auto" w:fill="FFFFFF"/>
                <w:lang w:val="en-US"/>
              </w:rPr>
              <w:t>descriere</w:t>
            </w:r>
            <w:proofErr w:type="spellEnd"/>
            <w:r w:rsidRPr="00974662">
              <w:rPr>
                <w:rFonts w:eastAsia="Arial Unicode MS"/>
                <w:color w:val="000000" w:themeColor="text1"/>
                <w:sz w:val="20"/>
                <w:szCs w:val="20"/>
                <w:shd w:val="clear" w:color="auto" w:fill="FFFFFF"/>
                <w:lang w:val="en-US"/>
              </w:rPr>
              <w:t xml:space="preserve"> </w:t>
            </w:r>
            <w:proofErr w:type="gramStart"/>
            <w:r w:rsidRPr="00974662">
              <w:rPr>
                <w:rFonts w:eastAsia="Arial Unicode MS"/>
                <w:color w:val="000000" w:themeColor="text1"/>
                <w:sz w:val="20"/>
                <w:szCs w:val="20"/>
                <w:shd w:val="clear" w:color="auto" w:fill="FFFFFF"/>
                <w:lang w:val="en-US"/>
              </w:rPr>
              <w:t>a</w:t>
            </w:r>
            <w:proofErr w:type="gram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activităților</w:t>
            </w:r>
            <w:proofErr w:type="spellEnd"/>
            <w:r w:rsidRPr="00974662">
              <w:rPr>
                <w:rFonts w:eastAsia="Arial Unicode MS"/>
                <w:color w:val="000000" w:themeColor="text1"/>
                <w:sz w:val="20"/>
                <w:szCs w:val="20"/>
                <w:shd w:val="clear" w:color="auto" w:fill="FFFFFF"/>
                <w:lang w:val="en-US"/>
              </w:rPr>
              <w:t xml:space="preserve"> și a </w:t>
            </w:r>
            <w:proofErr w:type="spellStart"/>
            <w:r w:rsidRPr="00974662">
              <w:rPr>
                <w:rFonts w:eastAsia="Arial Unicode MS"/>
                <w:color w:val="000000" w:themeColor="text1"/>
                <w:sz w:val="20"/>
                <w:szCs w:val="20"/>
                <w:shd w:val="clear" w:color="auto" w:fill="FFFFFF"/>
                <w:lang w:val="en-US"/>
              </w:rPr>
              <w:t>emisiilor</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instalației</w:t>
            </w:r>
            <w:proofErr w:type="spellEnd"/>
            <w:r w:rsidRPr="00974662">
              <w:rPr>
                <w:rFonts w:eastAsia="Arial Unicode MS"/>
                <w:color w:val="000000" w:themeColor="text1"/>
                <w:sz w:val="20"/>
                <w:szCs w:val="20"/>
                <w:shd w:val="clear" w:color="auto" w:fill="FFFFFF"/>
                <w:lang w:val="en-US"/>
              </w:rPr>
              <w:t>;</w:t>
            </w:r>
          </w:p>
          <w:p w14:paraId="6321AC5D" w14:textId="77777777" w:rsidR="00124364" w:rsidRDefault="00000000">
            <w:pPr>
              <w:pStyle w:val="ti-art"/>
              <w:shd w:val="clear" w:color="auto" w:fill="FFFFFF"/>
              <w:spacing w:before="0" w:beforeAutospacing="0" w:after="0" w:afterAutospacing="0"/>
              <w:rPr>
                <w:color w:val="4472C4" w:themeColor="accent1"/>
                <w:sz w:val="20"/>
                <w:szCs w:val="20"/>
              </w:rPr>
            </w:pPr>
            <w:hyperlink r:id="rId73" w:tooltip="32009L0029: REPLACED" w:history="1">
              <w:r>
                <w:rPr>
                  <w:rStyle w:val="af3"/>
                  <w:rFonts w:eastAsia="Arial Unicode MS"/>
                  <w:b/>
                  <w:bCs/>
                  <w:color w:val="4472C4" w:themeColor="accent1"/>
                  <w:sz w:val="20"/>
                  <w:szCs w:val="20"/>
                </w:rPr>
                <w:t>▼M4</w:t>
              </w:r>
            </w:hyperlink>
          </w:p>
          <w:p w14:paraId="1DDE4BB2" w14:textId="63DF3604" w:rsidR="00124364" w:rsidRDefault="00000000" w:rsidP="00974662">
            <w:pPr>
              <w:pStyle w:val="ti-art"/>
              <w:numPr>
                <w:ilvl w:val="0"/>
                <w:numId w:val="34"/>
              </w:numPr>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un plan de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respectă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cerințele</w:t>
            </w:r>
            <w:proofErr w:type="spellEnd"/>
            <w:r>
              <w:fldChar w:fldCharType="begin"/>
            </w:r>
            <w:r w:rsidRPr="00E34C2B">
              <w:rPr>
                <w:lang w:val="en-US"/>
              </w:rPr>
              <w:instrText>HYPERLINK "https://eur-lex.europa.eu/legal-content/RO/AUTO/?uri=celex:32018L0410" \o "32018L0410: REPLACED"</w:instrText>
            </w:r>
            <w:r>
              <w:fldChar w:fldCharType="separate"/>
            </w:r>
            <w:r>
              <w:rPr>
                <w:rStyle w:val="apple-converted-space"/>
                <w:rFonts w:eastAsia="Arial Unicode MS"/>
                <w:color w:val="4472C4" w:themeColor="accent1"/>
                <w:sz w:val="20"/>
                <w:szCs w:val="20"/>
                <w:lang w:val="en-US"/>
              </w:rPr>
              <w:fldChar w:fldCharType="end"/>
            </w:r>
            <w:r w:rsidR="00974662">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actelor</w:t>
            </w:r>
            <w:r>
              <w:rPr>
                <w:rStyle w:val="boldface"/>
                <w:rFonts w:eastAsia="Arial Unicode MS"/>
                <w:b/>
                <w:bCs/>
                <w:color w:val="333333"/>
                <w:sz w:val="20"/>
                <w:szCs w:val="20"/>
                <w:lang w:val="en-US"/>
              </w:rPr>
              <w:t>◄</w:t>
            </w:r>
            <w:r w:rsidRPr="00974662">
              <w:rPr>
                <w:rFonts w:eastAsia="Arial Unicode MS"/>
                <w:color w:val="000000" w:themeColor="text1"/>
                <w:sz w:val="20"/>
                <w:szCs w:val="20"/>
                <w:shd w:val="clear" w:color="auto" w:fill="FFFFFF"/>
                <w:lang w:val="en-US"/>
              </w:rPr>
              <w:t>menționate</w:t>
            </w:r>
            <w:proofErr w:type="spellEnd"/>
            <w:r w:rsidRPr="00974662">
              <w:rPr>
                <w:rFonts w:eastAsia="Arial Unicode MS"/>
                <w:color w:val="000000" w:themeColor="text1"/>
                <w:sz w:val="20"/>
                <w:szCs w:val="20"/>
                <w:shd w:val="clear" w:color="auto" w:fill="FFFFFF"/>
                <w:lang w:val="en-US"/>
              </w:rPr>
              <w:t xml:space="preserve"> la </w:t>
            </w:r>
            <w:proofErr w:type="spellStart"/>
            <w:r w:rsidRPr="00974662">
              <w:rPr>
                <w:rFonts w:eastAsia="Arial Unicode MS"/>
                <w:color w:val="000000" w:themeColor="text1"/>
                <w:sz w:val="20"/>
                <w:szCs w:val="20"/>
                <w:shd w:val="clear" w:color="auto" w:fill="FFFFFF"/>
                <w:lang w:val="en-US"/>
              </w:rPr>
              <w:t>articolul</w:t>
            </w:r>
            <w:proofErr w:type="spellEnd"/>
            <w:r w:rsidRPr="00974662">
              <w:rPr>
                <w:rFonts w:eastAsia="Arial Unicode MS"/>
                <w:color w:val="000000" w:themeColor="text1"/>
                <w:sz w:val="20"/>
                <w:szCs w:val="20"/>
                <w:shd w:val="clear" w:color="auto" w:fill="FFFFFF"/>
                <w:lang w:val="en-US"/>
              </w:rPr>
              <w:t xml:space="preserve"> 14. </w:t>
            </w:r>
            <w:proofErr w:type="spellStart"/>
            <w:r w:rsidRPr="00974662">
              <w:rPr>
                <w:rFonts w:eastAsia="Arial Unicode MS"/>
                <w:color w:val="000000" w:themeColor="text1"/>
                <w:sz w:val="20"/>
                <w:szCs w:val="20"/>
                <w:shd w:val="clear" w:color="auto" w:fill="FFFFFF"/>
                <w:lang w:val="en-US"/>
              </w:rPr>
              <w:t>Statele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membre</w:t>
            </w:r>
            <w:proofErr w:type="spellEnd"/>
            <w:r w:rsidRPr="00974662">
              <w:rPr>
                <w:rFonts w:eastAsia="Arial Unicode MS"/>
                <w:color w:val="000000" w:themeColor="text1"/>
                <w:sz w:val="20"/>
                <w:szCs w:val="20"/>
                <w:shd w:val="clear" w:color="auto" w:fill="FFFFFF"/>
                <w:lang w:val="en-US"/>
              </w:rPr>
              <w:t xml:space="preserve"> pot </w:t>
            </w:r>
            <w:proofErr w:type="spellStart"/>
            <w:r w:rsidRPr="00974662">
              <w:rPr>
                <w:rFonts w:eastAsia="Arial Unicode MS"/>
                <w:color w:val="000000" w:themeColor="text1"/>
                <w:sz w:val="20"/>
                <w:szCs w:val="20"/>
                <w:shd w:val="clear" w:color="auto" w:fill="FFFFFF"/>
                <w:lang w:val="en-US"/>
              </w:rPr>
              <w:t>permite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operatorilor</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actualizeze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planurile</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monitorizare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fără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schimbe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w:t>
            </w:r>
            <w:r w:rsidRPr="00974662">
              <w:rPr>
                <w:rFonts w:eastAsia="Arial Unicode MS"/>
                <w:color w:val="000000" w:themeColor="text1"/>
                <w:sz w:val="20"/>
                <w:szCs w:val="20"/>
                <w:shd w:val="clear" w:color="auto" w:fill="FFFFFF"/>
                <w:lang w:val="en-US"/>
              </w:rPr>
              <w:lastRenderedPageBreak/>
              <w:t>torizația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Operatorii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prezintă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autorității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competente</w:t>
            </w:r>
            <w:proofErr w:type="spellEnd"/>
            <w:r w:rsidRPr="00974662">
              <w:rPr>
                <w:rFonts w:eastAsia="Arial Unicode MS"/>
                <w:color w:val="000000" w:themeColor="text1"/>
                <w:sz w:val="20"/>
                <w:szCs w:val="20"/>
                <w:shd w:val="clear" w:color="auto" w:fill="FFFFFF"/>
                <w:lang w:val="en-US"/>
              </w:rPr>
              <w:t xml:space="preserve">, în </w:t>
            </w:r>
            <w:proofErr w:type="spellStart"/>
            <w:r w:rsidRPr="00974662">
              <w:rPr>
                <w:rFonts w:eastAsia="Arial Unicode MS"/>
                <w:color w:val="000000" w:themeColor="text1"/>
                <w:sz w:val="20"/>
                <w:szCs w:val="20"/>
                <w:shd w:val="clear" w:color="auto" w:fill="FFFFFF"/>
                <w:lang w:val="en-US"/>
              </w:rPr>
              <w:t>vederea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aprobării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toate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planurile</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monitorizare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actualizate</w:t>
            </w:r>
            <w:proofErr w:type="spellEnd"/>
            <w:r w:rsidRPr="00974662">
              <w:rPr>
                <w:rFonts w:eastAsia="Arial Unicode MS"/>
                <w:color w:val="000000" w:themeColor="text1"/>
                <w:sz w:val="20"/>
                <w:szCs w:val="20"/>
                <w:shd w:val="clear" w:color="auto" w:fill="FFFFFF"/>
                <w:lang w:val="en-US"/>
              </w:rPr>
              <w:t>.</w:t>
            </w:r>
          </w:p>
          <w:p w14:paraId="740AB252" w14:textId="77777777" w:rsidR="00124364" w:rsidRDefault="00000000">
            <w:pPr>
              <w:pStyle w:val="ti-art"/>
              <w:shd w:val="clear" w:color="auto" w:fill="FFFFFF"/>
              <w:spacing w:before="0" w:beforeAutospacing="0" w:after="0" w:afterAutospacing="0"/>
              <w:ind w:left="720"/>
              <w:rPr>
                <w:color w:val="4472C4" w:themeColor="accent1"/>
                <w:sz w:val="20"/>
                <w:szCs w:val="20"/>
                <w:lang w:val="en-US"/>
              </w:rPr>
            </w:pPr>
            <w:hyperlink r:id="rId74" w:tooltip="32003L0087R(06): REPLACED" w:history="1">
              <w:r>
                <w:rPr>
                  <w:rStyle w:val="af3"/>
                  <w:rFonts w:eastAsia="Arial Unicode MS"/>
                  <w:b/>
                  <w:bCs/>
                  <w:color w:val="4472C4" w:themeColor="accent1"/>
                  <w:sz w:val="20"/>
                  <w:szCs w:val="20"/>
                  <w:lang w:val="en-US"/>
                </w:rPr>
                <w:t>▼C2</w:t>
              </w:r>
            </w:hyperlink>
          </w:p>
          <w:p w14:paraId="5967D8A4" w14:textId="77777777" w:rsidR="00124364" w:rsidRDefault="00000000">
            <w:pPr>
              <w:pStyle w:val="ti-art"/>
              <w:numPr>
                <w:ilvl w:val="0"/>
                <w:numId w:val="35"/>
              </w:numPr>
              <w:shd w:val="clear" w:color="auto" w:fill="FFFFFF"/>
              <w:spacing w:before="0" w:beforeAutospacing="0" w:after="0" w:afterAutospacing="0"/>
              <w:rPr>
                <w:color w:val="000000" w:themeColor="text1"/>
                <w:sz w:val="20"/>
                <w:szCs w:val="20"/>
                <w:lang w:val="en-US"/>
              </w:rPr>
            </w:pPr>
            <w:proofErr w:type="spellStart"/>
            <w:r>
              <w:rPr>
                <w:rFonts w:eastAsia="Arial Unicode MS"/>
                <w:color w:val="000000" w:themeColor="text1"/>
                <w:sz w:val="20"/>
                <w:szCs w:val="20"/>
                <w:shd w:val="clear" w:color="auto" w:fill="FFFFFF"/>
                <w:lang w:val="en-US"/>
              </w:rPr>
              <w:t>cerințele</w:t>
            </w:r>
            <w:proofErr w:type="spellEnd"/>
            <w:r>
              <w:rPr>
                <w:rFonts w:eastAsia="Arial Unicode MS"/>
                <w:color w:val="000000" w:themeColor="text1"/>
                <w:sz w:val="20"/>
                <w:szCs w:val="20"/>
                <w:shd w:val="clear" w:color="auto" w:fill="FFFFFF"/>
                <w:lang w:val="en-US"/>
              </w:rPr>
              <w:t xml:space="preserve"> de </w:t>
            </w:r>
            <w:proofErr w:type="spellStart"/>
            <w:r>
              <w:rPr>
                <w:rFonts w:eastAsia="Arial Unicode MS"/>
                <w:color w:val="000000" w:themeColor="text1"/>
                <w:sz w:val="20"/>
                <w:szCs w:val="20"/>
                <w:shd w:val="clear" w:color="auto" w:fill="FFFFFF"/>
                <w:lang w:val="en-US"/>
              </w:rPr>
              <w:t>raportare</w:t>
            </w:r>
            <w:proofErr w:type="spellEnd"/>
            <w:r>
              <w:rPr>
                <w:rFonts w:eastAsia="Arial Unicode MS"/>
                <w:color w:val="000000" w:themeColor="text1"/>
                <w:sz w:val="20"/>
                <w:szCs w:val="20"/>
                <w:shd w:val="clear" w:color="auto" w:fill="FFFFFF"/>
                <w:lang w:val="en-US"/>
              </w:rPr>
              <w:t>; și</w:t>
            </w:r>
          </w:p>
          <w:p w14:paraId="7FEEF825" w14:textId="77777777" w:rsidR="00124364" w:rsidRDefault="00000000">
            <w:pPr>
              <w:pStyle w:val="ti-art"/>
              <w:shd w:val="clear" w:color="auto" w:fill="FFFFFF"/>
              <w:spacing w:before="0" w:beforeAutospacing="0" w:after="0" w:afterAutospacing="0"/>
              <w:ind w:left="720"/>
              <w:rPr>
                <w:color w:val="4472C4" w:themeColor="accent1"/>
                <w:sz w:val="20"/>
                <w:szCs w:val="20"/>
                <w:lang w:val="en-US"/>
              </w:rPr>
            </w:pPr>
            <w:hyperlink r:id="rId75" w:tooltip="32023L0959: REPLACED" w:history="1">
              <w:r>
                <w:rPr>
                  <w:rStyle w:val="af3"/>
                  <w:rFonts w:eastAsia="Arial Unicode MS"/>
                  <w:b/>
                  <w:bCs/>
                  <w:color w:val="4472C4" w:themeColor="accent1"/>
                  <w:sz w:val="20"/>
                  <w:szCs w:val="20"/>
                </w:rPr>
                <w:t>▼M15</w:t>
              </w:r>
            </w:hyperlink>
          </w:p>
          <w:p w14:paraId="0DB2AB37" w14:textId="2EDF9465" w:rsidR="00124364" w:rsidRDefault="00000000" w:rsidP="00974662">
            <w:pPr>
              <w:pStyle w:val="ti-art"/>
              <w:numPr>
                <w:ilvl w:val="0"/>
                <w:numId w:val="35"/>
              </w:numPr>
              <w:shd w:val="clear" w:color="auto" w:fill="FFFFFF"/>
              <w:spacing w:before="0" w:beforeAutospacing="0" w:after="0" w:afterAutospacing="0"/>
              <w:jc w:val="both"/>
              <w:rPr>
                <w:color w:val="4472C4" w:themeColor="accent1"/>
                <w:sz w:val="20"/>
                <w:szCs w:val="20"/>
                <w:lang w:val="en-US"/>
              </w:rPr>
            </w:pPr>
            <w:proofErr w:type="spellStart"/>
            <w:r>
              <w:rPr>
                <w:rFonts w:eastAsia="Arial Unicode MS"/>
                <w:color w:val="333333"/>
                <w:sz w:val="20"/>
                <w:szCs w:val="20"/>
                <w:shd w:val="clear" w:color="auto" w:fill="FFFFFF"/>
                <w:lang w:val="en-US"/>
              </w:rPr>
              <w:t>obligația</w:t>
            </w:r>
            <w:proofErr w:type="spellEnd"/>
            <w:r>
              <w:rPr>
                <w:rFonts w:eastAsia="Arial Unicode MS"/>
                <w:color w:val="333333"/>
                <w:sz w:val="20"/>
                <w:szCs w:val="20"/>
                <w:shd w:val="clear" w:color="auto" w:fill="FFFFFF"/>
                <w:lang w:val="en-US"/>
              </w:rPr>
              <w:t xml:space="preserve"> de a </w:t>
            </w:r>
            <w:proofErr w:type="spellStart"/>
            <w:r>
              <w:rPr>
                <w:rFonts w:eastAsia="Arial Unicode MS"/>
                <w:color w:val="333333"/>
                <w:sz w:val="20"/>
                <w:szCs w:val="20"/>
                <w:shd w:val="clear" w:color="auto" w:fill="FFFFFF"/>
                <w:lang w:val="en-US"/>
              </w:rPr>
              <w:t>restitui</w:t>
            </w:r>
            <w:proofErr w:type="spellEnd"/>
            <w:r>
              <w:rPr>
                <w:rFonts w:eastAsia="Arial Unicode MS"/>
                <w:color w:val="333333"/>
                <w:sz w:val="20"/>
                <w:szCs w:val="20"/>
                <w:shd w:val="clear" w:color="auto" w:fill="FFFFFF"/>
                <w:lang w:val="en-US"/>
              </w:rPr>
              <w:t xml:space="preserve"> certificate care </w:t>
            </w:r>
            <w:proofErr w:type="spellStart"/>
            <w:r>
              <w:rPr>
                <w:rFonts w:eastAsia="Arial Unicode MS"/>
                <w:color w:val="333333"/>
                <w:sz w:val="20"/>
                <w:szCs w:val="20"/>
                <w:shd w:val="clear" w:color="auto" w:fill="FFFFFF"/>
                <w:lang w:val="en-US"/>
              </w:rPr>
              <w:t>corespund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instalației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calendaristic</w:t>
            </w:r>
            <w:proofErr w:type="spellEnd"/>
            <w:r>
              <w:rPr>
                <w:rFonts w:eastAsia="Arial Unicode MS"/>
                <w:color w:val="333333"/>
                <w:sz w:val="20"/>
                <w:szCs w:val="20"/>
                <w:shd w:val="clear" w:color="auto" w:fill="FFFFFF"/>
                <w:lang w:val="en-US"/>
              </w:rPr>
              <w:t xml:space="preserve">, conform </w:t>
            </w:r>
            <w:proofErr w:type="spellStart"/>
            <w:r>
              <w:rPr>
                <w:rFonts w:eastAsia="Arial Unicode MS"/>
                <w:color w:val="333333"/>
                <w:sz w:val="20"/>
                <w:szCs w:val="20"/>
                <w:shd w:val="clear" w:color="auto" w:fill="FFFFFF"/>
                <w:lang w:val="en-US"/>
              </w:rPr>
              <w:t>verificărilor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efectuate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sidR="00974662">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15</w:t>
            </w:r>
            <w:r w:rsidR="00974662">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termenul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974662">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12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w:t>
            </w:r>
          </w:p>
          <w:p w14:paraId="1A5F158E" w14:textId="77777777" w:rsidR="00124364" w:rsidRDefault="00000000">
            <w:pPr>
              <w:pStyle w:val="ti-art"/>
              <w:shd w:val="clear" w:color="auto" w:fill="FFFFFF"/>
              <w:spacing w:before="0" w:beforeAutospacing="0" w:after="0" w:afterAutospacing="0"/>
              <w:rPr>
                <w:color w:val="4472C4" w:themeColor="accent1"/>
                <w:sz w:val="20"/>
                <w:szCs w:val="20"/>
                <w:lang w:val="en-US"/>
              </w:rPr>
            </w:pPr>
            <w:hyperlink r:id="rId76"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0C4B66CD" w14:textId="77777777" w:rsidR="00974662" w:rsidRPr="00974662" w:rsidRDefault="00974662" w:rsidP="00974662">
            <w:pPr>
              <w:suppressAutoHyphens w:val="0"/>
              <w:autoSpaceDN/>
              <w:spacing w:after="0" w:line="240" w:lineRule="auto"/>
              <w:jc w:val="both"/>
              <w:textAlignment w:val="auto"/>
              <w:rPr>
                <w:rFonts w:ascii="Times New Roman" w:hAnsi="Times New Roman"/>
                <w:sz w:val="20"/>
                <w:szCs w:val="20"/>
                <w:lang w:val="ro-MD"/>
              </w:rPr>
            </w:pPr>
            <w:r w:rsidRPr="00974662">
              <w:rPr>
                <w:rFonts w:ascii="Times New Roman" w:hAnsi="Times New Roman"/>
                <w:b/>
                <w:bCs/>
                <w:sz w:val="20"/>
                <w:szCs w:val="20"/>
                <w:lang w:val="ro-MD"/>
              </w:rPr>
              <w:lastRenderedPageBreak/>
              <w:t xml:space="preserve">Articolul </w:t>
            </w:r>
            <w:r>
              <w:rPr>
                <w:rFonts w:ascii="Times New Roman" w:hAnsi="Times New Roman"/>
                <w:b/>
                <w:bCs/>
                <w:sz w:val="20"/>
                <w:szCs w:val="20"/>
                <w:lang w:val="ro-MD"/>
              </w:rPr>
              <w:t>52</w:t>
            </w:r>
            <w:r w:rsidRPr="00974662">
              <w:rPr>
                <w:rFonts w:ascii="Times New Roman" w:hAnsi="Times New Roman"/>
                <w:b/>
                <w:bCs/>
                <w:sz w:val="20"/>
                <w:szCs w:val="20"/>
                <w:lang w:val="ro-MD"/>
              </w:rPr>
              <w:t>.</w:t>
            </w:r>
            <w:r>
              <w:rPr>
                <w:rFonts w:ascii="Times New Roman" w:hAnsi="Times New Roman"/>
                <w:b/>
                <w:bCs/>
                <w:sz w:val="20"/>
                <w:szCs w:val="20"/>
                <w:lang w:val="ro-MD"/>
              </w:rPr>
              <w:t xml:space="preserve"> </w:t>
            </w:r>
            <w:r w:rsidRPr="00974662">
              <w:rPr>
                <w:rFonts w:ascii="Times New Roman" w:hAnsi="Times New Roman"/>
                <w:sz w:val="20"/>
                <w:szCs w:val="20"/>
                <w:lang w:val="ro-MD"/>
              </w:rPr>
              <w:t>Monitorizarea, raportarea și verificarea emisiilor de GES de la instalațiile staționare</w:t>
            </w:r>
          </w:p>
          <w:p w14:paraId="43B36C29" w14:textId="77777777" w:rsidR="00974662" w:rsidRPr="00974662" w:rsidRDefault="00974662" w:rsidP="00974662">
            <w:pPr>
              <w:pStyle w:val="af8"/>
              <w:numPr>
                <w:ilvl w:val="0"/>
                <w:numId w:val="245"/>
              </w:numPr>
              <w:suppressAutoHyphens w:val="0"/>
              <w:autoSpaceDN/>
              <w:spacing w:after="0" w:line="240" w:lineRule="auto"/>
              <w:ind w:left="284" w:firstLine="0"/>
              <w:jc w:val="both"/>
              <w:textAlignment w:val="auto"/>
              <w:rPr>
                <w:rFonts w:ascii="Times New Roman" w:hAnsi="Times New Roman"/>
                <w:sz w:val="20"/>
                <w:szCs w:val="20"/>
                <w:lang w:val="ro-MD"/>
              </w:rPr>
            </w:pPr>
            <w:r w:rsidRPr="00974662">
              <w:rPr>
                <w:rFonts w:ascii="Times New Roman" w:hAnsi="Times New Roman"/>
                <w:sz w:val="20"/>
                <w:szCs w:val="20"/>
                <w:lang w:val="ro-MD"/>
              </w:rPr>
              <w:t xml:space="preserve">Operatorul instalației staționare, </w:t>
            </w:r>
            <w:r w:rsidRPr="00974662">
              <w:rPr>
                <w:rFonts w:ascii="Times New Roman" w:hAnsi="Times New Roman"/>
                <w:sz w:val="20"/>
                <w:szCs w:val="20"/>
                <w:shd w:val="clear" w:color="auto" w:fill="FFFFFF"/>
                <w:lang w:val="ro-MD"/>
              </w:rPr>
              <w:t xml:space="preserve">în care se desfășoară un anumit tip de activitate prevăzută în Anexa nr.1 la prezenta lege și </w:t>
            </w:r>
            <w:r w:rsidRPr="00974662">
              <w:rPr>
                <w:rFonts w:ascii="Times New Roman" w:hAnsi="Times New Roman"/>
                <w:sz w:val="20"/>
                <w:szCs w:val="20"/>
                <w:lang w:val="ro-MD"/>
              </w:rPr>
              <w:t xml:space="preserve">deține </w:t>
            </w:r>
            <w:r w:rsidRPr="00974662">
              <w:rPr>
                <w:rFonts w:ascii="Times New Roman" w:hAnsi="Times New Roman"/>
                <w:color w:val="000000"/>
                <w:sz w:val="20"/>
                <w:szCs w:val="20"/>
                <w:shd w:val="clear" w:color="auto" w:fill="FFFFFF"/>
                <w:lang w:val="ro-MD"/>
              </w:rPr>
              <w:t>autorizația integrată de mediu pentru desfășurarea</w:t>
            </w:r>
            <w:r w:rsidRPr="00974662">
              <w:rPr>
                <w:rFonts w:ascii="Times New Roman" w:hAnsi="Times New Roman"/>
                <w:bCs/>
                <w:sz w:val="20"/>
                <w:szCs w:val="20"/>
                <w:lang w:val="ro-MD"/>
              </w:rPr>
              <w:t xml:space="preserve">  activității, </w:t>
            </w:r>
            <w:r w:rsidRPr="00974662">
              <w:rPr>
                <w:rFonts w:ascii="Times New Roman" w:hAnsi="Times New Roman"/>
                <w:sz w:val="20"/>
                <w:szCs w:val="20"/>
                <w:lang w:val="ro-MD"/>
              </w:rPr>
              <w:t xml:space="preserve">asigură monitorizarea și raportarea emisiilor de GES </w:t>
            </w:r>
            <w:r w:rsidRPr="00974662">
              <w:rPr>
                <w:rFonts w:ascii="Times New Roman" w:hAnsi="Times New Roman"/>
                <w:sz w:val="20"/>
                <w:szCs w:val="20"/>
                <w:shd w:val="clear" w:color="auto" w:fill="FFFFFF"/>
                <w:lang w:val="ro-MD"/>
              </w:rPr>
              <w:t xml:space="preserve">pe baza PM, care este partea integrantă a </w:t>
            </w:r>
            <w:r w:rsidRPr="00974662">
              <w:rPr>
                <w:rFonts w:ascii="Times New Roman" w:hAnsi="Times New Roman"/>
                <w:color w:val="000000"/>
                <w:sz w:val="20"/>
                <w:szCs w:val="20"/>
                <w:shd w:val="clear" w:color="auto" w:fill="FFFFFF"/>
                <w:lang w:val="ro-MD"/>
              </w:rPr>
              <w:t>autorizației integrate de mediu emisă de către Agenția de Mediu.</w:t>
            </w:r>
          </w:p>
          <w:p w14:paraId="4CCAA162" w14:textId="77777777" w:rsidR="00124364" w:rsidRPr="00974662" w:rsidRDefault="00124364" w:rsidP="00974662">
            <w:pPr>
              <w:spacing w:after="120"/>
              <w:jc w:val="both"/>
              <w:rPr>
                <w:rFonts w:ascii="Times New Roman" w:hAnsi="Times New Roman" w:hint="eastAsia"/>
                <w:sz w:val="20"/>
                <w:szCs w:val="20"/>
                <w:lang w:val="ro-MD" w:eastAsia="zh-CN"/>
              </w:rPr>
            </w:pPr>
          </w:p>
        </w:tc>
        <w:tc>
          <w:tcPr>
            <w:tcW w:w="1276" w:type="dxa"/>
            <w:shd w:val="clear" w:color="auto" w:fill="auto"/>
          </w:tcPr>
          <w:p w14:paraId="604BDF1C" w14:textId="77777777" w:rsidR="00974662" w:rsidRDefault="00974662" w:rsidP="00974662">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compatibil</w:t>
            </w:r>
          </w:p>
          <w:p w14:paraId="149DFA4E" w14:textId="388F41A1" w:rsidR="00124364" w:rsidRDefault="00124364">
            <w:pPr>
              <w:pStyle w:val="ColorfulList-Accent11"/>
              <w:spacing w:after="0" w:line="240" w:lineRule="auto"/>
              <w:ind w:left="0"/>
              <w:jc w:val="center"/>
              <w:rPr>
                <w:rFonts w:ascii="Times New Roman" w:hAnsi="Times New Roman"/>
                <w:bCs/>
                <w:sz w:val="20"/>
                <w:szCs w:val="20"/>
                <w:lang w:val="ro-RO"/>
              </w:rPr>
            </w:pPr>
          </w:p>
          <w:p w14:paraId="0B9843AD"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B69064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723E2F6" w14:textId="67D9EA09" w:rsidR="00124364" w:rsidRDefault="00974662">
            <w:pPr>
              <w:autoSpaceDE w:val="0"/>
              <w:spacing w:after="0" w:line="240" w:lineRule="auto"/>
              <w:rPr>
                <w:rFonts w:ascii="Times New Roman" w:eastAsia="Times New Roman" w:hAnsi="Times New Roman"/>
                <w:sz w:val="20"/>
                <w:szCs w:val="20"/>
                <w:lang w:val="ro-RO"/>
              </w:rPr>
            </w:pPr>
            <w:r w:rsidRPr="00FB6C41">
              <w:rPr>
                <w:rFonts w:ascii="Times New Roman" w:hAnsi="Times New Roman"/>
                <w:color w:val="000000" w:themeColor="text1"/>
                <w:sz w:val="20"/>
                <w:szCs w:val="20"/>
                <w:lang w:val="ro-MD"/>
              </w:rPr>
              <w:t>Prevederile referitoare la autorizare sunt reglementate la art.12 și art.13 din Legea nr.227/2022 privind emisiile industriale</w:t>
            </w:r>
          </w:p>
        </w:tc>
        <w:tc>
          <w:tcPr>
            <w:tcW w:w="1464" w:type="dxa"/>
            <w:shd w:val="clear" w:color="auto" w:fill="auto"/>
          </w:tcPr>
          <w:p w14:paraId="76C6BE2C"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CE4E26E" w14:textId="77777777" w:rsidR="00124364" w:rsidRDefault="00124364">
            <w:pPr>
              <w:autoSpaceDE w:val="0"/>
              <w:spacing w:after="0" w:line="240" w:lineRule="auto"/>
              <w:rPr>
                <w:rFonts w:ascii="Times New Roman" w:hAnsi="Times New Roman"/>
                <w:sz w:val="20"/>
                <w:szCs w:val="20"/>
                <w:lang w:val="fr-FR"/>
              </w:rPr>
            </w:pPr>
          </w:p>
          <w:p w14:paraId="417A90C6" w14:textId="63CF653C" w:rsidR="00974662" w:rsidRDefault="00974662">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62071012" w14:textId="77777777">
        <w:trPr>
          <w:trHeight w:val="558"/>
        </w:trPr>
        <w:tc>
          <w:tcPr>
            <w:tcW w:w="4957" w:type="dxa"/>
            <w:shd w:val="clear" w:color="auto" w:fill="auto"/>
          </w:tcPr>
          <w:p w14:paraId="20782623" w14:textId="3125B3DA" w:rsidR="00124364" w:rsidRPr="00974662"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74662">
              <w:rPr>
                <w:rFonts w:eastAsia="Arial Unicode MS"/>
                <w:i/>
                <w:iCs/>
                <w:color w:val="000000" w:themeColor="text1"/>
                <w:sz w:val="20"/>
                <w:szCs w:val="20"/>
                <w:shd w:val="clear" w:color="auto" w:fill="FFFFFF"/>
                <w:lang w:val="en-US"/>
              </w:rPr>
              <w:t>Articolul</w:t>
            </w:r>
            <w:proofErr w:type="spellEnd"/>
            <w:r w:rsidR="00974662">
              <w:rPr>
                <w:rFonts w:eastAsia="Arial Unicode MS"/>
                <w:i/>
                <w:iCs/>
                <w:color w:val="000000" w:themeColor="text1"/>
                <w:sz w:val="20"/>
                <w:szCs w:val="20"/>
                <w:shd w:val="clear" w:color="auto" w:fill="FFFFFF"/>
                <w:lang w:val="en-US"/>
              </w:rPr>
              <w:t xml:space="preserve"> </w:t>
            </w:r>
            <w:r w:rsidRPr="00974662">
              <w:rPr>
                <w:rFonts w:eastAsia="Arial Unicode MS"/>
                <w:i/>
                <w:iCs/>
                <w:color w:val="000000" w:themeColor="text1"/>
                <w:sz w:val="20"/>
                <w:szCs w:val="20"/>
                <w:shd w:val="clear" w:color="auto" w:fill="FFFFFF"/>
                <w:lang w:val="en-US"/>
              </w:rPr>
              <w:t>7</w:t>
            </w:r>
          </w:p>
          <w:p w14:paraId="3C5BBE3E" w14:textId="77777777" w:rsidR="00124364" w:rsidRPr="00974662"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74662">
              <w:rPr>
                <w:rFonts w:eastAsia="Arial Unicode MS"/>
                <w:b/>
                <w:bCs/>
                <w:color w:val="000000" w:themeColor="text1"/>
                <w:sz w:val="20"/>
                <w:szCs w:val="20"/>
                <w:shd w:val="clear" w:color="auto" w:fill="FFFFFF"/>
                <w:lang w:val="en-US"/>
              </w:rPr>
              <w:t>Modificări</w:t>
            </w:r>
            <w:proofErr w:type="spellEnd"/>
            <w:r w:rsidRPr="00974662">
              <w:rPr>
                <w:rFonts w:eastAsia="Arial Unicode MS"/>
                <w:b/>
                <w:bCs/>
                <w:color w:val="000000" w:themeColor="text1"/>
                <w:sz w:val="20"/>
                <w:szCs w:val="20"/>
                <w:shd w:val="clear" w:color="auto" w:fill="FFFFFF"/>
                <w:lang w:val="en-US"/>
              </w:rPr>
              <w:t xml:space="preserve"> </w:t>
            </w:r>
            <w:proofErr w:type="spellStart"/>
            <w:r w:rsidRPr="00974662">
              <w:rPr>
                <w:rFonts w:eastAsia="Arial Unicode MS"/>
                <w:b/>
                <w:bCs/>
                <w:color w:val="000000" w:themeColor="text1"/>
                <w:sz w:val="20"/>
                <w:szCs w:val="20"/>
                <w:shd w:val="clear" w:color="auto" w:fill="FFFFFF"/>
                <w:lang w:val="en-US"/>
              </w:rPr>
              <w:t>privind</w:t>
            </w:r>
            <w:proofErr w:type="spellEnd"/>
            <w:r w:rsidRPr="00974662">
              <w:rPr>
                <w:rFonts w:eastAsia="Arial Unicode MS"/>
                <w:b/>
                <w:bCs/>
                <w:color w:val="000000" w:themeColor="text1"/>
                <w:sz w:val="20"/>
                <w:szCs w:val="20"/>
                <w:shd w:val="clear" w:color="auto" w:fill="FFFFFF"/>
                <w:lang w:val="en-US"/>
              </w:rPr>
              <w:t xml:space="preserve"> </w:t>
            </w:r>
            <w:proofErr w:type="spellStart"/>
            <w:r w:rsidRPr="00974662">
              <w:rPr>
                <w:rFonts w:eastAsia="Arial Unicode MS"/>
                <w:b/>
                <w:bCs/>
                <w:color w:val="000000" w:themeColor="text1"/>
                <w:sz w:val="20"/>
                <w:szCs w:val="20"/>
                <w:shd w:val="clear" w:color="auto" w:fill="FFFFFF"/>
                <w:lang w:val="en-US"/>
              </w:rPr>
              <w:t>instalațiile</w:t>
            </w:r>
            <w:proofErr w:type="spellEnd"/>
          </w:p>
          <w:p w14:paraId="269E2CD6" w14:textId="77777777" w:rsidR="00124364" w:rsidRPr="00974662" w:rsidRDefault="00000000" w:rsidP="0097466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74662">
              <w:rPr>
                <w:rFonts w:eastAsia="Arial Unicode MS"/>
                <w:color w:val="000000" w:themeColor="text1"/>
                <w:sz w:val="20"/>
                <w:szCs w:val="20"/>
                <w:shd w:val="clear" w:color="auto" w:fill="FFFFFF"/>
                <w:lang w:val="en-US"/>
              </w:rPr>
              <w:t>Operatorul</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informează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autoritatea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competentă</w:t>
            </w:r>
            <w:proofErr w:type="spellEnd"/>
            <w:r w:rsidRPr="00974662">
              <w:rPr>
                <w:rFonts w:eastAsia="Arial Unicode MS"/>
                <w:color w:val="000000" w:themeColor="text1"/>
                <w:sz w:val="20"/>
                <w:szCs w:val="20"/>
                <w:shd w:val="clear" w:color="auto" w:fill="FFFFFF"/>
                <w:lang w:val="en-US"/>
              </w:rPr>
              <w:t xml:space="preserve"> cu </w:t>
            </w:r>
            <w:proofErr w:type="spellStart"/>
            <w:r w:rsidRPr="00974662">
              <w:rPr>
                <w:rFonts w:eastAsia="Arial Unicode MS"/>
                <w:color w:val="000000" w:themeColor="text1"/>
                <w:sz w:val="20"/>
                <w:szCs w:val="20"/>
                <w:shd w:val="clear" w:color="auto" w:fill="FFFFFF"/>
                <w:lang w:val="en-US"/>
              </w:rPr>
              <w:t>privire</w:t>
            </w:r>
            <w:proofErr w:type="spellEnd"/>
            <w:r w:rsidRPr="00974662">
              <w:rPr>
                <w:rFonts w:eastAsia="Arial Unicode MS"/>
                <w:color w:val="000000" w:themeColor="text1"/>
                <w:sz w:val="20"/>
                <w:szCs w:val="20"/>
                <w:shd w:val="clear" w:color="auto" w:fill="FFFFFF"/>
                <w:lang w:val="en-US"/>
              </w:rPr>
              <w:t xml:space="preserve"> la </w:t>
            </w:r>
            <w:proofErr w:type="spellStart"/>
            <w:r w:rsidRPr="00974662">
              <w:rPr>
                <w:rFonts w:eastAsia="Arial Unicode MS"/>
                <w:color w:val="000000" w:themeColor="text1"/>
                <w:sz w:val="20"/>
                <w:szCs w:val="20"/>
                <w:shd w:val="clear" w:color="auto" w:fill="FFFFFF"/>
                <w:lang w:val="en-US"/>
              </w:rPr>
              <w:t>orice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modificări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planificate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privind</w:t>
            </w:r>
            <w:proofErr w:type="spellEnd"/>
            <w:r w:rsidRPr="00974662">
              <w:rPr>
                <w:rFonts w:eastAsia="Arial Unicode MS"/>
                <w:color w:val="000000" w:themeColor="text1"/>
                <w:sz w:val="20"/>
                <w:szCs w:val="20"/>
                <w:shd w:val="clear" w:color="auto" w:fill="FFFFFF"/>
                <w:lang w:val="en-US"/>
              </w:rPr>
              <w:t xml:space="preserve"> natura, </w:t>
            </w:r>
            <w:proofErr w:type="spellStart"/>
            <w:r w:rsidRPr="00974662">
              <w:rPr>
                <w:rFonts w:eastAsia="Arial Unicode MS"/>
                <w:color w:val="000000" w:themeColor="text1"/>
                <w:sz w:val="20"/>
                <w:szCs w:val="20"/>
                <w:shd w:val="clear" w:color="auto" w:fill="FFFFFF"/>
                <w:lang w:val="en-US"/>
              </w:rPr>
              <w:t>funcționarea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extinderea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sau</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reducerea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semnificativă</w:t>
            </w:r>
            <w:proofErr w:type="spellEnd"/>
            <w:r w:rsidRPr="00974662">
              <w:rPr>
                <w:rFonts w:eastAsia="Arial Unicode MS"/>
                <w:color w:val="000000" w:themeColor="text1"/>
                <w:sz w:val="20"/>
                <w:szCs w:val="20"/>
                <w:shd w:val="clear" w:color="auto" w:fill="FFFFFF"/>
                <w:lang w:val="en-US"/>
              </w:rPr>
              <w:t xml:space="preserve"> a </w:t>
            </w:r>
            <w:proofErr w:type="spellStart"/>
            <w:r w:rsidRPr="00974662">
              <w:rPr>
                <w:rFonts w:eastAsia="Arial Unicode MS"/>
                <w:color w:val="000000" w:themeColor="text1"/>
                <w:sz w:val="20"/>
                <w:szCs w:val="20"/>
                <w:shd w:val="clear" w:color="auto" w:fill="FFFFFF"/>
                <w:lang w:val="en-US"/>
              </w:rPr>
              <w:t>capacității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instalației</w:t>
            </w:r>
            <w:proofErr w:type="spellEnd"/>
            <w:r w:rsidRPr="00974662">
              <w:rPr>
                <w:rFonts w:eastAsia="Arial Unicode MS"/>
                <w:color w:val="000000" w:themeColor="text1"/>
                <w:sz w:val="20"/>
                <w:szCs w:val="20"/>
                <w:shd w:val="clear" w:color="auto" w:fill="FFFFFF"/>
                <w:lang w:val="en-US"/>
              </w:rPr>
              <w:t xml:space="preserve"> care </w:t>
            </w:r>
            <w:proofErr w:type="spellStart"/>
            <w:r w:rsidRPr="00974662">
              <w:rPr>
                <w:rFonts w:eastAsia="Arial Unicode MS"/>
                <w:color w:val="000000" w:themeColor="text1"/>
                <w:sz w:val="20"/>
                <w:szCs w:val="20"/>
                <w:shd w:val="clear" w:color="auto" w:fill="FFFFFF"/>
                <w:lang w:val="en-US"/>
              </w:rPr>
              <w:t>ar</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putea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impune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revizuirea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autorizației</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emisii</w:t>
            </w:r>
            <w:proofErr w:type="spellEnd"/>
            <w:r w:rsidRPr="00974662">
              <w:rPr>
                <w:rFonts w:eastAsia="Arial Unicode MS"/>
                <w:color w:val="000000" w:themeColor="text1"/>
                <w:sz w:val="20"/>
                <w:szCs w:val="20"/>
                <w:shd w:val="clear" w:color="auto" w:fill="FFFFFF"/>
                <w:lang w:val="en-US"/>
              </w:rPr>
              <w:t xml:space="preserve"> de gaze cu </w:t>
            </w:r>
            <w:proofErr w:type="spellStart"/>
            <w:r w:rsidRPr="00974662">
              <w:rPr>
                <w:rFonts w:eastAsia="Arial Unicode MS"/>
                <w:color w:val="000000" w:themeColor="text1"/>
                <w:sz w:val="20"/>
                <w:szCs w:val="20"/>
                <w:shd w:val="clear" w:color="auto" w:fill="FFFFFF"/>
                <w:lang w:val="en-US"/>
              </w:rPr>
              <w:t>efect</w:t>
            </w:r>
            <w:proofErr w:type="spellEnd"/>
            <w:r w:rsidRPr="00974662">
              <w:rPr>
                <w:rFonts w:eastAsia="Arial Unicode MS"/>
                <w:color w:val="000000" w:themeColor="text1"/>
                <w:sz w:val="20"/>
                <w:szCs w:val="20"/>
                <w:shd w:val="clear" w:color="auto" w:fill="FFFFFF"/>
                <w:lang w:val="en-US"/>
              </w:rPr>
              <w:t xml:space="preserve"> de </w:t>
            </w:r>
            <w:proofErr w:type="spellStart"/>
            <w:r w:rsidRPr="00974662">
              <w:rPr>
                <w:rFonts w:eastAsia="Arial Unicode MS"/>
                <w:color w:val="000000" w:themeColor="text1"/>
                <w:sz w:val="20"/>
                <w:szCs w:val="20"/>
                <w:shd w:val="clear" w:color="auto" w:fill="FFFFFF"/>
                <w:lang w:val="en-US"/>
              </w:rPr>
              <w:t>seră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După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caz</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autoritatea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revizuiește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autorizația</w:t>
            </w:r>
            <w:proofErr w:type="spellEnd"/>
            <w:r w:rsidRPr="00974662">
              <w:rPr>
                <w:rFonts w:eastAsia="Arial Unicode MS"/>
                <w:color w:val="000000" w:themeColor="text1"/>
                <w:sz w:val="20"/>
                <w:szCs w:val="20"/>
                <w:shd w:val="clear" w:color="auto" w:fill="FFFFFF"/>
                <w:lang w:val="en-US"/>
              </w:rPr>
              <w:t xml:space="preserve">. În </w:t>
            </w:r>
            <w:proofErr w:type="spellStart"/>
            <w:r w:rsidRPr="00974662">
              <w:rPr>
                <w:rFonts w:eastAsia="Arial Unicode MS"/>
                <w:color w:val="000000" w:themeColor="text1"/>
                <w:sz w:val="20"/>
                <w:szCs w:val="20"/>
                <w:shd w:val="clear" w:color="auto" w:fill="FFFFFF"/>
                <w:lang w:val="en-US"/>
              </w:rPr>
              <w:t>cazul</w:t>
            </w:r>
            <w:proofErr w:type="spellEnd"/>
            <w:r w:rsidRPr="00974662">
              <w:rPr>
                <w:rFonts w:eastAsia="Arial Unicode MS"/>
                <w:color w:val="000000" w:themeColor="text1"/>
                <w:sz w:val="20"/>
                <w:szCs w:val="20"/>
                <w:shd w:val="clear" w:color="auto" w:fill="FFFFFF"/>
                <w:lang w:val="en-US"/>
              </w:rPr>
              <w:t xml:space="preserve"> în care </w:t>
            </w:r>
            <w:proofErr w:type="spellStart"/>
            <w:r w:rsidRPr="00974662">
              <w:rPr>
                <w:rFonts w:eastAsia="Arial Unicode MS"/>
                <w:color w:val="000000" w:themeColor="text1"/>
                <w:sz w:val="20"/>
                <w:szCs w:val="20"/>
                <w:shd w:val="clear" w:color="auto" w:fill="FFFFFF"/>
                <w:lang w:val="en-US"/>
              </w:rPr>
              <w:t>survine</w:t>
            </w:r>
            <w:proofErr w:type="spellEnd"/>
            <w:r w:rsidRPr="00974662">
              <w:rPr>
                <w:rFonts w:eastAsia="Arial Unicode MS"/>
                <w:color w:val="000000" w:themeColor="text1"/>
                <w:sz w:val="20"/>
                <w:szCs w:val="20"/>
                <w:shd w:val="clear" w:color="auto" w:fill="FFFFFF"/>
                <w:lang w:val="en-US"/>
              </w:rPr>
              <w:t xml:space="preserve"> o </w:t>
            </w:r>
            <w:proofErr w:type="spellStart"/>
            <w:r w:rsidRPr="00974662">
              <w:rPr>
                <w:rFonts w:eastAsia="Arial Unicode MS"/>
                <w:color w:val="000000" w:themeColor="text1"/>
                <w:sz w:val="20"/>
                <w:szCs w:val="20"/>
                <w:shd w:val="clear" w:color="auto" w:fill="FFFFFF"/>
                <w:lang w:val="en-US"/>
              </w:rPr>
              <w:t>modificare</w:t>
            </w:r>
            <w:proofErr w:type="spellEnd"/>
            <w:r w:rsidRPr="00974662">
              <w:rPr>
                <w:rFonts w:eastAsia="Arial Unicode MS"/>
                <w:color w:val="000000" w:themeColor="text1"/>
                <w:sz w:val="20"/>
                <w:szCs w:val="20"/>
                <w:shd w:val="clear" w:color="auto" w:fill="FFFFFF"/>
                <w:lang w:val="en-US"/>
              </w:rPr>
              <w:t xml:space="preserve"> </w:t>
            </w:r>
            <w:proofErr w:type="gramStart"/>
            <w:r w:rsidRPr="00974662">
              <w:rPr>
                <w:rFonts w:eastAsia="Arial Unicode MS"/>
                <w:color w:val="000000" w:themeColor="text1"/>
                <w:sz w:val="20"/>
                <w:szCs w:val="20"/>
                <w:shd w:val="clear" w:color="auto" w:fill="FFFFFF"/>
                <w:lang w:val="en-US"/>
              </w:rPr>
              <w:t>a</w:t>
            </w:r>
            <w:proofErr w:type="gram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identității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operatorului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instalației</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autoritatea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competentă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revizuiește</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autorizația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astfel</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încât</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acesta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să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includă</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numele</w:t>
            </w:r>
            <w:proofErr w:type="spellEnd"/>
            <w:r w:rsidRPr="00974662">
              <w:rPr>
                <w:rFonts w:eastAsia="Arial Unicode MS"/>
                <w:color w:val="000000" w:themeColor="text1"/>
                <w:sz w:val="20"/>
                <w:szCs w:val="20"/>
                <w:shd w:val="clear" w:color="auto" w:fill="FFFFFF"/>
                <w:lang w:val="en-US"/>
              </w:rPr>
              <w:t xml:space="preserve"> și </w:t>
            </w:r>
            <w:proofErr w:type="spellStart"/>
            <w:r w:rsidRPr="00974662">
              <w:rPr>
                <w:rFonts w:eastAsia="Arial Unicode MS"/>
                <w:color w:val="000000" w:themeColor="text1"/>
                <w:sz w:val="20"/>
                <w:szCs w:val="20"/>
                <w:shd w:val="clear" w:color="auto" w:fill="FFFFFF"/>
                <w:lang w:val="en-US"/>
              </w:rPr>
              <w:t>adresa</w:t>
            </w:r>
            <w:proofErr w:type="spellEnd"/>
            <w:r w:rsidRPr="00974662">
              <w:rPr>
                <w:rFonts w:eastAsia="Arial Unicode MS"/>
                <w:color w:val="000000" w:themeColor="text1"/>
                <w:sz w:val="20"/>
                <w:szCs w:val="20"/>
                <w:shd w:val="clear" w:color="auto" w:fill="FFFFFF"/>
                <w:lang w:val="en-US"/>
              </w:rPr>
              <w:t xml:space="preserve"> </w:t>
            </w:r>
            <w:proofErr w:type="spellStart"/>
            <w:r w:rsidRPr="00974662">
              <w:rPr>
                <w:rFonts w:eastAsia="Arial Unicode MS"/>
                <w:color w:val="000000" w:themeColor="text1"/>
                <w:sz w:val="20"/>
                <w:szCs w:val="20"/>
                <w:shd w:val="clear" w:color="auto" w:fill="FFFFFF"/>
                <w:lang w:val="en-US"/>
              </w:rPr>
              <w:t>noului</w:t>
            </w:r>
            <w:proofErr w:type="spellEnd"/>
            <w:r w:rsidRPr="00974662">
              <w:rPr>
                <w:rFonts w:eastAsia="Arial Unicode MS"/>
                <w:color w:val="000000" w:themeColor="text1"/>
                <w:sz w:val="20"/>
                <w:szCs w:val="20"/>
                <w:shd w:val="clear" w:color="auto" w:fill="FFFFFF"/>
                <w:lang w:val="en-US"/>
              </w:rPr>
              <w:t xml:space="preserve"> operator.</w:t>
            </w:r>
          </w:p>
          <w:p w14:paraId="1D2ADF31"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77" w:tooltip="32023L0959: REPLACED" w:history="1">
              <w:r>
                <w:rPr>
                  <w:rStyle w:val="af3"/>
                  <w:rFonts w:eastAsia="Arial Unicode MS"/>
                  <w:b/>
                  <w:bCs/>
                  <w:color w:val="4472C4" w:themeColor="accent1"/>
                  <w:sz w:val="20"/>
                  <w:szCs w:val="20"/>
                </w:rPr>
                <w:t>▼M15</w:t>
              </w:r>
            </w:hyperlink>
          </w:p>
        </w:tc>
        <w:tc>
          <w:tcPr>
            <w:tcW w:w="4394" w:type="dxa"/>
            <w:shd w:val="clear" w:color="auto" w:fill="auto"/>
          </w:tcPr>
          <w:p w14:paraId="10C11F4A"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75C12CD" w14:textId="5E166BBF" w:rsidR="00124364" w:rsidRDefault="00974662" w:rsidP="00974662">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024A190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FAE806C" w14:textId="0ED705C3" w:rsidR="00124364" w:rsidRPr="006704CE" w:rsidRDefault="006704CE" w:rsidP="006704CE">
            <w:pPr>
              <w:autoSpaceDE w:val="0"/>
              <w:spacing w:after="0" w:line="240" w:lineRule="auto"/>
              <w:jc w:val="both"/>
              <w:rPr>
                <w:rFonts w:ascii="Times New Roman" w:eastAsia="Times New Roman" w:hAnsi="Times New Roman"/>
                <w:sz w:val="20"/>
                <w:szCs w:val="20"/>
                <w:lang w:val="ro-RO"/>
              </w:rPr>
            </w:pPr>
            <w:proofErr w:type="spellStart"/>
            <w:r w:rsidRPr="006704CE">
              <w:rPr>
                <w:rFonts w:ascii="Times New Roman" w:hAnsi="Times New Roman"/>
                <w:color w:val="000000" w:themeColor="text1"/>
                <w:sz w:val="20"/>
                <w:szCs w:val="20"/>
              </w:rPr>
              <w:t>Prevederile</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vor</w:t>
            </w:r>
            <w:proofErr w:type="spellEnd"/>
            <w:r w:rsidRPr="006704CE">
              <w:rPr>
                <w:rFonts w:ascii="Times New Roman" w:hAnsi="Times New Roman"/>
                <w:color w:val="000000" w:themeColor="text1"/>
                <w:sz w:val="20"/>
                <w:szCs w:val="20"/>
              </w:rPr>
              <w:t xml:space="preserve"> fi </w:t>
            </w:r>
            <w:proofErr w:type="spellStart"/>
            <w:r w:rsidRPr="006704CE">
              <w:rPr>
                <w:rFonts w:ascii="Times New Roman" w:hAnsi="Times New Roman"/>
                <w:color w:val="000000" w:themeColor="text1"/>
                <w:sz w:val="20"/>
                <w:szCs w:val="20"/>
              </w:rPr>
              <w:t>reglementate</w:t>
            </w:r>
            <w:proofErr w:type="spellEnd"/>
            <w:r w:rsidRPr="006704CE">
              <w:rPr>
                <w:rFonts w:ascii="Times New Roman" w:hAnsi="Times New Roman"/>
                <w:color w:val="000000" w:themeColor="text1"/>
                <w:sz w:val="20"/>
                <w:szCs w:val="20"/>
              </w:rPr>
              <w:t xml:space="preserve"> în </w:t>
            </w:r>
            <w:proofErr w:type="spellStart"/>
            <w:r w:rsidRPr="006704CE">
              <w:rPr>
                <w:rFonts w:ascii="Times New Roman" w:hAnsi="Times New Roman"/>
                <w:color w:val="000000" w:themeColor="text1"/>
                <w:sz w:val="20"/>
                <w:szCs w:val="20"/>
              </w:rPr>
              <w:t>Regulamentul</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privind</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monitorizare</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raportare</w:t>
            </w:r>
            <w:proofErr w:type="spellEnd"/>
            <w:r w:rsidRPr="006704CE">
              <w:rPr>
                <w:rFonts w:ascii="Times New Roman" w:hAnsi="Times New Roman"/>
                <w:color w:val="000000" w:themeColor="text1"/>
                <w:sz w:val="20"/>
                <w:szCs w:val="20"/>
              </w:rPr>
              <w:t xml:space="preserve"> și </w:t>
            </w:r>
            <w:proofErr w:type="spellStart"/>
            <w:r w:rsidRPr="006704CE">
              <w:rPr>
                <w:rFonts w:ascii="Times New Roman" w:hAnsi="Times New Roman"/>
                <w:color w:val="000000" w:themeColor="text1"/>
                <w:sz w:val="20"/>
                <w:szCs w:val="20"/>
              </w:rPr>
              <w:t>verificare</w:t>
            </w:r>
            <w:proofErr w:type="spellEnd"/>
            <w:r w:rsidRPr="006704CE">
              <w:rPr>
                <w:rFonts w:ascii="Times New Roman" w:hAnsi="Times New Roman"/>
                <w:color w:val="000000" w:themeColor="text1"/>
                <w:sz w:val="20"/>
                <w:szCs w:val="20"/>
              </w:rPr>
              <w:t xml:space="preserve"> </w:t>
            </w:r>
            <w:proofErr w:type="gramStart"/>
            <w:r w:rsidRPr="006704CE">
              <w:rPr>
                <w:rFonts w:ascii="Times New Roman" w:hAnsi="Times New Roman"/>
                <w:color w:val="000000" w:themeColor="text1"/>
                <w:sz w:val="20"/>
                <w:szCs w:val="20"/>
              </w:rPr>
              <w:t>a</w:t>
            </w:r>
            <w:proofErr w:type="gram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emisiilor</w:t>
            </w:r>
            <w:proofErr w:type="spellEnd"/>
            <w:r w:rsidRPr="006704CE">
              <w:rPr>
                <w:rFonts w:ascii="Times New Roman" w:hAnsi="Times New Roman"/>
                <w:color w:val="000000" w:themeColor="text1"/>
                <w:sz w:val="20"/>
                <w:szCs w:val="20"/>
              </w:rPr>
              <w:t xml:space="preserve"> de gaze cu </w:t>
            </w:r>
            <w:proofErr w:type="spellStart"/>
            <w:r w:rsidRPr="006704CE">
              <w:rPr>
                <w:rFonts w:ascii="Times New Roman" w:hAnsi="Times New Roman"/>
                <w:color w:val="000000" w:themeColor="text1"/>
                <w:sz w:val="20"/>
                <w:szCs w:val="20"/>
              </w:rPr>
              <w:t>efect</w:t>
            </w:r>
            <w:proofErr w:type="spellEnd"/>
            <w:r w:rsidRPr="006704CE">
              <w:rPr>
                <w:rFonts w:ascii="Times New Roman" w:hAnsi="Times New Roman"/>
                <w:color w:val="000000" w:themeColor="text1"/>
                <w:sz w:val="20"/>
                <w:szCs w:val="20"/>
              </w:rPr>
              <w:t xml:space="preserve"> de sera de la </w:t>
            </w:r>
            <w:proofErr w:type="spellStart"/>
            <w:r w:rsidRPr="006704CE">
              <w:rPr>
                <w:rFonts w:ascii="Times New Roman" w:hAnsi="Times New Roman"/>
                <w:color w:val="000000" w:themeColor="text1"/>
                <w:sz w:val="20"/>
                <w:szCs w:val="20"/>
              </w:rPr>
              <w:t>instalațiile</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staționare</w:t>
            </w:r>
            <w:proofErr w:type="spellEnd"/>
            <w:r w:rsidRPr="006704CE">
              <w:rPr>
                <w:rFonts w:ascii="Times New Roman" w:hAnsi="Times New Roman"/>
                <w:color w:val="000000" w:themeColor="text1"/>
                <w:sz w:val="20"/>
                <w:szCs w:val="20"/>
              </w:rPr>
              <w:t xml:space="preserve"> și </w:t>
            </w:r>
            <w:proofErr w:type="spellStart"/>
            <w:r w:rsidRPr="006704CE">
              <w:rPr>
                <w:rFonts w:ascii="Times New Roman" w:hAnsi="Times New Roman"/>
                <w:color w:val="000000" w:themeColor="text1"/>
                <w:sz w:val="20"/>
                <w:szCs w:val="20"/>
              </w:rPr>
              <w:t>activitățile</w:t>
            </w:r>
            <w:proofErr w:type="spellEnd"/>
            <w:r w:rsidRPr="006704CE">
              <w:rPr>
                <w:rFonts w:ascii="Times New Roman" w:hAnsi="Times New Roman"/>
                <w:color w:val="000000" w:themeColor="text1"/>
                <w:sz w:val="20"/>
                <w:szCs w:val="20"/>
              </w:rPr>
              <w:t xml:space="preserve"> din </w:t>
            </w:r>
            <w:proofErr w:type="spellStart"/>
            <w:r w:rsidRPr="006704CE">
              <w:rPr>
                <w:rFonts w:ascii="Times New Roman" w:hAnsi="Times New Roman"/>
                <w:color w:val="000000" w:themeColor="text1"/>
                <w:sz w:val="20"/>
                <w:szCs w:val="20"/>
              </w:rPr>
              <w:t>domeniul</w:t>
            </w:r>
            <w:proofErr w:type="spellEnd"/>
            <w:r w:rsidRPr="006704CE">
              <w:rPr>
                <w:rFonts w:ascii="Times New Roman" w:hAnsi="Times New Roman"/>
                <w:color w:val="000000" w:themeColor="text1"/>
                <w:sz w:val="20"/>
                <w:szCs w:val="20"/>
              </w:rPr>
              <w:t xml:space="preserve"> </w:t>
            </w:r>
            <w:proofErr w:type="spellStart"/>
            <w:r w:rsidRPr="006704CE">
              <w:rPr>
                <w:rFonts w:ascii="Times New Roman" w:hAnsi="Times New Roman"/>
                <w:color w:val="000000" w:themeColor="text1"/>
                <w:sz w:val="20"/>
                <w:szCs w:val="20"/>
              </w:rPr>
              <w:t>aviației</w:t>
            </w:r>
            <w:proofErr w:type="spellEnd"/>
          </w:p>
        </w:tc>
        <w:tc>
          <w:tcPr>
            <w:tcW w:w="1464" w:type="dxa"/>
            <w:shd w:val="clear" w:color="auto" w:fill="auto"/>
          </w:tcPr>
          <w:p w14:paraId="4C90973E" w14:textId="77777777" w:rsidR="00124364" w:rsidRDefault="00124364" w:rsidP="00974662">
            <w:pPr>
              <w:autoSpaceDE w:val="0"/>
              <w:spacing w:after="0" w:line="240" w:lineRule="auto"/>
              <w:rPr>
                <w:rFonts w:ascii="Times New Roman" w:hAnsi="Times New Roman"/>
                <w:sz w:val="20"/>
                <w:szCs w:val="20"/>
                <w:lang w:val="fr-FR"/>
              </w:rPr>
            </w:pPr>
          </w:p>
        </w:tc>
      </w:tr>
      <w:tr w:rsidR="00124364" w14:paraId="12F23040" w14:textId="77777777">
        <w:trPr>
          <w:trHeight w:val="558"/>
        </w:trPr>
        <w:tc>
          <w:tcPr>
            <w:tcW w:w="4957" w:type="dxa"/>
            <w:shd w:val="clear" w:color="auto" w:fill="auto"/>
          </w:tcPr>
          <w:p w14:paraId="4400679E" w14:textId="7974FB79"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6704CE">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8</w:t>
            </w:r>
          </w:p>
          <w:p w14:paraId="5E93F382" w14:textId="11F2B68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Coordonarea</w:t>
            </w:r>
            <w:proofErr w:type="spellEnd"/>
            <w:r w:rsidRPr="00E34C2B">
              <w:rPr>
                <w:rFonts w:eastAsia="Arial Unicode MS"/>
                <w:b/>
                <w:bCs/>
                <w:color w:val="333333"/>
                <w:sz w:val="20"/>
                <w:szCs w:val="20"/>
                <w:shd w:val="clear" w:color="auto" w:fill="FFFFFF"/>
                <w:lang w:val="en-US"/>
              </w:rPr>
              <w:t xml:space="preserve"> cu </w:t>
            </w:r>
            <w:proofErr w:type="spellStart"/>
            <w:r w:rsidRPr="00E34C2B">
              <w:rPr>
                <w:rFonts w:eastAsia="Arial Unicode MS"/>
                <w:b/>
                <w:bCs/>
                <w:color w:val="333333"/>
                <w:sz w:val="20"/>
                <w:szCs w:val="20"/>
                <w:shd w:val="clear" w:color="auto" w:fill="FFFFFF"/>
                <w:lang w:val="en-US"/>
              </w:rPr>
              <w:t>Directiva</w:t>
            </w:r>
            <w:proofErr w:type="spellEnd"/>
            <w:r w:rsidR="006704CE">
              <w:rPr>
                <w:rFonts w:eastAsia="Arial Unicode MS"/>
                <w:b/>
                <w:bCs/>
                <w:color w:val="333333"/>
                <w:sz w:val="20"/>
                <w:szCs w:val="20"/>
                <w:shd w:val="clear" w:color="auto" w:fill="FFFFFF"/>
                <w:lang w:val="en-US"/>
              </w:rPr>
              <w:t xml:space="preserve"> </w:t>
            </w:r>
            <w:r w:rsidRPr="00E34C2B">
              <w:rPr>
                <w:rFonts w:eastAsia="Arial Unicode MS"/>
                <w:b/>
                <w:bCs/>
                <w:color w:val="333333"/>
                <w:sz w:val="20"/>
                <w:szCs w:val="20"/>
                <w:shd w:val="clear" w:color="auto" w:fill="FFFFFF"/>
                <w:lang w:val="en-US"/>
              </w:rPr>
              <w:t>2010/75/UE</w:t>
            </w:r>
          </w:p>
          <w:p w14:paraId="6CF1BDA2" w14:textId="5A069E27" w:rsidR="00124364" w:rsidRPr="006704CE" w:rsidRDefault="00000000" w:rsidP="006704C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6704CE">
              <w:rPr>
                <w:rFonts w:eastAsia="Arial Unicode MS"/>
                <w:color w:val="000000" w:themeColor="text1"/>
                <w:sz w:val="20"/>
                <w:szCs w:val="20"/>
                <w:shd w:val="clear" w:color="auto" w:fill="FFFFFF"/>
                <w:lang w:val="en-US"/>
              </w:rPr>
              <w:t xml:space="preserve">În </w:t>
            </w:r>
            <w:proofErr w:type="spellStart"/>
            <w:r w:rsidRPr="006704CE">
              <w:rPr>
                <w:rFonts w:eastAsia="Arial Unicode MS"/>
                <w:color w:val="000000" w:themeColor="text1"/>
                <w:sz w:val="20"/>
                <w:szCs w:val="20"/>
                <w:shd w:val="clear" w:color="auto" w:fill="FFFFFF"/>
                <w:lang w:val="en-US"/>
              </w:rPr>
              <w:t>cazul</w:t>
            </w:r>
            <w:proofErr w:type="spellEnd"/>
            <w:r w:rsidRPr="006704CE">
              <w:rPr>
                <w:rFonts w:eastAsia="Arial Unicode MS"/>
                <w:color w:val="000000" w:themeColor="text1"/>
                <w:sz w:val="20"/>
                <w:szCs w:val="20"/>
                <w:shd w:val="clear" w:color="auto" w:fill="FFFFFF"/>
                <w:lang w:val="en-US"/>
              </w:rPr>
              <w:t xml:space="preserve"> în care </w:t>
            </w:r>
            <w:proofErr w:type="spellStart"/>
            <w:r w:rsidRPr="006704CE">
              <w:rPr>
                <w:rFonts w:eastAsia="Arial Unicode MS"/>
                <w:color w:val="000000" w:themeColor="text1"/>
                <w:sz w:val="20"/>
                <w:szCs w:val="20"/>
                <w:shd w:val="clear" w:color="auto" w:fill="FFFFFF"/>
                <w:lang w:val="en-US"/>
              </w:rPr>
              <w:t>instalațiile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desfășoară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activitățile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incluse</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anexa</w:t>
            </w:r>
            <w:proofErr w:type="spellEnd"/>
            <w:r w:rsidRPr="006704CE">
              <w:rPr>
                <w:rFonts w:eastAsia="Arial Unicode MS"/>
                <w:color w:val="000000" w:themeColor="text1"/>
                <w:sz w:val="20"/>
                <w:szCs w:val="20"/>
                <w:shd w:val="clear" w:color="auto" w:fill="FFFFFF"/>
                <w:lang w:val="en-US"/>
              </w:rPr>
              <w:t xml:space="preserve"> I la </w:t>
            </w:r>
            <w:proofErr w:type="spellStart"/>
            <w:r w:rsidRPr="006704CE">
              <w:rPr>
                <w:rFonts w:eastAsia="Arial Unicode MS"/>
                <w:color w:val="000000" w:themeColor="text1"/>
                <w:sz w:val="20"/>
                <w:szCs w:val="20"/>
                <w:shd w:val="clear" w:color="auto" w:fill="FFFFFF"/>
                <w:lang w:val="en-US"/>
              </w:rPr>
              <w:t>Directiva</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2010/75/UE, </w:t>
            </w:r>
            <w:proofErr w:type="spellStart"/>
            <w:r w:rsidRPr="006704CE">
              <w:rPr>
                <w:rFonts w:eastAsia="Arial Unicode MS"/>
                <w:color w:val="000000" w:themeColor="text1"/>
                <w:sz w:val="20"/>
                <w:szCs w:val="20"/>
                <w:shd w:val="clear" w:color="auto" w:fill="FFFFFF"/>
                <w:lang w:val="en-US"/>
              </w:rPr>
              <w:t>statele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membre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iau</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măsurile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necesare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w:t>
            </w:r>
            <w:proofErr w:type="gramStart"/>
            <w:r w:rsidRPr="006704CE">
              <w:rPr>
                <w:rFonts w:eastAsia="Arial Unicode MS"/>
                <w:color w:val="000000" w:themeColor="text1"/>
                <w:sz w:val="20"/>
                <w:szCs w:val="20"/>
                <w:shd w:val="clear" w:color="auto" w:fill="FFFFFF"/>
                <w:lang w:val="en-US"/>
              </w:rPr>
              <w:t>a</w:t>
            </w:r>
            <w:proofErr w:type="gram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asigura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coordonarea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condițiilor</w:t>
            </w:r>
            <w:proofErr w:type="spellEnd"/>
            <w:r w:rsidRPr="006704CE">
              <w:rPr>
                <w:rFonts w:eastAsia="Arial Unicode MS"/>
                <w:color w:val="000000" w:themeColor="text1"/>
                <w:sz w:val="20"/>
                <w:szCs w:val="20"/>
                <w:shd w:val="clear" w:color="auto" w:fill="FFFFFF"/>
                <w:lang w:val="en-US"/>
              </w:rPr>
              <w:t xml:space="preserve"> și a </w:t>
            </w:r>
            <w:proofErr w:type="spellStart"/>
            <w:r w:rsidRPr="006704CE">
              <w:rPr>
                <w:rFonts w:eastAsia="Arial Unicode MS"/>
                <w:color w:val="000000" w:themeColor="text1"/>
                <w:sz w:val="20"/>
                <w:szCs w:val="20"/>
                <w:shd w:val="clear" w:color="auto" w:fill="FFFFFF"/>
                <w:lang w:val="en-US"/>
              </w:rPr>
              <w:t>procedurii</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acordare</w:t>
            </w:r>
            <w:proofErr w:type="spellEnd"/>
            <w:r w:rsidRPr="006704CE">
              <w:rPr>
                <w:rFonts w:eastAsia="Arial Unicode MS"/>
                <w:color w:val="000000" w:themeColor="text1"/>
                <w:sz w:val="20"/>
                <w:szCs w:val="20"/>
                <w:shd w:val="clear" w:color="auto" w:fill="FFFFFF"/>
                <w:lang w:val="en-US"/>
              </w:rPr>
              <w:t xml:space="preserve"> a </w:t>
            </w:r>
            <w:proofErr w:type="spellStart"/>
            <w:r w:rsidRPr="006704CE">
              <w:rPr>
                <w:rFonts w:eastAsia="Arial Unicode MS"/>
                <w:color w:val="000000" w:themeColor="text1"/>
                <w:sz w:val="20"/>
                <w:szCs w:val="20"/>
                <w:shd w:val="clear" w:color="auto" w:fill="FFFFFF"/>
                <w:lang w:val="en-US"/>
              </w:rPr>
              <w:t>autorizațiilor</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emisii</w:t>
            </w:r>
            <w:proofErr w:type="spellEnd"/>
            <w:r w:rsidRPr="006704CE">
              <w:rPr>
                <w:rFonts w:eastAsia="Arial Unicode MS"/>
                <w:color w:val="000000" w:themeColor="text1"/>
                <w:sz w:val="20"/>
                <w:szCs w:val="20"/>
                <w:shd w:val="clear" w:color="auto" w:fill="FFFFFF"/>
                <w:lang w:val="en-US"/>
              </w:rPr>
              <w:t xml:space="preserve"> de gaze cu </w:t>
            </w:r>
            <w:proofErr w:type="spellStart"/>
            <w:r w:rsidRPr="006704CE">
              <w:rPr>
                <w:rFonts w:eastAsia="Arial Unicode MS"/>
                <w:color w:val="000000" w:themeColor="text1"/>
                <w:sz w:val="20"/>
                <w:szCs w:val="20"/>
                <w:shd w:val="clear" w:color="auto" w:fill="FFFFFF"/>
                <w:lang w:val="en-US"/>
              </w:rPr>
              <w:t>efect</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seră</w:t>
            </w:r>
            <w:proofErr w:type="spellEnd"/>
            <w:r w:rsidRPr="006704CE">
              <w:rPr>
                <w:rFonts w:eastAsia="Arial Unicode MS"/>
                <w:color w:val="000000" w:themeColor="text1"/>
                <w:sz w:val="20"/>
                <w:szCs w:val="20"/>
                <w:shd w:val="clear" w:color="auto" w:fill="FFFFFF"/>
                <w:lang w:val="en-US"/>
              </w:rPr>
              <w:t xml:space="preserve"> cu </w:t>
            </w:r>
            <w:proofErr w:type="spellStart"/>
            <w:r w:rsidRPr="006704CE">
              <w:rPr>
                <w:rFonts w:eastAsia="Arial Unicode MS"/>
                <w:color w:val="000000" w:themeColor="text1"/>
                <w:sz w:val="20"/>
                <w:szCs w:val="20"/>
                <w:shd w:val="clear" w:color="auto" w:fill="FFFFFF"/>
                <w:lang w:val="en-US"/>
              </w:rPr>
              <w:t>cele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acordarea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unei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autorizații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prevăzute</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directiva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respectivă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Cerințele</w:t>
            </w:r>
            <w:proofErr w:type="spellEnd"/>
            <w:r w:rsidRPr="006704CE">
              <w:rPr>
                <w:rFonts w:eastAsia="Arial Unicode MS"/>
                <w:color w:val="000000" w:themeColor="text1"/>
                <w:sz w:val="20"/>
                <w:szCs w:val="20"/>
                <w:shd w:val="clear" w:color="auto" w:fill="FFFFFF"/>
                <w:lang w:val="en-US"/>
              </w:rPr>
              <w:t xml:space="preserve"> de la </w:t>
            </w:r>
            <w:proofErr w:type="spellStart"/>
            <w:r w:rsidRPr="006704CE">
              <w:rPr>
                <w:rFonts w:eastAsia="Arial Unicode MS"/>
                <w:color w:val="000000" w:themeColor="text1"/>
                <w:sz w:val="20"/>
                <w:szCs w:val="20"/>
                <w:shd w:val="clear" w:color="auto" w:fill="FFFFFF"/>
                <w:lang w:val="en-US"/>
              </w:rPr>
              <w:t>articolele</w:t>
            </w:r>
            <w:proofErr w:type="spellEnd"/>
            <w:r w:rsidRPr="006704CE">
              <w:rPr>
                <w:rFonts w:eastAsia="Arial Unicode MS"/>
                <w:color w:val="000000" w:themeColor="text1"/>
                <w:sz w:val="20"/>
                <w:szCs w:val="20"/>
                <w:shd w:val="clear" w:color="auto" w:fill="FFFFFF"/>
                <w:lang w:val="en-US"/>
              </w:rPr>
              <w:t xml:space="preserve"> 5, 6 și</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7 din prezenta </w:t>
            </w:r>
            <w:proofErr w:type="spellStart"/>
            <w:r w:rsidRPr="006704CE">
              <w:rPr>
                <w:rFonts w:eastAsia="Arial Unicode MS"/>
                <w:color w:val="000000" w:themeColor="text1"/>
                <w:sz w:val="20"/>
                <w:szCs w:val="20"/>
                <w:shd w:val="clear" w:color="auto" w:fill="FFFFFF"/>
                <w:lang w:val="en-US"/>
              </w:rPr>
              <w:t>directivă</w:t>
            </w:r>
            <w:proofErr w:type="spellEnd"/>
            <w:r w:rsidRPr="006704CE">
              <w:rPr>
                <w:rFonts w:eastAsia="Arial Unicode MS"/>
                <w:color w:val="000000" w:themeColor="text1"/>
                <w:sz w:val="20"/>
                <w:szCs w:val="20"/>
                <w:shd w:val="clear" w:color="auto" w:fill="FFFFFF"/>
                <w:lang w:val="en-US"/>
              </w:rPr>
              <w:t xml:space="preserve"> pot fi integrate în </w:t>
            </w:r>
            <w:proofErr w:type="spellStart"/>
            <w:r w:rsidRPr="006704CE">
              <w:rPr>
                <w:rFonts w:eastAsia="Arial Unicode MS"/>
                <w:color w:val="000000" w:themeColor="text1"/>
                <w:sz w:val="20"/>
                <w:szCs w:val="20"/>
                <w:shd w:val="clear" w:color="auto" w:fill="FFFFFF"/>
                <w:lang w:val="en-US"/>
              </w:rPr>
              <w:t>procedurile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prevăzute</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Directiva</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2010/75/UE.</w:t>
            </w:r>
          </w:p>
          <w:p w14:paraId="1104CFEA" w14:textId="2BCE0E62" w:rsidR="00124364" w:rsidRPr="006704CE" w:rsidRDefault="00000000" w:rsidP="006704C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6704CE">
              <w:rPr>
                <w:rFonts w:eastAsia="Arial Unicode MS"/>
                <w:color w:val="000000" w:themeColor="text1"/>
                <w:sz w:val="20"/>
                <w:szCs w:val="20"/>
                <w:shd w:val="clear" w:color="auto" w:fill="FFFFFF"/>
                <w:lang w:val="en-US"/>
              </w:rPr>
              <w:t>Comisia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revizuiește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eficacitatea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sinergiilor</w:t>
            </w:r>
            <w:proofErr w:type="spellEnd"/>
            <w:r w:rsidRPr="006704CE">
              <w:rPr>
                <w:rFonts w:eastAsia="Arial Unicode MS"/>
                <w:color w:val="000000" w:themeColor="text1"/>
                <w:sz w:val="20"/>
                <w:szCs w:val="20"/>
                <w:shd w:val="clear" w:color="auto" w:fill="FFFFFF"/>
                <w:lang w:val="en-US"/>
              </w:rPr>
              <w:t xml:space="preserve"> cu </w:t>
            </w:r>
            <w:proofErr w:type="spellStart"/>
            <w:r w:rsidRPr="006704CE">
              <w:rPr>
                <w:rFonts w:eastAsia="Arial Unicode MS"/>
                <w:color w:val="000000" w:themeColor="text1"/>
                <w:sz w:val="20"/>
                <w:szCs w:val="20"/>
                <w:shd w:val="clear" w:color="auto" w:fill="FFFFFF"/>
                <w:lang w:val="en-US"/>
              </w:rPr>
              <w:t>Directiva</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2010/75/UE. Este </w:t>
            </w:r>
            <w:proofErr w:type="spellStart"/>
            <w:r w:rsidRPr="006704CE">
              <w:rPr>
                <w:rFonts w:eastAsia="Arial Unicode MS"/>
                <w:color w:val="000000" w:themeColor="text1"/>
                <w:sz w:val="20"/>
                <w:szCs w:val="20"/>
                <w:shd w:val="clear" w:color="auto" w:fill="FFFFFF"/>
                <w:lang w:val="en-US"/>
              </w:rPr>
              <w:t>necesar</w:t>
            </w:r>
            <w:proofErr w:type="spellEnd"/>
            <w:r w:rsidRPr="006704CE">
              <w:rPr>
                <w:rFonts w:eastAsia="Arial Unicode MS"/>
                <w:color w:val="000000" w:themeColor="text1"/>
                <w:sz w:val="20"/>
                <w:szCs w:val="20"/>
                <w:shd w:val="clear" w:color="auto" w:fill="FFFFFF"/>
                <w:lang w:val="en-US"/>
              </w:rPr>
              <w:t xml:space="preserve"> ca </w:t>
            </w:r>
            <w:proofErr w:type="spellStart"/>
            <w:r w:rsidRPr="006704CE">
              <w:rPr>
                <w:rFonts w:eastAsia="Arial Unicode MS"/>
                <w:color w:val="000000" w:themeColor="text1"/>
                <w:sz w:val="20"/>
                <w:szCs w:val="20"/>
                <w:shd w:val="clear" w:color="auto" w:fill="FFFFFF"/>
                <w:lang w:val="en-US"/>
              </w:rPr>
              <w:t>autorizațiile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relevante</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domeniul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mediului</w:t>
            </w:r>
            <w:proofErr w:type="spellEnd"/>
            <w:r w:rsidRPr="006704CE">
              <w:rPr>
                <w:rFonts w:eastAsia="Arial Unicode MS"/>
                <w:color w:val="000000" w:themeColor="text1"/>
                <w:sz w:val="20"/>
                <w:szCs w:val="20"/>
                <w:shd w:val="clear" w:color="auto" w:fill="FFFFFF"/>
                <w:lang w:val="en-US"/>
              </w:rPr>
              <w:t xml:space="preserve"> și al </w:t>
            </w:r>
            <w:proofErr w:type="spellStart"/>
            <w:r w:rsidRPr="006704CE">
              <w:rPr>
                <w:rFonts w:eastAsia="Arial Unicode MS"/>
                <w:color w:val="000000" w:themeColor="text1"/>
                <w:sz w:val="20"/>
                <w:szCs w:val="20"/>
                <w:shd w:val="clear" w:color="auto" w:fill="FFFFFF"/>
                <w:lang w:val="en-US"/>
              </w:rPr>
              <w:t>climei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să</w:t>
            </w:r>
            <w:proofErr w:type="spellEnd"/>
            <w:r w:rsidRPr="006704CE">
              <w:rPr>
                <w:rFonts w:eastAsia="Arial Unicode MS"/>
                <w:color w:val="000000" w:themeColor="text1"/>
                <w:sz w:val="20"/>
                <w:szCs w:val="20"/>
                <w:shd w:val="clear" w:color="auto" w:fill="FFFFFF"/>
                <w:lang w:val="en-US"/>
              </w:rPr>
              <w:t xml:space="preserve"> fie </w:t>
            </w:r>
            <w:proofErr w:type="spellStart"/>
            <w:r w:rsidRPr="006704CE">
              <w:rPr>
                <w:rFonts w:eastAsia="Arial Unicode MS"/>
                <w:color w:val="000000" w:themeColor="text1"/>
                <w:sz w:val="20"/>
                <w:szCs w:val="20"/>
                <w:shd w:val="clear" w:color="auto" w:fill="FFFFFF"/>
                <w:lang w:val="en-US"/>
              </w:rPr>
              <w:t>coordonate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w:t>
            </w:r>
            <w:proofErr w:type="gramStart"/>
            <w:r w:rsidRPr="006704CE">
              <w:rPr>
                <w:rFonts w:eastAsia="Arial Unicode MS"/>
                <w:color w:val="000000" w:themeColor="text1"/>
                <w:sz w:val="20"/>
                <w:szCs w:val="20"/>
                <w:shd w:val="clear" w:color="auto" w:fill="FFFFFF"/>
                <w:lang w:val="en-US"/>
              </w:rPr>
              <w:t>a</w:t>
            </w:r>
            <w:proofErr w:type="gram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asigura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executarea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eficientă</w:t>
            </w:r>
            <w:proofErr w:type="spellEnd"/>
            <w:r w:rsidRPr="006704CE">
              <w:rPr>
                <w:rFonts w:eastAsia="Arial Unicode MS"/>
                <w:color w:val="000000" w:themeColor="text1"/>
                <w:sz w:val="20"/>
                <w:szCs w:val="20"/>
                <w:shd w:val="clear" w:color="auto" w:fill="FFFFFF"/>
                <w:lang w:val="en-US"/>
              </w:rPr>
              <w:t xml:space="preserve"> și </w:t>
            </w:r>
            <w:proofErr w:type="spellStart"/>
            <w:r w:rsidRPr="006704CE">
              <w:rPr>
                <w:rFonts w:eastAsia="Arial Unicode MS"/>
                <w:color w:val="000000" w:themeColor="text1"/>
                <w:sz w:val="20"/>
                <w:szCs w:val="20"/>
                <w:shd w:val="clear" w:color="auto" w:fill="FFFFFF"/>
                <w:lang w:val="en-US"/>
              </w:rPr>
              <w:t>mai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rapidă</w:t>
            </w:r>
            <w:proofErr w:type="spellEnd"/>
            <w:r w:rsidRPr="006704CE">
              <w:rPr>
                <w:rFonts w:eastAsia="Arial Unicode MS"/>
                <w:color w:val="000000" w:themeColor="text1"/>
                <w:sz w:val="20"/>
                <w:szCs w:val="20"/>
                <w:shd w:val="clear" w:color="auto" w:fill="FFFFFF"/>
                <w:lang w:val="en-US"/>
              </w:rPr>
              <w:t xml:space="preserve"> a </w:t>
            </w:r>
            <w:proofErr w:type="spellStart"/>
            <w:r w:rsidRPr="006704CE">
              <w:rPr>
                <w:rFonts w:eastAsia="Arial Unicode MS"/>
                <w:color w:val="000000" w:themeColor="text1"/>
                <w:sz w:val="20"/>
                <w:szCs w:val="20"/>
                <w:shd w:val="clear" w:color="auto" w:fill="FFFFFF"/>
                <w:lang w:val="en-US"/>
              </w:rPr>
              <w:t>măsurilor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necesare</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vederea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îndeplinirii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obiectivelor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Uniunii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privind</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clima</w:t>
            </w:r>
            <w:proofErr w:type="spellEnd"/>
            <w:r w:rsidRPr="006704CE">
              <w:rPr>
                <w:rFonts w:eastAsia="Arial Unicode MS"/>
                <w:color w:val="000000" w:themeColor="text1"/>
                <w:sz w:val="20"/>
                <w:szCs w:val="20"/>
                <w:shd w:val="clear" w:color="auto" w:fill="FFFFFF"/>
                <w:lang w:val="en-US"/>
              </w:rPr>
              <w:t xml:space="preserve"> și </w:t>
            </w:r>
            <w:proofErr w:type="spellStart"/>
            <w:r w:rsidRPr="006704CE">
              <w:rPr>
                <w:rFonts w:eastAsia="Arial Unicode MS"/>
                <w:color w:val="000000" w:themeColor="text1"/>
                <w:sz w:val="20"/>
                <w:szCs w:val="20"/>
                <w:shd w:val="clear" w:color="auto" w:fill="FFFFFF"/>
                <w:lang w:val="en-US"/>
              </w:rPr>
              <w:t>energia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Comisia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poate</w:t>
            </w:r>
            <w:proofErr w:type="spellEnd"/>
            <w:r w:rsidRPr="006704CE">
              <w:rPr>
                <w:rFonts w:eastAsia="Arial Unicode MS"/>
                <w:color w:val="000000" w:themeColor="text1"/>
                <w:sz w:val="20"/>
                <w:szCs w:val="20"/>
                <w:shd w:val="clear" w:color="auto" w:fill="FFFFFF"/>
                <w:lang w:val="en-US"/>
              </w:rPr>
              <w:t xml:space="preserve"> prezenta un </w:t>
            </w:r>
            <w:proofErr w:type="spellStart"/>
            <w:r w:rsidRPr="006704CE">
              <w:rPr>
                <w:rFonts w:eastAsia="Arial Unicode MS"/>
                <w:color w:val="000000" w:themeColor="text1"/>
                <w:sz w:val="20"/>
                <w:szCs w:val="20"/>
                <w:shd w:val="clear" w:color="auto" w:fill="FFFFFF"/>
                <w:lang w:val="en-US"/>
              </w:rPr>
              <w:t>raport</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Parlamentului</w:t>
            </w:r>
            <w:proofErr w:type="spellEnd"/>
            <w:r w:rsidRPr="006704CE">
              <w:rPr>
                <w:rFonts w:eastAsia="Arial Unicode MS"/>
                <w:color w:val="000000" w:themeColor="text1"/>
                <w:sz w:val="20"/>
                <w:szCs w:val="20"/>
                <w:shd w:val="clear" w:color="auto" w:fill="FFFFFF"/>
                <w:lang w:val="en-US"/>
              </w:rPr>
              <w:t xml:space="preserve"> European și </w:t>
            </w:r>
            <w:proofErr w:type="spellStart"/>
            <w:r w:rsidRPr="006704CE">
              <w:rPr>
                <w:rFonts w:eastAsia="Arial Unicode MS"/>
                <w:color w:val="000000" w:themeColor="text1"/>
                <w:sz w:val="20"/>
                <w:szCs w:val="20"/>
                <w:shd w:val="clear" w:color="auto" w:fill="FFFFFF"/>
                <w:lang w:val="en-US"/>
              </w:rPr>
              <w:t>Consiliului</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contextul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oricărei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revizuiri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viitoare</w:t>
            </w:r>
            <w:proofErr w:type="spellEnd"/>
            <w:r w:rsidRPr="006704CE">
              <w:rPr>
                <w:rFonts w:eastAsia="Arial Unicode MS"/>
                <w:color w:val="000000" w:themeColor="text1"/>
                <w:sz w:val="20"/>
                <w:szCs w:val="20"/>
                <w:shd w:val="clear" w:color="auto" w:fill="FFFFFF"/>
                <w:lang w:val="en-US"/>
              </w:rPr>
              <w:t xml:space="preserve"> a </w:t>
            </w:r>
            <w:proofErr w:type="spellStart"/>
            <w:r w:rsidRPr="006704CE">
              <w:rPr>
                <w:rFonts w:eastAsia="Arial Unicode MS"/>
                <w:color w:val="000000" w:themeColor="text1"/>
                <w:sz w:val="20"/>
                <w:szCs w:val="20"/>
                <w:shd w:val="clear" w:color="auto" w:fill="FFFFFF"/>
                <w:lang w:val="en-US"/>
              </w:rPr>
              <w:t>prezentei</w:t>
            </w:r>
            <w:proofErr w:type="spellEnd"/>
            <w:r w:rsidRPr="006704CE">
              <w:rPr>
                <w:rFonts w:eastAsia="Arial Unicode MS"/>
                <w:color w:val="000000" w:themeColor="text1"/>
                <w:sz w:val="20"/>
                <w:szCs w:val="20"/>
                <w:shd w:val="clear" w:color="auto" w:fill="FFFFFF"/>
                <w:lang w:val="en-US"/>
              </w:rPr>
              <w:t xml:space="preserve"> directive.</w:t>
            </w:r>
          </w:p>
          <w:p w14:paraId="00A8F23E"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78" w:tooltip="32009L0029R(04): REPLACED" w:history="1">
              <w:r>
                <w:rPr>
                  <w:rStyle w:val="af3"/>
                  <w:rFonts w:eastAsia="Arial Unicode MS"/>
                  <w:b/>
                  <w:bCs/>
                  <w:color w:val="4472C4" w:themeColor="accent1"/>
                  <w:sz w:val="20"/>
                  <w:szCs w:val="20"/>
                </w:rPr>
                <w:t>▼C5</w:t>
              </w:r>
            </w:hyperlink>
          </w:p>
        </w:tc>
        <w:tc>
          <w:tcPr>
            <w:tcW w:w="4394" w:type="dxa"/>
            <w:shd w:val="clear" w:color="auto" w:fill="auto"/>
          </w:tcPr>
          <w:p w14:paraId="6C61EAC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F290E4B" w14:textId="50A869E3" w:rsidR="00124364" w:rsidRDefault="006704CE" w:rsidP="006704CE">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2516275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DEF209F" w14:textId="3F8ADD67" w:rsidR="00124364" w:rsidRDefault="006704CE">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w:t>
            </w:r>
            <w:r>
              <w:rPr>
                <w:rFonts w:ascii="Times New Roman" w:hAnsi="Times New Roman"/>
                <w:sz w:val="20"/>
                <w:szCs w:val="20"/>
                <w:lang w:val="ro-RO"/>
              </w:rPr>
              <w:t xml:space="preserve"> statelor membre ale UE</w:t>
            </w:r>
            <w:r w:rsidRPr="00C951E7">
              <w:rPr>
                <w:rFonts w:ascii="Times New Roman" w:hAnsi="Times New Roman"/>
                <w:sz w:val="20"/>
                <w:szCs w:val="20"/>
                <w:lang w:val="ro-RO"/>
              </w:rPr>
              <w:t>.</w:t>
            </w:r>
          </w:p>
        </w:tc>
        <w:tc>
          <w:tcPr>
            <w:tcW w:w="1464" w:type="dxa"/>
            <w:shd w:val="clear" w:color="auto" w:fill="auto"/>
          </w:tcPr>
          <w:p w14:paraId="16032D6B" w14:textId="77777777" w:rsidR="00124364" w:rsidRDefault="00124364" w:rsidP="006704CE">
            <w:pPr>
              <w:autoSpaceDE w:val="0"/>
              <w:spacing w:after="0" w:line="240" w:lineRule="auto"/>
              <w:rPr>
                <w:rFonts w:ascii="Times New Roman" w:hAnsi="Times New Roman"/>
                <w:sz w:val="20"/>
                <w:szCs w:val="20"/>
                <w:lang w:val="fr-FR"/>
              </w:rPr>
            </w:pPr>
          </w:p>
        </w:tc>
      </w:tr>
      <w:tr w:rsidR="00124364" w14:paraId="2E8F8DFA" w14:textId="77777777">
        <w:trPr>
          <w:trHeight w:val="558"/>
        </w:trPr>
        <w:tc>
          <w:tcPr>
            <w:tcW w:w="4957" w:type="dxa"/>
            <w:shd w:val="clear" w:color="auto" w:fill="auto"/>
          </w:tcPr>
          <w:p w14:paraId="7031BA93" w14:textId="77777777" w:rsidR="00124364" w:rsidRPr="006704CE"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6704CE">
              <w:rPr>
                <w:rFonts w:eastAsia="Arial Unicode MS"/>
                <w:i/>
                <w:iCs/>
                <w:color w:val="000000" w:themeColor="text1"/>
                <w:sz w:val="20"/>
                <w:szCs w:val="20"/>
                <w:shd w:val="clear" w:color="auto" w:fill="FFFFFF"/>
                <w:lang w:val="en-US"/>
              </w:rPr>
              <w:t>Articolul</w:t>
            </w:r>
            <w:proofErr w:type="spellEnd"/>
            <w:r w:rsidRPr="006704CE">
              <w:rPr>
                <w:rFonts w:eastAsia="Arial Unicode MS"/>
                <w:i/>
                <w:iCs/>
                <w:color w:val="000000" w:themeColor="text1"/>
                <w:sz w:val="20"/>
                <w:szCs w:val="20"/>
                <w:shd w:val="clear" w:color="auto" w:fill="FFFFFF"/>
                <w:lang w:val="en-US"/>
              </w:rPr>
              <w:t xml:space="preserve"> 9</w:t>
            </w:r>
          </w:p>
          <w:p w14:paraId="3ECF8380" w14:textId="77777777" w:rsidR="00124364" w:rsidRPr="006704CE"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6704CE">
              <w:rPr>
                <w:rFonts w:eastAsia="Arial Unicode MS"/>
                <w:b/>
                <w:bCs/>
                <w:color w:val="000000" w:themeColor="text1"/>
                <w:sz w:val="20"/>
                <w:szCs w:val="20"/>
                <w:shd w:val="clear" w:color="auto" w:fill="FFFFFF"/>
                <w:lang w:val="en-US"/>
              </w:rPr>
              <w:t>Cantitatea</w:t>
            </w:r>
            <w:proofErr w:type="spellEnd"/>
            <w:r w:rsidRPr="006704CE">
              <w:rPr>
                <w:rFonts w:eastAsia="Arial Unicode MS"/>
                <w:b/>
                <w:bCs/>
                <w:color w:val="000000" w:themeColor="text1"/>
                <w:sz w:val="20"/>
                <w:szCs w:val="20"/>
                <w:shd w:val="clear" w:color="auto" w:fill="FFFFFF"/>
                <w:lang w:val="en-US"/>
              </w:rPr>
              <w:t xml:space="preserve"> de certificate </w:t>
            </w:r>
            <w:proofErr w:type="spellStart"/>
            <w:r w:rsidRPr="006704CE">
              <w:rPr>
                <w:rFonts w:eastAsia="Arial Unicode MS"/>
                <w:b/>
                <w:bCs/>
                <w:color w:val="000000" w:themeColor="text1"/>
                <w:sz w:val="20"/>
                <w:szCs w:val="20"/>
                <w:shd w:val="clear" w:color="auto" w:fill="FFFFFF"/>
                <w:lang w:val="en-US"/>
              </w:rPr>
              <w:t>emise</w:t>
            </w:r>
            <w:proofErr w:type="spellEnd"/>
            <w:r w:rsidRPr="006704CE">
              <w:rPr>
                <w:rFonts w:eastAsia="Arial Unicode MS"/>
                <w:b/>
                <w:bCs/>
                <w:color w:val="000000" w:themeColor="text1"/>
                <w:sz w:val="20"/>
                <w:szCs w:val="20"/>
                <w:shd w:val="clear" w:color="auto" w:fill="FFFFFF"/>
                <w:lang w:val="en-US"/>
              </w:rPr>
              <w:t xml:space="preserve"> la </w:t>
            </w:r>
            <w:proofErr w:type="spellStart"/>
            <w:r w:rsidRPr="006704CE">
              <w:rPr>
                <w:rFonts w:eastAsia="Arial Unicode MS"/>
                <w:b/>
                <w:bCs/>
                <w:color w:val="000000" w:themeColor="text1"/>
                <w:sz w:val="20"/>
                <w:szCs w:val="20"/>
                <w:shd w:val="clear" w:color="auto" w:fill="FFFFFF"/>
                <w:lang w:val="en-US"/>
              </w:rPr>
              <w:t>nivel</w:t>
            </w:r>
            <w:proofErr w:type="spellEnd"/>
            <w:r w:rsidRPr="006704CE">
              <w:rPr>
                <w:rFonts w:eastAsia="Arial Unicode MS"/>
                <w:b/>
                <w:bCs/>
                <w:color w:val="000000" w:themeColor="text1"/>
                <w:sz w:val="20"/>
                <w:szCs w:val="20"/>
                <w:shd w:val="clear" w:color="auto" w:fill="FFFFFF"/>
                <w:lang w:val="en-US"/>
              </w:rPr>
              <w:t xml:space="preserve"> </w:t>
            </w:r>
            <w:proofErr w:type="spellStart"/>
            <w:r w:rsidRPr="006704CE">
              <w:rPr>
                <w:rFonts w:eastAsia="Arial Unicode MS"/>
                <w:b/>
                <w:bCs/>
                <w:color w:val="000000" w:themeColor="text1"/>
                <w:sz w:val="20"/>
                <w:szCs w:val="20"/>
                <w:shd w:val="clear" w:color="auto" w:fill="FFFFFF"/>
                <w:lang w:val="en-US"/>
              </w:rPr>
              <w:t>comunitar</w:t>
            </w:r>
            <w:proofErr w:type="spellEnd"/>
          </w:p>
          <w:p w14:paraId="39F4A722" w14:textId="2BFE6CA5" w:rsidR="00124364" w:rsidRPr="00E34C2B" w:rsidRDefault="00000000" w:rsidP="006704CE">
            <w:pPr>
              <w:pStyle w:val="ti-art"/>
              <w:shd w:val="clear" w:color="auto" w:fill="FFFFFF"/>
              <w:spacing w:before="0" w:beforeAutospacing="0" w:after="0" w:afterAutospacing="0"/>
              <w:jc w:val="both"/>
              <w:rPr>
                <w:rFonts w:eastAsia="Arial Unicode MS"/>
                <w:color w:val="4472C4" w:themeColor="accent1"/>
                <w:sz w:val="20"/>
                <w:szCs w:val="20"/>
                <w:lang w:val="en-US"/>
              </w:rPr>
            </w:pP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w:t>
            </w:r>
            <w:proofErr w:type="spellStart"/>
            <w:r w:rsidRPr="006704CE">
              <w:rPr>
                <w:rFonts w:eastAsia="Arial Unicode MS"/>
                <w:color w:val="000000" w:themeColor="text1"/>
                <w:sz w:val="20"/>
                <w:szCs w:val="20"/>
                <w:shd w:val="clear" w:color="auto" w:fill="FFFFFF"/>
                <w:lang w:val="en-US"/>
              </w:rPr>
              <w:t>emise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anual</w:t>
            </w:r>
            <w:proofErr w:type="spellEnd"/>
            <w:r w:rsidRPr="006704CE">
              <w:rPr>
                <w:rFonts w:eastAsia="Arial Unicode MS"/>
                <w:color w:val="000000" w:themeColor="text1"/>
                <w:sz w:val="20"/>
                <w:szCs w:val="20"/>
                <w:shd w:val="clear" w:color="auto" w:fill="FFFFFF"/>
                <w:lang w:val="en-US"/>
              </w:rPr>
              <w:t xml:space="preserve"> la </w:t>
            </w:r>
            <w:proofErr w:type="spellStart"/>
            <w:r w:rsidRPr="006704CE">
              <w:rPr>
                <w:rFonts w:eastAsia="Arial Unicode MS"/>
                <w:color w:val="000000" w:themeColor="text1"/>
                <w:sz w:val="20"/>
                <w:szCs w:val="20"/>
                <w:shd w:val="clear" w:color="auto" w:fill="FFFFFF"/>
                <w:lang w:val="en-US"/>
              </w:rPr>
              <w:t>nivel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comunitar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începând</w:t>
            </w:r>
            <w:proofErr w:type="spellEnd"/>
            <w:r w:rsidRPr="006704CE">
              <w:rPr>
                <w:rFonts w:eastAsia="Arial Unicode MS"/>
                <w:color w:val="000000" w:themeColor="text1"/>
                <w:sz w:val="20"/>
                <w:szCs w:val="20"/>
                <w:shd w:val="clear" w:color="auto" w:fill="FFFFFF"/>
                <w:lang w:val="en-US"/>
              </w:rPr>
              <w:t xml:space="preserve"> din 2013 se </w:t>
            </w:r>
            <w:proofErr w:type="spellStart"/>
            <w:r w:rsidRPr="006704CE">
              <w:rPr>
                <w:rFonts w:eastAsia="Arial Unicode MS"/>
                <w:color w:val="000000" w:themeColor="text1"/>
                <w:sz w:val="20"/>
                <w:szCs w:val="20"/>
                <w:shd w:val="clear" w:color="auto" w:fill="FFFFFF"/>
                <w:lang w:val="en-US"/>
              </w:rPr>
              <w:t>diminuează</w:t>
            </w:r>
            <w:proofErr w:type="spellEnd"/>
            <w:r w:rsidRPr="006704CE">
              <w:rPr>
                <w:rFonts w:eastAsia="Arial Unicode MS"/>
                <w:color w:val="000000" w:themeColor="text1"/>
                <w:sz w:val="20"/>
                <w:szCs w:val="20"/>
                <w:shd w:val="clear" w:color="auto" w:fill="FFFFFF"/>
                <w:lang w:val="en-US"/>
              </w:rPr>
              <w:t xml:space="preserve"> linear </w:t>
            </w:r>
            <w:proofErr w:type="spellStart"/>
            <w:r w:rsidRPr="006704CE">
              <w:rPr>
                <w:rFonts w:eastAsia="Arial Unicode MS"/>
                <w:color w:val="000000" w:themeColor="text1"/>
                <w:sz w:val="20"/>
                <w:szCs w:val="20"/>
                <w:shd w:val="clear" w:color="auto" w:fill="FFFFFF"/>
                <w:lang w:val="en-US"/>
              </w:rPr>
              <w:t>pornind</w:t>
            </w:r>
            <w:proofErr w:type="spellEnd"/>
            <w:r w:rsidRPr="006704CE">
              <w:rPr>
                <w:rFonts w:eastAsia="Arial Unicode MS"/>
                <w:color w:val="000000" w:themeColor="text1"/>
                <w:sz w:val="20"/>
                <w:szCs w:val="20"/>
                <w:shd w:val="clear" w:color="auto" w:fill="FFFFFF"/>
                <w:lang w:val="en-US"/>
              </w:rPr>
              <w:t xml:space="preserve"> de la </w:t>
            </w:r>
            <w:proofErr w:type="spellStart"/>
            <w:r w:rsidRPr="006704CE">
              <w:rPr>
                <w:rFonts w:eastAsia="Arial Unicode MS"/>
                <w:color w:val="000000" w:themeColor="text1"/>
                <w:sz w:val="20"/>
                <w:szCs w:val="20"/>
                <w:shd w:val="clear" w:color="auto" w:fill="FFFFFF"/>
                <w:lang w:val="en-US"/>
              </w:rPr>
              <w:t>mijlocul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lastRenderedPageBreak/>
              <w:t>perioadei</w:t>
            </w:r>
            <w:proofErr w:type="spellEnd"/>
            <w:r w:rsidRPr="006704CE">
              <w:rPr>
                <w:rFonts w:eastAsia="Arial Unicode MS"/>
                <w:color w:val="000000" w:themeColor="text1"/>
                <w:sz w:val="20"/>
                <w:szCs w:val="20"/>
                <w:shd w:val="clear" w:color="auto" w:fill="FFFFFF"/>
                <w:lang w:val="en-US"/>
              </w:rPr>
              <w:t xml:space="preserve"> 2008-2012.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respectivă</w:t>
            </w:r>
            <w:proofErr w:type="spellEnd"/>
            <w:r w:rsidRPr="006704CE">
              <w:rPr>
                <w:rFonts w:eastAsia="Arial Unicode MS"/>
                <w:color w:val="000000" w:themeColor="text1"/>
                <w:sz w:val="20"/>
                <w:szCs w:val="20"/>
                <w:shd w:val="clear" w:color="auto" w:fill="FFFFFF"/>
                <w:lang w:val="en-US"/>
              </w:rPr>
              <w:t xml:space="preserve"> se reduce cu un factor linear de 1,74</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raport</w:t>
            </w:r>
            <w:proofErr w:type="spellEnd"/>
            <w:r w:rsidRPr="006704CE">
              <w:rPr>
                <w:rFonts w:eastAsia="Arial Unicode MS"/>
                <w:color w:val="000000" w:themeColor="text1"/>
                <w:sz w:val="20"/>
                <w:szCs w:val="20"/>
                <w:shd w:val="clear" w:color="auto" w:fill="FFFFFF"/>
                <w:lang w:val="en-US"/>
              </w:rPr>
              <w:t xml:space="preserve"> cu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medie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anuală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totală</w:t>
            </w:r>
            <w:proofErr w:type="spellEnd"/>
            <w:r w:rsidRPr="006704CE">
              <w:rPr>
                <w:rFonts w:eastAsia="Arial Unicode MS"/>
                <w:color w:val="000000" w:themeColor="text1"/>
                <w:sz w:val="20"/>
                <w:szCs w:val="20"/>
                <w:shd w:val="clear" w:color="auto" w:fill="FFFFFF"/>
                <w:lang w:val="en-US"/>
              </w:rPr>
              <w:t xml:space="preserve"> a </w:t>
            </w:r>
            <w:proofErr w:type="spellStart"/>
            <w:r w:rsidRPr="006704CE">
              <w:rPr>
                <w:rFonts w:eastAsia="Arial Unicode MS"/>
                <w:color w:val="000000" w:themeColor="text1"/>
                <w:sz w:val="20"/>
                <w:szCs w:val="20"/>
                <w:shd w:val="clear" w:color="auto" w:fill="FFFFFF"/>
                <w:lang w:val="en-US"/>
              </w:rPr>
              <w:t>certificatelor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emise</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statele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membre</w:t>
            </w:r>
            <w:proofErr w:type="spellEnd"/>
            <w:r w:rsidRPr="006704CE">
              <w:rPr>
                <w:rFonts w:eastAsia="Arial Unicode MS"/>
                <w:color w:val="000000" w:themeColor="text1"/>
                <w:sz w:val="20"/>
                <w:szCs w:val="20"/>
                <w:shd w:val="clear" w:color="auto" w:fill="FFFFFF"/>
                <w:lang w:val="en-US"/>
              </w:rPr>
              <w:t xml:space="preserve"> în conformitate cu </w:t>
            </w:r>
            <w:proofErr w:type="spellStart"/>
            <w:r w:rsidRPr="006704CE">
              <w:rPr>
                <w:rFonts w:eastAsia="Arial Unicode MS"/>
                <w:color w:val="000000" w:themeColor="text1"/>
                <w:sz w:val="20"/>
                <w:szCs w:val="20"/>
                <w:shd w:val="clear" w:color="auto" w:fill="FFFFFF"/>
                <w:lang w:val="en-US"/>
              </w:rPr>
              <w:t>deciziile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Comisiei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privind</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planurile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naționale</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alocare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perioada 2008-2012</w:t>
            </w:r>
            <w:r>
              <w:rPr>
                <w:rFonts w:eastAsia="Arial Unicode MS"/>
                <w:color w:val="333333"/>
                <w:sz w:val="20"/>
                <w:szCs w:val="20"/>
                <w:shd w:val="clear" w:color="auto" w:fill="FFFFFF"/>
                <w:lang w:val="en-US"/>
              </w:rPr>
              <w:t>.</w:t>
            </w:r>
            <w:hyperlink r:id="rId79" w:tooltip="12012J/ACT: INSERTED" w:history="1">
              <w:r w:rsidRPr="00E34C2B">
                <w:rPr>
                  <w:rStyle w:val="boldface"/>
                  <w:rFonts w:eastAsia="Arial Unicode MS"/>
                  <w:b/>
                  <w:bCs/>
                  <w:color w:val="4472C4" w:themeColor="accent1"/>
                  <w:sz w:val="20"/>
                  <w:szCs w:val="20"/>
                  <w:lang w:val="en-US"/>
                </w:rPr>
                <w:t>►A1</w:t>
              </w:r>
            </w:hyperlink>
          </w:p>
          <w:p w14:paraId="79BC90D3" w14:textId="5A9AB2C8" w:rsidR="00124364" w:rsidRPr="006704CE" w:rsidRDefault="00000000" w:rsidP="006704CE">
            <w:pPr>
              <w:pStyle w:val="ti-art"/>
              <w:shd w:val="clear" w:color="auto" w:fill="FFFFFF"/>
              <w:spacing w:before="0" w:beforeAutospacing="0" w:after="0" w:afterAutospacing="0"/>
              <w:jc w:val="both"/>
              <w:rPr>
                <w:rStyle w:val="boldface"/>
                <w:rFonts w:eastAsia="Arial Unicode MS"/>
                <w:b/>
                <w:bCs/>
                <w:color w:val="000000" w:themeColor="text1"/>
                <w:sz w:val="20"/>
                <w:szCs w:val="20"/>
                <w:lang w:val="en-US"/>
              </w:rPr>
            </w:pP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de </w:t>
            </w:r>
            <w:proofErr w:type="spellStart"/>
            <w:r w:rsidRPr="006704CE">
              <w:rPr>
                <w:rFonts w:eastAsia="Arial Unicode MS"/>
                <w:color w:val="000000" w:themeColor="text1"/>
                <w:sz w:val="20"/>
                <w:szCs w:val="20"/>
                <w:shd w:val="clear" w:color="auto" w:fill="FFFFFF"/>
                <w:lang w:val="en-US"/>
              </w:rPr>
              <w:t>emisii</w:t>
            </w:r>
            <w:proofErr w:type="spellEnd"/>
            <w:r w:rsidRPr="006704CE">
              <w:rPr>
                <w:rFonts w:eastAsia="Arial Unicode MS"/>
                <w:color w:val="000000" w:themeColor="text1"/>
                <w:sz w:val="20"/>
                <w:szCs w:val="20"/>
                <w:shd w:val="clear" w:color="auto" w:fill="FFFFFF"/>
                <w:lang w:val="en-US"/>
              </w:rPr>
              <w:t xml:space="preserve"> la </w:t>
            </w:r>
            <w:proofErr w:type="spellStart"/>
            <w:r w:rsidRPr="006704CE">
              <w:rPr>
                <w:rFonts w:eastAsia="Arial Unicode MS"/>
                <w:color w:val="000000" w:themeColor="text1"/>
                <w:sz w:val="20"/>
                <w:szCs w:val="20"/>
                <w:shd w:val="clear" w:color="auto" w:fill="FFFFFF"/>
                <w:lang w:val="en-US"/>
              </w:rPr>
              <w:t>nivel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comunitar</w:t>
            </w:r>
            <w:proofErr w:type="spellEnd"/>
            <w:r w:rsidRPr="006704CE">
              <w:rPr>
                <w:rFonts w:eastAsia="Arial Unicode MS"/>
                <w:color w:val="000000" w:themeColor="text1"/>
                <w:sz w:val="20"/>
                <w:szCs w:val="20"/>
                <w:shd w:val="clear" w:color="auto" w:fill="FFFFFF"/>
                <w:lang w:val="en-US"/>
              </w:rPr>
              <w:t xml:space="preserve"> se </w:t>
            </w:r>
            <w:proofErr w:type="spellStart"/>
            <w:r w:rsidRPr="006704CE">
              <w:rPr>
                <w:rFonts w:eastAsia="Arial Unicode MS"/>
                <w:color w:val="000000" w:themeColor="text1"/>
                <w:sz w:val="20"/>
                <w:szCs w:val="20"/>
                <w:shd w:val="clear" w:color="auto" w:fill="FFFFFF"/>
                <w:lang w:val="en-US"/>
              </w:rPr>
              <w:t>va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mări</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urma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aderării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Croației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doar</w:t>
            </w:r>
            <w:proofErr w:type="spellEnd"/>
            <w:r w:rsidRPr="006704CE">
              <w:rPr>
                <w:rFonts w:eastAsia="Arial Unicode MS"/>
                <w:color w:val="000000" w:themeColor="text1"/>
                <w:sz w:val="20"/>
                <w:szCs w:val="20"/>
                <w:shd w:val="clear" w:color="auto" w:fill="FFFFFF"/>
                <w:lang w:val="en-US"/>
              </w:rPr>
              <w:t xml:space="preserve"> cu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de </w:t>
            </w:r>
            <w:proofErr w:type="spellStart"/>
            <w:r w:rsidRPr="006704CE">
              <w:rPr>
                <w:rFonts w:eastAsia="Arial Unicode MS"/>
                <w:color w:val="000000" w:themeColor="text1"/>
                <w:sz w:val="20"/>
                <w:szCs w:val="20"/>
                <w:shd w:val="clear" w:color="auto" w:fill="FFFFFF"/>
                <w:lang w:val="en-US"/>
              </w:rPr>
              <w:t>emisii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licitată</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Croația</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temeiul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articolului</w:t>
            </w:r>
            <w:proofErr w:type="spellEnd"/>
            <w:r w:rsidRPr="006704CE">
              <w:rPr>
                <w:rFonts w:eastAsia="Arial Unicode MS"/>
                <w:color w:val="000000" w:themeColor="text1"/>
                <w:sz w:val="20"/>
                <w:szCs w:val="20"/>
                <w:shd w:val="clear" w:color="auto" w:fill="FFFFFF"/>
                <w:lang w:val="en-US"/>
              </w:rPr>
              <w:t xml:space="preserve"> 10 </w:t>
            </w:r>
            <w:proofErr w:type="spellStart"/>
            <w:r w:rsidRPr="006704CE">
              <w:rPr>
                <w:rFonts w:eastAsia="Arial Unicode MS"/>
                <w:color w:val="000000" w:themeColor="text1"/>
                <w:sz w:val="20"/>
                <w:szCs w:val="20"/>
                <w:shd w:val="clear" w:color="auto" w:fill="FFFFFF"/>
                <w:lang w:val="en-US"/>
              </w:rPr>
              <w:t>alineatul</w:t>
            </w:r>
            <w:proofErr w:type="spellEnd"/>
            <w:r w:rsidRPr="006704CE">
              <w:rPr>
                <w:rFonts w:eastAsia="Arial Unicode MS"/>
                <w:color w:val="000000" w:themeColor="text1"/>
                <w:sz w:val="20"/>
                <w:szCs w:val="20"/>
                <w:shd w:val="clear" w:color="auto" w:fill="FFFFFF"/>
                <w:lang w:val="en-US"/>
              </w:rPr>
              <w:t xml:space="preserve"> (1</w:t>
            </w:r>
            <w:proofErr w:type="gramStart"/>
            <w:r w:rsidRPr="006704CE">
              <w:rPr>
                <w:rFonts w:eastAsia="Arial Unicode MS"/>
                <w:color w:val="000000" w:themeColor="text1"/>
                <w:sz w:val="20"/>
                <w:szCs w:val="20"/>
                <w:shd w:val="clear" w:color="auto" w:fill="FFFFFF"/>
                <w:lang w:val="en-US"/>
              </w:rPr>
              <w:t>).</w:t>
            </w:r>
            <w:r w:rsidRPr="006704CE">
              <w:rPr>
                <w:rStyle w:val="boldface"/>
                <w:rFonts w:eastAsia="Arial Unicode MS"/>
                <w:b/>
                <w:bCs/>
                <w:color w:val="000000" w:themeColor="text1"/>
                <w:sz w:val="20"/>
                <w:szCs w:val="20"/>
                <w:lang w:val="en-US"/>
              </w:rPr>
              <w:t>◄</w:t>
            </w:r>
            <w:proofErr w:type="gramEnd"/>
          </w:p>
          <w:p w14:paraId="520CE7D0"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80" w:tooltip="32018L0410: REPLACED" w:history="1">
              <w:r w:rsidRPr="00E34C2B">
                <w:rPr>
                  <w:rStyle w:val="af3"/>
                  <w:rFonts w:eastAsia="Arial Unicode MS"/>
                  <w:b/>
                  <w:bCs/>
                  <w:color w:val="4472C4" w:themeColor="accent1"/>
                  <w:sz w:val="20"/>
                  <w:szCs w:val="20"/>
                  <w:lang w:val="en-US"/>
                </w:rPr>
                <w:t>▼M9</w:t>
              </w:r>
            </w:hyperlink>
          </w:p>
          <w:p w14:paraId="5425E576" w14:textId="7E8E4537" w:rsidR="00124364" w:rsidRPr="006704CE"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6704CE">
              <w:rPr>
                <w:rFonts w:eastAsia="Arial Unicode MS"/>
                <w:color w:val="000000" w:themeColor="text1"/>
                <w:sz w:val="20"/>
                <w:szCs w:val="20"/>
                <w:shd w:val="clear" w:color="auto" w:fill="FFFFFF"/>
                <w:lang w:val="en-US"/>
              </w:rPr>
              <w:t>Începând</w:t>
            </w:r>
            <w:proofErr w:type="spellEnd"/>
            <w:r w:rsidRPr="006704CE">
              <w:rPr>
                <w:rFonts w:eastAsia="Arial Unicode MS"/>
                <w:color w:val="000000" w:themeColor="text1"/>
                <w:sz w:val="20"/>
                <w:szCs w:val="20"/>
                <w:shd w:val="clear" w:color="auto" w:fill="FFFFFF"/>
                <w:lang w:val="en-US"/>
              </w:rPr>
              <w:t xml:space="preserve"> cu 2021, </w:t>
            </w:r>
            <w:proofErr w:type="spellStart"/>
            <w:r w:rsidRPr="006704CE">
              <w:rPr>
                <w:rFonts w:eastAsia="Arial Unicode MS"/>
                <w:color w:val="000000" w:themeColor="text1"/>
                <w:sz w:val="20"/>
                <w:szCs w:val="20"/>
                <w:shd w:val="clear" w:color="auto" w:fill="FFFFFF"/>
                <w:lang w:val="en-US"/>
              </w:rPr>
              <w:t>factorul</w:t>
            </w:r>
            <w:proofErr w:type="spellEnd"/>
            <w:r w:rsidRPr="006704CE">
              <w:rPr>
                <w:rFonts w:eastAsia="Arial Unicode MS"/>
                <w:color w:val="000000" w:themeColor="text1"/>
                <w:sz w:val="20"/>
                <w:szCs w:val="20"/>
                <w:shd w:val="clear" w:color="auto" w:fill="FFFFFF"/>
                <w:lang w:val="en-US"/>
              </w:rPr>
              <w:t xml:space="preserve"> linear </w:t>
            </w:r>
            <w:proofErr w:type="spellStart"/>
            <w:r w:rsidRPr="006704CE">
              <w:rPr>
                <w:rFonts w:eastAsia="Arial Unicode MS"/>
                <w:color w:val="000000" w:themeColor="text1"/>
                <w:sz w:val="20"/>
                <w:szCs w:val="20"/>
                <w:shd w:val="clear" w:color="auto" w:fill="FFFFFF"/>
                <w:lang w:val="en-US"/>
              </w:rPr>
              <w:t>este</w:t>
            </w:r>
            <w:proofErr w:type="spellEnd"/>
            <w:r w:rsidRPr="006704CE">
              <w:rPr>
                <w:rFonts w:eastAsia="Arial Unicode MS"/>
                <w:color w:val="000000" w:themeColor="text1"/>
                <w:sz w:val="20"/>
                <w:szCs w:val="20"/>
                <w:shd w:val="clear" w:color="auto" w:fill="FFFFFF"/>
                <w:lang w:val="en-US"/>
              </w:rPr>
              <w:t xml:space="preserve"> de 2,2</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w:t>
            </w:r>
          </w:p>
          <w:p w14:paraId="4CE0C3F9"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81" w:tooltip="32023L0959: INSERTED" w:history="1">
              <w:r w:rsidRPr="00E34C2B">
                <w:rPr>
                  <w:rStyle w:val="af3"/>
                  <w:rFonts w:eastAsia="Arial Unicode MS"/>
                  <w:b/>
                  <w:bCs/>
                  <w:color w:val="4472C4" w:themeColor="accent1"/>
                  <w:sz w:val="20"/>
                  <w:szCs w:val="20"/>
                  <w:lang w:val="en-US"/>
                </w:rPr>
                <w:t>▼M15</w:t>
              </w:r>
            </w:hyperlink>
          </w:p>
          <w:p w14:paraId="65CAF4B5" w14:textId="33DF76B0" w:rsidR="00124364" w:rsidRPr="006704CE" w:rsidRDefault="00000000" w:rsidP="006704C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6704CE">
              <w:rPr>
                <w:rFonts w:eastAsia="Arial Unicode MS"/>
                <w:color w:val="000000" w:themeColor="text1"/>
                <w:sz w:val="20"/>
                <w:szCs w:val="20"/>
                <w:shd w:val="clear" w:color="auto" w:fill="FFFFFF"/>
                <w:lang w:val="en-US"/>
              </w:rPr>
              <w:t xml:space="preserve">În 2024,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la </w:t>
            </w:r>
            <w:proofErr w:type="spellStart"/>
            <w:r w:rsidRPr="006704CE">
              <w:rPr>
                <w:rFonts w:eastAsia="Arial Unicode MS"/>
                <w:color w:val="000000" w:themeColor="text1"/>
                <w:sz w:val="20"/>
                <w:szCs w:val="20"/>
                <w:shd w:val="clear" w:color="auto" w:fill="FFFFFF"/>
                <w:lang w:val="en-US"/>
              </w:rPr>
              <w:t>nivelul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Uniunii</w:t>
            </w:r>
            <w:proofErr w:type="spellEnd"/>
            <w:r w:rsidRPr="006704CE">
              <w:rPr>
                <w:rFonts w:eastAsia="Arial Unicode MS"/>
                <w:color w:val="000000" w:themeColor="text1"/>
                <w:sz w:val="20"/>
                <w:szCs w:val="20"/>
                <w:shd w:val="clear" w:color="auto" w:fill="FFFFFF"/>
                <w:lang w:val="en-US"/>
              </w:rPr>
              <w:t xml:space="preserve"> se reduce cu 90 de </w:t>
            </w:r>
            <w:proofErr w:type="spellStart"/>
            <w:r w:rsidRPr="006704CE">
              <w:rPr>
                <w:rFonts w:eastAsia="Arial Unicode MS"/>
                <w:color w:val="000000" w:themeColor="text1"/>
                <w:sz w:val="20"/>
                <w:szCs w:val="20"/>
                <w:shd w:val="clear" w:color="auto" w:fill="FFFFFF"/>
                <w:lang w:val="en-US"/>
              </w:rPr>
              <w:t>milioane</w:t>
            </w:r>
            <w:proofErr w:type="spellEnd"/>
            <w:r w:rsidRPr="006704CE">
              <w:rPr>
                <w:rFonts w:eastAsia="Arial Unicode MS"/>
                <w:color w:val="000000" w:themeColor="text1"/>
                <w:sz w:val="20"/>
                <w:szCs w:val="20"/>
                <w:shd w:val="clear" w:color="auto" w:fill="FFFFFF"/>
                <w:lang w:val="en-US"/>
              </w:rPr>
              <w:t xml:space="preserve"> de certificate. În 2026,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la </w:t>
            </w:r>
            <w:proofErr w:type="spellStart"/>
            <w:r w:rsidRPr="006704CE">
              <w:rPr>
                <w:rFonts w:eastAsia="Arial Unicode MS"/>
                <w:color w:val="000000" w:themeColor="text1"/>
                <w:sz w:val="20"/>
                <w:szCs w:val="20"/>
                <w:shd w:val="clear" w:color="auto" w:fill="FFFFFF"/>
                <w:lang w:val="en-US"/>
              </w:rPr>
              <w:t>nivelul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Uniunii</w:t>
            </w:r>
            <w:proofErr w:type="spellEnd"/>
            <w:r w:rsidRPr="006704CE">
              <w:rPr>
                <w:rFonts w:eastAsia="Arial Unicode MS"/>
                <w:color w:val="000000" w:themeColor="text1"/>
                <w:sz w:val="20"/>
                <w:szCs w:val="20"/>
                <w:shd w:val="clear" w:color="auto" w:fill="FFFFFF"/>
                <w:lang w:val="en-US"/>
              </w:rPr>
              <w:t xml:space="preserve"> se reduce cu 27</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de</w:t>
            </w:r>
            <w:r w:rsidR="006704CE"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milioane</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de certificate. În 2024,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la </w:t>
            </w:r>
            <w:proofErr w:type="spellStart"/>
            <w:r w:rsidRPr="006704CE">
              <w:rPr>
                <w:rFonts w:eastAsia="Arial Unicode MS"/>
                <w:color w:val="000000" w:themeColor="text1"/>
                <w:sz w:val="20"/>
                <w:szCs w:val="20"/>
                <w:shd w:val="clear" w:color="auto" w:fill="FFFFFF"/>
                <w:lang w:val="en-US"/>
              </w:rPr>
              <w:t>nivelul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Uniunii</w:t>
            </w:r>
            <w:proofErr w:type="spellEnd"/>
            <w:r w:rsidRPr="006704CE">
              <w:rPr>
                <w:rFonts w:eastAsia="Arial Unicode MS"/>
                <w:color w:val="000000" w:themeColor="text1"/>
                <w:sz w:val="20"/>
                <w:szCs w:val="20"/>
                <w:shd w:val="clear" w:color="auto" w:fill="FFFFFF"/>
                <w:lang w:val="en-US"/>
              </w:rPr>
              <w:t xml:space="preserve"> se </w:t>
            </w:r>
            <w:proofErr w:type="spellStart"/>
            <w:r w:rsidRPr="006704CE">
              <w:rPr>
                <w:rFonts w:eastAsia="Arial Unicode MS"/>
                <w:color w:val="000000" w:themeColor="text1"/>
                <w:sz w:val="20"/>
                <w:szCs w:val="20"/>
                <w:shd w:val="clear" w:color="auto" w:fill="FFFFFF"/>
                <w:lang w:val="en-US"/>
              </w:rPr>
              <w:t>majorează</w:t>
            </w:r>
            <w:proofErr w:type="spellEnd"/>
            <w:r w:rsidRPr="006704CE">
              <w:rPr>
                <w:rFonts w:eastAsia="Arial Unicode MS"/>
                <w:color w:val="000000" w:themeColor="text1"/>
                <w:sz w:val="20"/>
                <w:szCs w:val="20"/>
                <w:shd w:val="clear" w:color="auto" w:fill="FFFFFF"/>
                <w:lang w:val="en-US"/>
              </w:rPr>
              <w:t xml:space="preserve"> cu 78,4</w:t>
            </w:r>
            <w:r w:rsidR="006704CE"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milioane</w:t>
            </w:r>
            <w:proofErr w:type="spellEnd"/>
            <w:r w:rsidRPr="006704CE">
              <w:rPr>
                <w:rFonts w:eastAsia="Arial Unicode MS"/>
                <w:color w:val="000000" w:themeColor="text1"/>
                <w:sz w:val="20"/>
                <w:szCs w:val="20"/>
                <w:shd w:val="clear" w:color="auto" w:fill="FFFFFF"/>
                <w:lang w:val="en-US"/>
              </w:rPr>
              <w:t xml:space="preserve"> de certificate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transportul</w:t>
            </w:r>
            <w:proofErr w:type="spellEnd"/>
            <w:r w:rsidRPr="006704CE">
              <w:rPr>
                <w:rFonts w:eastAsia="Arial Unicode MS"/>
                <w:color w:val="000000" w:themeColor="text1"/>
                <w:sz w:val="20"/>
                <w:szCs w:val="20"/>
                <w:shd w:val="clear" w:color="auto" w:fill="FFFFFF"/>
                <w:lang w:val="en-US"/>
              </w:rPr>
              <w:t xml:space="preserve"> maritim. </w:t>
            </w:r>
            <w:proofErr w:type="spellStart"/>
            <w:r w:rsidRPr="006704CE">
              <w:rPr>
                <w:rFonts w:eastAsia="Arial Unicode MS"/>
                <w:color w:val="000000" w:themeColor="text1"/>
                <w:sz w:val="20"/>
                <w:szCs w:val="20"/>
                <w:shd w:val="clear" w:color="auto" w:fill="FFFFFF"/>
                <w:lang w:val="en-US"/>
              </w:rPr>
              <w:t>Factorul</w:t>
            </w:r>
            <w:proofErr w:type="spellEnd"/>
            <w:r w:rsidRPr="006704CE">
              <w:rPr>
                <w:rFonts w:eastAsia="Arial Unicode MS"/>
                <w:color w:val="000000" w:themeColor="text1"/>
                <w:sz w:val="20"/>
                <w:szCs w:val="20"/>
                <w:shd w:val="clear" w:color="auto" w:fill="FFFFFF"/>
                <w:lang w:val="en-US"/>
              </w:rPr>
              <w:t xml:space="preserve"> linear </w:t>
            </w:r>
            <w:proofErr w:type="spellStart"/>
            <w:r w:rsidRPr="006704CE">
              <w:rPr>
                <w:rFonts w:eastAsia="Arial Unicode MS"/>
                <w:color w:val="000000" w:themeColor="text1"/>
                <w:sz w:val="20"/>
                <w:szCs w:val="20"/>
                <w:shd w:val="clear" w:color="auto" w:fill="FFFFFF"/>
                <w:lang w:val="en-US"/>
              </w:rPr>
              <w:t>este</w:t>
            </w:r>
            <w:proofErr w:type="spellEnd"/>
            <w:r w:rsidRPr="006704CE">
              <w:rPr>
                <w:rFonts w:eastAsia="Arial Unicode MS"/>
                <w:color w:val="000000" w:themeColor="text1"/>
                <w:sz w:val="20"/>
                <w:szCs w:val="20"/>
                <w:shd w:val="clear" w:color="auto" w:fill="FFFFFF"/>
                <w:lang w:val="en-US"/>
              </w:rPr>
              <w:t xml:space="preserve"> de 4,3</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între</w:t>
            </w:r>
            <w:proofErr w:type="spellEnd"/>
            <w:r w:rsidRPr="006704CE">
              <w:rPr>
                <w:rFonts w:eastAsia="Arial Unicode MS"/>
                <w:color w:val="000000" w:themeColor="text1"/>
                <w:sz w:val="20"/>
                <w:szCs w:val="20"/>
                <w:shd w:val="clear" w:color="auto" w:fill="FFFFFF"/>
                <w:lang w:val="en-US"/>
              </w:rPr>
              <w:t xml:space="preserve"> 2024 și</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2027 și de 4,4</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începând</w:t>
            </w:r>
            <w:proofErr w:type="spellEnd"/>
            <w:r w:rsidRPr="006704CE">
              <w:rPr>
                <w:rFonts w:eastAsia="Arial Unicode MS"/>
                <w:color w:val="000000" w:themeColor="text1"/>
                <w:sz w:val="20"/>
                <w:szCs w:val="20"/>
                <w:shd w:val="clear" w:color="auto" w:fill="FFFFFF"/>
                <w:lang w:val="en-US"/>
              </w:rPr>
              <w:t xml:space="preserve"> cu anul 2028. </w:t>
            </w:r>
            <w:proofErr w:type="spellStart"/>
            <w:r w:rsidRPr="006704CE">
              <w:rPr>
                <w:rFonts w:eastAsia="Arial Unicode MS"/>
                <w:color w:val="000000" w:themeColor="text1"/>
                <w:sz w:val="20"/>
                <w:szCs w:val="20"/>
                <w:shd w:val="clear" w:color="auto" w:fill="FFFFFF"/>
                <w:lang w:val="en-US"/>
              </w:rPr>
              <w:t>Factorul</w:t>
            </w:r>
            <w:proofErr w:type="spellEnd"/>
            <w:r w:rsidRPr="006704CE">
              <w:rPr>
                <w:rFonts w:eastAsia="Arial Unicode MS"/>
                <w:color w:val="000000" w:themeColor="text1"/>
                <w:sz w:val="20"/>
                <w:szCs w:val="20"/>
                <w:shd w:val="clear" w:color="auto" w:fill="FFFFFF"/>
                <w:lang w:val="en-US"/>
              </w:rPr>
              <w:t xml:space="preserve"> linear se </w:t>
            </w:r>
            <w:proofErr w:type="spellStart"/>
            <w:r w:rsidRPr="006704CE">
              <w:rPr>
                <w:rFonts w:eastAsia="Arial Unicode MS"/>
                <w:color w:val="000000" w:themeColor="text1"/>
                <w:sz w:val="20"/>
                <w:szCs w:val="20"/>
                <w:shd w:val="clear" w:color="auto" w:fill="FFFFFF"/>
                <w:lang w:val="en-US"/>
              </w:rPr>
              <w:t>aplică</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asemenea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certificatelor</w:t>
            </w:r>
            <w:proofErr w:type="spellEnd"/>
            <w:r w:rsidRPr="006704CE">
              <w:rPr>
                <w:rFonts w:eastAsia="Arial Unicode MS"/>
                <w:color w:val="000000" w:themeColor="text1"/>
                <w:sz w:val="20"/>
                <w:szCs w:val="20"/>
                <w:shd w:val="clear" w:color="auto" w:fill="FFFFFF"/>
                <w:lang w:val="en-US"/>
              </w:rPr>
              <w:t xml:space="preserve"> care </w:t>
            </w:r>
            <w:proofErr w:type="spellStart"/>
            <w:r w:rsidRPr="006704CE">
              <w:rPr>
                <w:rFonts w:eastAsia="Arial Unicode MS"/>
                <w:color w:val="000000" w:themeColor="text1"/>
                <w:sz w:val="20"/>
                <w:szCs w:val="20"/>
                <w:shd w:val="clear" w:color="auto" w:fill="FFFFFF"/>
                <w:lang w:val="en-US"/>
              </w:rPr>
              <w:t>corespund</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emisiilor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medii</w:t>
            </w:r>
            <w:proofErr w:type="spellEnd"/>
            <w:r w:rsidRPr="006704CE">
              <w:rPr>
                <w:rFonts w:eastAsia="Arial Unicode MS"/>
                <w:color w:val="000000" w:themeColor="text1"/>
                <w:sz w:val="20"/>
                <w:szCs w:val="20"/>
                <w:shd w:val="clear" w:color="auto" w:fill="FFFFFF"/>
                <w:lang w:val="en-US"/>
              </w:rPr>
              <w:t xml:space="preserve"> generate de </w:t>
            </w:r>
            <w:proofErr w:type="spellStart"/>
            <w:r w:rsidRPr="006704CE">
              <w:rPr>
                <w:rFonts w:eastAsia="Arial Unicode MS"/>
                <w:color w:val="000000" w:themeColor="text1"/>
                <w:sz w:val="20"/>
                <w:szCs w:val="20"/>
                <w:shd w:val="clear" w:color="auto" w:fill="FFFFFF"/>
                <w:lang w:val="en-US"/>
              </w:rPr>
              <w:t>transportul</w:t>
            </w:r>
            <w:proofErr w:type="spellEnd"/>
            <w:r w:rsidRPr="006704CE">
              <w:rPr>
                <w:rFonts w:eastAsia="Arial Unicode MS"/>
                <w:color w:val="000000" w:themeColor="text1"/>
                <w:sz w:val="20"/>
                <w:szCs w:val="20"/>
                <w:shd w:val="clear" w:color="auto" w:fill="FFFFFF"/>
                <w:lang w:val="en-US"/>
              </w:rPr>
              <w:t xml:space="preserve"> maritim </w:t>
            </w:r>
            <w:proofErr w:type="spellStart"/>
            <w:r w:rsidRPr="006704CE">
              <w:rPr>
                <w:rFonts w:eastAsia="Arial Unicode MS"/>
                <w:color w:val="000000" w:themeColor="text1"/>
                <w:sz w:val="20"/>
                <w:szCs w:val="20"/>
                <w:shd w:val="clear" w:color="auto" w:fill="FFFFFF"/>
                <w:lang w:val="en-US"/>
              </w:rPr>
              <w:t>raportate</w:t>
            </w:r>
            <w:proofErr w:type="spellEnd"/>
            <w:r w:rsidRPr="006704CE">
              <w:rPr>
                <w:rFonts w:eastAsia="Arial Unicode MS"/>
                <w:color w:val="000000" w:themeColor="text1"/>
                <w:sz w:val="20"/>
                <w:szCs w:val="20"/>
                <w:shd w:val="clear" w:color="auto" w:fill="FFFFFF"/>
                <w:lang w:val="en-US"/>
              </w:rPr>
              <w:t xml:space="preserve"> în conformitate cu </w:t>
            </w:r>
            <w:proofErr w:type="spellStart"/>
            <w:r w:rsidRPr="006704CE">
              <w:rPr>
                <w:rFonts w:eastAsia="Arial Unicode MS"/>
                <w:color w:val="000000" w:themeColor="text1"/>
                <w:sz w:val="20"/>
                <w:szCs w:val="20"/>
                <w:shd w:val="clear" w:color="auto" w:fill="FFFFFF"/>
                <w:lang w:val="en-US"/>
              </w:rPr>
              <w:t>Regulamentul</w:t>
            </w:r>
            <w:proofErr w:type="spellEnd"/>
            <w:r w:rsidRPr="006704CE">
              <w:rPr>
                <w:rFonts w:eastAsia="Arial Unicode MS"/>
                <w:color w:val="000000" w:themeColor="text1"/>
                <w:sz w:val="20"/>
                <w:szCs w:val="20"/>
                <w:shd w:val="clear" w:color="auto" w:fill="FFFFFF"/>
                <w:lang w:val="en-US"/>
              </w:rPr>
              <w:t xml:space="preserve"> (UE)</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2015/757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2018 și</w:t>
            </w:r>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2019, care sunt examinate la </w:t>
            </w:r>
            <w:proofErr w:type="spellStart"/>
            <w:r w:rsidRPr="006704CE">
              <w:rPr>
                <w:rFonts w:eastAsia="Arial Unicode MS"/>
                <w:color w:val="000000" w:themeColor="text1"/>
                <w:sz w:val="20"/>
                <w:szCs w:val="20"/>
                <w:shd w:val="clear" w:color="auto" w:fill="FFFFFF"/>
                <w:lang w:val="en-US"/>
              </w:rPr>
              <w:t>articolul</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3ga din prezenta </w:t>
            </w:r>
            <w:proofErr w:type="spellStart"/>
            <w:r w:rsidRPr="006704CE">
              <w:rPr>
                <w:rFonts w:eastAsia="Arial Unicode MS"/>
                <w:color w:val="000000" w:themeColor="text1"/>
                <w:sz w:val="20"/>
                <w:szCs w:val="20"/>
                <w:shd w:val="clear" w:color="auto" w:fill="FFFFFF"/>
                <w:lang w:val="en-US"/>
              </w:rPr>
              <w:t>directivă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Comisia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publică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la </w:t>
            </w:r>
            <w:proofErr w:type="spellStart"/>
            <w:r w:rsidRPr="006704CE">
              <w:rPr>
                <w:rFonts w:eastAsia="Arial Unicode MS"/>
                <w:color w:val="000000" w:themeColor="text1"/>
                <w:sz w:val="20"/>
                <w:szCs w:val="20"/>
                <w:shd w:val="clear" w:color="auto" w:fill="FFFFFF"/>
                <w:lang w:val="en-US"/>
              </w:rPr>
              <w:t>nivelul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Uniunii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până</w:t>
            </w:r>
            <w:proofErr w:type="spellEnd"/>
            <w:r w:rsidRPr="006704CE">
              <w:rPr>
                <w:rFonts w:eastAsia="Arial Unicode MS"/>
                <w:color w:val="000000" w:themeColor="text1"/>
                <w:sz w:val="20"/>
                <w:szCs w:val="20"/>
                <w:shd w:val="clear" w:color="auto" w:fill="FFFFFF"/>
                <w:lang w:val="en-US"/>
              </w:rPr>
              <w:t xml:space="preserve"> la 6</w:t>
            </w:r>
            <w:r w:rsidR="006704CE"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septembrie</w:t>
            </w:r>
            <w:proofErr w:type="spellEnd"/>
            <w:r w:rsidRPr="006704CE">
              <w:rPr>
                <w:rFonts w:eastAsia="Arial Unicode MS"/>
                <w:color w:val="000000" w:themeColor="text1"/>
                <w:sz w:val="20"/>
                <w:szCs w:val="20"/>
                <w:shd w:val="clear" w:color="auto" w:fill="FFFFFF"/>
                <w:lang w:val="en-US"/>
              </w:rPr>
              <w:t xml:space="preserve"> 2023.</w:t>
            </w:r>
          </w:p>
          <w:p w14:paraId="361AA802" w14:textId="4D83ACCB" w:rsidR="00124364" w:rsidRPr="006704CE" w:rsidRDefault="00000000" w:rsidP="006704C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6704CE">
              <w:rPr>
                <w:rFonts w:eastAsia="Arial Unicode MS"/>
                <w:color w:val="000000" w:themeColor="text1"/>
                <w:sz w:val="20"/>
                <w:szCs w:val="20"/>
                <w:shd w:val="clear" w:color="auto" w:fill="FFFFFF"/>
                <w:lang w:val="en-US"/>
              </w:rPr>
              <w:t>Începând</w:t>
            </w:r>
            <w:proofErr w:type="spellEnd"/>
            <w:r w:rsidRPr="006704CE">
              <w:rPr>
                <w:rFonts w:eastAsia="Arial Unicode MS"/>
                <w:color w:val="000000" w:themeColor="text1"/>
                <w:sz w:val="20"/>
                <w:szCs w:val="20"/>
                <w:shd w:val="clear" w:color="auto" w:fill="FFFFFF"/>
                <w:lang w:val="en-US"/>
              </w:rPr>
              <w:t xml:space="preserve"> cu 1</w:t>
            </w:r>
            <w:r w:rsidR="006704CE"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ianuarie</w:t>
            </w:r>
            <w:proofErr w:type="spellEnd"/>
            <w:r w:rsidRPr="006704CE">
              <w:rPr>
                <w:rFonts w:eastAsia="Arial Unicode MS"/>
                <w:color w:val="000000" w:themeColor="text1"/>
                <w:sz w:val="20"/>
                <w:szCs w:val="20"/>
                <w:shd w:val="clear" w:color="auto" w:fill="FFFFFF"/>
                <w:lang w:val="en-US"/>
              </w:rPr>
              <w:t xml:space="preserve"> 2026 și, </w:t>
            </w:r>
            <w:proofErr w:type="spellStart"/>
            <w:r w:rsidRPr="006704CE">
              <w:rPr>
                <w:rFonts w:eastAsia="Arial Unicode MS"/>
                <w:color w:val="000000" w:themeColor="text1"/>
                <w:sz w:val="20"/>
                <w:szCs w:val="20"/>
                <w:shd w:val="clear" w:color="auto" w:fill="FFFFFF"/>
                <w:lang w:val="en-US"/>
              </w:rPr>
              <w:t>respectiv</w:t>
            </w:r>
            <w:proofErr w:type="spellEnd"/>
            <w:r w:rsidRPr="006704CE">
              <w:rPr>
                <w:rFonts w:eastAsia="Arial Unicode MS"/>
                <w:color w:val="000000" w:themeColor="text1"/>
                <w:sz w:val="20"/>
                <w:szCs w:val="20"/>
                <w:shd w:val="clear" w:color="auto" w:fill="FFFFFF"/>
                <w:lang w:val="en-US"/>
              </w:rPr>
              <w:t>, 1</w:t>
            </w:r>
            <w:r w:rsidR="006704CE"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ianuarie</w:t>
            </w:r>
            <w:proofErr w:type="spellEnd"/>
            <w:r w:rsidRPr="006704CE">
              <w:rPr>
                <w:rFonts w:eastAsia="Arial Unicode MS"/>
                <w:color w:val="000000" w:themeColor="text1"/>
                <w:sz w:val="20"/>
                <w:szCs w:val="20"/>
                <w:shd w:val="clear" w:color="auto" w:fill="FFFFFF"/>
                <w:lang w:val="en-US"/>
              </w:rPr>
              <w:t xml:space="preserve"> 2027, </w:t>
            </w:r>
            <w:proofErr w:type="spellStart"/>
            <w:r w:rsidRPr="006704CE">
              <w:rPr>
                <w:rFonts w:eastAsia="Arial Unicode MS"/>
                <w:color w:val="000000" w:themeColor="text1"/>
                <w:sz w:val="20"/>
                <w:szCs w:val="20"/>
                <w:shd w:val="clear" w:color="auto" w:fill="FFFFFF"/>
                <w:lang w:val="en-US"/>
              </w:rPr>
              <w:t>cantitatea</w:t>
            </w:r>
            <w:proofErr w:type="spellEnd"/>
            <w:r w:rsidRPr="006704CE">
              <w:rPr>
                <w:rFonts w:eastAsia="Arial Unicode MS"/>
                <w:color w:val="000000" w:themeColor="text1"/>
                <w:sz w:val="20"/>
                <w:szCs w:val="20"/>
                <w:shd w:val="clear" w:color="auto" w:fill="FFFFFF"/>
                <w:lang w:val="en-US"/>
              </w:rPr>
              <w:t xml:space="preserve"> de certificate se </w:t>
            </w:r>
            <w:proofErr w:type="spellStart"/>
            <w:r w:rsidRPr="006704CE">
              <w:rPr>
                <w:rFonts w:eastAsia="Arial Unicode MS"/>
                <w:color w:val="000000" w:themeColor="text1"/>
                <w:sz w:val="20"/>
                <w:szCs w:val="20"/>
                <w:shd w:val="clear" w:color="auto" w:fill="FFFFFF"/>
                <w:lang w:val="en-US"/>
              </w:rPr>
              <w:t>majorează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a se </w:t>
            </w:r>
            <w:proofErr w:type="spellStart"/>
            <w:r w:rsidRPr="006704CE">
              <w:rPr>
                <w:rFonts w:eastAsia="Arial Unicode MS"/>
                <w:color w:val="000000" w:themeColor="text1"/>
                <w:sz w:val="20"/>
                <w:szCs w:val="20"/>
                <w:shd w:val="clear" w:color="auto" w:fill="FFFFFF"/>
                <w:lang w:val="en-US"/>
              </w:rPr>
              <w:t>ține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seama</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includerea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emisiilor</w:t>
            </w:r>
            <w:proofErr w:type="spellEnd"/>
            <w:r w:rsidRPr="006704CE">
              <w:rPr>
                <w:rFonts w:eastAsia="Arial Unicode MS"/>
                <w:color w:val="000000" w:themeColor="text1"/>
                <w:sz w:val="20"/>
                <w:szCs w:val="20"/>
                <w:shd w:val="clear" w:color="auto" w:fill="FFFFFF"/>
                <w:lang w:val="en-US"/>
              </w:rPr>
              <w:t xml:space="preserve"> de gaze cu </w:t>
            </w:r>
            <w:proofErr w:type="spellStart"/>
            <w:r w:rsidRPr="006704CE">
              <w:rPr>
                <w:rFonts w:eastAsia="Arial Unicode MS"/>
                <w:color w:val="000000" w:themeColor="text1"/>
                <w:sz w:val="20"/>
                <w:szCs w:val="20"/>
                <w:shd w:val="clear" w:color="auto" w:fill="FFFFFF"/>
                <w:lang w:val="en-US"/>
              </w:rPr>
              <w:t>efect</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seră</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altele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decât</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emisiile</w:t>
            </w:r>
            <w:proofErr w:type="spellEnd"/>
            <w:r w:rsidRPr="006704CE">
              <w:rPr>
                <w:rFonts w:eastAsia="Arial Unicode MS"/>
                <w:color w:val="000000" w:themeColor="text1"/>
                <w:sz w:val="20"/>
                <w:szCs w:val="20"/>
                <w:shd w:val="clear" w:color="auto" w:fill="FFFFFF"/>
                <w:lang w:val="en-US"/>
              </w:rPr>
              <w:t xml:space="preserve"> de CO</w:t>
            </w:r>
            <w:r w:rsidRPr="006704CE">
              <w:rPr>
                <w:rStyle w:val="subscript"/>
                <w:rFonts w:eastAsia="Arial Unicode MS"/>
                <w:color w:val="000000" w:themeColor="text1"/>
                <w:sz w:val="20"/>
                <w:szCs w:val="20"/>
                <w:vertAlign w:val="subscript"/>
                <w:lang w:val="en-US"/>
              </w:rPr>
              <w:t>2</w:t>
            </w:r>
            <w:r w:rsidR="006704CE" w:rsidRPr="006704CE">
              <w:rPr>
                <w:rStyle w:val="apple-converted-space"/>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generate de </w:t>
            </w:r>
            <w:proofErr w:type="spellStart"/>
            <w:r w:rsidRPr="006704CE">
              <w:rPr>
                <w:rFonts w:eastAsia="Arial Unicode MS"/>
                <w:color w:val="000000" w:themeColor="text1"/>
                <w:sz w:val="20"/>
                <w:szCs w:val="20"/>
                <w:shd w:val="clear" w:color="auto" w:fill="FFFFFF"/>
                <w:lang w:val="en-US"/>
              </w:rPr>
              <w:t>activitățile</w:t>
            </w:r>
            <w:proofErr w:type="spellEnd"/>
            <w:r w:rsidRPr="006704CE">
              <w:rPr>
                <w:rFonts w:eastAsia="Arial Unicode MS"/>
                <w:color w:val="000000" w:themeColor="text1"/>
                <w:sz w:val="20"/>
                <w:szCs w:val="20"/>
                <w:shd w:val="clear" w:color="auto" w:fill="FFFFFF"/>
                <w:lang w:val="en-US"/>
              </w:rPr>
              <w:t xml:space="preserve"> de transport maritim, și de </w:t>
            </w:r>
            <w:proofErr w:type="spellStart"/>
            <w:r w:rsidRPr="006704CE">
              <w:rPr>
                <w:rFonts w:eastAsia="Arial Unicode MS"/>
                <w:color w:val="000000" w:themeColor="text1"/>
                <w:sz w:val="20"/>
                <w:szCs w:val="20"/>
                <w:shd w:val="clear" w:color="auto" w:fill="FFFFFF"/>
                <w:lang w:val="en-US"/>
              </w:rPr>
              <w:t>includerea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emisiilor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navelor</w:t>
            </w:r>
            <w:proofErr w:type="spellEnd"/>
            <w:r w:rsidRPr="006704CE">
              <w:rPr>
                <w:rFonts w:eastAsia="Arial Unicode MS"/>
                <w:color w:val="000000" w:themeColor="text1"/>
                <w:sz w:val="20"/>
                <w:szCs w:val="20"/>
                <w:shd w:val="clear" w:color="auto" w:fill="FFFFFF"/>
                <w:lang w:val="en-US"/>
              </w:rPr>
              <w:t xml:space="preserve"> de </w:t>
            </w:r>
            <w:proofErr w:type="spellStart"/>
            <w:r w:rsidRPr="006704CE">
              <w:rPr>
                <w:rFonts w:eastAsia="Arial Unicode MS"/>
                <w:color w:val="000000" w:themeColor="text1"/>
                <w:sz w:val="20"/>
                <w:szCs w:val="20"/>
                <w:shd w:val="clear" w:color="auto" w:fill="FFFFFF"/>
                <w:lang w:val="en-US"/>
              </w:rPr>
              <w:t>aprovizionare</w:t>
            </w:r>
            <w:proofErr w:type="spellEnd"/>
            <w:r w:rsidRPr="006704CE">
              <w:rPr>
                <w:rFonts w:eastAsia="Arial Unicode MS"/>
                <w:color w:val="000000" w:themeColor="text1"/>
                <w:sz w:val="20"/>
                <w:szCs w:val="20"/>
                <w:shd w:val="clear" w:color="auto" w:fill="FFFFFF"/>
                <w:lang w:val="en-US"/>
              </w:rPr>
              <w:t xml:space="preserve"> în </w:t>
            </w:r>
            <w:proofErr w:type="spellStart"/>
            <w:r w:rsidRPr="006704CE">
              <w:rPr>
                <w:rFonts w:eastAsia="Arial Unicode MS"/>
                <w:color w:val="000000" w:themeColor="text1"/>
                <w:sz w:val="20"/>
                <w:szCs w:val="20"/>
                <w:shd w:val="clear" w:color="auto" w:fill="FFFFFF"/>
                <w:lang w:val="en-US"/>
              </w:rPr>
              <w:t>larg</w:t>
            </w:r>
            <w:proofErr w:type="spellEnd"/>
            <w:r w:rsidRPr="006704CE">
              <w:rPr>
                <w:rFonts w:eastAsia="Arial Unicode MS"/>
                <w:color w:val="000000" w:themeColor="text1"/>
                <w:sz w:val="20"/>
                <w:szCs w:val="20"/>
                <w:shd w:val="clear" w:color="auto" w:fill="FFFFFF"/>
                <w:lang w:val="en-US"/>
              </w:rPr>
              <w:t xml:space="preserve">, pe </w:t>
            </w:r>
            <w:proofErr w:type="spellStart"/>
            <w:r w:rsidRPr="006704CE">
              <w:rPr>
                <w:rFonts w:eastAsia="Arial Unicode MS"/>
                <w:color w:val="000000" w:themeColor="text1"/>
                <w:sz w:val="20"/>
                <w:szCs w:val="20"/>
                <w:shd w:val="clear" w:color="auto" w:fill="FFFFFF"/>
                <w:lang w:val="en-US"/>
              </w:rPr>
              <w:t>baza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emisiilor</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acestora</w:t>
            </w:r>
            <w:proofErr w:type="spellEnd"/>
            <w:r w:rsidRPr="006704CE">
              <w:rPr>
                <w:rFonts w:eastAsia="Arial Unicode MS"/>
                <w:color w:val="000000" w:themeColor="text1"/>
                <w:sz w:val="20"/>
                <w:szCs w:val="20"/>
                <w:shd w:val="clear" w:color="auto" w:fill="FFFFFF"/>
                <w:lang w:val="en-US"/>
              </w:rPr>
              <w:t xml:space="preserve"> din </w:t>
            </w:r>
            <w:proofErr w:type="spellStart"/>
            <w:r w:rsidRPr="006704CE">
              <w:rPr>
                <w:rFonts w:eastAsia="Arial Unicode MS"/>
                <w:color w:val="000000" w:themeColor="text1"/>
                <w:sz w:val="20"/>
                <w:szCs w:val="20"/>
                <w:shd w:val="clear" w:color="auto" w:fill="FFFFFF"/>
                <w:lang w:val="en-US"/>
              </w:rPr>
              <w:t>cel</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mai</w:t>
            </w:r>
            <w:proofErr w:type="spellEnd"/>
            <w:r w:rsidRPr="006704CE">
              <w:rPr>
                <w:rFonts w:eastAsia="Arial Unicode MS"/>
                <w:color w:val="000000" w:themeColor="text1"/>
                <w:sz w:val="20"/>
                <w:szCs w:val="20"/>
                <w:shd w:val="clear" w:color="auto" w:fill="FFFFFF"/>
                <w:lang w:val="en-US"/>
              </w:rPr>
              <w:t xml:space="preserve"> recent </w:t>
            </w:r>
            <w:proofErr w:type="gramStart"/>
            <w:r w:rsidRPr="006704CE">
              <w:rPr>
                <w:rFonts w:eastAsia="Arial Unicode MS"/>
                <w:color w:val="000000" w:themeColor="text1"/>
                <w:sz w:val="20"/>
                <w:szCs w:val="20"/>
                <w:shd w:val="clear" w:color="auto" w:fill="FFFFFF"/>
                <w:lang w:val="en-US"/>
              </w:rPr>
              <w:t>an</w:t>
            </w:r>
            <w:proofErr w:type="gram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care sunt </w:t>
            </w:r>
            <w:proofErr w:type="spellStart"/>
            <w:r w:rsidRPr="006704CE">
              <w:rPr>
                <w:rFonts w:eastAsia="Arial Unicode MS"/>
                <w:color w:val="000000" w:themeColor="text1"/>
                <w:sz w:val="20"/>
                <w:szCs w:val="20"/>
                <w:shd w:val="clear" w:color="auto" w:fill="FFFFFF"/>
                <w:lang w:val="en-US"/>
              </w:rPr>
              <w:t>disponibile</w:t>
            </w:r>
            <w:proofErr w:type="spellEnd"/>
            <w:r w:rsidRPr="006704CE">
              <w:rPr>
                <w:rFonts w:eastAsia="Arial Unicode MS"/>
                <w:color w:val="000000" w:themeColor="text1"/>
                <w:sz w:val="20"/>
                <w:szCs w:val="20"/>
                <w:shd w:val="clear" w:color="auto" w:fill="FFFFFF"/>
                <w:lang w:val="en-US"/>
              </w:rPr>
              <w:t xml:space="preserve"> date. </w:t>
            </w:r>
            <w:proofErr w:type="spellStart"/>
            <w:r w:rsidRPr="006704CE">
              <w:rPr>
                <w:rFonts w:eastAsia="Arial Unicode MS"/>
                <w:color w:val="000000" w:themeColor="text1"/>
                <w:sz w:val="20"/>
                <w:szCs w:val="20"/>
                <w:shd w:val="clear" w:color="auto" w:fill="FFFFFF"/>
                <w:lang w:val="en-US"/>
              </w:rPr>
              <w:t>Fără</w:t>
            </w:r>
            <w:proofErr w:type="spellEnd"/>
            <w:r w:rsidRPr="006704CE">
              <w:rPr>
                <w:rFonts w:eastAsia="Arial Unicode MS"/>
                <w:color w:val="000000" w:themeColor="text1"/>
                <w:sz w:val="20"/>
                <w:szCs w:val="20"/>
                <w:shd w:val="clear" w:color="auto" w:fill="FFFFFF"/>
                <w:lang w:val="en-US"/>
              </w:rPr>
              <w:t xml:space="preserve"> </w:t>
            </w:r>
            <w:proofErr w:type="gramStart"/>
            <w:r w:rsidRPr="006704CE">
              <w:rPr>
                <w:rFonts w:eastAsia="Arial Unicode MS"/>
                <w:color w:val="000000" w:themeColor="text1"/>
                <w:sz w:val="20"/>
                <w:szCs w:val="20"/>
                <w:shd w:val="clear" w:color="auto" w:fill="FFFFFF"/>
                <w:lang w:val="en-US"/>
              </w:rPr>
              <w:t>a</w:t>
            </w:r>
            <w:proofErr w:type="gram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aduce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atingere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articolului</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10 </w:t>
            </w:r>
            <w:proofErr w:type="spellStart"/>
            <w:r w:rsidRPr="006704CE">
              <w:rPr>
                <w:rFonts w:eastAsia="Arial Unicode MS"/>
                <w:color w:val="000000" w:themeColor="text1"/>
                <w:sz w:val="20"/>
                <w:szCs w:val="20"/>
                <w:shd w:val="clear" w:color="auto" w:fill="FFFFFF"/>
                <w:lang w:val="en-US"/>
              </w:rPr>
              <w:t>alineatul</w:t>
            </w:r>
            <w:proofErr w:type="spellEnd"/>
            <w:r w:rsidRPr="006704CE">
              <w:rPr>
                <w:rFonts w:eastAsia="Arial Unicode MS"/>
                <w:color w:val="000000" w:themeColor="text1"/>
                <w:sz w:val="20"/>
                <w:szCs w:val="20"/>
                <w:shd w:val="clear" w:color="auto" w:fill="FFFFFF"/>
                <w:lang w:val="en-US"/>
              </w:rPr>
              <w:t xml:space="preserve"> (1), </w:t>
            </w:r>
            <w:proofErr w:type="spellStart"/>
            <w:r w:rsidRPr="006704CE">
              <w:rPr>
                <w:rFonts w:eastAsia="Arial Unicode MS"/>
                <w:color w:val="000000" w:themeColor="text1"/>
                <w:sz w:val="20"/>
                <w:szCs w:val="20"/>
                <w:shd w:val="clear" w:color="auto" w:fill="FFFFFF"/>
                <w:lang w:val="en-US"/>
              </w:rPr>
              <w:t>certificatele</w:t>
            </w:r>
            <w:proofErr w:type="spellEnd"/>
            <w:r w:rsidRPr="006704CE">
              <w:rPr>
                <w:rFonts w:eastAsia="Arial Unicode MS"/>
                <w:color w:val="000000" w:themeColor="text1"/>
                <w:sz w:val="20"/>
                <w:szCs w:val="20"/>
                <w:shd w:val="clear" w:color="auto" w:fill="FFFFFF"/>
                <w:lang w:val="en-US"/>
              </w:rPr>
              <w:t xml:space="preserve"> care </w:t>
            </w:r>
            <w:proofErr w:type="spellStart"/>
            <w:r w:rsidRPr="006704CE">
              <w:rPr>
                <w:rFonts w:eastAsia="Arial Unicode MS"/>
                <w:color w:val="000000" w:themeColor="text1"/>
                <w:sz w:val="20"/>
                <w:szCs w:val="20"/>
                <w:shd w:val="clear" w:color="auto" w:fill="FFFFFF"/>
                <w:lang w:val="en-US"/>
              </w:rPr>
              <w:t>rezultă</w:t>
            </w:r>
            <w:proofErr w:type="spellEnd"/>
            <w:r w:rsidRPr="006704CE">
              <w:rPr>
                <w:rFonts w:eastAsia="Arial Unicode MS"/>
                <w:color w:val="000000" w:themeColor="text1"/>
                <w:sz w:val="20"/>
                <w:szCs w:val="20"/>
                <w:shd w:val="clear" w:color="auto" w:fill="FFFFFF"/>
                <w:lang w:val="en-US"/>
              </w:rPr>
              <w:t xml:space="preserve"> din </w:t>
            </w:r>
            <w:proofErr w:type="spellStart"/>
            <w:r w:rsidRPr="006704CE">
              <w:rPr>
                <w:rFonts w:eastAsia="Arial Unicode MS"/>
                <w:color w:val="000000" w:themeColor="text1"/>
                <w:sz w:val="20"/>
                <w:szCs w:val="20"/>
                <w:shd w:val="clear" w:color="auto" w:fill="FFFFFF"/>
                <w:lang w:val="en-US"/>
              </w:rPr>
              <w:t>majorarea</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respectivă</w:t>
            </w:r>
            <w:proofErr w:type="spellEnd"/>
            <w:r w:rsidRPr="006704CE">
              <w:rPr>
                <w:rFonts w:eastAsia="Arial Unicode MS"/>
                <w:color w:val="000000" w:themeColor="text1"/>
                <w:sz w:val="20"/>
                <w:szCs w:val="20"/>
                <w:shd w:val="clear" w:color="auto" w:fill="FFFFFF"/>
                <w:lang w:val="en-US"/>
              </w:rPr>
              <w:t xml:space="preserve"> sunt </w:t>
            </w:r>
            <w:proofErr w:type="spellStart"/>
            <w:r w:rsidRPr="006704CE">
              <w:rPr>
                <w:rFonts w:eastAsia="Arial Unicode MS"/>
                <w:color w:val="000000" w:themeColor="text1"/>
                <w:sz w:val="20"/>
                <w:szCs w:val="20"/>
                <w:shd w:val="clear" w:color="auto" w:fill="FFFFFF"/>
                <w:lang w:val="en-US"/>
              </w:rPr>
              <w:t>puse</w:t>
            </w:r>
            <w:proofErr w:type="spellEnd"/>
            <w:r w:rsidRPr="006704CE">
              <w:rPr>
                <w:rFonts w:eastAsia="Arial Unicode MS"/>
                <w:color w:val="000000" w:themeColor="text1"/>
                <w:sz w:val="20"/>
                <w:szCs w:val="20"/>
                <w:shd w:val="clear" w:color="auto" w:fill="FFFFFF"/>
                <w:lang w:val="en-US"/>
              </w:rPr>
              <w:t xml:space="preserve"> la </w:t>
            </w:r>
            <w:proofErr w:type="spellStart"/>
            <w:r w:rsidRPr="006704CE">
              <w:rPr>
                <w:rFonts w:eastAsia="Arial Unicode MS"/>
                <w:color w:val="000000" w:themeColor="text1"/>
                <w:sz w:val="20"/>
                <w:szCs w:val="20"/>
                <w:shd w:val="clear" w:color="auto" w:fill="FFFFFF"/>
                <w:lang w:val="en-US"/>
              </w:rPr>
              <w:t>dispoziție</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pentru</w:t>
            </w:r>
            <w:proofErr w:type="spellEnd"/>
            <w:r w:rsidRPr="006704CE">
              <w:rPr>
                <w:rFonts w:eastAsia="Arial Unicode MS"/>
                <w:color w:val="000000" w:themeColor="text1"/>
                <w:sz w:val="20"/>
                <w:szCs w:val="20"/>
                <w:shd w:val="clear" w:color="auto" w:fill="FFFFFF"/>
                <w:lang w:val="en-US"/>
              </w:rPr>
              <w:t xml:space="preserve"> a </w:t>
            </w:r>
            <w:proofErr w:type="spellStart"/>
            <w:r w:rsidRPr="006704CE">
              <w:rPr>
                <w:rFonts w:eastAsia="Arial Unicode MS"/>
                <w:color w:val="000000" w:themeColor="text1"/>
                <w:sz w:val="20"/>
                <w:szCs w:val="20"/>
                <w:shd w:val="clear" w:color="auto" w:fill="FFFFFF"/>
                <w:lang w:val="en-US"/>
              </w:rPr>
              <w:t>sprijini</w:t>
            </w:r>
            <w:proofErr w:type="spellEnd"/>
            <w:r w:rsidRPr="006704CE">
              <w:rPr>
                <w:rFonts w:eastAsia="Arial Unicode MS"/>
                <w:color w:val="000000" w:themeColor="text1"/>
                <w:sz w:val="20"/>
                <w:szCs w:val="20"/>
                <w:shd w:val="clear" w:color="auto" w:fill="FFFFFF"/>
                <w:lang w:val="en-US"/>
              </w:rPr>
              <w:t xml:space="preserve"> </w:t>
            </w:r>
            <w:proofErr w:type="spellStart"/>
            <w:r w:rsidRPr="006704CE">
              <w:rPr>
                <w:rFonts w:eastAsia="Arial Unicode MS"/>
                <w:color w:val="000000" w:themeColor="text1"/>
                <w:sz w:val="20"/>
                <w:szCs w:val="20"/>
                <w:shd w:val="clear" w:color="auto" w:fill="FFFFFF"/>
                <w:lang w:val="en-US"/>
              </w:rPr>
              <w:t>inovarea</w:t>
            </w:r>
            <w:proofErr w:type="spellEnd"/>
            <w:r w:rsidRPr="006704CE">
              <w:rPr>
                <w:rFonts w:eastAsia="Arial Unicode MS"/>
                <w:color w:val="000000" w:themeColor="text1"/>
                <w:sz w:val="20"/>
                <w:szCs w:val="20"/>
                <w:shd w:val="clear" w:color="auto" w:fill="FFFFFF"/>
                <w:lang w:val="en-US"/>
              </w:rPr>
              <w:t xml:space="preserve"> în conformitate cu </w:t>
            </w:r>
            <w:proofErr w:type="spellStart"/>
            <w:r w:rsidRPr="006704CE">
              <w:rPr>
                <w:rFonts w:eastAsia="Arial Unicode MS"/>
                <w:color w:val="000000" w:themeColor="text1"/>
                <w:sz w:val="20"/>
                <w:szCs w:val="20"/>
                <w:shd w:val="clear" w:color="auto" w:fill="FFFFFF"/>
                <w:lang w:val="en-US"/>
              </w:rPr>
              <w:t>articolul</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 xml:space="preserve">10a </w:t>
            </w:r>
            <w:proofErr w:type="spellStart"/>
            <w:r w:rsidRPr="006704CE">
              <w:rPr>
                <w:rFonts w:eastAsia="Arial Unicode MS"/>
                <w:color w:val="000000" w:themeColor="text1"/>
                <w:sz w:val="20"/>
                <w:szCs w:val="20"/>
                <w:shd w:val="clear" w:color="auto" w:fill="FFFFFF"/>
                <w:lang w:val="en-US"/>
              </w:rPr>
              <w:t>alineatul</w:t>
            </w:r>
            <w:proofErr w:type="spellEnd"/>
            <w:r w:rsidR="006704CE" w:rsidRPr="006704CE">
              <w:rPr>
                <w:rFonts w:eastAsia="Arial Unicode MS"/>
                <w:color w:val="000000" w:themeColor="text1"/>
                <w:sz w:val="20"/>
                <w:szCs w:val="20"/>
                <w:shd w:val="clear" w:color="auto" w:fill="FFFFFF"/>
                <w:lang w:val="en-US"/>
              </w:rPr>
              <w:t xml:space="preserve"> </w:t>
            </w:r>
            <w:r w:rsidRPr="006704CE">
              <w:rPr>
                <w:rFonts w:eastAsia="Arial Unicode MS"/>
                <w:color w:val="000000" w:themeColor="text1"/>
                <w:sz w:val="20"/>
                <w:szCs w:val="20"/>
                <w:shd w:val="clear" w:color="auto" w:fill="FFFFFF"/>
                <w:lang w:val="en-US"/>
              </w:rPr>
              <w:t>(8).</w:t>
            </w:r>
          </w:p>
          <w:p w14:paraId="37AC2FEA" w14:textId="77777777" w:rsidR="00124364" w:rsidRDefault="00000000" w:rsidP="006704CE">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hyperlink r:id="rId82" w:tooltip="32009L0029: INSERTED" w:history="1">
              <w:r w:rsidRPr="006704CE">
                <w:rPr>
                  <w:rStyle w:val="af3"/>
                  <w:rFonts w:eastAsia="Arial Unicode MS"/>
                  <w:b/>
                  <w:bCs/>
                  <w:color w:val="000000" w:themeColor="text1"/>
                  <w:sz w:val="20"/>
                  <w:szCs w:val="20"/>
                </w:rPr>
                <w:t>▼M4</w:t>
              </w:r>
            </w:hyperlink>
          </w:p>
        </w:tc>
        <w:tc>
          <w:tcPr>
            <w:tcW w:w="4394" w:type="dxa"/>
            <w:shd w:val="clear" w:color="auto" w:fill="auto"/>
          </w:tcPr>
          <w:p w14:paraId="63B7000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E889BC0" w14:textId="644CB181" w:rsidR="00124364" w:rsidRDefault="006704CE">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59CC1015"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491CEB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513E4B9" w14:textId="77777777" w:rsidR="00D938EB" w:rsidRPr="0066519A" w:rsidRDefault="00D938EB" w:rsidP="00D938E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w:t>
            </w:r>
            <w:r w:rsidRPr="00DF1AB5">
              <w:rPr>
                <w:rFonts w:ascii="Times New Roman" w:hAnsi="Times New Roman"/>
                <w:color w:val="000000" w:themeColor="text1"/>
                <w:sz w:val="20"/>
                <w:szCs w:val="20"/>
                <w:lang w:val="ro-RO"/>
              </w:rPr>
              <w:lastRenderedPageBreak/>
              <w:t xml:space="preserve">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68B4418F"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608E6EA" w14:textId="77777777" w:rsidR="00124364" w:rsidRDefault="00124364" w:rsidP="00D938EB">
            <w:pPr>
              <w:autoSpaceDE w:val="0"/>
              <w:spacing w:after="0" w:line="240" w:lineRule="auto"/>
              <w:rPr>
                <w:rFonts w:ascii="Times New Roman" w:hAnsi="Times New Roman"/>
                <w:sz w:val="20"/>
                <w:szCs w:val="20"/>
                <w:lang w:val="fr-FR"/>
              </w:rPr>
            </w:pPr>
          </w:p>
        </w:tc>
      </w:tr>
      <w:tr w:rsidR="00124364" w14:paraId="70480C13" w14:textId="77777777">
        <w:trPr>
          <w:trHeight w:val="558"/>
        </w:trPr>
        <w:tc>
          <w:tcPr>
            <w:tcW w:w="4957" w:type="dxa"/>
            <w:shd w:val="clear" w:color="auto" w:fill="auto"/>
          </w:tcPr>
          <w:p w14:paraId="54468A08" w14:textId="27E1E51F"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D938EB">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9a</w:t>
            </w:r>
          </w:p>
          <w:p w14:paraId="312A496C"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Ajustarea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cantității</w:t>
            </w:r>
            <w:proofErr w:type="spellEnd"/>
            <w:r>
              <w:rPr>
                <w:rFonts w:eastAsia="Arial Unicode MS"/>
                <w:b/>
                <w:bCs/>
                <w:color w:val="333333"/>
                <w:sz w:val="20"/>
                <w:szCs w:val="20"/>
                <w:shd w:val="clear" w:color="auto" w:fill="FFFFFF"/>
                <w:lang w:val="en-US"/>
              </w:rPr>
              <w:t xml:space="preserve"> de certificate </w:t>
            </w:r>
            <w:proofErr w:type="spellStart"/>
            <w:r>
              <w:rPr>
                <w:rFonts w:eastAsia="Arial Unicode MS"/>
                <w:b/>
                <w:bCs/>
                <w:color w:val="333333"/>
                <w:sz w:val="20"/>
                <w:szCs w:val="20"/>
                <w:shd w:val="clear" w:color="auto" w:fill="FFFFFF"/>
                <w:lang w:val="en-US"/>
              </w:rPr>
              <w:t>emise</w:t>
            </w:r>
            <w:proofErr w:type="spellEnd"/>
            <w:r>
              <w:rPr>
                <w:rFonts w:eastAsia="Arial Unicode MS"/>
                <w:b/>
                <w:bCs/>
                <w:color w:val="333333"/>
                <w:sz w:val="20"/>
                <w:szCs w:val="20"/>
                <w:shd w:val="clear" w:color="auto" w:fill="FFFFFF"/>
                <w:lang w:val="en-US"/>
              </w:rPr>
              <w:t xml:space="preserve"> la </w:t>
            </w:r>
            <w:proofErr w:type="spellStart"/>
            <w:r>
              <w:rPr>
                <w:rFonts w:eastAsia="Arial Unicode MS"/>
                <w:b/>
                <w:bCs/>
                <w:color w:val="333333"/>
                <w:sz w:val="20"/>
                <w:szCs w:val="20"/>
                <w:shd w:val="clear" w:color="auto" w:fill="FFFFFF"/>
                <w:lang w:val="en-US"/>
              </w:rPr>
              <w:t>nivel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comunitar</w:t>
            </w:r>
            <w:proofErr w:type="spellEnd"/>
          </w:p>
          <w:p w14:paraId="3E4F7905" w14:textId="45C9E7F1" w:rsidR="00124364" w:rsidRPr="00D938EB" w:rsidRDefault="00000000" w:rsidP="00D938EB">
            <w:pPr>
              <w:pStyle w:val="af8"/>
              <w:numPr>
                <w:ilvl w:val="0"/>
                <w:numId w:val="36"/>
              </w:numPr>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rPr>
              <w:t xml:space="preserve">În </w:t>
            </w:r>
            <w:proofErr w:type="spellStart"/>
            <w:r w:rsidRPr="00D938EB">
              <w:rPr>
                <w:rFonts w:ascii="Times New Roman" w:eastAsia="Arial Unicode MS" w:hAnsi="Times New Roman"/>
                <w:color w:val="000000" w:themeColor="text1"/>
                <w:sz w:val="20"/>
                <w:szCs w:val="20"/>
              </w:rPr>
              <w:t>ceea</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ce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privește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instalațiile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incluse</w:t>
            </w:r>
            <w:proofErr w:type="spellEnd"/>
            <w:r w:rsidRPr="00D938EB">
              <w:rPr>
                <w:rFonts w:ascii="Times New Roman" w:eastAsia="Arial Unicode MS" w:hAnsi="Times New Roman"/>
                <w:color w:val="000000" w:themeColor="text1"/>
                <w:sz w:val="20"/>
                <w:szCs w:val="20"/>
              </w:rPr>
              <w:t xml:space="preserve"> în schema </w:t>
            </w:r>
            <w:proofErr w:type="spellStart"/>
            <w:r w:rsidRPr="00D938EB">
              <w:rPr>
                <w:rFonts w:ascii="Times New Roman" w:eastAsia="Arial Unicode MS" w:hAnsi="Times New Roman"/>
                <w:color w:val="000000" w:themeColor="text1"/>
                <w:sz w:val="20"/>
                <w:szCs w:val="20"/>
              </w:rPr>
              <w:t>comunitară</w:t>
            </w:r>
            <w:proofErr w:type="spellEnd"/>
            <w:r w:rsidRPr="00D938EB">
              <w:rPr>
                <w:rFonts w:ascii="Times New Roman" w:eastAsia="Arial Unicode MS" w:hAnsi="Times New Roman"/>
                <w:color w:val="000000" w:themeColor="text1"/>
                <w:sz w:val="20"/>
                <w:szCs w:val="20"/>
              </w:rPr>
              <w:t xml:space="preserve"> în perioada 2008-2012 în </w:t>
            </w:r>
            <w:proofErr w:type="spellStart"/>
            <w:r w:rsidRPr="00D938EB">
              <w:rPr>
                <w:rFonts w:ascii="Times New Roman" w:eastAsia="Arial Unicode MS" w:hAnsi="Times New Roman"/>
                <w:color w:val="000000" w:themeColor="text1"/>
                <w:sz w:val="20"/>
                <w:szCs w:val="20"/>
              </w:rPr>
              <w:t>temeiul</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articolului</w:t>
            </w:r>
            <w:proofErr w:type="spellEnd"/>
            <w:r w:rsidR="00D938EB" w:rsidRPr="00D938EB">
              <w:rPr>
                <w:rFonts w:ascii="Times New Roman" w:eastAsia="Arial Unicode MS" w:hAnsi="Times New Roman"/>
                <w:color w:val="000000" w:themeColor="text1"/>
                <w:sz w:val="20"/>
                <w:szCs w:val="20"/>
              </w:rPr>
              <w:t xml:space="preserve"> </w:t>
            </w:r>
            <w:r w:rsidRPr="00D938EB">
              <w:rPr>
                <w:rFonts w:ascii="Times New Roman" w:eastAsia="Arial Unicode MS" w:hAnsi="Times New Roman"/>
                <w:color w:val="000000" w:themeColor="text1"/>
                <w:sz w:val="20"/>
                <w:szCs w:val="20"/>
              </w:rPr>
              <w:t xml:space="preserve">24 </w:t>
            </w:r>
            <w:proofErr w:type="spellStart"/>
            <w:r w:rsidRPr="00D938EB">
              <w:rPr>
                <w:rFonts w:ascii="Times New Roman" w:eastAsia="Arial Unicode MS" w:hAnsi="Times New Roman"/>
                <w:color w:val="000000" w:themeColor="text1"/>
                <w:sz w:val="20"/>
                <w:szCs w:val="20"/>
              </w:rPr>
              <w:t>alineatul</w:t>
            </w:r>
            <w:proofErr w:type="spellEnd"/>
            <w:r w:rsidRPr="00D938EB">
              <w:rPr>
                <w:rFonts w:ascii="Times New Roman" w:eastAsia="Arial Unicode MS" w:hAnsi="Times New Roman"/>
                <w:color w:val="000000" w:themeColor="text1"/>
                <w:sz w:val="20"/>
                <w:szCs w:val="20"/>
              </w:rPr>
              <w:t xml:space="preserve"> (1), </w:t>
            </w:r>
            <w:proofErr w:type="spellStart"/>
            <w:r w:rsidRPr="00D938EB">
              <w:rPr>
                <w:rFonts w:ascii="Times New Roman" w:eastAsia="Arial Unicode MS" w:hAnsi="Times New Roman"/>
                <w:color w:val="000000" w:themeColor="text1"/>
                <w:sz w:val="20"/>
                <w:szCs w:val="20"/>
              </w:rPr>
              <w:t>cantitatea</w:t>
            </w:r>
            <w:proofErr w:type="spellEnd"/>
            <w:r w:rsidRPr="00D938EB">
              <w:rPr>
                <w:rFonts w:ascii="Times New Roman" w:eastAsia="Arial Unicode MS" w:hAnsi="Times New Roman"/>
                <w:color w:val="000000" w:themeColor="text1"/>
                <w:sz w:val="20"/>
                <w:szCs w:val="20"/>
              </w:rPr>
              <w:t xml:space="preserve"> de certificate </w:t>
            </w:r>
            <w:proofErr w:type="spellStart"/>
            <w:r w:rsidRPr="00D938EB">
              <w:rPr>
                <w:rFonts w:ascii="Times New Roman" w:eastAsia="Arial Unicode MS" w:hAnsi="Times New Roman"/>
                <w:color w:val="000000" w:themeColor="text1"/>
                <w:sz w:val="20"/>
                <w:szCs w:val="20"/>
              </w:rPr>
              <w:t>emise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începând</w:t>
            </w:r>
            <w:proofErr w:type="spellEnd"/>
            <w:r w:rsidRPr="00D938EB">
              <w:rPr>
                <w:rFonts w:ascii="Times New Roman" w:eastAsia="Arial Unicode MS" w:hAnsi="Times New Roman"/>
                <w:color w:val="000000" w:themeColor="text1"/>
                <w:sz w:val="20"/>
                <w:szCs w:val="20"/>
              </w:rPr>
              <w:t xml:space="preserve"> cu 1</w:t>
            </w:r>
            <w:r w:rsidR="00D938EB"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ianuarie</w:t>
            </w:r>
            <w:proofErr w:type="spellEnd"/>
            <w:r w:rsidRPr="00D938EB">
              <w:rPr>
                <w:rFonts w:ascii="Times New Roman" w:eastAsia="Arial Unicode MS" w:hAnsi="Times New Roman"/>
                <w:color w:val="000000" w:themeColor="text1"/>
                <w:sz w:val="20"/>
                <w:szCs w:val="20"/>
              </w:rPr>
              <w:t xml:space="preserve"> 2013 se </w:t>
            </w:r>
            <w:proofErr w:type="spellStart"/>
            <w:r w:rsidRPr="00D938EB">
              <w:rPr>
                <w:rFonts w:ascii="Times New Roman" w:eastAsia="Arial Unicode MS" w:hAnsi="Times New Roman"/>
                <w:color w:val="000000" w:themeColor="text1"/>
                <w:sz w:val="20"/>
                <w:szCs w:val="20"/>
              </w:rPr>
              <w:t>ajustează</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pentru</w:t>
            </w:r>
            <w:proofErr w:type="spellEnd"/>
            <w:r w:rsidRPr="00D938EB">
              <w:rPr>
                <w:rFonts w:ascii="Times New Roman" w:eastAsia="Arial Unicode MS" w:hAnsi="Times New Roman"/>
                <w:color w:val="000000" w:themeColor="text1"/>
                <w:sz w:val="20"/>
                <w:szCs w:val="20"/>
              </w:rPr>
              <w:t xml:space="preserve"> a </w:t>
            </w:r>
            <w:proofErr w:type="spellStart"/>
            <w:r w:rsidRPr="00D938EB">
              <w:rPr>
                <w:rFonts w:ascii="Times New Roman" w:eastAsia="Arial Unicode MS" w:hAnsi="Times New Roman"/>
                <w:color w:val="000000" w:themeColor="text1"/>
                <w:sz w:val="20"/>
                <w:szCs w:val="20"/>
              </w:rPr>
              <w:t>reflecta</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cantitatea</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medie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anuală</w:t>
            </w:r>
            <w:proofErr w:type="spellEnd"/>
            <w:r w:rsidRPr="00D938EB">
              <w:rPr>
                <w:rFonts w:ascii="Times New Roman" w:eastAsia="Arial Unicode MS" w:hAnsi="Times New Roman"/>
                <w:color w:val="000000" w:themeColor="text1"/>
                <w:sz w:val="20"/>
                <w:szCs w:val="20"/>
              </w:rPr>
              <w:t xml:space="preserve"> de certificate </w:t>
            </w:r>
            <w:proofErr w:type="spellStart"/>
            <w:r w:rsidRPr="00D938EB">
              <w:rPr>
                <w:rFonts w:ascii="Times New Roman" w:eastAsia="Arial Unicode MS" w:hAnsi="Times New Roman"/>
                <w:color w:val="000000" w:themeColor="text1"/>
                <w:sz w:val="20"/>
                <w:szCs w:val="20"/>
              </w:rPr>
              <w:t>emise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pentru</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instalațiile</w:t>
            </w:r>
            <w:proofErr w:type="spellEnd"/>
            <w:r w:rsidRPr="00D938EB">
              <w:rPr>
                <w:rFonts w:ascii="Times New Roman" w:eastAsia="Arial Unicode MS" w:hAnsi="Times New Roman"/>
                <w:color w:val="000000" w:themeColor="text1"/>
                <w:sz w:val="20"/>
                <w:szCs w:val="20"/>
              </w:rPr>
              <w:t xml:space="preserve"> respective în </w:t>
            </w:r>
            <w:proofErr w:type="spellStart"/>
            <w:r w:rsidRPr="00D938EB">
              <w:rPr>
                <w:rFonts w:ascii="Times New Roman" w:eastAsia="Arial Unicode MS" w:hAnsi="Times New Roman"/>
                <w:color w:val="000000" w:themeColor="text1"/>
                <w:sz w:val="20"/>
                <w:szCs w:val="20"/>
              </w:rPr>
              <w:t>cursul</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perioadei</w:t>
            </w:r>
            <w:proofErr w:type="spellEnd"/>
            <w:r w:rsidRPr="00D938EB">
              <w:rPr>
                <w:rFonts w:ascii="Times New Roman" w:eastAsia="Arial Unicode MS" w:hAnsi="Times New Roman"/>
                <w:color w:val="000000" w:themeColor="text1"/>
                <w:sz w:val="20"/>
                <w:szCs w:val="20"/>
              </w:rPr>
              <w:t xml:space="preserve"> de </w:t>
            </w:r>
            <w:proofErr w:type="spellStart"/>
            <w:r w:rsidRPr="00D938EB">
              <w:rPr>
                <w:rFonts w:ascii="Times New Roman" w:eastAsia="Arial Unicode MS" w:hAnsi="Times New Roman"/>
                <w:color w:val="000000" w:themeColor="text1"/>
                <w:sz w:val="20"/>
                <w:szCs w:val="20"/>
              </w:rPr>
              <w:t>includere</w:t>
            </w:r>
            <w:proofErr w:type="spellEnd"/>
            <w:r w:rsidRPr="00D938EB">
              <w:rPr>
                <w:rFonts w:ascii="Times New Roman" w:eastAsia="Arial Unicode MS" w:hAnsi="Times New Roman"/>
                <w:color w:val="000000" w:themeColor="text1"/>
                <w:sz w:val="20"/>
                <w:szCs w:val="20"/>
              </w:rPr>
              <w:t xml:space="preserve"> </w:t>
            </w:r>
            <w:proofErr w:type="gramStart"/>
            <w:r w:rsidRPr="00D938EB">
              <w:rPr>
                <w:rFonts w:ascii="Times New Roman" w:eastAsia="Arial Unicode MS" w:hAnsi="Times New Roman"/>
                <w:color w:val="000000" w:themeColor="text1"/>
                <w:sz w:val="20"/>
                <w:szCs w:val="20"/>
              </w:rPr>
              <w:t>a</w:t>
            </w:r>
            <w:proofErr w:type="gram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acestora</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cantitate</w:t>
            </w:r>
            <w:proofErr w:type="spellEnd"/>
            <w:r w:rsidRPr="00D938EB">
              <w:rPr>
                <w:rFonts w:ascii="Times New Roman" w:eastAsia="Arial Unicode MS" w:hAnsi="Times New Roman"/>
                <w:color w:val="000000" w:themeColor="text1"/>
                <w:sz w:val="20"/>
                <w:szCs w:val="20"/>
              </w:rPr>
              <w:t xml:space="preserve"> </w:t>
            </w:r>
            <w:proofErr w:type="spellStart"/>
            <w:r w:rsidRPr="00D938EB">
              <w:rPr>
                <w:rFonts w:ascii="Times New Roman" w:eastAsia="Arial Unicode MS" w:hAnsi="Times New Roman"/>
                <w:color w:val="000000" w:themeColor="text1"/>
                <w:sz w:val="20"/>
                <w:szCs w:val="20"/>
              </w:rPr>
              <w:t>ajustată</w:t>
            </w:r>
            <w:proofErr w:type="spellEnd"/>
            <w:r w:rsidRPr="00D938EB">
              <w:rPr>
                <w:rFonts w:ascii="Times New Roman" w:eastAsia="Arial Unicode MS" w:hAnsi="Times New Roman"/>
                <w:color w:val="000000" w:themeColor="text1"/>
                <w:sz w:val="20"/>
                <w:szCs w:val="20"/>
              </w:rPr>
              <w:t xml:space="preserve"> cu </w:t>
            </w:r>
            <w:proofErr w:type="spellStart"/>
            <w:r w:rsidRPr="00D938EB">
              <w:rPr>
                <w:rFonts w:ascii="Times New Roman" w:eastAsia="Arial Unicode MS" w:hAnsi="Times New Roman"/>
                <w:color w:val="000000" w:themeColor="text1"/>
                <w:sz w:val="20"/>
                <w:szCs w:val="20"/>
              </w:rPr>
              <w:t>factorul</w:t>
            </w:r>
            <w:proofErr w:type="spellEnd"/>
            <w:r w:rsidRPr="00D938EB">
              <w:rPr>
                <w:rFonts w:ascii="Times New Roman" w:eastAsia="Arial Unicode MS" w:hAnsi="Times New Roman"/>
                <w:color w:val="000000" w:themeColor="text1"/>
                <w:sz w:val="20"/>
                <w:szCs w:val="20"/>
              </w:rPr>
              <w:t xml:space="preserve"> linear </w:t>
            </w:r>
            <w:proofErr w:type="spellStart"/>
            <w:r w:rsidRPr="00D938EB">
              <w:rPr>
                <w:rFonts w:ascii="Times New Roman" w:eastAsia="Arial Unicode MS" w:hAnsi="Times New Roman"/>
                <w:color w:val="000000" w:themeColor="text1"/>
                <w:sz w:val="20"/>
                <w:szCs w:val="20"/>
              </w:rPr>
              <w:t>menționat</w:t>
            </w:r>
            <w:proofErr w:type="spellEnd"/>
            <w:r w:rsidRPr="00D938EB">
              <w:rPr>
                <w:rFonts w:ascii="Times New Roman" w:eastAsia="Arial Unicode MS" w:hAnsi="Times New Roman"/>
                <w:color w:val="000000" w:themeColor="text1"/>
                <w:sz w:val="20"/>
                <w:szCs w:val="20"/>
              </w:rPr>
              <w:t xml:space="preserve"> la </w:t>
            </w:r>
            <w:proofErr w:type="spellStart"/>
            <w:r w:rsidRPr="00D938EB">
              <w:rPr>
                <w:rFonts w:ascii="Times New Roman" w:eastAsia="Arial Unicode MS" w:hAnsi="Times New Roman"/>
                <w:color w:val="000000" w:themeColor="text1"/>
                <w:sz w:val="20"/>
                <w:szCs w:val="20"/>
              </w:rPr>
              <w:t>articolul</w:t>
            </w:r>
            <w:proofErr w:type="spellEnd"/>
            <w:r w:rsidR="00D938EB" w:rsidRPr="00D938EB">
              <w:rPr>
                <w:rFonts w:ascii="Times New Roman" w:eastAsia="Arial Unicode MS" w:hAnsi="Times New Roman"/>
                <w:color w:val="000000" w:themeColor="text1"/>
                <w:sz w:val="20"/>
                <w:szCs w:val="20"/>
              </w:rPr>
              <w:t xml:space="preserve"> </w:t>
            </w:r>
            <w:r w:rsidRPr="00D938EB">
              <w:rPr>
                <w:rFonts w:ascii="Times New Roman" w:eastAsia="Arial Unicode MS" w:hAnsi="Times New Roman"/>
                <w:color w:val="000000" w:themeColor="text1"/>
                <w:sz w:val="20"/>
                <w:szCs w:val="20"/>
              </w:rPr>
              <w:t>9.</w:t>
            </w:r>
          </w:p>
          <w:p w14:paraId="09E284EB" w14:textId="77777777" w:rsidR="00124364" w:rsidRPr="00D938EB" w:rsidRDefault="00000000" w:rsidP="00D938EB">
            <w:pPr>
              <w:pStyle w:val="af8"/>
              <w:numPr>
                <w:ilvl w:val="0"/>
                <w:numId w:val="36"/>
              </w:numPr>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shd w:val="clear" w:color="auto" w:fill="FFFFFF"/>
              </w:rPr>
              <w:lastRenderedPageBreak/>
              <w:t xml:space="preserve">În </w:t>
            </w:r>
            <w:proofErr w:type="spellStart"/>
            <w:r w:rsidRPr="00D938EB">
              <w:rPr>
                <w:rFonts w:ascii="Times New Roman" w:eastAsia="Arial Unicode MS" w:hAnsi="Times New Roman"/>
                <w:color w:val="000000" w:themeColor="text1"/>
                <w:sz w:val="20"/>
                <w:szCs w:val="20"/>
                <w:shd w:val="clear" w:color="auto" w:fill="FFFFFF"/>
              </w:rPr>
              <w:t>ceea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privește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instalațiile</w:t>
            </w:r>
            <w:proofErr w:type="spellEnd"/>
            <w:r w:rsidRPr="00D938EB">
              <w:rPr>
                <w:rFonts w:ascii="Times New Roman" w:eastAsia="Arial Unicode MS" w:hAnsi="Times New Roman"/>
                <w:color w:val="000000" w:themeColor="text1"/>
                <w:sz w:val="20"/>
                <w:szCs w:val="20"/>
                <w:shd w:val="clear" w:color="auto" w:fill="FFFFFF"/>
              </w:rPr>
              <w:t xml:space="preserve"> care </w:t>
            </w:r>
            <w:proofErr w:type="spellStart"/>
            <w:r w:rsidRPr="00D938EB">
              <w:rPr>
                <w:rFonts w:ascii="Times New Roman" w:eastAsia="Arial Unicode MS" w:hAnsi="Times New Roman"/>
                <w:color w:val="000000" w:themeColor="text1"/>
                <w:sz w:val="20"/>
                <w:szCs w:val="20"/>
                <w:shd w:val="clear" w:color="auto" w:fill="FFFFFF"/>
              </w:rPr>
              <w:t>desfășoară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activitățile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menționate</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anexa</w:t>
            </w:r>
            <w:proofErr w:type="spellEnd"/>
            <w:r w:rsidRPr="00D938EB">
              <w:rPr>
                <w:rFonts w:ascii="Times New Roman" w:eastAsia="Arial Unicode MS" w:hAnsi="Times New Roman"/>
                <w:color w:val="000000" w:themeColor="text1"/>
                <w:sz w:val="20"/>
                <w:szCs w:val="20"/>
                <w:shd w:val="clear" w:color="auto" w:fill="FFFFFF"/>
              </w:rPr>
              <w:t xml:space="preserve"> I, </w:t>
            </w:r>
            <w:proofErr w:type="spellStart"/>
            <w:r w:rsidRPr="00D938EB">
              <w:rPr>
                <w:rFonts w:ascii="Times New Roman" w:eastAsia="Arial Unicode MS" w:hAnsi="Times New Roman"/>
                <w:color w:val="000000" w:themeColor="text1"/>
                <w:sz w:val="20"/>
                <w:szCs w:val="20"/>
                <w:shd w:val="clear" w:color="auto" w:fill="FFFFFF"/>
              </w:rPr>
              <w:t>incluse</w:t>
            </w:r>
            <w:proofErr w:type="spellEnd"/>
            <w:r w:rsidRPr="00D938EB">
              <w:rPr>
                <w:rFonts w:ascii="Times New Roman" w:eastAsia="Arial Unicode MS" w:hAnsi="Times New Roman"/>
                <w:color w:val="000000" w:themeColor="text1"/>
                <w:sz w:val="20"/>
                <w:szCs w:val="20"/>
                <w:shd w:val="clear" w:color="auto" w:fill="FFFFFF"/>
              </w:rPr>
              <w:t xml:space="preserve"> în schema </w:t>
            </w:r>
            <w:proofErr w:type="spellStart"/>
            <w:r w:rsidRPr="00D938EB">
              <w:rPr>
                <w:rFonts w:ascii="Times New Roman" w:eastAsia="Arial Unicode MS" w:hAnsi="Times New Roman"/>
                <w:color w:val="000000" w:themeColor="text1"/>
                <w:sz w:val="20"/>
                <w:szCs w:val="20"/>
                <w:shd w:val="clear" w:color="auto" w:fill="FFFFFF"/>
              </w:rPr>
              <w:t>comunitară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doar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începând</w:t>
            </w:r>
            <w:proofErr w:type="spellEnd"/>
            <w:r w:rsidRPr="00D938EB">
              <w:rPr>
                <w:rFonts w:ascii="Times New Roman" w:eastAsia="Arial Unicode MS" w:hAnsi="Times New Roman"/>
                <w:color w:val="000000" w:themeColor="text1"/>
                <w:sz w:val="20"/>
                <w:szCs w:val="20"/>
                <w:shd w:val="clear" w:color="auto" w:fill="FFFFFF"/>
              </w:rPr>
              <w:t xml:space="preserve"> cu 2013, </w:t>
            </w:r>
            <w:proofErr w:type="spellStart"/>
            <w:r w:rsidRPr="00D938EB">
              <w:rPr>
                <w:rFonts w:ascii="Times New Roman" w:eastAsia="Arial Unicode MS" w:hAnsi="Times New Roman"/>
                <w:color w:val="000000" w:themeColor="text1"/>
                <w:sz w:val="20"/>
                <w:szCs w:val="20"/>
                <w:shd w:val="clear" w:color="auto" w:fill="FFFFFF"/>
              </w:rPr>
              <w:t>statele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membre</w:t>
            </w:r>
            <w:proofErr w:type="spellEnd"/>
            <w:r w:rsidRPr="00D938EB">
              <w:rPr>
                <w:rFonts w:ascii="Times New Roman" w:eastAsia="Arial Unicode MS" w:hAnsi="Times New Roman"/>
                <w:color w:val="000000" w:themeColor="text1"/>
                <w:sz w:val="20"/>
                <w:szCs w:val="20"/>
                <w:shd w:val="clear" w:color="auto" w:fill="FFFFFF"/>
              </w:rPr>
              <w:t xml:space="preserve"> se </w:t>
            </w:r>
            <w:proofErr w:type="spellStart"/>
            <w:r w:rsidRPr="00D938EB">
              <w:rPr>
                <w:rFonts w:ascii="Times New Roman" w:eastAsia="Arial Unicode MS" w:hAnsi="Times New Roman"/>
                <w:color w:val="000000" w:themeColor="text1"/>
                <w:sz w:val="20"/>
                <w:szCs w:val="20"/>
                <w:shd w:val="clear" w:color="auto" w:fill="FFFFFF"/>
              </w:rPr>
              <w:t>asigură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operatorii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acestor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prezintă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autorității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competente</w:t>
            </w:r>
            <w:proofErr w:type="spellEnd"/>
            <w:r w:rsidRPr="00D938EB">
              <w:rPr>
                <w:rFonts w:ascii="Times New Roman" w:eastAsia="Arial Unicode MS" w:hAnsi="Times New Roman"/>
                <w:color w:val="000000" w:themeColor="text1"/>
                <w:sz w:val="20"/>
                <w:szCs w:val="20"/>
                <w:shd w:val="clear" w:color="auto" w:fill="FFFFFF"/>
              </w:rPr>
              <w:t xml:space="preserve"> date </w:t>
            </w:r>
            <w:proofErr w:type="spellStart"/>
            <w:r w:rsidRPr="00D938EB">
              <w:rPr>
                <w:rFonts w:ascii="Times New Roman" w:eastAsia="Arial Unicode MS" w:hAnsi="Times New Roman"/>
                <w:color w:val="000000" w:themeColor="text1"/>
                <w:sz w:val="20"/>
                <w:szCs w:val="20"/>
                <w:shd w:val="clear" w:color="auto" w:fill="FFFFFF"/>
              </w:rPr>
              <w:t>privind</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emisiile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argumentate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corespunzător</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verificate</w:t>
            </w:r>
            <w:proofErr w:type="spellEnd"/>
            <w:r w:rsidRPr="00D938EB">
              <w:rPr>
                <w:rFonts w:ascii="Times New Roman" w:eastAsia="Arial Unicode MS" w:hAnsi="Times New Roman"/>
                <w:color w:val="000000" w:themeColor="text1"/>
                <w:sz w:val="20"/>
                <w:szCs w:val="20"/>
                <w:shd w:val="clear" w:color="auto" w:fill="FFFFFF"/>
              </w:rPr>
              <w:t xml:space="preserve"> în mod independent, </w:t>
            </w:r>
            <w:proofErr w:type="spellStart"/>
            <w:r w:rsidRPr="00D938EB">
              <w:rPr>
                <w:rFonts w:ascii="Times New Roman" w:eastAsia="Arial Unicode MS" w:hAnsi="Times New Roman"/>
                <w:color w:val="000000" w:themeColor="text1"/>
                <w:sz w:val="20"/>
                <w:szCs w:val="20"/>
                <w:shd w:val="clear" w:color="auto" w:fill="FFFFFF"/>
              </w:rPr>
              <w:t>astfel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încât</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acestea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poată</w:t>
            </w:r>
            <w:proofErr w:type="spellEnd"/>
            <w:r w:rsidRPr="00D938EB">
              <w:rPr>
                <w:rFonts w:ascii="Times New Roman" w:eastAsia="Arial Unicode MS" w:hAnsi="Times New Roman"/>
                <w:color w:val="000000" w:themeColor="text1"/>
                <w:sz w:val="20"/>
                <w:szCs w:val="20"/>
                <w:shd w:val="clear" w:color="auto" w:fill="FFFFFF"/>
              </w:rPr>
              <w:t xml:space="preserve"> fi </w:t>
            </w:r>
            <w:proofErr w:type="spellStart"/>
            <w:r w:rsidRPr="00D938EB">
              <w:rPr>
                <w:rFonts w:ascii="Times New Roman" w:eastAsia="Arial Unicode MS" w:hAnsi="Times New Roman"/>
                <w:color w:val="000000" w:themeColor="text1"/>
                <w:sz w:val="20"/>
                <w:szCs w:val="20"/>
                <w:shd w:val="clear" w:color="auto" w:fill="FFFFFF"/>
              </w:rPr>
              <w:t>luate</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considerare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ajustarea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cantității</w:t>
            </w:r>
            <w:proofErr w:type="spellEnd"/>
            <w:r w:rsidRPr="00D938EB">
              <w:rPr>
                <w:rFonts w:ascii="Times New Roman" w:eastAsia="Arial Unicode MS" w:hAnsi="Times New Roman"/>
                <w:color w:val="000000" w:themeColor="text1"/>
                <w:sz w:val="20"/>
                <w:szCs w:val="20"/>
                <w:shd w:val="clear" w:color="auto" w:fill="FFFFFF"/>
              </w:rPr>
              <w:t xml:space="preserve"> de certificate care </w:t>
            </w:r>
            <w:proofErr w:type="spellStart"/>
            <w:r w:rsidRPr="00D938EB">
              <w:rPr>
                <w:rFonts w:ascii="Times New Roman" w:eastAsia="Arial Unicode MS" w:hAnsi="Times New Roman"/>
                <w:color w:val="000000" w:themeColor="text1"/>
                <w:sz w:val="20"/>
                <w:szCs w:val="20"/>
                <w:shd w:val="clear" w:color="auto" w:fill="FFFFFF"/>
              </w:rPr>
              <w:t>urmează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să</w:t>
            </w:r>
            <w:proofErr w:type="spellEnd"/>
            <w:r w:rsidRPr="00D938EB">
              <w:rPr>
                <w:rFonts w:ascii="Times New Roman" w:eastAsia="Arial Unicode MS" w:hAnsi="Times New Roman"/>
                <w:color w:val="000000" w:themeColor="text1"/>
                <w:sz w:val="20"/>
                <w:szCs w:val="20"/>
                <w:shd w:val="clear" w:color="auto" w:fill="FFFFFF"/>
              </w:rPr>
              <w:t xml:space="preserve"> fie </w:t>
            </w:r>
            <w:proofErr w:type="spellStart"/>
            <w:r w:rsidRPr="00D938EB">
              <w:rPr>
                <w:rFonts w:ascii="Times New Roman" w:eastAsia="Arial Unicode MS" w:hAnsi="Times New Roman"/>
                <w:color w:val="000000" w:themeColor="text1"/>
                <w:sz w:val="20"/>
                <w:szCs w:val="20"/>
                <w:shd w:val="clear" w:color="auto" w:fill="FFFFFF"/>
              </w:rPr>
              <w:t>emise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nivel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comunitar</w:t>
            </w:r>
            <w:proofErr w:type="spellEnd"/>
            <w:r w:rsidRPr="00D938EB">
              <w:rPr>
                <w:rFonts w:ascii="Times New Roman" w:eastAsia="Arial Unicode MS" w:hAnsi="Times New Roman"/>
                <w:color w:val="000000" w:themeColor="text1"/>
                <w:sz w:val="20"/>
                <w:szCs w:val="20"/>
                <w:shd w:val="clear" w:color="auto" w:fill="FFFFFF"/>
              </w:rPr>
              <w:t>.</w:t>
            </w:r>
          </w:p>
          <w:p w14:paraId="5211E584" w14:textId="0A794AEA" w:rsidR="00124364" w:rsidRPr="00D938EB" w:rsidRDefault="00000000" w:rsidP="00D938EB">
            <w:pPr>
              <w:pStyle w:val="af8"/>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938EB">
              <w:rPr>
                <w:rFonts w:ascii="Times New Roman" w:eastAsia="Arial Unicode MS" w:hAnsi="Times New Roman"/>
                <w:color w:val="000000" w:themeColor="text1"/>
                <w:sz w:val="20"/>
                <w:szCs w:val="20"/>
                <w:shd w:val="clear" w:color="auto" w:fill="FFFFFF"/>
              </w:rPr>
              <w:t>Toate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aceste</w:t>
            </w:r>
            <w:proofErr w:type="spellEnd"/>
            <w:r w:rsidRPr="00D938EB">
              <w:rPr>
                <w:rFonts w:ascii="Times New Roman" w:eastAsia="Arial Unicode MS" w:hAnsi="Times New Roman"/>
                <w:color w:val="000000" w:themeColor="text1"/>
                <w:sz w:val="20"/>
                <w:szCs w:val="20"/>
                <w:shd w:val="clear" w:color="auto" w:fill="FFFFFF"/>
              </w:rPr>
              <w:t xml:space="preserve"> date se </w:t>
            </w:r>
            <w:proofErr w:type="spellStart"/>
            <w:r w:rsidRPr="00D938EB">
              <w:rPr>
                <w:rFonts w:ascii="Times New Roman" w:eastAsia="Arial Unicode MS" w:hAnsi="Times New Roman"/>
                <w:color w:val="000000" w:themeColor="text1"/>
                <w:sz w:val="20"/>
                <w:szCs w:val="20"/>
                <w:shd w:val="clear" w:color="auto" w:fill="FFFFFF"/>
              </w:rPr>
              <w:t>prezintă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până</w:t>
            </w:r>
            <w:proofErr w:type="spellEnd"/>
            <w:r w:rsidRPr="00D938EB">
              <w:rPr>
                <w:rFonts w:ascii="Times New Roman" w:eastAsia="Arial Unicode MS" w:hAnsi="Times New Roman"/>
                <w:color w:val="000000" w:themeColor="text1"/>
                <w:sz w:val="20"/>
                <w:szCs w:val="20"/>
                <w:shd w:val="clear" w:color="auto" w:fill="FFFFFF"/>
              </w:rPr>
              <w:t xml:space="preserve"> la 30</w:t>
            </w:r>
            <w:r w:rsidR="00D938EB"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aprilie</w:t>
            </w:r>
            <w:proofErr w:type="spellEnd"/>
            <w:r w:rsidRPr="00D938EB">
              <w:rPr>
                <w:rFonts w:ascii="Times New Roman" w:eastAsia="Arial Unicode MS" w:hAnsi="Times New Roman"/>
                <w:color w:val="000000" w:themeColor="text1"/>
                <w:sz w:val="20"/>
                <w:szCs w:val="20"/>
                <w:shd w:val="clear" w:color="auto" w:fill="FFFFFF"/>
              </w:rPr>
              <w:t xml:space="preserve"> 2010 </w:t>
            </w:r>
            <w:proofErr w:type="spellStart"/>
            <w:r w:rsidRPr="00D938EB">
              <w:rPr>
                <w:rFonts w:ascii="Times New Roman" w:eastAsia="Arial Unicode MS" w:hAnsi="Times New Roman"/>
                <w:color w:val="000000" w:themeColor="text1"/>
                <w:sz w:val="20"/>
                <w:szCs w:val="20"/>
                <w:shd w:val="clear" w:color="auto" w:fill="FFFFFF"/>
              </w:rPr>
              <w:t>autorităților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competente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vizate</w:t>
            </w:r>
            <w:proofErr w:type="spellEnd"/>
            <w:r w:rsidRPr="00D938EB">
              <w:rPr>
                <w:rFonts w:ascii="Times New Roman" w:eastAsia="Arial Unicode MS" w:hAnsi="Times New Roman"/>
                <w:color w:val="000000" w:themeColor="text1"/>
                <w:sz w:val="20"/>
                <w:szCs w:val="20"/>
                <w:shd w:val="clear" w:color="auto" w:fill="FFFFFF"/>
              </w:rPr>
              <w:t xml:space="preserve">, în conformitate cu </w:t>
            </w:r>
            <w:proofErr w:type="spellStart"/>
            <w:r w:rsidRPr="00D938EB">
              <w:rPr>
                <w:rFonts w:ascii="Times New Roman" w:eastAsia="Arial Unicode MS" w:hAnsi="Times New Roman"/>
                <w:color w:val="000000" w:themeColor="text1"/>
                <w:sz w:val="20"/>
                <w:szCs w:val="20"/>
                <w:shd w:val="clear" w:color="auto" w:fill="FFFFFF"/>
              </w:rPr>
              <w:t>dispozițiile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adoptate</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temeiul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articolului</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14 </w:t>
            </w:r>
            <w:proofErr w:type="spellStart"/>
            <w:r w:rsidRPr="00D938EB">
              <w:rPr>
                <w:rFonts w:ascii="Times New Roman" w:eastAsia="Arial Unicode MS" w:hAnsi="Times New Roman"/>
                <w:color w:val="000000" w:themeColor="text1"/>
                <w:sz w:val="20"/>
                <w:szCs w:val="20"/>
                <w:shd w:val="clear" w:color="auto" w:fill="FFFFFF"/>
              </w:rPr>
              <w:t>alineatul</w:t>
            </w:r>
            <w:proofErr w:type="spellEnd"/>
            <w:r w:rsidRPr="00D938EB">
              <w:rPr>
                <w:rFonts w:ascii="Times New Roman" w:eastAsia="Arial Unicode MS" w:hAnsi="Times New Roman"/>
                <w:color w:val="000000" w:themeColor="text1"/>
                <w:sz w:val="20"/>
                <w:szCs w:val="20"/>
                <w:shd w:val="clear" w:color="auto" w:fill="FFFFFF"/>
              </w:rPr>
              <w:t xml:space="preserve"> (1).</w:t>
            </w:r>
          </w:p>
          <w:p w14:paraId="139ED0FF" w14:textId="75073099" w:rsidR="00124364" w:rsidRPr="00D938EB" w:rsidRDefault="00000000" w:rsidP="00D938EB">
            <w:pPr>
              <w:pStyle w:val="af8"/>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shd w:val="clear" w:color="auto" w:fill="FFFFFF"/>
              </w:rPr>
              <w:t xml:space="preserve">În </w:t>
            </w:r>
            <w:proofErr w:type="spellStart"/>
            <w:r w:rsidRPr="00D938EB">
              <w:rPr>
                <w:rFonts w:ascii="Times New Roman" w:eastAsia="Arial Unicode MS" w:hAnsi="Times New Roman"/>
                <w:color w:val="000000" w:themeColor="text1"/>
                <w:sz w:val="20"/>
                <w:szCs w:val="20"/>
                <w:shd w:val="clear" w:color="auto" w:fill="FFFFFF"/>
              </w:rPr>
              <w:t>cazul</w:t>
            </w:r>
            <w:proofErr w:type="spellEnd"/>
            <w:r w:rsidRPr="00D938EB">
              <w:rPr>
                <w:rFonts w:ascii="Times New Roman" w:eastAsia="Arial Unicode MS" w:hAnsi="Times New Roman"/>
                <w:color w:val="000000" w:themeColor="text1"/>
                <w:sz w:val="20"/>
                <w:szCs w:val="20"/>
                <w:shd w:val="clear" w:color="auto" w:fill="FFFFFF"/>
              </w:rPr>
              <w:t xml:space="preserve"> în care </w:t>
            </w:r>
            <w:proofErr w:type="spellStart"/>
            <w:r w:rsidRPr="00D938EB">
              <w:rPr>
                <w:rFonts w:ascii="Times New Roman" w:eastAsia="Arial Unicode MS" w:hAnsi="Times New Roman"/>
                <w:color w:val="000000" w:themeColor="text1"/>
                <w:sz w:val="20"/>
                <w:szCs w:val="20"/>
                <w:shd w:val="clear" w:color="auto" w:fill="FFFFFF"/>
              </w:rPr>
              <w:t>datele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prezentate</w:t>
            </w:r>
            <w:proofErr w:type="spellEnd"/>
            <w:r w:rsidRPr="00D938EB">
              <w:rPr>
                <w:rFonts w:ascii="Times New Roman" w:eastAsia="Arial Unicode MS" w:hAnsi="Times New Roman"/>
                <w:color w:val="000000" w:themeColor="text1"/>
                <w:sz w:val="20"/>
                <w:szCs w:val="20"/>
                <w:shd w:val="clear" w:color="auto" w:fill="FFFFFF"/>
              </w:rPr>
              <w:t xml:space="preserve"> sunt </w:t>
            </w:r>
            <w:proofErr w:type="spellStart"/>
            <w:r w:rsidRPr="00D938EB">
              <w:rPr>
                <w:rFonts w:ascii="Times New Roman" w:eastAsia="Arial Unicode MS" w:hAnsi="Times New Roman"/>
                <w:color w:val="000000" w:themeColor="text1"/>
                <w:sz w:val="20"/>
                <w:szCs w:val="20"/>
                <w:shd w:val="clear" w:color="auto" w:fill="FFFFFF"/>
              </w:rPr>
              <w:t>justificate</w:t>
            </w:r>
            <w:proofErr w:type="spellEnd"/>
            <w:r w:rsidRPr="00D938EB">
              <w:rPr>
                <w:rFonts w:ascii="Times New Roman" w:eastAsia="Arial Unicode MS" w:hAnsi="Times New Roman"/>
                <w:color w:val="000000" w:themeColor="text1"/>
                <w:sz w:val="20"/>
                <w:szCs w:val="20"/>
                <w:shd w:val="clear" w:color="auto" w:fill="FFFFFF"/>
              </w:rPr>
              <w:t xml:space="preserve"> în mod </w:t>
            </w:r>
            <w:proofErr w:type="spellStart"/>
            <w:r w:rsidRPr="00D938EB">
              <w:rPr>
                <w:rFonts w:ascii="Times New Roman" w:eastAsia="Arial Unicode MS" w:hAnsi="Times New Roman"/>
                <w:color w:val="000000" w:themeColor="text1"/>
                <w:sz w:val="20"/>
                <w:szCs w:val="20"/>
                <w:shd w:val="clear" w:color="auto" w:fill="FFFFFF"/>
              </w:rPr>
              <w:t>corespunzător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autoritatea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competentă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informează</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acest</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sens</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Comisia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până</w:t>
            </w:r>
            <w:proofErr w:type="spellEnd"/>
            <w:r w:rsidRPr="00D938EB">
              <w:rPr>
                <w:rFonts w:ascii="Times New Roman" w:eastAsia="Arial Unicode MS" w:hAnsi="Times New Roman"/>
                <w:color w:val="000000" w:themeColor="text1"/>
                <w:sz w:val="20"/>
                <w:szCs w:val="20"/>
                <w:shd w:val="clear" w:color="auto" w:fill="FFFFFF"/>
              </w:rPr>
              <w:t xml:space="preserve"> la 30</w:t>
            </w:r>
            <w:r w:rsidR="00D938EB"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iunie</w:t>
            </w:r>
            <w:proofErr w:type="spellEnd"/>
            <w:r w:rsidRPr="00D938EB">
              <w:rPr>
                <w:rFonts w:ascii="Times New Roman" w:eastAsia="Arial Unicode MS" w:hAnsi="Times New Roman"/>
                <w:color w:val="000000" w:themeColor="text1"/>
                <w:sz w:val="20"/>
                <w:szCs w:val="20"/>
                <w:shd w:val="clear" w:color="auto" w:fill="FFFFFF"/>
              </w:rPr>
              <w:t xml:space="preserve"> 2010, </w:t>
            </w:r>
            <w:proofErr w:type="spellStart"/>
            <w:r w:rsidRPr="00D938EB">
              <w:rPr>
                <w:rFonts w:ascii="Times New Roman" w:eastAsia="Arial Unicode MS" w:hAnsi="Times New Roman"/>
                <w:color w:val="000000" w:themeColor="text1"/>
                <w:sz w:val="20"/>
                <w:szCs w:val="20"/>
                <w:shd w:val="clear" w:color="auto" w:fill="FFFFFF"/>
              </w:rPr>
              <w:t>iar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cantitatea</w:t>
            </w:r>
            <w:proofErr w:type="spellEnd"/>
            <w:r w:rsidRPr="00D938EB">
              <w:rPr>
                <w:rFonts w:ascii="Times New Roman" w:eastAsia="Arial Unicode MS" w:hAnsi="Times New Roman"/>
                <w:color w:val="000000" w:themeColor="text1"/>
                <w:sz w:val="20"/>
                <w:szCs w:val="20"/>
                <w:shd w:val="clear" w:color="auto" w:fill="FFFFFF"/>
              </w:rPr>
              <w:t xml:space="preserve"> de certificate care </w:t>
            </w:r>
            <w:proofErr w:type="spellStart"/>
            <w:r w:rsidRPr="00D938EB">
              <w:rPr>
                <w:rFonts w:ascii="Times New Roman" w:eastAsia="Arial Unicode MS" w:hAnsi="Times New Roman"/>
                <w:color w:val="000000" w:themeColor="text1"/>
                <w:sz w:val="20"/>
                <w:szCs w:val="20"/>
                <w:shd w:val="clear" w:color="auto" w:fill="FFFFFF"/>
              </w:rPr>
              <w:t>urmează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să</w:t>
            </w:r>
            <w:proofErr w:type="spellEnd"/>
            <w:r w:rsidRPr="00D938EB">
              <w:rPr>
                <w:rFonts w:ascii="Times New Roman" w:eastAsia="Arial Unicode MS" w:hAnsi="Times New Roman"/>
                <w:color w:val="000000" w:themeColor="text1"/>
                <w:sz w:val="20"/>
                <w:szCs w:val="20"/>
                <w:shd w:val="clear" w:color="auto" w:fill="FFFFFF"/>
              </w:rPr>
              <w:t xml:space="preserve"> fie </w:t>
            </w:r>
            <w:proofErr w:type="spellStart"/>
            <w:r w:rsidRPr="00D938EB">
              <w:rPr>
                <w:rFonts w:ascii="Times New Roman" w:eastAsia="Arial Unicode MS" w:hAnsi="Times New Roman"/>
                <w:color w:val="000000" w:themeColor="text1"/>
                <w:sz w:val="20"/>
                <w:szCs w:val="20"/>
                <w:shd w:val="clear" w:color="auto" w:fill="FFFFFF"/>
              </w:rPr>
              <w:t>emise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ajustată</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factorul</w:t>
            </w:r>
            <w:proofErr w:type="spellEnd"/>
            <w:r w:rsidRPr="00D938EB">
              <w:rPr>
                <w:rFonts w:ascii="Times New Roman" w:eastAsia="Arial Unicode MS" w:hAnsi="Times New Roman"/>
                <w:color w:val="000000" w:themeColor="text1"/>
                <w:sz w:val="20"/>
                <w:szCs w:val="20"/>
                <w:shd w:val="clear" w:color="auto" w:fill="FFFFFF"/>
              </w:rPr>
              <w:t xml:space="preserve"> linear </w:t>
            </w:r>
            <w:proofErr w:type="spellStart"/>
            <w:r w:rsidRPr="00D938EB">
              <w:rPr>
                <w:rFonts w:ascii="Times New Roman" w:eastAsia="Arial Unicode MS" w:hAnsi="Times New Roman"/>
                <w:color w:val="000000" w:themeColor="text1"/>
                <w:sz w:val="20"/>
                <w:szCs w:val="20"/>
                <w:shd w:val="clear" w:color="auto" w:fill="FFFFFF"/>
              </w:rPr>
              <w:t>menționat</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9, se </w:t>
            </w:r>
            <w:proofErr w:type="spellStart"/>
            <w:r w:rsidRPr="00D938EB">
              <w:rPr>
                <w:rFonts w:ascii="Times New Roman" w:eastAsia="Arial Unicode MS" w:hAnsi="Times New Roman"/>
                <w:color w:val="000000" w:themeColor="text1"/>
                <w:sz w:val="20"/>
                <w:szCs w:val="20"/>
                <w:shd w:val="clear" w:color="auto" w:fill="FFFFFF"/>
              </w:rPr>
              <w:t>ajustează</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consecință</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cazul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instalațiilor</w:t>
            </w:r>
            <w:proofErr w:type="spellEnd"/>
            <w:r w:rsidRPr="00D938EB">
              <w:rPr>
                <w:rFonts w:ascii="Times New Roman" w:eastAsia="Arial Unicode MS" w:hAnsi="Times New Roman"/>
                <w:color w:val="000000" w:themeColor="text1"/>
                <w:sz w:val="20"/>
                <w:szCs w:val="20"/>
                <w:shd w:val="clear" w:color="auto" w:fill="FFFFFF"/>
              </w:rPr>
              <w:t xml:space="preserve"> care </w:t>
            </w:r>
            <w:proofErr w:type="spellStart"/>
            <w:r w:rsidRPr="00D938EB">
              <w:rPr>
                <w:rFonts w:ascii="Times New Roman" w:eastAsia="Arial Unicode MS" w:hAnsi="Times New Roman"/>
                <w:color w:val="000000" w:themeColor="text1"/>
                <w:sz w:val="20"/>
                <w:szCs w:val="20"/>
                <w:shd w:val="clear" w:color="auto" w:fill="FFFFFF"/>
              </w:rPr>
              <w:t>generează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alte</w:t>
            </w:r>
            <w:proofErr w:type="spellEnd"/>
            <w:r w:rsidRPr="00D938EB">
              <w:rPr>
                <w:rFonts w:ascii="Times New Roman" w:eastAsia="Arial Unicode MS" w:hAnsi="Times New Roman"/>
                <w:color w:val="000000" w:themeColor="text1"/>
                <w:sz w:val="20"/>
                <w:szCs w:val="20"/>
                <w:shd w:val="clear" w:color="auto" w:fill="FFFFFF"/>
              </w:rPr>
              <w:t xml:space="preserve"> gaze cu </w:t>
            </w:r>
            <w:proofErr w:type="spellStart"/>
            <w:r w:rsidRPr="00D938EB">
              <w:rPr>
                <w:rFonts w:ascii="Times New Roman" w:eastAsia="Arial Unicode MS" w:hAnsi="Times New Roman"/>
                <w:color w:val="000000" w:themeColor="text1"/>
                <w:sz w:val="20"/>
                <w:szCs w:val="20"/>
                <w:shd w:val="clear" w:color="auto" w:fill="FFFFFF"/>
              </w:rPr>
              <w:t>efect</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seră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decât</w:t>
            </w:r>
            <w:proofErr w:type="spellEnd"/>
            <w:r w:rsidRPr="00D938EB">
              <w:rPr>
                <w:rFonts w:ascii="Times New Roman" w:eastAsia="Arial Unicode MS" w:hAnsi="Times New Roman"/>
                <w:color w:val="000000" w:themeColor="text1"/>
                <w:sz w:val="20"/>
                <w:szCs w:val="20"/>
                <w:shd w:val="clear" w:color="auto" w:fill="FFFFFF"/>
              </w:rPr>
              <w:t xml:space="preserve"> CO</w:t>
            </w:r>
            <w:r w:rsidRPr="00D938EB">
              <w:rPr>
                <w:rStyle w:val="subscript"/>
                <w:rFonts w:ascii="Times New Roman" w:eastAsia="Arial Unicode MS" w:hAnsi="Times New Roman"/>
                <w:color w:val="000000" w:themeColor="text1"/>
                <w:sz w:val="20"/>
                <w:szCs w:val="20"/>
                <w:vertAlign w:val="subscript"/>
              </w:rPr>
              <w:t>2</w:t>
            </w:r>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autoritatea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competentă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poate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notifica</w:t>
            </w:r>
            <w:proofErr w:type="spellEnd"/>
            <w:r w:rsidRPr="00D938EB">
              <w:rPr>
                <w:rFonts w:ascii="Times New Roman" w:eastAsia="Arial Unicode MS" w:hAnsi="Times New Roman"/>
                <w:color w:val="000000" w:themeColor="text1"/>
                <w:sz w:val="20"/>
                <w:szCs w:val="20"/>
                <w:shd w:val="clear" w:color="auto" w:fill="FFFFFF"/>
              </w:rPr>
              <w:t xml:space="preserve"> o </w:t>
            </w:r>
            <w:proofErr w:type="spellStart"/>
            <w:r w:rsidRPr="00D938EB">
              <w:rPr>
                <w:rFonts w:ascii="Times New Roman" w:eastAsia="Arial Unicode MS" w:hAnsi="Times New Roman"/>
                <w:color w:val="000000" w:themeColor="text1"/>
                <w:sz w:val="20"/>
                <w:szCs w:val="20"/>
                <w:shd w:val="clear" w:color="auto" w:fill="FFFFFF"/>
              </w:rPr>
              <w:t>cantitate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mai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mică</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emisii</w:t>
            </w:r>
            <w:proofErr w:type="spellEnd"/>
            <w:r w:rsidRPr="00D938EB">
              <w:rPr>
                <w:rFonts w:ascii="Times New Roman" w:eastAsia="Arial Unicode MS" w:hAnsi="Times New Roman"/>
                <w:color w:val="000000" w:themeColor="text1"/>
                <w:sz w:val="20"/>
                <w:szCs w:val="20"/>
                <w:shd w:val="clear" w:color="auto" w:fill="FFFFFF"/>
              </w:rPr>
              <w:t xml:space="preserve"> în conformitate cu </w:t>
            </w:r>
            <w:proofErr w:type="spellStart"/>
            <w:r w:rsidRPr="00D938EB">
              <w:rPr>
                <w:rFonts w:ascii="Times New Roman" w:eastAsia="Arial Unicode MS" w:hAnsi="Times New Roman"/>
                <w:color w:val="000000" w:themeColor="text1"/>
                <w:sz w:val="20"/>
                <w:szCs w:val="20"/>
                <w:shd w:val="clear" w:color="auto" w:fill="FFFFFF"/>
              </w:rPr>
              <w:t>potențialul</w:t>
            </w:r>
            <w:proofErr w:type="spellEnd"/>
            <w:r w:rsidRPr="00D938EB">
              <w:rPr>
                <w:rFonts w:ascii="Times New Roman" w:eastAsia="Arial Unicode MS" w:hAnsi="Times New Roman"/>
                <w:color w:val="000000" w:themeColor="text1"/>
                <w:sz w:val="20"/>
                <w:szCs w:val="20"/>
                <w:shd w:val="clear" w:color="auto" w:fill="FFFFFF"/>
              </w:rPr>
              <w:t xml:space="preserve"> lor de </w:t>
            </w:r>
            <w:proofErr w:type="spellStart"/>
            <w:r w:rsidRPr="00D938EB">
              <w:rPr>
                <w:rFonts w:ascii="Times New Roman" w:eastAsia="Arial Unicode MS" w:hAnsi="Times New Roman"/>
                <w:color w:val="000000" w:themeColor="text1"/>
                <w:sz w:val="20"/>
                <w:szCs w:val="20"/>
                <w:shd w:val="clear" w:color="auto" w:fill="FFFFFF"/>
              </w:rPr>
              <w:t>reducere</w:t>
            </w:r>
            <w:proofErr w:type="spellEnd"/>
            <w:r w:rsidRPr="00D938EB">
              <w:rPr>
                <w:rFonts w:ascii="Times New Roman" w:eastAsia="Arial Unicode MS" w:hAnsi="Times New Roman"/>
                <w:color w:val="000000" w:themeColor="text1"/>
                <w:sz w:val="20"/>
                <w:szCs w:val="20"/>
                <w:shd w:val="clear" w:color="auto" w:fill="FFFFFF"/>
              </w:rPr>
              <w:t xml:space="preserve"> </w:t>
            </w:r>
            <w:proofErr w:type="gramStart"/>
            <w:r w:rsidRPr="00D938EB">
              <w:rPr>
                <w:rFonts w:ascii="Times New Roman" w:eastAsia="Arial Unicode MS" w:hAnsi="Times New Roman"/>
                <w:color w:val="000000" w:themeColor="text1"/>
                <w:sz w:val="20"/>
                <w:szCs w:val="20"/>
                <w:shd w:val="clear" w:color="auto" w:fill="FFFFFF"/>
              </w:rPr>
              <w:t>a</w:t>
            </w:r>
            <w:proofErr w:type="gram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emisiilor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acestor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w:t>
            </w:r>
            <w:proofErr w:type="spellEnd"/>
            <w:r w:rsidRPr="00D938EB">
              <w:rPr>
                <w:rFonts w:ascii="Times New Roman" w:eastAsia="Arial Unicode MS" w:hAnsi="Times New Roman"/>
                <w:color w:val="000000" w:themeColor="text1"/>
                <w:sz w:val="20"/>
                <w:szCs w:val="20"/>
                <w:shd w:val="clear" w:color="auto" w:fill="FFFFFF"/>
              </w:rPr>
              <w:t>.</w:t>
            </w:r>
          </w:p>
          <w:p w14:paraId="4EC48A85" w14:textId="4A88C3F1" w:rsidR="00124364" w:rsidRPr="00D938EB" w:rsidRDefault="00000000" w:rsidP="00D938EB">
            <w:pPr>
              <w:pStyle w:val="af8"/>
              <w:numPr>
                <w:ilvl w:val="0"/>
                <w:numId w:val="3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938EB">
              <w:rPr>
                <w:rFonts w:ascii="Times New Roman" w:eastAsia="Arial Unicode MS" w:hAnsi="Times New Roman"/>
                <w:color w:val="000000" w:themeColor="text1"/>
                <w:sz w:val="20"/>
                <w:szCs w:val="20"/>
                <w:shd w:val="clear" w:color="auto" w:fill="FFFFFF"/>
              </w:rPr>
              <w:t>Comisia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publică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cantitățile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ajustate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menționate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alineatele</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(1) și</w:t>
            </w:r>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(2) </w:t>
            </w:r>
            <w:proofErr w:type="spellStart"/>
            <w:r w:rsidRPr="00D938EB">
              <w:rPr>
                <w:rFonts w:ascii="Times New Roman" w:eastAsia="Arial Unicode MS" w:hAnsi="Times New Roman"/>
                <w:color w:val="000000" w:themeColor="text1"/>
                <w:sz w:val="20"/>
                <w:szCs w:val="20"/>
                <w:shd w:val="clear" w:color="auto" w:fill="FFFFFF"/>
              </w:rPr>
              <w:t>până</w:t>
            </w:r>
            <w:proofErr w:type="spellEnd"/>
            <w:r w:rsidRPr="00D938EB">
              <w:rPr>
                <w:rFonts w:ascii="Times New Roman" w:eastAsia="Arial Unicode MS" w:hAnsi="Times New Roman"/>
                <w:color w:val="000000" w:themeColor="text1"/>
                <w:sz w:val="20"/>
                <w:szCs w:val="20"/>
                <w:shd w:val="clear" w:color="auto" w:fill="FFFFFF"/>
              </w:rPr>
              <w:t xml:space="preserve"> la 30</w:t>
            </w:r>
            <w:r w:rsidR="00D938EB"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septembrie</w:t>
            </w:r>
            <w:proofErr w:type="spellEnd"/>
            <w:r w:rsidRPr="00D938EB">
              <w:rPr>
                <w:rFonts w:ascii="Times New Roman" w:eastAsia="Arial Unicode MS" w:hAnsi="Times New Roman"/>
                <w:color w:val="000000" w:themeColor="text1"/>
                <w:sz w:val="20"/>
                <w:szCs w:val="20"/>
                <w:shd w:val="clear" w:color="auto" w:fill="FFFFFF"/>
              </w:rPr>
              <w:t xml:space="preserve"> 2010.</w:t>
            </w:r>
          </w:p>
          <w:p w14:paraId="6502FFE2" w14:textId="4EAA450E" w:rsidR="00124364" w:rsidRPr="00D938EB" w:rsidRDefault="00000000" w:rsidP="00D938EB">
            <w:pPr>
              <w:pStyle w:val="af8"/>
              <w:numPr>
                <w:ilvl w:val="0"/>
                <w:numId w:val="36"/>
              </w:numPr>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shd w:val="clear" w:color="auto" w:fill="FFFFFF"/>
              </w:rPr>
              <w:t xml:space="preserve">În </w:t>
            </w:r>
            <w:proofErr w:type="spellStart"/>
            <w:r w:rsidRPr="00D938EB">
              <w:rPr>
                <w:rFonts w:ascii="Times New Roman" w:eastAsia="Arial Unicode MS" w:hAnsi="Times New Roman"/>
                <w:color w:val="000000" w:themeColor="text1"/>
                <w:sz w:val="20"/>
                <w:szCs w:val="20"/>
                <w:shd w:val="clear" w:color="auto" w:fill="FFFFFF"/>
              </w:rPr>
              <w:t>ceea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privește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excluse</w:t>
            </w:r>
            <w:proofErr w:type="spellEnd"/>
            <w:r w:rsidRPr="00D938EB">
              <w:rPr>
                <w:rFonts w:ascii="Times New Roman" w:eastAsia="Arial Unicode MS" w:hAnsi="Times New Roman"/>
                <w:color w:val="000000" w:themeColor="text1"/>
                <w:sz w:val="20"/>
                <w:szCs w:val="20"/>
                <w:shd w:val="clear" w:color="auto" w:fill="FFFFFF"/>
              </w:rPr>
              <w:t xml:space="preserve"> din schema </w:t>
            </w:r>
            <w:proofErr w:type="spellStart"/>
            <w:r w:rsidRPr="00D938EB">
              <w:rPr>
                <w:rFonts w:ascii="Times New Roman" w:eastAsia="Arial Unicode MS" w:hAnsi="Times New Roman"/>
                <w:color w:val="000000" w:themeColor="text1"/>
                <w:sz w:val="20"/>
                <w:szCs w:val="20"/>
                <w:shd w:val="clear" w:color="auto" w:fill="FFFFFF"/>
              </w:rPr>
              <w:t>comunitară</w:t>
            </w:r>
            <w:proofErr w:type="spellEnd"/>
            <w:r w:rsidRPr="00D938EB">
              <w:rPr>
                <w:rFonts w:ascii="Times New Roman" w:eastAsia="Arial Unicode MS" w:hAnsi="Times New Roman"/>
                <w:color w:val="000000" w:themeColor="text1"/>
                <w:sz w:val="20"/>
                <w:szCs w:val="20"/>
                <w:shd w:val="clear" w:color="auto" w:fill="FFFFFF"/>
              </w:rPr>
              <w:t xml:space="preserve"> în conformitate cu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27, </w:t>
            </w:r>
            <w:proofErr w:type="spellStart"/>
            <w:r w:rsidRPr="00D938EB">
              <w:rPr>
                <w:rFonts w:ascii="Times New Roman" w:eastAsia="Arial Unicode MS" w:hAnsi="Times New Roman"/>
                <w:color w:val="000000" w:themeColor="text1"/>
                <w:sz w:val="20"/>
                <w:szCs w:val="20"/>
                <w:shd w:val="clear" w:color="auto" w:fill="FFFFFF"/>
              </w:rPr>
              <w:t>cantitatea</w:t>
            </w:r>
            <w:proofErr w:type="spellEnd"/>
            <w:r w:rsidRPr="00D938EB">
              <w:rPr>
                <w:rFonts w:ascii="Times New Roman" w:eastAsia="Arial Unicode MS" w:hAnsi="Times New Roman"/>
                <w:color w:val="000000" w:themeColor="text1"/>
                <w:sz w:val="20"/>
                <w:szCs w:val="20"/>
                <w:shd w:val="clear" w:color="auto" w:fill="FFFFFF"/>
              </w:rPr>
              <w:t xml:space="preserve"> de certificate care </w:t>
            </w:r>
            <w:proofErr w:type="spellStart"/>
            <w:r w:rsidRPr="00D938EB">
              <w:rPr>
                <w:rFonts w:ascii="Times New Roman" w:eastAsia="Arial Unicode MS" w:hAnsi="Times New Roman"/>
                <w:color w:val="000000" w:themeColor="text1"/>
                <w:sz w:val="20"/>
                <w:szCs w:val="20"/>
                <w:shd w:val="clear" w:color="auto" w:fill="FFFFFF"/>
              </w:rPr>
              <w:t>urmează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să</w:t>
            </w:r>
            <w:proofErr w:type="spellEnd"/>
            <w:r w:rsidRPr="00D938EB">
              <w:rPr>
                <w:rFonts w:ascii="Times New Roman" w:eastAsia="Arial Unicode MS" w:hAnsi="Times New Roman"/>
                <w:color w:val="000000" w:themeColor="text1"/>
                <w:sz w:val="20"/>
                <w:szCs w:val="20"/>
                <w:shd w:val="clear" w:color="auto" w:fill="FFFFFF"/>
              </w:rPr>
              <w:t xml:space="preserve"> fie </w:t>
            </w:r>
            <w:proofErr w:type="spellStart"/>
            <w:r w:rsidRPr="00D938EB">
              <w:rPr>
                <w:rFonts w:ascii="Times New Roman" w:eastAsia="Arial Unicode MS" w:hAnsi="Times New Roman"/>
                <w:color w:val="000000" w:themeColor="text1"/>
                <w:sz w:val="20"/>
                <w:szCs w:val="20"/>
                <w:shd w:val="clear" w:color="auto" w:fill="FFFFFF"/>
              </w:rPr>
              <w:t>emise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nivel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comunitar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începând</w:t>
            </w:r>
            <w:proofErr w:type="spellEnd"/>
            <w:r w:rsidRPr="00D938EB">
              <w:rPr>
                <w:rFonts w:ascii="Times New Roman" w:eastAsia="Arial Unicode MS" w:hAnsi="Times New Roman"/>
                <w:color w:val="000000" w:themeColor="text1"/>
                <w:sz w:val="20"/>
                <w:szCs w:val="20"/>
                <w:shd w:val="clear" w:color="auto" w:fill="FFFFFF"/>
              </w:rPr>
              <w:t xml:space="preserve"> cu 1</w:t>
            </w:r>
            <w:r w:rsidR="00D938EB"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ianuarie</w:t>
            </w:r>
            <w:proofErr w:type="spellEnd"/>
            <w:r w:rsidRPr="00D938EB">
              <w:rPr>
                <w:rFonts w:ascii="Times New Roman" w:eastAsia="Arial Unicode MS" w:hAnsi="Times New Roman"/>
                <w:color w:val="000000" w:themeColor="text1"/>
                <w:sz w:val="20"/>
                <w:szCs w:val="20"/>
                <w:shd w:val="clear" w:color="auto" w:fill="FFFFFF"/>
              </w:rPr>
              <w:t xml:space="preserve"> 2013 se </w:t>
            </w:r>
            <w:proofErr w:type="spellStart"/>
            <w:r w:rsidRPr="00D938EB">
              <w:rPr>
                <w:rFonts w:ascii="Times New Roman" w:eastAsia="Arial Unicode MS" w:hAnsi="Times New Roman"/>
                <w:color w:val="000000" w:themeColor="text1"/>
                <w:sz w:val="20"/>
                <w:szCs w:val="20"/>
                <w:shd w:val="clear" w:color="auto" w:fill="FFFFFF"/>
              </w:rPr>
              <w:t>ajustează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descrescător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pentru</w:t>
            </w:r>
            <w:proofErr w:type="spellEnd"/>
            <w:r w:rsidRPr="00D938EB">
              <w:rPr>
                <w:rFonts w:ascii="Times New Roman" w:eastAsia="Arial Unicode MS" w:hAnsi="Times New Roman"/>
                <w:color w:val="000000" w:themeColor="text1"/>
                <w:sz w:val="20"/>
                <w:szCs w:val="20"/>
                <w:shd w:val="clear" w:color="auto" w:fill="FFFFFF"/>
              </w:rPr>
              <w:t xml:space="preserve"> a </w:t>
            </w:r>
            <w:proofErr w:type="spellStart"/>
            <w:r w:rsidRPr="00D938EB">
              <w:rPr>
                <w:rFonts w:ascii="Times New Roman" w:eastAsia="Arial Unicode MS" w:hAnsi="Times New Roman"/>
                <w:color w:val="000000" w:themeColor="text1"/>
                <w:sz w:val="20"/>
                <w:szCs w:val="20"/>
                <w:shd w:val="clear" w:color="auto" w:fill="FFFFFF"/>
              </w:rPr>
              <w:t>reflecta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emisiile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medii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anuale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verificate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provenite</w:t>
            </w:r>
            <w:proofErr w:type="spellEnd"/>
            <w:r w:rsidRPr="00D938EB">
              <w:rPr>
                <w:rFonts w:ascii="Times New Roman" w:eastAsia="Arial Unicode MS" w:hAnsi="Times New Roman"/>
                <w:color w:val="000000" w:themeColor="text1"/>
                <w:sz w:val="20"/>
                <w:szCs w:val="20"/>
                <w:shd w:val="clear" w:color="auto" w:fill="FFFFFF"/>
              </w:rPr>
              <w:t xml:space="preserve"> de la </w:t>
            </w:r>
            <w:proofErr w:type="spellStart"/>
            <w:r w:rsidRPr="00D938EB">
              <w:rPr>
                <w:rFonts w:ascii="Times New Roman" w:eastAsia="Arial Unicode MS" w:hAnsi="Times New Roman"/>
                <w:color w:val="000000" w:themeColor="text1"/>
                <w:sz w:val="20"/>
                <w:szCs w:val="20"/>
                <w:shd w:val="clear" w:color="auto" w:fill="FFFFFF"/>
              </w:rPr>
              <w:t>aceste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instalații</w:t>
            </w:r>
            <w:proofErr w:type="spellEnd"/>
            <w:r w:rsidRPr="00D938EB">
              <w:rPr>
                <w:rFonts w:ascii="Times New Roman" w:eastAsia="Arial Unicode MS" w:hAnsi="Times New Roman"/>
                <w:color w:val="000000" w:themeColor="text1"/>
                <w:sz w:val="20"/>
                <w:szCs w:val="20"/>
                <w:shd w:val="clear" w:color="auto" w:fill="FFFFFF"/>
              </w:rPr>
              <w:t xml:space="preserve"> în perioada 2008-2010, </w:t>
            </w:r>
            <w:proofErr w:type="spellStart"/>
            <w:r w:rsidRPr="00D938EB">
              <w:rPr>
                <w:rFonts w:ascii="Times New Roman" w:eastAsia="Arial Unicode MS" w:hAnsi="Times New Roman"/>
                <w:color w:val="000000" w:themeColor="text1"/>
                <w:sz w:val="20"/>
                <w:szCs w:val="20"/>
                <w:shd w:val="clear" w:color="auto" w:fill="FFFFFF"/>
              </w:rPr>
              <w:t>ajustate</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factorul</w:t>
            </w:r>
            <w:proofErr w:type="spellEnd"/>
            <w:r w:rsidRPr="00D938EB">
              <w:rPr>
                <w:rFonts w:ascii="Times New Roman" w:eastAsia="Arial Unicode MS" w:hAnsi="Times New Roman"/>
                <w:color w:val="000000" w:themeColor="text1"/>
                <w:sz w:val="20"/>
                <w:szCs w:val="20"/>
                <w:shd w:val="clear" w:color="auto" w:fill="FFFFFF"/>
              </w:rPr>
              <w:t xml:space="preserve"> linear </w:t>
            </w:r>
            <w:proofErr w:type="spellStart"/>
            <w:r w:rsidRPr="00D938EB">
              <w:rPr>
                <w:rFonts w:ascii="Times New Roman" w:eastAsia="Arial Unicode MS" w:hAnsi="Times New Roman"/>
                <w:color w:val="000000" w:themeColor="text1"/>
                <w:sz w:val="20"/>
                <w:szCs w:val="20"/>
                <w:shd w:val="clear" w:color="auto" w:fill="FFFFFF"/>
              </w:rPr>
              <w:t>menționat</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9.</w:t>
            </w:r>
          </w:p>
          <w:p w14:paraId="3F1F6CB3"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83" w:tooltip="32009L0029: REPLACED" w:history="1">
              <w:r>
                <w:rPr>
                  <w:rStyle w:val="af3"/>
                  <w:rFonts w:ascii="Times New Roman" w:eastAsia="Arial Unicode MS" w:hAnsi="Times New Roman"/>
                  <w:b/>
                  <w:bCs/>
                  <w:color w:val="4472C4" w:themeColor="accent1"/>
                  <w:sz w:val="20"/>
                  <w:szCs w:val="20"/>
                </w:rPr>
                <w:t>▼M4</w:t>
              </w:r>
            </w:hyperlink>
          </w:p>
        </w:tc>
        <w:tc>
          <w:tcPr>
            <w:tcW w:w="4394" w:type="dxa"/>
            <w:shd w:val="clear" w:color="auto" w:fill="auto"/>
          </w:tcPr>
          <w:p w14:paraId="3399E293"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F1F8A5C" w14:textId="01354699" w:rsidR="00124364" w:rsidRDefault="00D938EB" w:rsidP="00D938E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580BE6E7"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3E21F04" w14:textId="77777777" w:rsidR="00D938EB" w:rsidRPr="0066519A" w:rsidRDefault="00D938EB" w:rsidP="00D938E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de seră, dar intenționează să le transpună și să instituie un sistem </w:t>
            </w:r>
            <w:r w:rsidRPr="0066519A">
              <w:rPr>
                <w:rFonts w:ascii="Times New Roman" w:eastAsiaTheme="minorHAnsi" w:hAnsi="Times New Roman"/>
                <w:color w:val="000000" w:themeColor="text1"/>
                <w:sz w:val="20"/>
                <w:szCs w:val="20"/>
                <w:lang w:val="ro-RO"/>
              </w:rPr>
              <w:lastRenderedPageBreak/>
              <w:t>regional de comercializare a cotelor, care va fi instituit de către Comunitatea Energetică.</w:t>
            </w:r>
          </w:p>
          <w:p w14:paraId="5BA612F1"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39618F3" w14:textId="77777777" w:rsidR="00124364" w:rsidRDefault="00124364" w:rsidP="00D938EB">
            <w:pPr>
              <w:autoSpaceDE w:val="0"/>
              <w:spacing w:after="0" w:line="240" w:lineRule="auto"/>
              <w:rPr>
                <w:rFonts w:ascii="Times New Roman" w:hAnsi="Times New Roman"/>
                <w:sz w:val="20"/>
                <w:szCs w:val="20"/>
                <w:lang w:val="fr-FR"/>
              </w:rPr>
            </w:pPr>
          </w:p>
        </w:tc>
      </w:tr>
      <w:tr w:rsidR="00124364" w14:paraId="4F6938F3" w14:textId="77777777">
        <w:trPr>
          <w:trHeight w:val="558"/>
        </w:trPr>
        <w:tc>
          <w:tcPr>
            <w:tcW w:w="4957" w:type="dxa"/>
            <w:shd w:val="clear" w:color="auto" w:fill="auto"/>
          </w:tcPr>
          <w:p w14:paraId="17042107" w14:textId="77777777" w:rsidR="00124364"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t>Articolul</w:t>
            </w:r>
            <w:proofErr w:type="spellEnd"/>
            <w:r>
              <w:rPr>
                <w:rFonts w:eastAsia="Arial Unicode MS"/>
                <w:i/>
                <w:iCs/>
                <w:color w:val="333333"/>
                <w:sz w:val="20"/>
                <w:szCs w:val="20"/>
                <w:shd w:val="clear" w:color="auto" w:fill="FFFFFF"/>
              </w:rPr>
              <w:t xml:space="preserve"> 10</w:t>
            </w:r>
          </w:p>
          <w:p w14:paraId="1473C138"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Licitarea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certificatelor</w:t>
            </w:r>
            <w:proofErr w:type="spellEnd"/>
          </w:p>
          <w:p w14:paraId="37C8333F" w14:textId="77777777" w:rsidR="00124364" w:rsidRDefault="00000000">
            <w:pPr>
              <w:pStyle w:val="ti-art"/>
              <w:shd w:val="clear" w:color="auto" w:fill="FFFFFF"/>
              <w:spacing w:before="0" w:beforeAutospacing="0" w:after="0" w:afterAutospacing="0"/>
              <w:rPr>
                <w:color w:val="4472C4" w:themeColor="accent1"/>
                <w:sz w:val="20"/>
                <w:szCs w:val="20"/>
              </w:rPr>
            </w:pPr>
            <w:hyperlink r:id="rId84" w:tooltip="32018L0410: REPLACED" w:history="1">
              <w:r>
                <w:rPr>
                  <w:rStyle w:val="af3"/>
                  <w:rFonts w:eastAsia="Arial Unicode MS"/>
                  <w:b/>
                  <w:bCs/>
                  <w:color w:val="4472C4" w:themeColor="accent1"/>
                  <w:sz w:val="20"/>
                  <w:szCs w:val="20"/>
                </w:rPr>
                <w:t>▼M9</w:t>
              </w:r>
            </w:hyperlink>
          </w:p>
          <w:p w14:paraId="1662D0AE" w14:textId="7CE43400" w:rsidR="00124364" w:rsidRPr="00D938EB" w:rsidRDefault="00000000" w:rsidP="00D938EB">
            <w:pPr>
              <w:pStyle w:val="ti-art"/>
              <w:numPr>
                <w:ilvl w:val="0"/>
                <w:numId w:val="3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Începând</w:t>
            </w:r>
            <w:proofErr w:type="spellEnd"/>
            <w:r w:rsidRPr="00D938EB">
              <w:rPr>
                <w:rFonts w:eastAsia="Arial Unicode MS"/>
                <w:color w:val="000000" w:themeColor="text1"/>
                <w:sz w:val="20"/>
                <w:szCs w:val="20"/>
                <w:shd w:val="clear" w:color="auto" w:fill="FFFFFF"/>
                <w:lang w:val="en-US"/>
              </w:rPr>
              <w:t xml:space="preserve"> cu 2019,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scot</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certificatele</w:t>
            </w:r>
            <w:proofErr w:type="spellEnd"/>
            <w:r w:rsidRPr="00D938EB">
              <w:rPr>
                <w:rFonts w:eastAsia="Arial Unicode MS"/>
                <w:color w:val="000000" w:themeColor="text1"/>
                <w:sz w:val="20"/>
                <w:szCs w:val="20"/>
                <w:shd w:val="clear" w:color="auto" w:fill="FFFFFF"/>
                <w:lang w:val="en-US"/>
              </w:rPr>
              <w:t xml:space="preserve"> care nu sunt </w:t>
            </w:r>
            <w:proofErr w:type="spellStart"/>
            <w:r w:rsidRPr="00D938EB">
              <w:rPr>
                <w:rFonts w:eastAsia="Arial Unicode MS"/>
                <w:color w:val="000000" w:themeColor="text1"/>
                <w:sz w:val="20"/>
                <w:szCs w:val="20"/>
                <w:shd w:val="clear" w:color="auto" w:fill="FFFFFF"/>
                <w:lang w:val="en-US"/>
              </w:rPr>
              <w:t>alocate</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titlu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gratuit</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articolele</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10a și</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10c din prezenta </w:t>
            </w:r>
            <w:proofErr w:type="spellStart"/>
            <w:r w:rsidRPr="00D938EB">
              <w:rPr>
                <w:rFonts w:eastAsia="Arial Unicode MS"/>
                <w:color w:val="000000" w:themeColor="text1"/>
                <w:sz w:val="20"/>
                <w:szCs w:val="20"/>
                <w:shd w:val="clear" w:color="auto" w:fill="FFFFFF"/>
                <w:lang w:val="en-US"/>
              </w:rPr>
              <w:t>directivă</w:t>
            </w:r>
            <w:proofErr w:type="spellEnd"/>
            <w:r w:rsidRPr="00D938EB">
              <w:rPr>
                <w:rFonts w:eastAsia="Arial Unicode MS"/>
                <w:color w:val="000000" w:themeColor="text1"/>
                <w:sz w:val="20"/>
                <w:szCs w:val="20"/>
                <w:shd w:val="clear" w:color="auto" w:fill="FFFFFF"/>
                <w:lang w:val="en-US"/>
              </w:rPr>
              <w:t xml:space="preserve"> și care nu sunt </w:t>
            </w:r>
            <w:proofErr w:type="spellStart"/>
            <w:r w:rsidRPr="00D938EB">
              <w:rPr>
                <w:rFonts w:eastAsia="Arial Unicode MS"/>
                <w:color w:val="000000" w:themeColor="text1"/>
                <w:sz w:val="20"/>
                <w:szCs w:val="20"/>
                <w:shd w:val="clear" w:color="auto" w:fill="FFFFFF"/>
                <w:lang w:val="en-US"/>
              </w:rPr>
              <w:t>plasate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rezerva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stabilitatea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pieței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instituită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prin</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Decizia</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(UE)</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2015/1814 a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 </w:t>
            </w:r>
            <w:proofErr w:type="spellStart"/>
            <w:r w:rsidRPr="00D938EB">
              <w:rPr>
                <w:rFonts w:eastAsia="Arial Unicode MS"/>
                <w:color w:val="000000" w:themeColor="text1"/>
                <w:sz w:val="20"/>
                <w:szCs w:val="20"/>
                <w:shd w:val="clear" w:color="auto" w:fill="FFFFFF"/>
                <w:lang w:val="en-US"/>
              </w:rPr>
              <w:t>Consiliului</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w:t>
            </w:r>
            <w:hyperlink r:id="rId85" w:anchor="E0010" w:history="1">
              <w:r w:rsidRPr="00D938EB">
                <w:rPr>
                  <w:rStyle w:val="superscript"/>
                  <w:rFonts w:eastAsia="Arial Unicode MS"/>
                  <w:color w:val="000000" w:themeColor="text1"/>
                  <w:sz w:val="20"/>
                  <w:szCs w:val="20"/>
                  <w:vertAlign w:val="superscript"/>
                  <w:lang w:val="en-US"/>
                </w:rPr>
                <w:t>10</w:t>
              </w:r>
            </w:hyperlink>
            <w:r w:rsidRPr="00D938EB">
              <w:rPr>
                <w:rFonts w:eastAsia="Arial Unicode MS"/>
                <w:color w:val="000000" w:themeColor="text1"/>
                <w:sz w:val="20"/>
                <w:szCs w:val="20"/>
                <w:shd w:val="clear" w:color="auto" w:fill="FFFFFF"/>
                <w:lang w:val="en-US"/>
              </w:rPr>
              <w:t>) (</w:t>
            </w:r>
            <w:proofErr w:type="spellStart"/>
            <w:r w:rsidRPr="00D938EB">
              <w:rPr>
                <w:rFonts w:eastAsia="Arial Unicode MS"/>
                <w:color w:val="000000" w:themeColor="text1"/>
                <w:sz w:val="20"/>
                <w:szCs w:val="20"/>
                <w:shd w:val="clear" w:color="auto" w:fill="FFFFFF"/>
                <w:lang w:val="en-US"/>
              </w:rPr>
              <w:t>denumită</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continuare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rezerva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stabilitatea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pieței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anulate</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12 </w:t>
            </w:r>
            <w:proofErr w:type="spellStart"/>
            <w:r w:rsidRPr="00D938EB">
              <w:rPr>
                <w:rFonts w:eastAsia="Arial Unicode MS"/>
                <w:color w:val="000000" w:themeColor="text1"/>
                <w:sz w:val="20"/>
                <w:szCs w:val="20"/>
                <w:shd w:val="clear" w:color="auto" w:fill="FFFFFF"/>
                <w:lang w:val="en-US"/>
              </w:rPr>
              <w:t>alineatul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(4) din prezenta </w:t>
            </w:r>
            <w:proofErr w:type="spellStart"/>
            <w:r w:rsidRPr="00D938EB">
              <w:rPr>
                <w:rFonts w:eastAsia="Arial Unicode MS"/>
                <w:color w:val="000000" w:themeColor="text1"/>
                <w:sz w:val="20"/>
                <w:szCs w:val="20"/>
                <w:shd w:val="clear" w:color="auto" w:fill="FFFFFF"/>
                <w:lang w:val="en-US"/>
              </w:rPr>
              <w:t>directivă</w:t>
            </w:r>
            <w:proofErr w:type="spellEnd"/>
            <w:r w:rsidRPr="00D938EB">
              <w:rPr>
                <w:rFonts w:eastAsia="Arial Unicode MS"/>
                <w:color w:val="000000" w:themeColor="text1"/>
                <w:sz w:val="20"/>
                <w:szCs w:val="20"/>
                <w:shd w:val="clear" w:color="auto" w:fill="FFFFFF"/>
                <w:lang w:val="en-US"/>
              </w:rPr>
              <w:t>.</w:t>
            </w:r>
          </w:p>
          <w:p w14:paraId="67EC600D" w14:textId="1FA88745" w:rsidR="00124364" w:rsidRPr="00D938EB" w:rsidRDefault="00000000">
            <w:pPr>
              <w:pStyle w:val="ti-art"/>
              <w:shd w:val="clear" w:color="auto" w:fill="FFFFFF"/>
              <w:spacing w:before="0" w:beforeAutospacing="0" w:after="0" w:afterAutospacing="0"/>
              <w:ind w:left="720"/>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lastRenderedPageBreak/>
              <w:t>Începând</w:t>
            </w:r>
            <w:proofErr w:type="spellEnd"/>
            <w:r w:rsidRPr="00D938EB">
              <w:rPr>
                <w:rFonts w:eastAsia="Arial Unicode MS"/>
                <w:color w:val="000000" w:themeColor="text1"/>
                <w:sz w:val="20"/>
                <w:szCs w:val="20"/>
                <w:shd w:val="clear" w:color="auto" w:fill="FFFFFF"/>
                <w:lang w:val="en-US"/>
              </w:rPr>
              <w:t xml:space="preserve"> cu 2021 și </w:t>
            </w:r>
            <w:proofErr w:type="spellStart"/>
            <w:r w:rsidRPr="00D938EB">
              <w:rPr>
                <w:rFonts w:eastAsia="Arial Unicode MS"/>
                <w:color w:val="000000" w:themeColor="text1"/>
                <w:sz w:val="20"/>
                <w:szCs w:val="20"/>
                <w:shd w:val="clear" w:color="auto" w:fill="FFFFFF"/>
                <w:lang w:val="en-US"/>
              </w:rPr>
              <w:t>fără</w:t>
            </w:r>
            <w:proofErr w:type="spellEnd"/>
            <w:r w:rsidRPr="00D938EB">
              <w:rPr>
                <w:rFonts w:eastAsia="Arial Unicode MS"/>
                <w:color w:val="000000" w:themeColor="text1"/>
                <w:sz w:val="20"/>
                <w:szCs w:val="20"/>
                <w:shd w:val="clear" w:color="auto" w:fill="FFFFFF"/>
                <w:lang w:val="en-US"/>
              </w:rPr>
              <w:t xml:space="preserve"> </w:t>
            </w:r>
            <w:proofErr w:type="gramStart"/>
            <w:r w:rsidRPr="00D938EB">
              <w:rPr>
                <w:rFonts w:eastAsia="Arial Unicode MS"/>
                <w:color w:val="000000" w:themeColor="text1"/>
                <w:sz w:val="20"/>
                <w:szCs w:val="20"/>
                <w:shd w:val="clear" w:color="auto" w:fill="FFFFFF"/>
                <w:lang w:val="en-US"/>
              </w:rPr>
              <w:t>a</w:t>
            </w:r>
            <w:proofErr w:type="gram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aduce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atingere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posibile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reduceri</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temeiul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articolului</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10a </w:t>
            </w:r>
            <w:proofErr w:type="spellStart"/>
            <w:r w:rsidRPr="00D938EB">
              <w:rPr>
                <w:rFonts w:eastAsia="Arial Unicode MS"/>
                <w:color w:val="000000" w:themeColor="text1"/>
                <w:sz w:val="20"/>
                <w:szCs w:val="20"/>
                <w:shd w:val="clear" w:color="auto" w:fill="FFFFFF"/>
                <w:lang w:val="en-US"/>
              </w:rPr>
              <w:t>alineatul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(5a), </w:t>
            </w:r>
            <w:proofErr w:type="spellStart"/>
            <w:r w:rsidRPr="00D938EB">
              <w:rPr>
                <w:rFonts w:eastAsia="Arial Unicode MS"/>
                <w:color w:val="000000" w:themeColor="text1"/>
                <w:sz w:val="20"/>
                <w:szCs w:val="20"/>
                <w:shd w:val="clear" w:color="auto" w:fill="FFFFFF"/>
                <w:lang w:val="en-US"/>
              </w:rPr>
              <w:t>proporția</w:t>
            </w:r>
            <w:proofErr w:type="spellEnd"/>
            <w:r w:rsidRPr="00D938EB">
              <w:rPr>
                <w:rFonts w:eastAsia="Arial Unicode MS"/>
                <w:color w:val="000000" w:themeColor="text1"/>
                <w:sz w:val="20"/>
                <w:szCs w:val="20"/>
                <w:shd w:val="clear" w:color="auto" w:fill="FFFFFF"/>
                <w:lang w:val="en-US"/>
              </w:rPr>
              <w:t xml:space="preserve"> de certificate care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este</w:t>
            </w:r>
            <w:proofErr w:type="spellEnd"/>
            <w:r w:rsidRPr="00D938EB">
              <w:rPr>
                <w:rFonts w:eastAsia="Arial Unicode MS"/>
                <w:color w:val="000000" w:themeColor="text1"/>
                <w:sz w:val="20"/>
                <w:szCs w:val="20"/>
                <w:shd w:val="clear" w:color="auto" w:fill="FFFFFF"/>
                <w:lang w:val="en-US"/>
              </w:rPr>
              <w:t xml:space="preserve"> de</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57</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w:t>
            </w:r>
          </w:p>
          <w:p w14:paraId="722DBF71"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86" w:tooltip="32023L0959: REPLACED" w:history="1">
              <w:r w:rsidRPr="00E34C2B">
                <w:rPr>
                  <w:rStyle w:val="af3"/>
                  <w:rFonts w:ascii="Arial Unicode MS" w:eastAsia="Arial Unicode MS" w:hAnsi="Arial Unicode MS" w:cs="Arial Unicode MS" w:hint="eastAsia"/>
                  <w:b/>
                  <w:bCs/>
                  <w:color w:val="4472C4" w:themeColor="accent1"/>
                  <w:sz w:val="20"/>
                  <w:szCs w:val="20"/>
                  <w:lang w:val="en-US"/>
                </w:rPr>
                <w:t>▼M15</w:t>
              </w:r>
            </w:hyperlink>
          </w:p>
          <w:p w14:paraId="60164165" w14:textId="20CEB150"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O </w:t>
            </w:r>
            <w:proofErr w:type="spellStart"/>
            <w:r w:rsidRPr="00D938EB">
              <w:rPr>
                <w:rFonts w:eastAsia="Arial Unicode MS"/>
                <w:color w:val="000000" w:themeColor="text1"/>
                <w:sz w:val="20"/>
                <w:szCs w:val="20"/>
                <w:shd w:val="clear" w:color="auto" w:fill="FFFFFF"/>
                <w:lang w:val="en-US"/>
              </w:rPr>
              <w:t>cotă</w:t>
            </w:r>
            <w:proofErr w:type="spellEnd"/>
            <w:r w:rsidRPr="00D938EB">
              <w:rPr>
                <w:rFonts w:eastAsia="Arial Unicode MS"/>
                <w:color w:val="000000" w:themeColor="text1"/>
                <w:sz w:val="20"/>
                <w:szCs w:val="20"/>
                <w:shd w:val="clear" w:color="auto" w:fill="FFFFFF"/>
                <w:lang w:val="en-US"/>
              </w:rPr>
              <w:t xml:space="preserve"> de 2</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de certificate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perioada 2021-2030 se </w:t>
            </w:r>
            <w:proofErr w:type="spellStart"/>
            <w:r w:rsidRPr="00D938EB">
              <w:rPr>
                <w:rFonts w:eastAsia="Arial Unicode MS"/>
                <w:color w:val="000000" w:themeColor="text1"/>
                <w:sz w:val="20"/>
                <w:szCs w:val="20"/>
                <w:shd w:val="clear" w:color="auto" w:fill="FFFFFF"/>
                <w:lang w:val="en-US"/>
              </w:rPr>
              <w:t>licitează</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vederea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constituirii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unui</w:t>
            </w:r>
            <w:proofErr w:type="spellEnd"/>
            <w:r w:rsidRPr="00D938EB">
              <w:rPr>
                <w:rFonts w:eastAsia="Arial Unicode MS"/>
                <w:color w:val="000000" w:themeColor="text1"/>
                <w:sz w:val="20"/>
                <w:szCs w:val="20"/>
                <w:shd w:val="clear" w:color="auto" w:fill="FFFFFF"/>
                <w:lang w:val="en-US"/>
              </w:rPr>
              <w:t xml:space="preserve"> fond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îmbunătățirea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eficienței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modernizarea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sistemelor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ale </w:t>
            </w:r>
            <w:proofErr w:type="spellStart"/>
            <w:r w:rsidRPr="00D938EB">
              <w:rPr>
                <w:rFonts w:eastAsia="Arial Unicode MS"/>
                <w:color w:val="000000" w:themeColor="text1"/>
                <w:sz w:val="20"/>
                <w:szCs w:val="20"/>
                <w:shd w:val="clear" w:color="auto" w:fill="FFFFFF"/>
                <w:lang w:val="en-US"/>
              </w:rPr>
              <w:t>anumitor</w:t>
            </w:r>
            <w:proofErr w:type="spellEnd"/>
            <w:r w:rsidRPr="00D938EB">
              <w:rPr>
                <w:rFonts w:eastAsia="Arial Unicode MS"/>
                <w:color w:val="000000" w:themeColor="text1"/>
                <w:sz w:val="20"/>
                <w:szCs w:val="20"/>
                <w:shd w:val="clear" w:color="auto" w:fill="FFFFFF"/>
                <w:lang w:val="en-US"/>
              </w:rPr>
              <w:t xml:space="preserve"> state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denumite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continuare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beneficiare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astfel</w:t>
            </w:r>
            <w:proofErr w:type="spellEnd"/>
            <w:r w:rsidRPr="00D938EB">
              <w:rPr>
                <w:rFonts w:eastAsia="Arial Unicode MS"/>
                <w:color w:val="000000" w:themeColor="text1"/>
                <w:sz w:val="20"/>
                <w:szCs w:val="20"/>
                <w:shd w:val="clear" w:color="auto" w:fill="FFFFFF"/>
                <w:lang w:val="en-US"/>
              </w:rPr>
              <w:t xml:space="preserve"> cum se </w:t>
            </w:r>
            <w:proofErr w:type="spellStart"/>
            <w:r w:rsidRPr="00D938EB">
              <w:rPr>
                <w:rFonts w:eastAsia="Arial Unicode MS"/>
                <w:color w:val="000000" w:themeColor="text1"/>
                <w:sz w:val="20"/>
                <w:szCs w:val="20"/>
                <w:shd w:val="clear" w:color="auto" w:fill="FFFFFF"/>
                <w:lang w:val="en-US"/>
              </w:rPr>
              <w:t>prevede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10d (</w:t>
            </w:r>
            <w:proofErr w:type="spellStart"/>
            <w:r w:rsidRPr="00D938EB">
              <w:rPr>
                <w:rFonts w:eastAsia="Arial Unicode MS"/>
                <w:color w:val="000000" w:themeColor="text1"/>
                <w:sz w:val="20"/>
                <w:szCs w:val="20"/>
                <w:shd w:val="clear" w:color="auto" w:fill="FFFFFF"/>
                <w:lang w:val="en-US"/>
              </w:rPr>
              <w:t>denumit</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continuare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fondul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modernizare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beneficiare</w:t>
            </w:r>
            <w:proofErr w:type="spellEnd"/>
            <w:r w:rsidRPr="00D938EB">
              <w:rPr>
                <w:rFonts w:eastAsia="Arial Unicode MS"/>
                <w:color w:val="000000" w:themeColor="text1"/>
                <w:sz w:val="20"/>
                <w:szCs w:val="20"/>
                <w:shd w:val="clear" w:color="auto" w:fill="FFFFFF"/>
                <w:lang w:val="en-US"/>
              </w:rPr>
              <w:t xml:space="preserve"> ale </w:t>
            </w:r>
            <w:proofErr w:type="spellStart"/>
            <w:r w:rsidRPr="00D938EB">
              <w:rPr>
                <w:rFonts w:eastAsia="Arial Unicode MS"/>
                <w:color w:val="000000" w:themeColor="text1"/>
                <w:sz w:val="20"/>
                <w:szCs w:val="20"/>
                <w:shd w:val="clear" w:color="auto" w:fill="FFFFFF"/>
                <w:lang w:val="en-US"/>
              </w:rPr>
              <w:t>acestui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volum</w:t>
            </w:r>
            <w:proofErr w:type="spellEnd"/>
            <w:r w:rsidRPr="00D938EB">
              <w:rPr>
                <w:rFonts w:eastAsia="Arial Unicode MS"/>
                <w:color w:val="000000" w:themeColor="text1"/>
                <w:sz w:val="20"/>
                <w:szCs w:val="20"/>
                <w:shd w:val="clear" w:color="auto" w:fill="FFFFFF"/>
                <w:lang w:val="en-US"/>
              </w:rPr>
              <w:t xml:space="preserve"> de certificate sunt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cu un PIB pe cap de </w:t>
            </w:r>
            <w:proofErr w:type="spellStart"/>
            <w:r w:rsidRPr="00D938EB">
              <w:rPr>
                <w:rFonts w:eastAsia="Arial Unicode MS"/>
                <w:color w:val="000000" w:themeColor="text1"/>
                <w:sz w:val="20"/>
                <w:szCs w:val="20"/>
                <w:shd w:val="clear" w:color="auto" w:fill="FFFFFF"/>
                <w:lang w:val="en-US"/>
              </w:rPr>
              <w:t>locuitor</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prețurile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pieței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mic de 60</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 din media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în 2013. </w:t>
            </w:r>
            <w:proofErr w:type="spellStart"/>
            <w:r w:rsidRPr="00D938EB">
              <w:rPr>
                <w:rFonts w:eastAsia="Arial Unicode MS"/>
                <w:color w:val="000000" w:themeColor="text1"/>
                <w:sz w:val="20"/>
                <w:szCs w:val="20"/>
                <w:shd w:val="clear" w:color="auto" w:fill="FFFFFF"/>
                <w:lang w:val="en-US"/>
              </w:rPr>
              <w:t>Fondurile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corespunzătoare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volum</w:t>
            </w:r>
            <w:proofErr w:type="spellEnd"/>
            <w:r w:rsidRPr="00D938EB">
              <w:rPr>
                <w:rFonts w:eastAsia="Arial Unicode MS"/>
                <w:color w:val="000000" w:themeColor="text1"/>
                <w:sz w:val="20"/>
                <w:szCs w:val="20"/>
                <w:shd w:val="clear" w:color="auto" w:fill="FFFFFF"/>
                <w:lang w:val="en-US"/>
              </w:rPr>
              <w:t xml:space="preserve"> de certificate se </w:t>
            </w:r>
            <w:proofErr w:type="spellStart"/>
            <w:r w:rsidRPr="00D938EB">
              <w:rPr>
                <w:rFonts w:eastAsia="Arial Unicode MS"/>
                <w:color w:val="000000" w:themeColor="text1"/>
                <w:sz w:val="20"/>
                <w:szCs w:val="20"/>
                <w:shd w:val="clear" w:color="auto" w:fill="FFFFFF"/>
                <w:lang w:val="en-US"/>
              </w:rPr>
              <w:t>distribuie</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partea</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A din </w:t>
            </w:r>
            <w:proofErr w:type="spellStart"/>
            <w:r w:rsidRPr="00D938EB">
              <w:rPr>
                <w:rFonts w:eastAsia="Arial Unicode MS"/>
                <w:color w:val="000000" w:themeColor="text1"/>
                <w:sz w:val="20"/>
                <w:szCs w:val="20"/>
                <w:shd w:val="clear" w:color="auto" w:fill="FFFFFF"/>
                <w:lang w:val="en-US"/>
              </w:rPr>
              <w:t>anexa</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IIb.</w:t>
            </w:r>
          </w:p>
          <w:p w14:paraId="50D79662" w14:textId="0268B5E0"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În plus, o </w:t>
            </w:r>
            <w:proofErr w:type="spellStart"/>
            <w:r w:rsidRPr="00D938EB">
              <w:rPr>
                <w:rFonts w:eastAsia="Arial Unicode MS"/>
                <w:color w:val="000000" w:themeColor="text1"/>
                <w:sz w:val="20"/>
                <w:szCs w:val="20"/>
                <w:shd w:val="clear" w:color="auto" w:fill="FFFFFF"/>
                <w:lang w:val="en-US"/>
              </w:rPr>
              <w:t>cotă</w:t>
            </w:r>
            <w:proofErr w:type="spellEnd"/>
            <w:r w:rsidRPr="00D938EB">
              <w:rPr>
                <w:rFonts w:eastAsia="Arial Unicode MS"/>
                <w:color w:val="000000" w:themeColor="text1"/>
                <w:sz w:val="20"/>
                <w:szCs w:val="20"/>
                <w:shd w:val="clear" w:color="auto" w:fill="FFFFFF"/>
                <w:lang w:val="en-US"/>
              </w:rPr>
              <w:t xml:space="preserve"> de 2,5</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de certificate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perioada 2024-2030 sunt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Fondul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modernizare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beneficiare</w:t>
            </w:r>
            <w:proofErr w:type="spellEnd"/>
            <w:r w:rsidRPr="00D938EB">
              <w:rPr>
                <w:rFonts w:eastAsia="Arial Unicode MS"/>
                <w:color w:val="000000" w:themeColor="text1"/>
                <w:sz w:val="20"/>
                <w:szCs w:val="20"/>
                <w:shd w:val="clear" w:color="auto" w:fill="FFFFFF"/>
                <w:lang w:val="en-US"/>
              </w:rPr>
              <w:t xml:space="preserve"> ale </w:t>
            </w:r>
            <w:proofErr w:type="spellStart"/>
            <w:r w:rsidRPr="00D938EB">
              <w:rPr>
                <w:rFonts w:eastAsia="Arial Unicode MS"/>
                <w:color w:val="000000" w:themeColor="text1"/>
                <w:sz w:val="20"/>
                <w:szCs w:val="20"/>
                <w:shd w:val="clear" w:color="auto" w:fill="FFFFFF"/>
                <w:lang w:val="en-US"/>
              </w:rPr>
              <w:t>acestui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volum</w:t>
            </w:r>
            <w:proofErr w:type="spellEnd"/>
            <w:r w:rsidRPr="00D938EB">
              <w:rPr>
                <w:rFonts w:eastAsia="Arial Unicode MS"/>
                <w:color w:val="000000" w:themeColor="text1"/>
                <w:sz w:val="20"/>
                <w:szCs w:val="20"/>
                <w:shd w:val="clear" w:color="auto" w:fill="FFFFFF"/>
                <w:lang w:val="en-US"/>
              </w:rPr>
              <w:t xml:space="preserve"> de certificate sunt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cu un PIB pe cap de </w:t>
            </w:r>
            <w:proofErr w:type="spellStart"/>
            <w:r w:rsidRPr="00D938EB">
              <w:rPr>
                <w:rFonts w:eastAsia="Arial Unicode MS"/>
                <w:color w:val="000000" w:themeColor="text1"/>
                <w:sz w:val="20"/>
                <w:szCs w:val="20"/>
                <w:shd w:val="clear" w:color="auto" w:fill="FFFFFF"/>
                <w:lang w:val="en-US"/>
              </w:rPr>
              <w:t>locuitor</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prețurile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pieței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mic de 75</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 din media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în perioada 2016-2018. </w:t>
            </w:r>
            <w:proofErr w:type="spellStart"/>
            <w:r w:rsidRPr="00D938EB">
              <w:rPr>
                <w:rFonts w:eastAsia="Arial Unicode MS"/>
                <w:color w:val="000000" w:themeColor="text1"/>
                <w:sz w:val="20"/>
                <w:szCs w:val="20"/>
                <w:shd w:val="clear" w:color="auto" w:fill="FFFFFF"/>
                <w:lang w:val="en-US"/>
              </w:rPr>
              <w:t>Fondurile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corespunzătoare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volum</w:t>
            </w:r>
            <w:proofErr w:type="spellEnd"/>
            <w:r w:rsidRPr="00D938EB">
              <w:rPr>
                <w:rFonts w:eastAsia="Arial Unicode MS"/>
                <w:color w:val="000000" w:themeColor="text1"/>
                <w:sz w:val="20"/>
                <w:szCs w:val="20"/>
                <w:shd w:val="clear" w:color="auto" w:fill="FFFFFF"/>
                <w:lang w:val="en-US"/>
              </w:rPr>
              <w:t xml:space="preserve"> de certificate se </w:t>
            </w:r>
            <w:proofErr w:type="spellStart"/>
            <w:r w:rsidRPr="00D938EB">
              <w:rPr>
                <w:rFonts w:eastAsia="Arial Unicode MS"/>
                <w:color w:val="000000" w:themeColor="text1"/>
                <w:sz w:val="20"/>
                <w:szCs w:val="20"/>
                <w:shd w:val="clear" w:color="auto" w:fill="FFFFFF"/>
                <w:lang w:val="en-US"/>
              </w:rPr>
              <w:t>distribuie</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partea</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B din </w:t>
            </w:r>
            <w:proofErr w:type="spellStart"/>
            <w:r w:rsidRPr="00D938EB">
              <w:rPr>
                <w:rFonts w:eastAsia="Arial Unicode MS"/>
                <w:color w:val="000000" w:themeColor="text1"/>
                <w:sz w:val="20"/>
                <w:szCs w:val="20"/>
                <w:shd w:val="clear" w:color="auto" w:fill="FFFFFF"/>
                <w:lang w:val="en-US"/>
              </w:rPr>
              <w:t>anexa</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IIb.</w:t>
            </w:r>
          </w:p>
          <w:p w14:paraId="79B10D82"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87" w:tooltip="32018L0410: REPLACED" w:history="1">
              <w:r w:rsidRPr="00E34C2B">
                <w:rPr>
                  <w:rStyle w:val="af3"/>
                  <w:rFonts w:eastAsia="Arial Unicode MS"/>
                  <w:b/>
                  <w:bCs/>
                  <w:color w:val="4472C4" w:themeColor="accent1"/>
                  <w:sz w:val="20"/>
                  <w:szCs w:val="20"/>
                  <w:lang w:val="en-US"/>
                </w:rPr>
                <w:t>▼M9</w:t>
              </w:r>
            </w:hyperlink>
          </w:p>
          <w:p w14:paraId="18602140" w14:textId="77777777"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rămasă</w:t>
            </w:r>
            <w:proofErr w:type="spellEnd"/>
            <w:r w:rsidRPr="00D938EB">
              <w:rPr>
                <w:rFonts w:eastAsia="Arial Unicode MS"/>
                <w:color w:val="000000" w:themeColor="text1"/>
                <w:sz w:val="20"/>
                <w:szCs w:val="20"/>
                <w:shd w:val="clear" w:color="auto" w:fill="FFFFFF"/>
                <w:lang w:val="en-US"/>
              </w:rPr>
              <w:t xml:space="preserve"> de certificate care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distribuie</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alineatul</w:t>
            </w:r>
            <w:proofErr w:type="spellEnd"/>
            <w:r w:rsidRPr="00D938EB">
              <w:rPr>
                <w:rFonts w:eastAsia="Arial Unicode MS"/>
                <w:color w:val="000000" w:themeColor="text1"/>
                <w:sz w:val="20"/>
                <w:szCs w:val="20"/>
                <w:shd w:val="clear" w:color="auto" w:fill="FFFFFF"/>
                <w:lang w:val="en-US"/>
              </w:rPr>
              <w:t xml:space="preserve"> (2).</w:t>
            </w:r>
          </w:p>
          <w:p w14:paraId="3AE852D1" w14:textId="77777777" w:rsidR="00124364" w:rsidRDefault="00000000">
            <w:pPr>
              <w:pStyle w:val="ti-art"/>
              <w:shd w:val="clear" w:color="auto" w:fill="FFFFFF"/>
              <w:spacing w:before="0" w:beforeAutospacing="0" w:after="0" w:afterAutospacing="0"/>
              <w:rPr>
                <w:color w:val="4472C4" w:themeColor="accent1"/>
                <w:sz w:val="20"/>
                <w:szCs w:val="20"/>
              </w:rPr>
            </w:pPr>
            <w:hyperlink r:id="rId88" w:tooltip="32015D1814: INSERTED" w:history="1">
              <w:r>
                <w:rPr>
                  <w:rStyle w:val="af3"/>
                  <w:rFonts w:eastAsia="Arial Unicode MS"/>
                  <w:b/>
                  <w:bCs/>
                  <w:color w:val="4472C4" w:themeColor="accent1"/>
                  <w:sz w:val="20"/>
                  <w:szCs w:val="20"/>
                </w:rPr>
                <w:t>▼M7</w:t>
              </w:r>
            </w:hyperlink>
          </w:p>
          <w:p w14:paraId="7DBDE919" w14:textId="42B803E1" w:rsidR="00124364" w:rsidRPr="00D938EB" w:rsidRDefault="00000000" w:rsidP="00D938EB">
            <w:pPr>
              <w:pStyle w:val="ti-art"/>
              <w:numPr>
                <w:ilvl w:val="0"/>
                <w:numId w:val="3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În </w:t>
            </w:r>
            <w:proofErr w:type="spellStart"/>
            <w:r w:rsidRPr="00D938EB">
              <w:rPr>
                <w:rFonts w:eastAsia="Arial Unicode MS"/>
                <w:color w:val="000000" w:themeColor="text1"/>
                <w:sz w:val="20"/>
                <w:szCs w:val="20"/>
                <w:shd w:val="clear" w:color="auto" w:fill="FFFFFF"/>
                <w:lang w:val="en-US"/>
              </w:rPr>
              <w:t>cazul</w:t>
            </w:r>
            <w:proofErr w:type="spellEnd"/>
            <w:r w:rsidRPr="00D938EB">
              <w:rPr>
                <w:rFonts w:eastAsia="Arial Unicode MS"/>
                <w:color w:val="000000" w:themeColor="text1"/>
                <w:sz w:val="20"/>
                <w:szCs w:val="20"/>
                <w:shd w:val="clear" w:color="auto" w:fill="FFFFFF"/>
                <w:lang w:val="en-US"/>
              </w:rPr>
              <w:t xml:space="preserve"> în care </w:t>
            </w:r>
            <w:proofErr w:type="spellStart"/>
            <w:r w:rsidRPr="00D938EB">
              <w:rPr>
                <w:rFonts w:eastAsia="Arial Unicode MS"/>
                <w:color w:val="000000" w:themeColor="text1"/>
                <w:sz w:val="20"/>
                <w:szCs w:val="20"/>
                <w:shd w:val="clear" w:color="auto" w:fill="FFFFFF"/>
                <w:lang w:val="en-US"/>
              </w:rPr>
              <w:t>volumul</w:t>
            </w:r>
            <w:proofErr w:type="spellEnd"/>
            <w:r w:rsidRPr="00D938EB">
              <w:rPr>
                <w:rFonts w:eastAsia="Arial Unicode MS"/>
                <w:color w:val="000000" w:themeColor="text1"/>
                <w:sz w:val="20"/>
                <w:szCs w:val="20"/>
                <w:shd w:val="clear" w:color="auto" w:fill="FFFFFF"/>
                <w:lang w:val="en-US"/>
              </w:rPr>
              <w:t xml:space="preserve"> de certificate de </w:t>
            </w:r>
            <w:proofErr w:type="spellStart"/>
            <w:r w:rsidRPr="00D938EB">
              <w:rPr>
                <w:rFonts w:eastAsia="Arial Unicode MS"/>
                <w:color w:val="000000" w:themeColor="text1"/>
                <w:sz w:val="20"/>
                <w:szCs w:val="20"/>
                <w:shd w:val="clear" w:color="auto" w:fill="FFFFFF"/>
                <w:lang w:val="en-US"/>
              </w:rPr>
              <w:t>emisii</w:t>
            </w:r>
            <w:proofErr w:type="spellEnd"/>
            <w:r w:rsidRPr="00D938EB">
              <w:rPr>
                <w:rFonts w:eastAsia="Arial Unicode MS"/>
                <w:color w:val="000000" w:themeColor="text1"/>
                <w:sz w:val="20"/>
                <w:szCs w:val="20"/>
                <w:shd w:val="clear" w:color="auto" w:fill="FFFFFF"/>
                <w:lang w:val="en-US"/>
              </w:rPr>
              <w:t xml:space="preserve"> care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ultimul</w:t>
            </w:r>
            <w:proofErr w:type="spellEnd"/>
            <w:r w:rsidRPr="00D938EB">
              <w:rPr>
                <w:rFonts w:eastAsia="Arial Unicode MS"/>
                <w:color w:val="000000" w:themeColor="text1"/>
                <w:sz w:val="20"/>
                <w:szCs w:val="20"/>
                <w:shd w:val="clear" w:color="auto" w:fill="FFFFFF"/>
                <w:lang w:val="en-US"/>
              </w:rPr>
              <w:t xml:space="preserve"> an al </w:t>
            </w:r>
            <w:proofErr w:type="spellStart"/>
            <w:r w:rsidRPr="00D938EB">
              <w:rPr>
                <w:rFonts w:eastAsia="Arial Unicode MS"/>
                <w:color w:val="000000" w:themeColor="text1"/>
                <w:sz w:val="20"/>
                <w:szCs w:val="20"/>
                <w:shd w:val="clear" w:color="auto" w:fill="FFFFFF"/>
                <w:lang w:val="en-US"/>
              </w:rPr>
              <w:t>fiecărei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perioade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w:t>
            </w:r>
            <w:hyperlink r:id="rId89" w:tooltip="32018L0410: REPLACED" w:history="1">
              <w:r w:rsidRPr="00D938EB">
                <w:rPr>
                  <w:rStyle w:val="boldface"/>
                  <w:rFonts w:eastAsia="Arial Unicode MS"/>
                  <w:b/>
                  <w:bCs/>
                  <w:color w:val="000000" w:themeColor="text1"/>
                  <w:sz w:val="20"/>
                  <w:szCs w:val="20"/>
                  <w:lang w:val="en-US"/>
                </w:rPr>
                <w:t>►M9</w:t>
              </w:r>
            </w:hyperlink>
            <w:r w:rsidR="00D938EB" w:rsidRPr="00D938EB">
              <w:rPr>
                <w:rStyle w:val="apple-converted-space"/>
                <w:rFonts w:eastAsia="Arial Unicode MS"/>
                <w:color w:val="000000" w:themeColor="text1"/>
                <w:sz w:val="20"/>
                <w:szCs w:val="20"/>
                <w:lang w:val="en-US"/>
              </w:rPr>
              <w:t xml:space="preserve"> </w:t>
            </w:r>
            <w:proofErr w:type="spellStart"/>
            <w:r w:rsidRPr="00D938EB">
              <w:rPr>
                <w:rFonts w:eastAsia="Arial Unicode MS"/>
                <w:color w:val="000000" w:themeColor="text1"/>
                <w:sz w:val="20"/>
                <w:szCs w:val="20"/>
                <w:shd w:val="clear" w:color="auto" w:fill="FFFFFF"/>
                <w:lang w:val="en-US"/>
              </w:rPr>
              <w:t>articolul</w:t>
            </w:r>
            <w:proofErr w:type="spellEnd"/>
            <w:r w:rsidRPr="00D938EB">
              <w:rPr>
                <w:rFonts w:eastAsia="Arial Unicode MS"/>
                <w:color w:val="000000" w:themeColor="text1"/>
                <w:sz w:val="20"/>
                <w:szCs w:val="20"/>
                <w:shd w:val="clear" w:color="auto" w:fill="FFFFFF"/>
                <w:lang w:val="en-US"/>
              </w:rPr>
              <w:t xml:space="preserve"> 13</w:t>
            </w:r>
            <w:r w:rsidRPr="00D938EB">
              <w:rPr>
                <w:rStyle w:val="boldface"/>
                <w:rFonts w:eastAsia="Arial Unicode MS"/>
                <w:b/>
                <w:bCs/>
                <w:color w:val="000000" w:themeColor="text1"/>
                <w:sz w:val="20"/>
                <w:szCs w:val="20"/>
                <w:lang w:val="en-US"/>
              </w:rPr>
              <w:t>◄</w:t>
            </w:r>
            <w:r w:rsidRPr="00D938EB">
              <w:rPr>
                <w:rFonts w:eastAsia="Arial Unicode MS"/>
                <w:color w:val="000000" w:themeColor="text1"/>
                <w:sz w:val="20"/>
                <w:szCs w:val="20"/>
                <w:shd w:val="clear" w:color="auto" w:fill="FFFFFF"/>
                <w:lang w:val="en-US"/>
              </w:rPr>
              <w:t xml:space="preserve">din prezenta </w:t>
            </w:r>
            <w:proofErr w:type="spellStart"/>
            <w:r w:rsidRPr="00D938EB">
              <w:rPr>
                <w:rFonts w:eastAsia="Arial Unicode MS"/>
                <w:color w:val="000000" w:themeColor="text1"/>
                <w:sz w:val="20"/>
                <w:szCs w:val="20"/>
                <w:shd w:val="clear" w:color="auto" w:fill="FFFFFF"/>
                <w:lang w:val="en-US"/>
              </w:rPr>
              <w:t>directivă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depășește</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mult</w:t>
            </w:r>
            <w:proofErr w:type="spellEnd"/>
            <w:r w:rsidRPr="00D938EB">
              <w:rPr>
                <w:rFonts w:eastAsia="Arial Unicode MS"/>
                <w:color w:val="000000" w:themeColor="text1"/>
                <w:sz w:val="20"/>
                <w:szCs w:val="20"/>
                <w:shd w:val="clear" w:color="auto" w:fill="FFFFFF"/>
                <w:lang w:val="en-US"/>
              </w:rPr>
              <w:t xml:space="preserve"> de 30% media </w:t>
            </w:r>
            <w:proofErr w:type="spellStart"/>
            <w:r w:rsidRPr="00D938EB">
              <w:rPr>
                <w:rFonts w:eastAsia="Arial Unicode MS"/>
                <w:color w:val="000000" w:themeColor="text1"/>
                <w:sz w:val="20"/>
                <w:szCs w:val="20"/>
                <w:shd w:val="clear" w:color="auto" w:fill="FFFFFF"/>
                <w:lang w:val="en-US"/>
              </w:rPr>
              <w:t>preconizată</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volumului</w:t>
            </w:r>
            <w:proofErr w:type="spellEnd"/>
            <w:r w:rsidRPr="00D938EB">
              <w:rPr>
                <w:rFonts w:eastAsia="Arial Unicode MS"/>
                <w:color w:val="000000" w:themeColor="text1"/>
                <w:sz w:val="20"/>
                <w:szCs w:val="20"/>
                <w:shd w:val="clear" w:color="auto" w:fill="FFFFFF"/>
                <w:lang w:val="en-US"/>
              </w:rPr>
              <w:t xml:space="preserve"> de certificate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primii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doi</w:t>
            </w:r>
            <w:proofErr w:type="spellEnd"/>
            <w:r w:rsidRPr="00D938EB">
              <w:rPr>
                <w:rFonts w:eastAsia="Arial Unicode MS"/>
                <w:color w:val="000000" w:themeColor="text1"/>
                <w:sz w:val="20"/>
                <w:szCs w:val="20"/>
                <w:shd w:val="clear" w:color="auto" w:fill="FFFFFF"/>
                <w:lang w:val="en-US"/>
              </w:rPr>
              <w:t xml:space="preserve"> ani din perioada </w:t>
            </w:r>
            <w:proofErr w:type="spellStart"/>
            <w:r w:rsidRPr="00D938EB">
              <w:rPr>
                <w:rFonts w:eastAsia="Arial Unicode MS"/>
                <w:color w:val="000000" w:themeColor="text1"/>
                <w:sz w:val="20"/>
                <w:szCs w:val="20"/>
                <w:shd w:val="clear" w:color="auto" w:fill="FFFFFF"/>
                <w:lang w:val="en-US"/>
              </w:rPr>
              <w:t>următoare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înainte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aplicarea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articolului</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 </w:t>
            </w:r>
            <w:proofErr w:type="spellStart"/>
            <w:r w:rsidRPr="00D938EB">
              <w:rPr>
                <w:rFonts w:eastAsia="Arial Unicode MS"/>
                <w:color w:val="000000" w:themeColor="text1"/>
                <w:sz w:val="20"/>
                <w:szCs w:val="20"/>
                <w:shd w:val="clear" w:color="auto" w:fill="FFFFFF"/>
                <w:lang w:val="en-US"/>
              </w:rPr>
              <w:t>alineatul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(5) din </w:t>
            </w:r>
            <w:proofErr w:type="spellStart"/>
            <w:r w:rsidRPr="00D938EB">
              <w:rPr>
                <w:rFonts w:eastAsia="Arial Unicode MS"/>
                <w:color w:val="000000" w:themeColor="text1"/>
                <w:sz w:val="20"/>
                <w:szCs w:val="20"/>
                <w:shd w:val="clear" w:color="auto" w:fill="FFFFFF"/>
                <w:lang w:val="en-US"/>
              </w:rPr>
              <w:t>Decizia</w:t>
            </w:r>
            <w:proofErr w:type="spellEnd"/>
            <w:r w:rsidRPr="00D938EB">
              <w:rPr>
                <w:rFonts w:eastAsia="Arial Unicode MS"/>
                <w:color w:val="000000" w:themeColor="text1"/>
                <w:sz w:val="20"/>
                <w:szCs w:val="20"/>
                <w:shd w:val="clear" w:color="auto" w:fill="FFFFFF"/>
                <w:lang w:val="en-US"/>
              </w:rPr>
              <w:t xml:space="preserve"> (UE) 2015/1814, </w:t>
            </w:r>
            <w:proofErr w:type="spellStart"/>
            <w:r w:rsidRPr="00D938EB">
              <w:rPr>
                <w:rFonts w:eastAsia="Arial Unicode MS"/>
                <w:color w:val="000000" w:themeColor="text1"/>
                <w:sz w:val="20"/>
                <w:szCs w:val="20"/>
                <w:shd w:val="clear" w:color="auto" w:fill="FFFFFF"/>
                <w:lang w:val="en-US"/>
              </w:rPr>
              <w:t>două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treimi</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diferența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dintre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aceste</w:t>
            </w:r>
            <w:proofErr w:type="spellEnd"/>
            <w:r w:rsidRPr="00D938EB">
              <w:rPr>
                <w:rFonts w:eastAsia="Arial Unicode MS"/>
                <w:color w:val="000000" w:themeColor="text1"/>
                <w:sz w:val="20"/>
                <w:szCs w:val="20"/>
                <w:shd w:val="clear" w:color="auto" w:fill="FFFFFF"/>
                <w:lang w:val="en-US"/>
              </w:rPr>
              <w:t xml:space="preserve"> volume se </w:t>
            </w:r>
            <w:proofErr w:type="spellStart"/>
            <w:r w:rsidRPr="00D938EB">
              <w:rPr>
                <w:rFonts w:eastAsia="Arial Unicode MS"/>
                <w:color w:val="000000" w:themeColor="text1"/>
                <w:sz w:val="20"/>
                <w:szCs w:val="20"/>
                <w:shd w:val="clear" w:color="auto" w:fill="FFFFFF"/>
                <w:lang w:val="en-US"/>
              </w:rPr>
              <w:t>scad</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volumul</w:t>
            </w:r>
            <w:proofErr w:type="spellEnd"/>
            <w:r w:rsidRPr="00D938EB">
              <w:rPr>
                <w:rFonts w:eastAsia="Arial Unicode MS"/>
                <w:color w:val="000000" w:themeColor="text1"/>
                <w:sz w:val="20"/>
                <w:szCs w:val="20"/>
                <w:shd w:val="clear" w:color="auto" w:fill="FFFFFF"/>
                <w:lang w:val="en-US"/>
              </w:rPr>
              <w:t xml:space="preserve"> de certificate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ultimul</w:t>
            </w:r>
            <w:proofErr w:type="spellEnd"/>
            <w:r w:rsidRPr="00D938EB">
              <w:rPr>
                <w:rFonts w:eastAsia="Arial Unicode MS"/>
                <w:color w:val="000000" w:themeColor="text1"/>
                <w:sz w:val="20"/>
                <w:szCs w:val="20"/>
                <w:shd w:val="clear" w:color="auto" w:fill="FFFFFF"/>
                <w:lang w:val="en-US"/>
              </w:rPr>
              <w:t xml:space="preserve"> an al </w:t>
            </w:r>
            <w:proofErr w:type="spellStart"/>
            <w:r w:rsidRPr="00D938EB">
              <w:rPr>
                <w:rFonts w:eastAsia="Arial Unicode MS"/>
                <w:color w:val="000000" w:themeColor="text1"/>
                <w:sz w:val="20"/>
                <w:szCs w:val="20"/>
                <w:shd w:val="clear" w:color="auto" w:fill="FFFFFF"/>
                <w:lang w:val="en-US"/>
              </w:rPr>
              <w:t>perioadei</w:t>
            </w:r>
            <w:proofErr w:type="spellEnd"/>
            <w:r w:rsidRPr="00D938EB">
              <w:rPr>
                <w:rFonts w:eastAsia="Arial Unicode MS"/>
                <w:color w:val="000000" w:themeColor="text1"/>
                <w:sz w:val="20"/>
                <w:szCs w:val="20"/>
                <w:shd w:val="clear" w:color="auto" w:fill="FFFFFF"/>
                <w:lang w:val="en-US"/>
              </w:rPr>
              <w:t xml:space="preserve"> și se </w:t>
            </w:r>
            <w:proofErr w:type="spellStart"/>
            <w:r w:rsidRPr="00D938EB">
              <w:rPr>
                <w:rFonts w:eastAsia="Arial Unicode MS"/>
                <w:color w:val="000000" w:themeColor="text1"/>
                <w:sz w:val="20"/>
                <w:szCs w:val="20"/>
                <w:shd w:val="clear" w:color="auto" w:fill="FFFFFF"/>
                <w:lang w:val="en-US"/>
              </w:rPr>
              <w:t>adăugă</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tranșe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egale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volumelor</w:t>
            </w:r>
            <w:proofErr w:type="spellEnd"/>
            <w:r w:rsidRPr="00D938EB">
              <w:rPr>
                <w:rFonts w:eastAsia="Arial Unicode MS"/>
                <w:color w:val="000000" w:themeColor="text1"/>
                <w:sz w:val="20"/>
                <w:szCs w:val="20"/>
                <w:shd w:val="clear" w:color="auto" w:fill="FFFFFF"/>
                <w:lang w:val="en-US"/>
              </w:rPr>
              <w:t xml:space="preserve"> care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primii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doi</w:t>
            </w:r>
            <w:proofErr w:type="spellEnd"/>
            <w:r w:rsidRPr="00D938EB">
              <w:rPr>
                <w:rFonts w:eastAsia="Arial Unicode MS"/>
                <w:color w:val="000000" w:themeColor="text1"/>
                <w:sz w:val="20"/>
                <w:szCs w:val="20"/>
                <w:shd w:val="clear" w:color="auto" w:fill="FFFFFF"/>
                <w:lang w:val="en-US"/>
              </w:rPr>
              <w:t xml:space="preserve"> ani ai </w:t>
            </w:r>
            <w:proofErr w:type="spellStart"/>
            <w:r w:rsidRPr="00D938EB">
              <w:rPr>
                <w:rFonts w:eastAsia="Arial Unicode MS"/>
                <w:color w:val="000000" w:themeColor="text1"/>
                <w:sz w:val="20"/>
                <w:szCs w:val="20"/>
                <w:shd w:val="clear" w:color="auto" w:fill="FFFFFF"/>
                <w:lang w:val="en-US"/>
              </w:rPr>
              <w:t>perioadei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următoare</w:t>
            </w:r>
            <w:proofErr w:type="spellEnd"/>
            <w:r w:rsidRPr="00D938EB">
              <w:rPr>
                <w:rFonts w:eastAsia="Arial Unicode MS"/>
                <w:color w:val="000000" w:themeColor="text1"/>
                <w:sz w:val="20"/>
                <w:szCs w:val="20"/>
                <w:shd w:val="clear" w:color="auto" w:fill="FFFFFF"/>
                <w:lang w:val="en-US"/>
              </w:rPr>
              <w:t>.</w:t>
            </w:r>
          </w:p>
          <w:p w14:paraId="79A467BA"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90" w:tooltip="32009L0029: REPLACED" w:history="1">
              <w:r>
                <w:rPr>
                  <w:rStyle w:val="af3"/>
                  <w:rFonts w:eastAsia="Arial Unicode MS"/>
                  <w:b/>
                  <w:bCs/>
                  <w:color w:val="4472C4" w:themeColor="accent1"/>
                  <w:sz w:val="20"/>
                  <w:szCs w:val="20"/>
                </w:rPr>
                <w:t>▼M4</w:t>
              </w:r>
            </w:hyperlink>
          </w:p>
          <w:p w14:paraId="332C5052" w14:textId="77777777" w:rsidR="00124364" w:rsidRPr="00D938EB" w:rsidRDefault="00000000" w:rsidP="00D938EB">
            <w:pPr>
              <w:pStyle w:val="ti-art"/>
              <w:numPr>
                <w:ilvl w:val="0"/>
                <w:numId w:val="3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lastRenderedPageBreak/>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cotelor</w:t>
            </w:r>
            <w:proofErr w:type="spellEnd"/>
            <w:r w:rsidRPr="00D938EB">
              <w:rPr>
                <w:rFonts w:eastAsia="Arial Unicode MS"/>
                <w:color w:val="000000" w:themeColor="text1"/>
                <w:sz w:val="20"/>
                <w:szCs w:val="20"/>
                <w:shd w:val="clear" w:color="auto" w:fill="FFFFFF"/>
                <w:lang w:val="en-US"/>
              </w:rPr>
              <w:t xml:space="preserve"> pe care </w:t>
            </w:r>
            <w:proofErr w:type="spellStart"/>
            <w:r w:rsidRPr="00D938EB">
              <w:rPr>
                <w:rFonts w:eastAsia="Arial Unicode MS"/>
                <w:color w:val="000000" w:themeColor="text1"/>
                <w:sz w:val="20"/>
                <w:szCs w:val="20"/>
                <w:shd w:val="clear" w:color="auto" w:fill="FFFFFF"/>
                <w:lang w:val="en-US"/>
              </w:rPr>
              <w:t>fiecare</w:t>
            </w:r>
            <w:proofErr w:type="spellEnd"/>
            <w:r w:rsidRPr="00D938EB">
              <w:rPr>
                <w:rFonts w:eastAsia="Arial Unicode MS"/>
                <w:color w:val="000000" w:themeColor="text1"/>
                <w:sz w:val="20"/>
                <w:szCs w:val="20"/>
                <w:shd w:val="clear" w:color="auto" w:fill="FFFFFF"/>
                <w:lang w:val="en-US"/>
              </w:rPr>
              <w:t xml:space="preserve"> stat </w:t>
            </w:r>
            <w:proofErr w:type="spellStart"/>
            <w:r w:rsidRPr="00D938EB">
              <w:rPr>
                <w:rFonts w:eastAsia="Arial Unicode MS"/>
                <w:color w:val="000000" w:themeColor="text1"/>
                <w:sz w:val="20"/>
                <w:szCs w:val="20"/>
                <w:shd w:val="clear" w:color="auto" w:fill="FFFFFF"/>
                <w:lang w:val="en-US"/>
              </w:rPr>
              <w:t>membru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le </w:t>
            </w:r>
            <w:proofErr w:type="spellStart"/>
            <w:r w:rsidRPr="00D938EB">
              <w:rPr>
                <w:rFonts w:eastAsia="Arial Unicode MS"/>
                <w:color w:val="000000" w:themeColor="text1"/>
                <w:sz w:val="20"/>
                <w:szCs w:val="20"/>
                <w:shd w:val="clear" w:color="auto" w:fill="FFFFFF"/>
                <w:lang w:val="en-US"/>
              </w:rPr>
              <w:t>scoată</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prezintă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după</w:t>
            </w:r>
            <w:proofErr w:type="spellEnd"/>
            <w:r w:rsidRPr="00D938EB">
              <w:rPr>
                <w:rFonts w:eastAsia="Arial Unicode MS"/>
                <w:color w:val="000000" w:themeColor="text1"/>
                <w:sz w:val="20"/>
                <w:szCs w:val="20"/>
                <w:shd w:val="clear" w:color="auto" w:fill="FFFFFF"/>
                <w:lang w:val="en-US"/>
              </w:rPr>
              <w:t xml:space="preserve"> cum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w:t>
            </w:r>
          </w:p>
          <w:p w14:paraId="4612161B" w14:textId="6317C955" w:rsidR="00124364" w:rsidRDefault="00000000" w:rsidP="00D938EB">
            <w:pPr>
              <w:pStyle w:val="ti-art"/>
              <w:numPr>
                <w:ilvl w:val="0"/>
                <w:numId w:val="39"/>
              </w:numPr>
              <w:shd w:val="clear" w:color="auto" w:fill="FFFFFF"/>
              <w:spacing w:before="0" w:beforeAutospacing="0" w:after="0" w:afterAutospacing="0"/>
              <w:jc w:val="both"/>
              <w:rPr>
                <w:rFonts w:eastAsia="Arial Unicode MS"/>
                <w:color w:val="333333"/>
                <w:sz w:val="20"/>
                <w:szCs w:val="20"/>
                <w:shd w:val="clear" w:color="auto" w:fill="FFFFFF"/>
                <w:lang w:val="en-US"/>
              </w:rPr>
            </w:pPr>
            <w:hyperlink r:id="rId91" w:tooltip="32018L0410: REPLACED" w:history="1">
              <w:r>
                <w:rPr>
                  <w:rStyle w:val="boldface"/>
                  <w:rFonts w:eastAsia="Arial Unicode MS"/>
                  <w:b/>
                  <w:bCs/>
                  <w:color w:val="4472C4" w:themeColor="accent1"/>
                  <w:sz w:val="20"/>
                  <w:szCs w:val="20"/>
                  <w:lang w:val="en-US"/>
                </w:rPr>
                <w:t>►M9</w:t>
              </w:r>
            </w:hyperlink>
            <w:r w:rsidR="00D938EB">
              <w:rPr>
                <w:rStyle w:val="apple-converted-space"/>
                <w:rFonts w:eastAsia="Arial Unicode MS"/>
                <w:color w:val="4472C4" w:themeColor="accent1"/>
                <w:sz w:val="20"/>
                <w:szCs w:val="20"/>
                <w:lang w:val="en-US"/>
              </w:rPr>
              <w:t xml:space="preserve"> </w:t>
            </w:r>
            <w:r w:rsidRPr="00D938EB">
              <w:rPr>
                <w:rFonts w:eastAsia="Arial Unicode MS"/>
                <w:color w:val="000000" w:themeColor="text1"/>
                <w:sz w:val="20"/>
                <w:szCs w:val="20"/>
                <w:shd w:val="clear" w:color="auto" w:fill="FFFFFF"/>
                <w:lang w:val="en-US"/>
              </w:rPr>
              <w:t>90</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w:t>
            </w:r>
            <w:r w:rsidR="00D938EB" w:rsidRPr="00D938EB">
              <w:rPr>
                <w:rStyle w:val="boldface"/>
                <w:rFonts w:eastAsia="Arial Unicode MS"/>
                <w:b/>
                <w:bCs/>
                <w:color w:val="000000" w:themeColor="text1"/>
                <w:sz w:val="20"/>
                <w:szCs w:val="20"/>
                <w:lang w:val="en-US"/>
              </w:rPr>
              <w:t xml:space="preserve"> </w:t>
            </w:r>
            <w:r w:rsidRPr="00D938EB">
              <w:rPr>
                <w:rStyle w:val="boldface"/>
                <w:rFonts w:eastAsia="Arial Unicode MS"/>
                <w:b/>
                <w:bCs/>
                <w:color w:val="000000" w:themeColor="text1"/>
                <w:sz w:val="20"/>
                <w:szCs w:val="20"/>
                <w:lang w:val="en-US"/>
              </w:rPr>
              <w:t>◄</w:t>
            </w:r>
            <w:r w:rsidR="00D938EB" w:rsidRPr="00D938EB">
              <w:rPr>
                <w:rStyle w:val="apple-converted-space"/>
                <w:rFonts w:eastAsia="Arial Unicode MS"/>
                <w:b/>
                <w:bCs/>
                <w:color w:val="000000" w:themeColor="text1"/>
                <w:sz w:val="20"/>
                <w:szCs w:val="20"/>
                <w:lang w:val="en-US"/>
              </w:rPr>
              <w:t xml:space="preserve"> </w:t>
            </w:r>
            <w:r w:rsidRPr="00D938EB">
              <w:rPr>
                <w:rFonts w:eastAsia="Arial Unicode MS"/>
                <w:color w:val="000000" w:themeColor="text1"/>
                <w:sz w:val="20"/>
                <w:szCs w:val="20"/>
                <w:shd w:val="clear" w:color="auto" w:fill="FFFFFF"/>
                <w:lang w:val="en-US"/>
              </w:rPr>
              <w:t xml:space="preserve">din </w:t>
            </w:r>
            <w:proofErr w:type="spellStart"/>
            <w:r w:rsidRPr="00D938EB">
              <w:rPr>
                <w:rFonts w:eastAsia="Arial Unicode MS"/>
                <w:color w:val="000000" w:themeColor="text1"/>
                <w:sz w:val="20"/>
                <w:szCs w:val="20"/>
                <w:shd w:val="clear" w:color="auto" w:fill="FFFFFF"/>
                <w:lang w:val="en-US"/>
              </w:rPr>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cotelor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licitat</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distribuie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ponderi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identice</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ponderea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deținută</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statul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vizat</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totalul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emisiilor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verificate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cadrul</w:t>
            </w:r>
            <w:proofErr w:type="spellEnd"/>
            <w:r w:rsidR="00D938EB">
              <w:rPr>
                <w:rStyle w:val="apple-converted-space"/>
                <w:rFonts w:eastAsia="Arial Unicode MS"/>
                <w:color w:val="000000" w:themeColor="text1"/>
                <w:sz w:val="20"/>
                <w:szCs w:val="20"/>
                <w:shd w:val="clear" w:color="auto" w:fill="FFFFFF"/>
                <w:lang w:val="en-US"/>
              </w:rPr>
              <w:t xml:space="preserve"> </w:t>
            </w:r>
            <w:hyperlink r:id="rId92" w:tooltip="32018L0410: REPLACED" w:history="1">
              <w:r>
                <w:rPr>
                  <w:rStyle w:val="boldface"/>
                  <w:rFonts w:eastAsia="Arial Unicode MS"/>
                  <w:b/>
                  <w:bCs/>
                  <w:color w:val="4472C4" w:themeColor="accent1"/>
                  <w:sz w:val="20"/>
                  <w:szCs w:val="20"/>
                  <w:lang w:val="en-US"/>
                </w:rPr>
                <w:t>►M9</w:t>
              </w:r>
            </w:hyperlink>
            <w:r w:rsidR="00D938EB">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EU ETS</w:t>
            </w:r>
            <w:r w:rsidR="00D938EB">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D938EB">
              <w:rPr>
                <w:rStyle w:val="apple-converted-space"/>
                <w:rFonts w:eastAsia="Arial Unicode MS"/>
                <w:b/>
                <w:bCs/>
                <w:color w:val="333333"/>
                <w:sz w:val="20"/>
                <w:szCs w:val="20"/>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2005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media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2005-2007, </w:t>
            </w:r>
            <w:proofErr w:type="spellStart"/>
            <w:r>
              <w:rPr>
                <w:rFonts w:eastAsia="Arial Unicode MS"/>
                <w:color w:val="333333"/>
                <w:sz w:val="20"/>
                <w:szCs w:val="20"/>
                <w:shd w:val="clear" w:color="auto" w:fill="FFFFFF"/>
                <w:lang w:val="en-US"/>
              </w:rPr>
              <w:t>alegându</w:t>
            </w:r>
            <w:proofErr w:type="spellEnd"/>
            <w:r>
              <w:rPr>
                <w:rFonts w:eastAsia="Arial Unicode MS"/>
                <w:color w:val="333333"/>
                <w:sz w:val="20"/>
                <w:szCs w:val="20"/>
                <w:shd w:val="clear" w:color="auto" w:fill="FFFFFF"/>
                <w:lang w:val="en-US"/>
              </w:rPr>
              <w:t xml:space="preserve">-se </w:t>
            </w:r>
            <w:proofErr w:type="spellStart"/>
            <w:r>
              <w:rPr>
                <w:rFonts w:eastAsia="Arial Unicode MS"/>
                <w:color w:val="333333"/>
                <w:sz w:val="20"/>
                <w:szCs w:val="20"/>
                <w:shd w:val="clear" w:color="auto" w:fill="FFFFFF"/>
                <w:lang w:val="en-US"/>
              </w:rPr>
              <w:t>valoarea</w:t>
            </w:r>
            <w:proofErr w:type="spellEnd"/>
            <w:r>
              <w:rPr>
                <w:rFonts w:eastAsia="Arial Unicode MS"/>
                <w:color w:val="333333"/>
                <w:sz w:val="20"/>
                <w:szCs w:val="20"/>
                <w:shd w:val="clear" w:color="auto" w:fill="FFFFFF"/>
                <w:lang w:val="en-US"/>
              </w:rPr>
              <w:t xml:space="preserve"> cea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ridicată</w:t>
            </w:r>
            <w:proofErr w:type="spellEnd"/>
            <w:r>
              <w:rPr>
                <w:rFonts w:eastAsia="Arial Unicode MS"/>
                <w:color w:val="333333"/>
                <w:sz w:val="20"/>
                <w:szCs w:val="20"/>
                <w:shd w:val="clear" w:color="auto" w:fill="FFFFFF"/>
                <w:lang w:val="en-US"/>
              </w:rPr>
              <w:t>;</w:t>
            </w:r>
          </w:p>
          <w:p w14:paraId="3EE6EC1D" w14:textId="77777777" w:rsidR="00124364"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93" w:tooltip="32018L0410: REPLACED" w:history="1">
              <w:r>
                <w:rPr>
                  <w:rStyle w:val="af3"/>
                  <w:rFonts w:eastAsia="Arial Unicode MS"/>
                  <w:b/>
                  <w:bCs/>
                  <w:color w:val="4472C4" w:themeColor="accent1"/>
                  <w:sz w:val="20"/>
                  <w:szCs w:val="20"/>
                </w:rPr>
                <w:t>▼M9</w:t>
              </w:r>
            </w:hyperlink>
          </w:p>
          <w:p w14:paraId="3BFCFA5D" w14:textId="195C3843" w:rsidR="00124364" w:rsidRPr="00D938EB" w:rsidRDefault="00000000" w:rsidP="00D938EB">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10</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cantitatea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totală</w:t>
            </w:r>
            <w:proofErr w:type="spellEnd"/>
            <w:r w:rsidRPr="00D938EB">
              <w:rPr>
                <w:rFonts w:eastAsia="Arial Unicode MS"/>
                <w:color w:val="000000" w:themeColor="text1"/>
                <w:sz w:val="20"/>
                <w:szCs w:val="20"/>
                <w:shd w:val="clear" w:color="auto" w:fill="FFFFFF"/>
                <w:lang w:val="en-US"/>
              </w:rPr>
              <w:t xml:space="preserve"> de certificate care </w:t>
            </w:r>
            <w:proofErr w:type="spellStart"/>
            <w:r w:rsidRPr="00D938EB">
              <w:rPr>
                <w:rFonts w:eastAsia="Arial Unicode MS"/>
                <w:color w:val="000000" w:themeColor="text1"/>
                <w:sz w:val="20"/>
                <w:szCs w:val="20"/>
                <w:shd w:val="clear" w:color="auto" w:fill="FFFFFF"/>
                <w:lang w:val="en-US"/>
              </w:rPr>
              <w:t>urmează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scoase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distribuie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anumite</w:t>
            </w:r>
            <w:proofErr w:type="spellEnd"/>
            <w:r w:rsidRPr="00D938EB">
              <w:rPr>
                <w:rFonts w:eastAsia="Arial Unicode MS"/>
                <w:color w:val="000000" w:themeColor="text1"/>
                <w:sz w:val="20"/>
                <w:szCs w:val="20"/>
                <w:shd w:val="clear" w:color="auto" w:fill="FFFFFF"/>
                <w:lang w:val="en-US"/>
              </w:rPr>
              <w:t xml:space="preserve"> state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în scop de </w:t>
            </w:r>
            <w:proofErr w:type="spellStart"/>
            <w:r w:rsidRPr="00D938EB">
              <w:rPr>
                <w:rFonts w:eastAsia="Arial Unicode MS"/>
                <w:color w:val="000000" w:themeColor="text1"/>
                <w:sz w:val="20"/>
                <w:szCs w:val="20"/>
                <w:shd w:val="clear" w:color="auto" w:fill="FFFFFF"/>
                <w:lang w:val="en-US"/>
              </w:rPr>
              <w:t>solidaritate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dezvoltare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interconectare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cadrul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înseamnă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creșterea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cuantumului</w:t>
            </w:r>
            <w:proofErr w:type="spellEnd"/>
            <w:r w:rsidRPr="00D938EB">
              <w:rPr>
                <w:rFonts w:eastAsia="Arial Unicode MS"/>
                <w:color w:val="000000" w:themeColor="text1"/>
                <w:sz w:val="20"/>
                <w:szCs w:val="20"/>
                <w:shd w:val="clear" w:color="auto" w:fill="FFFFFF"/>
                <w:lang w:val="en-US"/>
              </w:rPr>
              <w:t xml:space="preserve"> de certificate pe care </w:t>
            </w:r>
            <w:proofErr w:type="spellStart"/>
            <w:r w:rsidRPr="00D938EB">
              <w:rPr>
                <w:rFonts w:eastAsia="Arial Unicode MS"/>
                <w:color w:val="000000" w:themeColor="text1"/>
                <w:sz w:val="20"/>
                <w:szCs w:val="20"/>
                <w:shd w:val="clear" w:color="auto" w:fill="FFFFFF"/>
                <w:lang w:val="en-US"/>
              </w:rPr>
              <w:t>statul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respectiv</w:t>
            </w:r>
            <w:proofErr w:type="spellEnd"/>
            <w:r w:rsidRPr="00D938EB">
              <w:rPr>
                <w:rFonts w:eastAsia="Arial Unicode MS"/>
                <w:color w:val="000000" w:themeColor="text1"/>
                <w:sz w:val="20"/>
                <w:szCs w:val="20"/>
                <w:shd w:val="clear" w:color="auto" w:fill="FFFFFF"/>
                <w:lang w:val="en-US"/>
              </w:rPr>
              <w:t xml:space="preserve"> le </w:t>
            </w:r>
            <w:proofErr w:type="spellStart"/>
            <w:r w:rsidRPr="00D938EB">
              <w:rPr>
                <w:rFonts w:eastAsia="Arial Unicode MS"/>
                <w:color w:val="000000" w:themeColor="text1"/>
                <w:sz w:val="20"/>
                <w:szCs w:val="20"/>
                <w:shd w:val="clear" w:color="auto" w:fill="FFFFFF"/>
                <w:lang w:val="en-US"/>
              </w:rPr>
              <w:t>scoate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licitație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temeiul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literei</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(a) cu </w:t>
            </w:r>
            <w:proofErr w:type="spellStart"/>
            <w:r w:rsidRPr="00D938EB">
              <w:rPr>
                <w:rFonts w:eastAsia="Arial Unicode MS"/>
                <w:color w:val="000000" w:themeColor="text1"/>
                <w:sz w:val="20"/>
                <w:szCs w:val="20"/>
                <w:shd w:val="clear" w:color="auto" w:fill="FFFFFF"/>
                <w:lang w:val="en-US"/>
              </w:rPr>
              <w:t>procentele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prevăzute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anexa</w:t>
            </w:r>
            <w:proofErr w:type="spellEnd"/>
            <w:r w:rsidR="00D938EB"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IIa</w:t>
            </w:r>
            <w:proofErr w:type="spellEnd"/>
            <w:r w:rsidRPr="00D938EB">
              <w:rPr>
                <w:rFonts w:eastAsia="Arial Unicode MS"/>
                <w:color w:val="000000" w:themeColor="text1"/>
                <w:sz w:val="20"/>
                <w:szCs w:val="20"/>
                <w:shd w:val="clear" w:color="auto" w:fill="FFFFFF"/>
                <w:lang w:val="en-US"/>
              </w:rPr>
              <w:t>.</w:t>
            </w:r>
          </w:p>
          <w:p w14:paraId="731D95DA" w14:textId="1D55F565" w:rsidR="00124364" w:rsidRPr="00E34C2B" w:rsidRDefault="00000000">
            <w:pPr>
              <w:pStyle w:val="ti-art"/>
              <w:shd w:val="clear" w:color="auto" w:fill="FFFFFF"/>
              <w:spacing w:before="0" w:beforeAutospacing="0" w:after="0" w:afterAutospacing="0"/>
              <w:ind w:left="1080"/>
              <w:rPr>
                <w:rFonts w:ascii="Arial Unicode MS" w:eastAsia="Arial Unicode MS" w:hAnsi="Arial Unicode MS" w:cs="Arial Unicode MS"/>
                <w:b/>
                <w:bCs/>
                <w:color w:val="333333"/>
                <w:sz w:val="21"/>
                <w:szCs w:val="21"/>
                <w:shd w:val="clear" w:color="auto" w:fill="FFFFFF"/>
                <w:lang w:val="en-US"/>
              </w:rPr>
            </w:pPr>
            <w:hyperlink r:id="rId94" w:tooltip="32018L0410: DELETED" w:history="1">
              <w:r w:rsidRPr="00E34C2B">
                <w:rPr>
                  <w:rStyle w:val="af3"/>
                  <w:rFonts w:eastAsia="Arial Unicode MS"/>
                  <w:b/>
                  <w:bCs/>
                  <w:color w:val="4472C4" w:themeColor="accent1"/>
                  <w:sz w:val="20"/>
                  <w:szCs w:val="20"/>
                  <w:lang w:val="en-US"/>
                </w:rPr>
                <w:t>▼M9</w:t>
              </w:r>
            </w:hyperlink>
            <w:r w:rsidR="00D938EB">
              <w:rPr>
                <w:rFonts w:ascii="Arial Unicode MS" w:eastAsia="Arial Unicode MS" w:hAnsi="Arial Unicode MS" w:cs="Arial Unicode MS"/>
                <w:b/>
                <w:bCs/>
                <w:color w:val="4472C4" w:themeColor="accent1"/>
                <w:sz w:val="21"/>
                <w:szCs w:val="21"/>
                <w:shd w:val="clear" w:color="auto" w:fill="FFFFFF"/>
                <w:lang w:val="en-US"/>
              </w:rPr>
              <w:t xml:space="preserve"> </w:t>
            </w:r>
            <w:r w:rsidRPr="00E34C2B">
              <w:rPr>
                <w:rFonts w:ascii="Arial Unicode MS" w:eastAsia="Arial Unicode MS" w:hAnsi="Arial Unicode MS" w:cs="Arial Unicode MS" w:hint="eastAsia"/>
                <w:b/>
                <w:bCs/>
                <w:color w:val="333333"/>
                <w:sz w:val="21"/>
                <w:szCs w:val="21"/>
                <w:shd w:val="clear" w:color="auto" w:fill="FFFFFF"/>
                <w:lang w:val="en-US"/>
              </w:rPr>
              <w:t>—————</w:t>
            </w:r>
          </w:p>
          <w:p w14:paraId="510AC4C1" w14:textId="77777777" w:rsidR="00124364" w:rsidRPr="00E34C2B" w:rsidRDefault="00000000">
            <w:pPr>
              <w:pStyle w:val="ti-art"/>
              <w:shd w:val="clear" w:color="auto" w:fill="FFFFFF"/>
              <w:spacing w:before="0" w:beforeAutospacing="0" w:after="0" w:afterAutospacing="0"/>
              <w:ind w:left="1080"/>
              <w:rPr>
                <w:color w:val="4472C4" w:themeColor="accent1"/>
                <w:sz w:val="20"/>
                <w:szCs w:val="20"/>
                <w:lang w:val="en-US"/>
              </w:rPr>
            </w:pPr>
            <w:hyperlink r:id="rId95" w:tooltip="32009L0029: REPLACED" w:history="1">
              <w:r w:rsidRPr="00E34C2B">
                <w:rPr>
                  <w:rStyle w:val="af3"/>
                  <w:rFonts w:eastAsia="Arial Unicode MS"/>
                  <w:b/>
                  <w:bCs/>
                  <w:color w:val="4472C4" w:themeColor="accent1"/>
                  <w:sz w:val="20"/>
                  <w:szCs w:val="20"/>
                  <w:lang w:val="en-US"/>
                </w:rPr>
                <w:t>▼M4</w:t>
              </w:r>
            </w:hyperlink>
          </w:p>
          <w:p w14:paraId="252B03FF" w14:textId="65010882"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În </w:t>
            </w:r>
            <w:proofErr w:type="spellStart"/>
            <w:r w:rsidRPr="00D938EB">
              <w:rPr>
                <w:rFonts w:eastAsia="Arial Unicode MS"/>
                <w:color w:val="000000" w:themeColor="text1"/>
                <w:sz w:val="20"/>
                <w:szCs w:val="20"/>
                <w:shd w:val="clear" w:color="auto" w:fill="FFFFFF"/>
                <w:lang w:val="en-US"/>
              </w:rPr>
              <w:t>sensul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literei</w:t>
            </w:r>
            <w:proofErr w:type="spellEnd"/>
            <w:r w:rsidRPr="00D938EB">
              <w:rPr>
                <w:rFonts w:eastAsia="Arial Unicode MS"/>
                <w:color w:val="000000" w:themeColor="text1"/>
                <w:sz w:val="20"/>
                <w:szCs w:val="20"/>
                <w:shd w:val="clear" w:color="auto" w:fill="FFFFFF"/>
                <w:lang w:val="en-US"/>
              </w:rPr>
              <w:t xml:space="preserve"> (a), în </w:t>
            </w:r>
            <w:proofErr w:type="spellStart"/>
            <w:r w:rsidRPr="00D938EB">
              <w:rPr>
                <w:rFonts w:eastAsia="Arial Unicode MS"/>
                <w:color w:val="000000" w:themeColor="text1"/>
                <w:sz w:val="20"/>
                <w:szCs w:val="20"/>
                <w:shd w:val="clear" w:color="auto" w:fill="FFFFFF"/>
                <w:lang w:val="en-US"/>
              </w:rPr>
              <w:t>cazul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care nu au </w:t>
            </w:r>
            <w:proofErr w:type="spellStart"/>
            <w:r w:rsidRPr="00D938EB">
              <w:rPr>
                <w:rFonts w:eastAsia="Arial Unicode MS"/>
                <w:color w:val="000000" w:themeColor="text1"/>
                <w:sz w:val="20"/>
                <w:szCs w:val="20"/>
                <w:shd w:val="clear" w:color="auto" w:fill="FFFFFF"/>
                <w:lang w:val="en-US"/>
              </w:rPr>
              <w:t>participat</w:t>
            </w:r>
            <w:proofErr w:type="spellEnd"/>
            <w:r w:rsidRPr="00D938EB">
              <w:rPr>
                <w:rFonts w:eastAsia="Arial Unicode MS"/>
                <w:color w:val="000000" w:themeColor="text1"/>
                <w:sz w:val="20"/>
                <w:szCs w:val="20"/>
                <w:shd w:val="clear" w:color="auto" w:fill="FFFFFF"/>
                <w:lang w:val="en-US"/>
              </w:rPr>
              <w:t xml:space="preserve"> la</w:t>
            </w:r>
            <w:r w:rsidR="00D938EB" w:rsidRPr="00D938EB">
              <w:rPr>
                <w:rStyle w:val="apple-converted-space"/>
                <w:rFonts w:eastAsia="Arial Unicode MS"/>
                <w:color w:val="000000" w:themeColor="text1"/>
                <w:sz w:val="20"/>
                <w:szCs w:val="20"/>
                <w:shd w:val="clear" w:color="auto" w:fill="FFFFFF"/>
                <w:lang w:val="en-US"/>
              </w:rPr>
              <w:t xml:space="preserve"> </w:t>
            </w:r>
            <w:hyperlink r:id="rId96" w:tooltip="32018L0410: REPLACED" w:history="1">
              <w:r w:rsidRPr="00D938EB">
                <w:rPr>
                  <w:rStyle w:val="boldface"/>
                  <w:rFonts w:eastAsia="Arial Unicode MS"/>
                  <w:b/>
                  <w:bCs/>
                  <w:color w:val="000000" w:themeColor="text1"/>
                  <w:sz w:val="20"/>
                  <w:szCs w:val="20"/>
                  <w:lang w:val="en-US"/>
                </w:rPr>
                <w:t>►M9</w:t>
              </w:r>
            </w:hyperlink>
            <w:r w:rsidR="00D938EB" w:rsidRPr="00D938EB">
              <w:rPr>
                <w:rStyle w:val="apple-converted-space"/>
                <w:rFonts w:eastAsia="Arial Unicode MS"/>
                <w:color w:val="000000" w:themeColor="text1"/>
                <w:sz w:val="20"/>
                <w:szCs w:val="20"/>
                <w:lang w:val="en-US"/>
              </w:rPr>
              <w:t xml:space="preserve"> </w:t>
            </w:r>
            <w:r w:rsidRPr="00D938EB">
              <w:rPr>
                <w:rFonts w:eastAsia="Arial Unicode MS"/>
                <w:color w:val="000000" w:themeColor="text1"/>
                <w:sz w:val="20"/>
                <w:szCs w:val="20"/>
                <w:shd w:val="clear" w:color="auto" w:fill="FFFFFF"/>
                <w:lang w:val="en-US"/>
              </w:rPr>
              <w:t>EU ETS</w:t>
            </w:r>
            <w:r w:rsidR="00D938EB" w:rsidRPr="00D938EB">
              <w:rPr>
                <w:rStyle w:val="boldface"/>
                <w:rFonts w:eastAsia="Arial Unicode MS"/>
                <w:b/>
                <w:bCs/>
                <w:color w:val="000000" w:themeColor="text1"/>
                <w:sz w:val="20"/>
                <w:szCs w:val="20"/>
                <w:lang w:val="en-US"/>
              </w:rPr>
              <w:t xml:space="preserve"> </w:t>
            </w:r>
            <w:r w:rsidRPr="00D938EB">
              <w:rPr>
                <w:rStyle w:val="boldface"/>
                <w:rFonts w:eastAsia="Arial Unicode MS"/>
                <w:b/>
                <w:bCs/>
                <w:color w:val="000000" w:themeColor="text1"/>
                <w:sz w:val="20"/>
                <w:szCs w:val="20"/>
                <w:lang w:val="en-US"/>
              </w:rPr>
              <w:t>◄</w:t>
            </w:r>
            <w:r w:rsidR="00D938EB" w:rsidRPr="00D938EB">
              <w:rPr>
                <w:rStyle w:val="apple-converted-space"/>
                <w:rFonts w:eastAsia="Arial Unicode MS"/>
                <w:b/>
                <w:bCs/>
                <w:color w:val="000000" w:themeColor="text1"/>
                <w:sz w:val="20"/>
                <w:szCs w:val="20"/>
                <w:lang w:val="en-US"/>
              </w:rPr>
              <w:t xml:space="preserve"> </w:t>
            </w:r>
            <w:r w:rsidRPr="00D938EB">
              <w:rPr>
                <w:rFonts w:eastAsia="Arial Unicode MS"/>
                <w:color w:val="000000" w:themeColor="text1"/>
                <w:sz w:val="20"/>
                <w:szCs w:val="20"/>
                <w:shd w:val="clear" w:color="auto" w:fill="FFFFFF"/>
                <w:lang w:val="en-US"/>
              </w:rPr>
              <w:t xml:space="preserve">în 2005, </w:t>
            </w:r>
            <w:proofErr w:type="spellStart"/>
            <w:r w:rsidRPr="00D938EB">
              <w:rPr>
                <w:rFonts w:eastAsia="Arial Unicode MS"/>
                <w:color w:val="000000" w:themeColor="text1"/>
                <w:sz w:val="20"/>
                <w:szCs w:val="20"/>
                <w:shd w:val="clear" w:color="auto" w:fill="FFFFFF"/>
                <w:lang w:val="en-US"/>
              </w:rPr>
              <w:t>partea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aferentă</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calculează</w:t>
            </w:r>
            <w:proofErr w:type="spellEnd"/>
            <w:r w:rsidRPr="00D938EB">
              <w:rPr>
                <w:rFonts w:eastAsia="Arial Unicode MS"/>
                <w:color w:val="000000" w:themeColor="text1"/>
                <w:sz w:val="20"/>
                <w:szCs w:val="20"/>
                <w:shd w:val="clear" w:color="auto" w:fill="FFFFFF"/>
                <w:lang w:val="en-US"/>
              </w:rPr>
              <w:t xml:space="preserve"> pe </w:t>
            </w:r>
            <w:proofErr w:type="spellStart"/>
            <w:r w:rsidRPr="00D938EB">
              <w:rPr>
                <w:rFonts w:eastAsia="Arial Unicode MS"/>
                <w:color w:val="000000" w:themeColor="text1"/>
                <w:sz w:val="20"/>
                <w:szCs w:val="20"/>
                <w:shd w:val="clear" w:color="auto" w:fill="FFFFFF"/>
                <w:lang w:val="en-US"/>
              </w:rPr>
              <w:t>baza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datelor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verificate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emisiile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acestora</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cadrul</w:t>
            </w:r>
            <w:proofErr w:type="spellEnd"/>
            <w:r w:rsidR="00D938EB" w:rsidRPr="00D938EB">
              <w:rPr>
                <w:rStyle w:val="apple-converted-space"/>
                <w:rFonts w:eastAsia="Arial Unicode MS"/>
                <w:color w:val="000000" w:themeColor="text1"/>
                <w:sz w:val="20"/>
                <w:szCs w:val="20"/>
                <w:shd w:val="clear" w:color="auto" w:fill="FFFFFF"/>
                <w:lang w:val="en-US"/>
              </w:rPr>
              <w:t xml:space="preserve"> </w:t>
            </w:r>
            <w:hyperlink r:id="rId97" w:tooltip="32018L0410: REPLACED" w:history="1">
              <w:r w:rsidRPr="00D938EB">
                <w:rPr>
                  <w:rStyle w:val="boldface"/>
                  <w:rFonts w:eastAsia="Arial Unicode MS"/>
                  <w:b/>
                  <w:bCs/>
                  <w:color w:val="000000" w:themeColor="text1"/>
                  <w:sz w:val="20"/>
                  <w:szCs w:val="20"/>
                  <w:lang w:val="en-US"/>
                </w:rPr>
                <w:t>►M9</w:t>
              </w:r>
            </w:hyperlink>
            <w:r w:rsidR="00D938EB" w:rsidRPr="00D938EB">
              <w:rPr>
                <w:rStyle w:val="apple-converted-space"/>
                <w:rFonts w:eastAsia="Arial Unicode MS"/>
                <w:color w:val="000000" w:themeColor="text1"/>
                <w:sz w:val="20"/>
                <w:szCs w:val="20"/>
                <w:lang w:val="en-US"/>
              </w:rPr>
              <w:t xml:space="preserve"> </w:t>
            </w:r>
            <w:r w:rsidRPr="00D938EB">
              <w:rPr>
                <w:rFonts w:eastAsia="Arial Unicode MS"/>
                <w:color w:val="000000" w:themeColor="text1"/>
                <w:sz w:val="20"/>
                <w:szCs w:val="20"/>
                <w:shd w:val="clear" w:color="auto" w:fill="FFFFFF"/>
                <w:lang w:val="en-US"/>
              </w:rPr>
              <w:t>EU ETS</w:t>
            </w:r>
            <w:r w:rsidR="00D938EB" w:rsidRPr="00D938EB">
              <w:rPr>
                <w:rStyle w:val="boldface"/>
                <w:rFonts w:eastAsia="Arial Unicode MS"/>
                <w:b/>
                <w:bCs/>
                <w:color w:val="000000" w:themeColor="text1"/>
                <w:sz w:val="20"/>
                <w:szCs w:val="20"/>
                <w:lang w:val="en-US"/>
              </w:rPr>
              <w:t xml:space="preserve"> </w:t>
            </w:r>
            <w:r w:rsidRPr="00D938EB">
              <w:rPr>
                <w:rStyle w:val="boldface"/>
                <w:rFonts w:eastAsia="Arial Unicode MS"/>
                <w:b/>
                <w:bCs/>
                <w:color w:val="000000" w:themeColor="text1"/>
                <w:sz w:val="20"/>
                <w:szCs w:val="20"/>
                <w:lang w:val="en-US"/>
              </w:rPr>
              <w:t>◄</w:t>
            </w:r>
            <w:r w:rsidR="00D938EB" w:rsidRPr="00D938EB">
              <w:rPr>
                <w:rStyle w:val="apple-converted-space"/>
                <w:rFonts w:eastAsia="Arial Unicode MS"/>
                <w:b/>
                <w:bCs/>
                <w:color w:val="000000" w:themeColor="text1"/>
                <w:sz w:val="20"/>
                <w:szCs w:val="20"/>
                <w:lang w:val="en-US"/>
              </w:rPr>
              <w:t xml:space="preserve"> </w:t>
            </w:r>
            <w:r w:rsidRPr="00D938EB">
              <w:rPr>
                <w:rFonts w:eastAsia="Arial Unicode MS"/>
                <w:color w:val="000000" w:themeColor="text1"/>
                <w:sz w:val="20"/>
                <w:szCs w:val="20"/>
                <w:shd w:val="clear" w:color="auto" w:fill="FFFFFF"/>
                <w:lang w:val="en-US"/>
              </w:rPr>
              <w:t>în 2007.</w:t>
            </w:r>
          </w:p>
          <w:p w14:paraId="7E4505FB"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98" w:tooltip="32018L0410: REPLACED" w:history="1">
              <w:r w:rsidRPr="00E34C2B">
                <w:rPr>
                  <w:rStyle w:val="af3"/>
                  <w:rFonts w:eastAsia="Arial Unicode MS"/>
                  <w:b/>
                  <w:bCs/>
                  <w:color w:val="4472C4" w:themeColor="accent1"/>
                  <w:sz w:val="20"/>
                  <w:szCs w:val="20"/>
                  <w:lang w:val="en-US"/>
                </w:rPr>
                <w:t>▼M9</w:t>
              </w:r>
            </w:hyperlink>
          </w:p>
          <w:p w14:paraId="39035ECD" w14:textId="4CEC9249"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În </w:t>
            </w:r>
            <w:proofErr w:type="spellStart"/>
            <w:r w:rsidRPr="00D938EB">
              <w:rPr>
                <w:rFonts w:eastAsia="Arial Unicode MS"/>
                <w:color w:val="000000" w:themeColor="text1"/>
                <w:sz w:val="20"/>
                <w:szCs w:val="20"/>
                <w:shd w:val="clear" w:color="auto" w:fill="FFFFFF"/>
                <w:lang w:val="en-US"/>
              </w:rPr>
              <w:t>cazul</w:t>
            </w:r>
            <w:proofErr w:type="spellEnd"/>
            <w:r w:rsidRPr="00D938EB">
              <w:rPr>
                <w:rFonts w:eastAsia="Arial Unicode MS"/>
                <w:color w:val="000000" w:themeColor="text1"/>
                <w:sz w:val="20"/>
                <w:szCs w:val="20"/>
                <w:shd w:val="clear" w:color="auto" w:fill="FFFFFF"/>
                <w:lang w:val="en-US"/>
              </w:rPr>
              <w:t xml:space="preserve"> în care </w:t>
            </w:r>
            <w:proofErr w:type="spellStart"/>
            <w:r w:rsidRPr="00D938EB">
              <w:rPr>
                <w:rFonts w:eastAsia="Arial Unicode MS"/>
                <w:color w:val="000000" w:themeColor="text1"/>
                <w:sz w:val="20"/>
                <w:szCs w:val="20"/>
                <w:shd w:val="clear" w:color="auto" w:fill="FFFFFF"/>
                <w:lang w:val="en-US"/>
              </w:rPr>
              <w:t>este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necesar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procentele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litera</w:t>
            </w:r>
            <w:proofErr w:type="spellEnd"/>
            <w:r w:rsidRPr="00D938EB">
              <w:rPr>
                <w:rFonts w:eastAsia="Arial Unicode MS"/>
                <w:color w:val="000000" w:themeColor="text1"/>
                <w:sz w:val="20"/>
                <w:szCs w:val="20"/>
                <w:shd w:val="clear" w:color="auto" w:fill="FFFFFF"/>
                <w:lang w:val="en-US"/>
              </w:rPr>
              <w:t xml:space="preserve"> (b) se </w:t>
            </w:r>
            <w:proofErr w:type="spellStart"/>
            <w:r w:rsidRPr="00D938EB">
              <w:rPr>
                <w:rFonts w:eastAsia="Arial Unicode MS"/>
                <w:color w:val="000000" w:themeColor="text1"/>
                <w:sz w:val="20"/>
                <w:szCs w:val="20"/>
                <w:shd w:val="clear" w:color="auto" w:fill="FFFFFF"/>
                <w:lang w:val="en-US"/>
              </w:rPr>
              <w:t>adaptează</w:t>
            </w:r>
            <w:proofErr w:type="spellEnd"/>
            <w:r w:rsidRPr="00D938EB">
              <w:rPr>
                <w:rFonts w:eastAsia="Arial Unicode MS"/>
                <w:color w:val="000000" w:themeColor="text1"/>
                <w:sz w:val="20"/>
                <w:szCs w:val="20"/>
                <w:shd w:val="clear" w:color="auto" w:fill="FFFFFF"/>
                <w:lang w:val="en-US"/>
              </w:rPr>
              <w:t xml:space="preserve"> în mod </w:t>
            </w:r>
            <w:proofErr w:type="spellStart"/>
            <w:r w:rsidRPr="00D938EB">
              <w:rPr>
                <w:rFonts w:eastAsia="Arial Unicode MS"/>
                <w:color w:val="000000" w:themeColor="text1"/>
                <w:sz w:val="20"/>
                <w:szCs w:val="20"/>
                <w:shd w:val="clear" w:color="auto" w:fill="FFFFFF"/>
                <w:lang w:val="en-US"/>
              </w:rPr>
              <w:t>proporțional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ca </w:t>
            </w:r>
            <w:proofErr w:type="spellStart"/>
            <w:r w:rsidRPr="00D938EB">
              <w:rPr>
                <w:rFonts w:eastAsia="Arial Unicode MS"/>
                <w:color w:val="000000" w:themeColor="text1"/>
                <w:sz w:val="20"/>
                <w:szCs w:val="20"/>
                <w:shd w:val="clear" w:color="auto" w:fill="FFFFFF"/>
                <w:lang w:val="en-US"/>
              </w:rPr>
              <w:t>distribuția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de 10</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w:t>
            </w:r>
          </w:p>
          <w:p w14:paraId="5158B89C" w14:textId="77777777" w:rsidR="00124364" w:rsidRDefault="00000000">
            <w:pPr>
              <w:pStyle w:val="ti-art"/>
              <w:shd w:val="clear" w:color="auto" w:fill="FFFFFF"/>
              <w:spacing w:before="0" w:beforeAutospacing="0" w:after="0" w:afterAutospacing="0"/>
              <w:rPr>
                <w:color w:val="4472C4" w:themeColor="accent1"/>
                <w:sz w:val="20"/>
                <w:szCs w:val="20"/>
              </w:rPr>
            </w:pPr>
            <w:hyperlink r:id="rId99" w:tooltip="32023L0959: REPLACED" w:history="1">
              <w:r>
                <w:rPr>
                  <w:rStyle w:val="af3"/>
                  <w:rFonts w:eastAsia="Arial Unicode MS"/>
                  <w:b/>
                  <w:bCs/>
                  <w:color w:val="4472C4" w:themeColor="accent1"/>
                  <w:sz w:val="20"/>
                  <w:szCs w:val="20"/>
                </w:rPr>
                <w:t>▼M15</w:t>
              </w:r>
            </w:hyperlink>
          </w:p>
          <w:p w14:paraId="53AF2637" w14:textId="1C1DC1DD" w:rsidR="00124364" w:rsidRPr="00D938EB" w:rsidRDefault="00000000" w:rsidP="00D938EB">
            <w:pPr>
              <w:pStyle w:val="ti-art"/>
              <w:numPr>
                <w:ilvl w:val="0"/>
                <w:numId w:val="3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determină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destinația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obținute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urma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licitării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certificatelor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alineatul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 de la </w:t>
            </w:r>
            <w:proofErr w:type="spellStart"/>
            <w:r w:rsidRPr="00D938EB">
              <w:rPr>
                <w:rFonts w:eastAsia="Arial Unicode MS"/>
                <w:color w:val="000000" w:themeColor="text1"/>
                <w:sz w:val="20"/>
                <w:szCs w:val="20"/>
                <w:shd w:val="clear" w:color="auto" w:fill="FFFFFF"/>
                <w:lang w:val="en-US"/>
              </w:rPr>
              <w:t>prezentul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articol</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excepția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stabilite</w:t>
            </w:r>
            <w:proofErr w:type="spellEnd"/>
            <w:r w:rsidRPr="00D938EB">
              <w:rPr>
                <w:rFonts w:eastAsia="Arial Unicode MS"/>
                <w:color w:val="000000" w:themeColor="text1"/>
                <w:sz w:val="20"/>
                <w:szCs w:val="20"/>
                <w:shd w:val="clear" w:color="auto" w:fill="FFFFFF"/>
                <w:lang w:val="en-US"/>
              </w:rPr>
              <w:t xml:space="preserve"> ca </w:t>
            </w:r>
            <w:proofErr w:type="spellStart"/>
            <w:r w:rsidRPr="00D938EB">
              <w:rPr>
                <w:rFonts w:eastAsia="Arial Unicode MS"/>
                <w:color w:val="000000" w:themeColor="text1"/>
                <w:sz w:val="20"/>
                <w:szCs w:val="20"/>
                <w:shd w:val="clear" w:color="auto" w:fill="FFFFFF"/>
                <w:lang w:val="en-US"/>
              </w:rPr>
              <w:t>resurse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proprii</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311 al </w:t>
            </w:r>
            <w:proofErr w:type="spellStart"/>
            <w:r w:rsidRPr="00D938EB">
              <w:rPr>
                <w:rFonts w:eastAsia="Arial Unicode MS"/>
                <w:color w:val="000000" w:themeColor="text1"/>
                <w:sz w:val="20"/>
                <w:szCs w:val="20"/>
                <w:shd w:val="clear" w:color="auto" w:fill="FFFFFF"/>
                <w:lang w:val="en-US"/>
              </w:rPr>
              <w:t>treilea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paragraf</w:t>
            </w:r>
            <w:proofErr w:type="spellEnd"/>
            <w:r w:rsidRPr="00D938EB">
              <w:rPr>
                <w:rFonts w:eastAsia="Arial Unicode MS"/>
                <w:color w:val="000000" w:themeColor="text1"/>
                <w:sz w:val="20"/>
                <w:szCs w:val="20"/>
                <w:shd w:val="clear" w:color="auto" w:fill="FFFFFF"/>
                <w:lang w:val="en-US"/>
              </w:rPr>
              <w:t xml:space="preserve"> din TFUE și </w:t>
            </w:r>
            <w:proofErr w:type="spellStart"/>
            <w:r w:rsidRPr="00D938EB">
              <w:rPr>
                <w:rFonts w:eastAsia="Arial Unicode MS"/>
                <w:color w:val="000000" w:themeColor="text1"/>
                <w:sz w:val="20"/>
                <w:szCs w:val="20"/>
                <w:shd w:val="clear" w:color="auto" w:fill="FFFFFF"/>
                <w:lang w:val="en-US"/>
              </w:rPr>
              <w:t>incluse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bugetul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utilizează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veniturile</w:t>
            </w:r>
            <w:proofErr w:type="spellEnd"/>
            <w:r w:rsidRPr="00D938EB">
              <w:rPr>
                <w:rFonts w:eastAsia="Arial Unicode MS"/>
                <w:color w:val="000000" w:themeColor="text1"/>
                <w:sz w:val="20"/>
                <w:szCs w:val="20"/>
                <w:shd w:val="clear" w:color="auto" w:fill="FFFFFF"/>
                <w:lang w:val="en-US"/>
              </w:rPr>
              <w:t xml:space="preserve"> respective, cu </w:t>
            </w:r>
            <w:proofErr w:type="spellStart"/>
            <w:r w:rsidRPr="00D938EB">
              <w:rPr>
                <w:rFonts w:eastAsia="Arial Unicode MS"/>
                <w:color w:val="000000" w:themeColor="text1"/>
                <w:sz w:val="20"/>
                <w:szCs w:val="20"/>
                <w:shd w:val="clear" w:color="auto" w:fill="FFFFFF"/>
                <w:lang w:val="en-US"/>
              </w:rPr>
              <w:t>excepția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utilizate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compensarea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costurilor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indirecte</w:t>
            </w:r>
            <w:proofErr w:type="spellEnd"/>
            <w:r w:rsidRPr="00D938EB">
              <w:rPr>
                <w:rFonts w:eastAsia="Arial Unicode MS"/>
                <w:color w:val="000000" w:themeColor="text1"/>
                <w:sz w:val="20"/>
                <w:szCs w:val="20"/>
                <w:shd w:val="clear" w:color="auto" w:fill="FFFFFF"/>
                <w:lang w:val="en-US"/>
              </w:rPr>
              <w:t xml:space="preserve"> ale </w:t>
            </w:r>
            <w:proofErr w:type="spellStart"/>
            <w:r w:rsidRPr="00D938EB">
              <w:rPr>
                <w:rFonts w:eastAsia="Arial Unicode MS"/>
                <w:color w:val="000000" w:themeColor="text1"/>
                <w:sz w:val="20"/>
                <w:szCs w:val="20"/>
                <w:shd w:val="clear" w:color="auto" w:fill="FFFFFF"/>
                <w:lang w:val="en-US"/>
              </w:rPr>
              <w:t>emisiilor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dioxid</w:t>
            </w:r>
            <w:proofErr w:type="spellEnd"/>
            <w:r w:rsidRPr="00D938EB">
              <w:rPr>
                <w:rFonts w:eastAsia="Arial Unicode MS"/>
                <w:color w:val="000000" w:themeColor="text1"/>
                <w:sz w:val="20"/>
                <w:szCs w:val="20"/>
                <w:shd w:val="clear" w:color="auto" w:fill="FFFFFF"/>
                <w:lang w:val="en-US"/>
              </w:rPr>
              <w:t xml:space="preserve"> de carbon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10a </w:t>
            </w:r>
            <w:proofErr w:type="spellStart"/>
            <w:r w:rsidRPr="00D938EB">
              <w:rPr>
                <w:rFonts w:eastAsia="Arial Unicode MS"/>
                <w:color w:val="000000" w:themeColor="text1"/>
                <w:sz w:val="20"/>
                <w:szCs w:val="20"/>
                <w:shd w:val="clear" w:color="auto" w:fill="FFFFFF"/>
                <w:lang w:val="en-US"/>
              </w:rPr>
              <w:t>alineatul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(6) din prezenta </w:t>
            </w:r>
            <w:proofErr w:type="spellStart"/>
            <w:r w:rsidRPr="00D938EB">
              <w:rPr>
                <w:rFonts w:eastAsia="Arial Unicode MS"/>
                <w:color w:val="000000" w:themeColor="text1"/>
                <w:sz w:val="20"/>
                <w:szCs w:val="20"/>
                <w:shd w:val="clear" w:color="auto" w:fill="FFFFFF"/>
                <w:lang w:val="en-US"/>
              </w:rPr>
              <w:t>directivă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echivalentul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valorii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financiare</w:t>
            </w:r>
            <w:proofErr w:type="spellEnd"/>
            <w:r w:rsidRPr="00D938EB">
              <w:rPr>
                <w:rFonts w:eastAsia="Arial Unicode MS"/>
                <w:color w:val="000000" w:themeColor="text1"/>
                <w:sz w:val="20"/>
                <w:szCs w:val="20"/>
                <w:shd w:val="clear" w:color="auto" w:fill="FFFFFF"/>
                <w:lang w:val="en-US"/>
              </w:rPr>
              <w:t xml:space="preserve"> </w:t>
            </w:r>
            <w:proofErr w:type="gramStart"/>
            <w:r w:rsidRPr="00D938EB">
              <w:rPr>
                <w:rFonts w:eastAsia="Arial Unicode MS"/>
                <w:color w:val="000000" w:themeColor="text1"/>
                <w:sz w:val="20"/>
                <w:szCs w:val="20"/>
                <w:shd w:val="clear" w:color="auto" w:fill="FFFFFF"/>
                <w:lang w:val="en-US"/>
              </w:rPr>
              <w:t>a</w:t>
            </w:r>
            <w:proofErr w:type="gram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multe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dintre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următoarele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scopuri</w:t>
            </w:r>
            <w:proofErr w:type="spellEnd"/>
            <w:r w:rsidRPr="00D938EB">
              <w:rPr>
                <w:rFonts w:eastAsia="Arial Unicode MS"/>
                <w:color w:val="000000" w:themeColor="text1"/>
                <w:sz w:val="20"/>
                <w:szCs w:val="20"/>
                <w:shd w:val="clear" w:color="auto" w:fill="FFFFFF"/>
                <w:lang w:val="en-US"/>
              </w:rPr>
              <w:t>:</w:t>
            </w:r>
          </w:p>
          <w:p w14:paraId="0159FB41"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100" w:tooltip="32009L0029: REPLACED" w:history="1">
              <w:r>
                <w:rPr>
                  <w:rStyle w:val="af3"/>
                  <w:rFonts w:eastAsia="Arial Unicode MS"/>
                  <w:b/>
                  <w:bCs/>
                  <w:color w:val="4472C4" w:themeColor="accent1"/>
                  <w:sz w:val="20"/>
                  <w:szCs w:val="20"/>
                </w:rPr>
                <w:t>▼M4</w:t>
              </w:r>
            </w:hyperlink>
          </w:p>
          <w:p w14:paraId="740895F9" w14:textId="77777777"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lastRenderedPageBreak/>
              <w:t>reducerea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emisiilor</w:t>
            </w:r>
            <w:proofErr w:type="spellEnd"/>
            <w:r w:rsidRPr="00D938EB">
              <w:rPr>
                <w:rFonts w:eastAsia="Arial Unicode MS"/>
                <w:color w:val="000000" w:themeColor="text1"/>
                <w:sz w:val="20"/>
                <w:szCs w:val="20"/>
                <w:shd w:val="clear" w:color="auto" w:fill="FFFFFF"/>
                <w:lang w:val="en-US"/>
              </w:rPr>
              <w:t xml:space="preserve"> de gaze cu </w:t>
            </w:r>
            <w:proofErr w:type="spellStart"/>
            <w:r w:rsidRPr="00D938EB">
              <w:rPr>
                <w:rFonts w:eastAsia="Arial Unicode MS"/>
                <w:color w:val="000000" w:themeColor="text1"/>
                <w:sz w:val="20"/>
                <w:szCs w:val="20"/>
                <w:shd w:val="clear" w:color="auto" w:fill="FFFFFF"/>
                <w:lang w:val="en-US"/>
              </w:rPr>
              <w:t>efect</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seră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prin</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contribuția</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Fondul</w:t>
            </w:r>
            <w:proofErr w:type="spellEnd"/>
            <w:r w:rsidRPr="00D938EB">
              <w:rPr>
                <w:rFonts w:eastAsia="Arial Unicode MS"/>
                <w:color w:val="000000" w:themeColor="text1"/>
                <w:sz w:val="20"/>
                <w:szCs w:val="20"/>
                <w:shd w:val="clear" w:color="auto" w:fill="FFFFFF"/>
                <w:lang w:val="en-US"/>
              </w:rPr>
              <w:t xml:space="preserve"> Global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Eficiență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Energetică</w:t>
            </w:r>
            <w:proofErr w:type="spellEnd"/>
            <w:r w:rsidRPr="00D938EB">
              <w:rPr>
                <w:rFonts w:eastAsia="Arial Unicode MS"/>
                <w:color w:val="000000" w:themeColor="text1"/>
                <w:sz w:val="20"/>
                <w:szCs w:val="20"/>
                <w:shd w:val="clear" w:color="auto" w:fill="FFFFFF"/>
                <w:lang w:val="en-US"/>
              </w:rPr>
              <w:t xml:space="preserve"> și la </w:t>
            </w:r>
            <w:proofErr w:type="spellStart"/>
            <w:r w:rsidRPr="00D938EB">
              <w:rPr>
                <w:rFonts w:eastAsia="Arial Unicode MS"/>
                <w:color w:val="000000" w:themeColor="text1"/>
                <w:sz w:val="20"/>
                <w:szCs w:val="20"/>
                <w:shd w:val="clear" w:color="auto" w:fill="FFFFFF"/>
                <w:lang w:val="en-US"/>
              </w:rPr>
              <w:t>Fondul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adaptare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declarat</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operațional</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către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Conferința</w:t>
            </w:r>
            <w:proofErr w:type="spellEnd"/>
            <w:r w:rsidRPr="00D938EB">
              <w:rPr>
                <w:rFonts w:eastAsia="Arial Unicode MS"/>
                <w:color w:val="000000" w:themeColor="text1"/>
                <w:sz w:val="20"/>
                <w:szCs w:val="20"/>
                <w:shd w:val="clear" w:color="auto" w:fill="FFFFFF"/>
                <w:lang w:val="en-US"/>
              </w:rPr>
              <w:t xml:space="preserve"> de la Poznan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schimbările</w:t>
            </w:r>
            <w:proofErr w:type="spellEnd"/>
            <w:r w:rsidRPr="00D938EB">
              <w:rPr>
                <w:rFonts w:eastAsia="Arial Unicode MS"/>
                <w:color w:val="000000" w:themeColor="text1"/>
                <w:sz w:val="20"/>
                <w:szCs w:val="20"/>
                <w:shd w:val="clear" w:color="auto" w:fill="FFFFFF"/>
                <w:lang w:val="en-US"/>
              </w:rPr>
              <w:t xml:space="preserve"> climatice (COP 14 și COP/MOP 4),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adaptarea</w:t>
            </w:r>
            <w:proofErr w:type="spellEnd"/>
            <w:r w:rsidRPr="00D938EB">
              <w:rPr>
                <w:rFonts w:eastAsia="Arial Unicode MS"/>
                <w:color w:val="000000" w:themeColor="text1"/>
                <w:sz w:val="20"/>
                <w:szCs w:val="20"/>
                <w:shd w:val="clear" w:color="auto" w:fill="FFFFFF"/>
                <w:lang w:val="en-US"/>
              </w:rPr>
              <w:t xml:space="preserve"> la efectele </w:t>
            </w:r>
            <w:proofErr w:type="spellStart"/>
            <w:r w:rsidRPr="00D938EB">
              <w:rPr>
                <w:rFonts w:eastAsia="Arial Unicode MS"/>
                <w:color w:val="000000" w:themeColor="text1"/>
                <w:sz w:val="20"/>
                <w:szCs w:val="20"/>
                <w:shd w:val="clear" w:color="auto" w:fill="FFFFFF"/>
                <w:lang w:val="en-US"/>
              </w:rPr>
              <w:t>schimbărilor</w:t>
            </w:r>
            <w:proofErr w:type="spellEnd"/>
            <w:r w:rsidRPr="00D938EB">
              <w:rPr>
                <w:rFonts w:eastAsia="Arial Unicode MS"/>
                <w:color w:val="000000" w:themeColor="text1"/>
                <w:sz w:val="20"/>
                <w:szCs w:val="20"/>
                <w:shd w:val="clear" w:color="auto" w:fill="FFFFFF"/>
                <w:lang w:val="en-US"/>
              </w:rPr>
              <w:t xml:space="preserve"> climatice și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finanțarea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cercetării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dezvoltării</w:t>
            </w:r>
            <w:proofErr w:type="spellEnd"/>
            <w:r w:rsidRPr="00D938EB">
              <w:rPr>
                <w:rFonts w:eastAsia="Arial Unicode MS"/>
                <w:color w:val="000000" w:themeColor="text1"/>
                <w:sz w:val="20"/>
                <w:szCs w:val="20"/>
                <w:shd w:val="clear" w:color="auto" w:fill="FFFFFF"/>
                <w:lang w:val="en-US"/>
              </w:rPr>
              <w:t xml:space="preserve">, precum și a </w:t>
            </w:r>
            <w:proofErr w:type="spellStart"/>
            <w:r w:rsidRPr="00D938EB">
              <w:rPr>
                <w:rFonts w:eastAsia="Arial Unicode MS"/>
                <w:color w:val="000000" w:themeColor="text1"/>
                <w:sz w:val="20"/>
                <w:szCs w:val="20"/>
                <w:shd w:val="clear" w:color="auto" w:fill="FFFFFF"/>
                <w:lang w:val="en-US"/>
              </w:rPr>
              <w:t>proiectelor</w:t>
            </w:r>
            <w:proofErr w:type="spellEnd"/>
            <w:r w:rsidRPr="00D938EB">
              <w:rPr>
                <w:rFonts w:eastAsia="Arial Unicode MS"/>
                <w:color w:val="000000" w:themeColor="text1"/>
                <w:sz w:val="20"/>
                <w:szCs w:val="20"/>
                <w:shd w:val="clear" w:color="auto" w:fill="FFFFFF"/>
                <w:lang w:val="en-US"/>
              </w:rPr>
              <w:t xml:space="preserve"> demonstrative în </w:t>
            </w:r>
            <w:proofErr w:type="spellStart"/>
            <w:r w:rsidRPr="00D938EB">
              <w:rPr>
                <w:rFonts w:eastAsia="Arial Unicode MS"/>
                <w:color w:val="000000" w:themeColor="text1"/>
                <w:sz w:val="20"/>
                <w:szCs w:val="20"/>
                <w:shd w:val="clear" w:color="auto" w:fill="FFFFFF"/>
                <w:lang w:val="en-US"/>
              </w:rPr>
              <w:t>domeniul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reducerii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emisiilor</w:t>
            </w:r>
            <w:proofErr w:type="spellEnd"/>
            <w:r w:rsidRPr="00D938EB">
              <w:rPr>
                <w:rFonts w:eastAsia="Arial Unicode MS"/>
                <w:color w:val="000000" w:themeColor="text1"/>
                <w:sz w:val="20"/>
                <w:szCs w:val="20"/>
                <w:shd w:val="clear" w:color="auto" w:fill="FFFFFF"/>
                <w:lang w:val="en-US"/>
              </w:rPr>
              <w:t xml:space="preserve"> și al </w:t>
            </w:r>
            <w:proofErr w:type="spellStart"/>
            <w:r w:rsidRPr="00D938EB">
              <w:rPr>
                <w:rFonts w:eastAsia="Arial Unicode MS"/>
                <w:color w:val="000000" w:themeColor="text1"/>
                <w:sz w:val="20"/>
                <w:szCs w:val="20"/>
                <w:shd w:val="clear" w:color="auto" w:fill="FFFFFF"/>
                <w:lang w:val="en-US"/>
              </w:rPr>
              <w:t>adaptării</w:t>
            </w:r>
            <w:proofErr w:type="spellEnd"/>
            <w:r w:rsidRPr="00D938EB">
              <w:rPr>
                <w:rFonts w:eastAsia="Arial Unicode MS"/>
                <w:color w:val="000000" w:themeColor="text1"/>
                <w:sz w:val="20"/>
                <w:szCs w:val="20"/>
                <w:shd w:val="clear" w:color="auto" w:fill="FFFFFF"/>
                <w:lang w:val="en-US"/>
              </w:rPr>
              <w:t xml:space="preserve"> la efectele </w:t>
            </w:r>
            <w:proofErr w:type="spellStart"/>
            <w:r w:rsidRPr="00D938EB">
              <w:rPr>
                <w:rFonts w:eastAsia="Arial Unicode MS"/>
                <w:color w:val="000000" w:themeColor="text1"/>
                <w:sz w:val="20"/>
                <w:szCs w:val="20"/>
                <w:shd w:val="clear" w:color="auto" w:fill="FFFFFF"/>
                <w:lang w:val="en-US"/>
              </w:rPr>
              <w:t>schimbărilor</w:t>
            </w:r>
            <w:proofErr w:type="spellEnd"/>
            <w:r w:rsidRPr="00D938EB">
              <w:rPr>
                <w:rFonts w:eastAsia="Arial Unicode MS"/>
                <w:color w:val="000000" w:themeColor="text1"/>
                <w:sz w:val="20"/>
                <w:szCs w:val="20"/>
                <w:shd w:val="clear" w:color="auto" w:fill="FFFFFF"/>
                <w:lang w:val="en-US"/>
              </w:rPr>
              <w:t xml:space="preserve"> climatice,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participarea</w:t>
            </w:r>
            <w:proofErr w:type="spellEnd"/>
            <w:r w:rsidRPr="00D938EB">
              <w:rPr>
                <w:rFonts w:eastAsia="Arial Unicode MS"/>
                <w:color w:val="000000" w:themeColor="text1"/>
                <w:sz w:val="20"/>
                <w:szCs w:val="20"/>
                <w:shd w:val="clear" w:color="auto" w:fill="FFFFFF"/>
                <w:lang w:val="en-US"/>
              </w:rPr>
              <w:t xml:space="preserve"> la diverse </w:t>
            </w:r>
            <w:proofErr w:type="spellStart"/>
            <w:r w:rsidRPr="00D938EB">
              <w:rPr>
                <w:rFonts w:eastAsia="Arial Unicode MS"/>
                <w:color w:val="000000" w:themeColor="text1"/>
                <w:sz w:val="20"/>
                <w:szCs w:val="20"/>
                <w:shd w:val="clear" w:color="auto" w:fill="FFFFFF"/>
                <w:lang w:val="en-US"/>
              </w:rPr>
              <w:t>inițiative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cadrul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planului</w:t>
            </w:r>
            <w:proofErr w:type="spellEnd"/>
            <w:r w:rsidRPr="00D938EB">
              <w:rPr>
                <w:rFonts w:eastAsia="Arial Unicode MS"/>
                <w:color w:val="000000" w:themeColor="text1"/>
                <w:sz w:val="20"/>
                <w:szCs w:val="20"/>
                <w:shd w:val="clear" w:color="auto" w:fill="FFFFFF"/>
                <w:lang w:val="en-US"/>
              </w:rPr>
              <w:t xml:space="preserve"> strategic în </w:t>
            </w:r>
            <w:proofErr w:type="spellStart"/>
            <w:r w:rsidRPr="00D938EB">
              <w:rPr>
                <w:rFonts w:eastAsia="Arial Unicode MS"/>
                <w:color w:val="000000" w:themeColor="text1"/>
                <w:sz w:val="20"/>
                <w:szCs w:val="20"/>
                <w:shd w:val="clear" w:color="auto" w:fill="FFFFFF"/>
                <w:lang w:val="en-US"/>
              </w:rPr>
              <w:t>domeniul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tehnologiei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și al </w:t>
            </w:r>
            <w:proofErr w:type="spellStart"/>
            <w:r w:rsidRPr="00D938EB">
              <w:rPr>
                <w:rFonts w:eastAsia="Arial Unicode MS"/>
                <w:color w:val="000000" w:themeColor="text1"/>
                <w:sz w:val="20"/>
                <w:szCs w:val="20"/>
                <w:shd w:val="clear" w:color="auto" w:fill="FFFFFF"/>
                <w:lang w:val="en-US"/>
              </w:rPr>
              <w:t>platformelor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tehnologice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europene</w:t>
            </w:r>
            <w:proofErr w:type="spellEnd"/>
            <w:r w:rsidRPr="00D938EB">
              <w:rPr>
                <w:rFonts w:eastAsia="Arial Unicode MS"/>
                <w:color w:val="000000" w:themeColor="text1"/>
                <w:sz w:val="20"/>
                <w:szCs w:val="20"/>
                <w:shd w:val="clear" w:color="auto" w:fill="FFFFFF"/>
                <w:lang w:val="en-US"/>
              </w:rPr>
              <w:t>;</w:t>
            </w:r>
          </w:p>
          <w:p w14:paraId="086E557E" w14:textId="77777777" w:rsidR="00124364"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101" w:tooltip="32023L0959: REPLACED" w:history="1">
              <w:r>
                <w:rPr>
                  <w:rStyle w:val="af3"/>
                  <w:rFonts w:eastAsia="Arial Unicode MS"/>
                  <w:b/>
                  <w:bCs/>
                  <w:color w:val="4472C4" w:themeColor="accent1"/>
                  <w:sz w:val="20"/>
                  <w:szCs w:val="20"/>
                </w:rPr>
                <w:t>▼M15</w:t>
              </w:r>
            </w:hyperlink>
          </w:p>
          <w:p w14:paraId="0BD26E29" w14:textId="77777777"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dezvoltarea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energiilor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și a </w:t>
            </w:r>
            <w:proofErr w:type="spellStart"/>
            <w:r w:rsidRPr="00D938EB">
              <w:rPr>
                <w:rFonts w:eastAsia="Arial Unicode MS"/>
                <w:color w:val="000000" w:themeColor="text1"/>
                <w:sz w:val="20"/>
                <w:szCs w:val="20"/>
                <w:shd w:val="clear" w:color="auto" w:fill="FFFFFF"/>
                <w:lang w:val="en-US"/>
              </w:rPr>
              <w:t>rețelelor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transportul</w:t>
            </w:r>
            <w:proofErr w:type="spellEnd"/>
            <w:r w:rsidRPr="00D938EB">
              <w:rPr>
                <w:rFonts w:eastAsia="Arial Unicode MS"/>
                <w:color w:val="000000" w:themeColor="text1"/>
                <w:sz w:val="20"/>
                <w:szCs w:val="20"/>
                <w:shd w:val="clear" w:color="auto" w:fill="FFFFFF"/>
                <w:lang w:val="en-US"/>
              </w:rPr>
              <w:t xml:space="preserve"> energiei </w:t>
            </w:r>
            <w:proofErr w:type="spellStart"/>
            <w:r w:rsidRPr="00D938EB">
              <w:rPr>
                <w:rFonts w:eastAsia="Arial Unicode MS"/>
                <w:color w:val="000000" w:themeColor="text1"/>
                <w:sz w:val="20"/>
                <w:szCs w:val="20"/>
                <w:shd w:val="clear" w:color="auto" w:fill="FFFFFF"/>
                <w:lang w:val="en-US"/>
              </w:rPr>
              <w:t>electrice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vederea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îndeplinirii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angajamentului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de a </w:t>
            </w:r>
            <w:proofErr w:type="spellStart"/>
            <w:r w:rsidRPr="00D938EB">
              <w:rPr>
                <w:rFonts w:eastAsia="Arial Unicode MS"/>
                <w:color w:val="000000" w:themeColor="text1"/>
                <w:sz w:val="20"/>
                <w:szCs w:val="20"/>
                <w:shd w:val="clear" w:color="auto" w:fill="FFFFFF"/>
                <w:lang w:val="en-US"/>
              </w:rPr>
              <w:t>trece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energie</w:t>
            </w:r>
            <w:proofErr w:type="spellEnd"/>
            <w:r w:rsidRPr="00D938EB">
              <w:rPr>
                <w:rFonts w:eastAsia="Arial Unicode MS"/>
                <w:color w:val="000000" w:themeColor="text1"/>
                <w:sz w:val="20"/>
                <w:szCs w:val="20"/>
                <w:shd w:val="clear" w:color="auto" w:fill="FFFFFF"/>
                <w:lang w:val="en-US"/>
              </w:rPr>
              <w:t xml:space="preserve"> din surse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și a </w:t>
            </w:r>
            <w:proofErr w:type="spellStart"/>
            <w:r w:rsidRPr="00D938EB">
              <w:rPr>
                <w:rFonts w:eastAsia="Arial Unicode MS"/>
                <w:color w:val="000000" w:themeColor="text1"/>
                <w:sz w:val="20"/>
                <w:szCs w:val="20"/>
                <w:shd w:val="clear" w:color="auto" w:fill="FFFFFF"/>
                <w:lang w:val="en-US"/>
              </w:rPr>
              <w:t>obiectivelor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interconexiunile</w:t>
            </w:r>
            <w:proofErr w:type="spellEnd"/>
            <w:r w:rsidRPr="00D938EB">
              <w:rPr>
                <w:rFonts w:eastAsia="Arial Unicode MS"/>
                <w:color w:val="000000" w:themeColor="text1"/>
                <w:sz w:val="20"/>
                <w:szCs w:val="20"/>
                <w:shd w:val="clear" w:color="auto" w:fill="FFFFFF"/>
                <w:lang w:val="en-US"/>
              </w:rPr>
              <w:t xml:space="preserve">, precum și </w:t>
            </w:r>
            <w:proofErr w:type="spellStart"/>
            <w:r w:rsidRPr="00D938EB">
              <w:rPr>
                <w:rFonts w:eastAsia="Arial Unicode MS"/>
                <w:color w:val="000000" w:themeColor="text1"/>
                <w:sz w:val="20"/>
                <w:szCs w:val="20"/>
                <w:shd w:val="clear" w:color="auto" w:fill="FFFFFF"/>
                <w:lang w:val="en-US"/>
              </w:rPr>
              <w:t>dezvoltarea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altor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tehnologii</w:t>
            </w:r>
            <w:proofErr w:type="spellEnd"/>
            <w:r w:rsidRPr="00D938EB">
              <w:rPr>
                <w:rFonts w:eastAsia="Arial Unicode MS"/>
                <w:color w:val="000000" w:themeColor="text1"/>
                <w:sz w:val="20"/>
                <w:szCs w:val="20"/>
                <w:shd w:val="clear" w:color="auto" w:fill="FFFFFF"/>
                <w:lang w:val="en-US"/>
              </w:rPr>
              <w:t xml:space="preserve"> care </w:t>
            </w:r>
            <w:proofErr w:type="spellStart"/>
            <w:r w:rsidRPr="00D938EB">
              <w:rPr>
                <w:rFonts w:eastAsia="Arial Unicode MS"/>
                <w:color w:val="000000" w:themeColor="text1"/>
                <w:sz w:val="20"/>
                <w:szCs w:val="20"/>
                <w:shd w:val="clear" w:color="auto" w:fill="FFFFFF"/>
                <w:lang w:val="en-US"/>
              </w:rPr>
              <w:t>contribuie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tranziția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către</w:t>
            </w:r>
            <w:proofErr w:type="spellEnd"/>
            <w:r w:rsidRPr="00D938EB">
              <w:rPr>
                <w:rFonts w:eastAsia="Arial Unicode MS"/>
                <w:color w:val="000000" w:themeColor="text1"/>
                <w:sz w:val="20"/>
                <w:szCs w:val="20"/>
                <w:shd w:val="clear" w:color="auto" w:fill="FFFFFF"/>
                <w:lang w:val="en-US"/>
              </w:rPr>
              <w:t xml:space="preserve"> o </w:t>
            </w:r>
            <w:proofErr w:type="spellStart"/>
            <w:r w:rsidRPr="00D938EB">
              <w:rPr>
                <w:rFonts w:eastAsia="Arial Unicode MS"/>
                <w:color w:val="000000" w:themeColor="text1"/>
                <w:sz w:val="20"/>
                <w:szCs w:val="20"/>
                <w:shd w:val="clear" w:color="auto" w:fill="FFFFFF"/>
                <w:lang w:val="en-US"/>
              </w:rPr>
              <w:t>economie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fiabilă</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durabilă</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emisii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reduse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dioxid</w:t>
            </w:r>
            <w:proofErr w:type="spellEnd"/>
            <w:r w:rsidRPr="00D938EB">
              <w:rPr>
                <w:rFonts w:eastAsia="Arial Unicode MS"/>
                <w:color w:val="000000" w:themeColor="text1"/>
                <w:sz w:val="20"/>
                <w:szCs w:val="20"/>
                <w:shd w:val="clear" w:color="auto" w:fill="FFFFFF"/>
                <w:lang w:val="en-US"/>
              </w:rPr>
              <w:t xml:space="preserve"> de carbon, și </w:t>
            </w:r>
            <w:proofErr w:type="spellStart"/>
            <w:r w:rsidRPr="00D938EB">
              <w:rPr>
                <w:rFonts w:eastAsia="Arial Unicode MS"/>
                <w:color w:val="000000" w:themeColor="text1"/>
                <w:sz w:val="20"/>
                <w:szCs w:val="20"/>
                <w:shd w:val="clear" w:color="auto" w:fill="FFFFFF"/>
                <w:lang w:val="en-US"/>
              </w:rPr>
              <w:t>realizarea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contribuții</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îndeplinirea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angajamentului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de a </w:t>
            </w:r>
            <w:proofErr w:type="spellStart"/>
            <w:r w:rsidRPr="00D938EB">
              <w:rPr>
                <w:rFonts w:eastAsia="Arial Unicode MS"/>
                <w:color w:val="000000" w:themeColor="text1"/>
                <w:sz w:val="20"/>
                <w:szCs w:val="20"/>
                <w:shd w:val="clear" w:color="auto" w:fill="FFFFFF"/>
                <w:lang w:val="en-US"/>
              </w:rPr>
              <w:t>crește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eficiența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până</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nivelurile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convenite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actele</w:t>
            </w:r>
            <w:proofErr w:type="spellEnd"/>
            <w:r w:rsidRPr="00D938EB">
              <w:rPr>
                <w:rFonts w:eastAsia="Arial Unicode MS"/>
                <w:color w:val="000000" w:themeColor="text1"/>
                <w:sz w:val="20"/>
                <w:szCs w:val="20"/>
                <w:shd w:val="clear" w:color="auto" w:fill="FFFFFF"/>
                <w:lang w:val="en-US"/>
              </w:rPr>
              <w:t xml:space="preserve"> legislative </w:t>
            </w:r>
            <w:proofErr w:type="spellStart"/>
            <w:r w:rsidRPr="00D938EB">
              <w:rPr>
                <w:rFonts w:eastAsia="Arial Unicode MS"/>
                <w:color w:val="000000" w:themeColor="text1"/>
                <w:sz w:val="20"/>
                <w:szCs w:val="20"/>
                <w:shd w:val="clear" w:color="auto" w:fill="FFFFFF"/>
                <w:lang w:val="en-US"/>
              </w:rPr>
              <w:t>relevante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producția</w:t>
            </w:r>
            <w:proofErr w:type="spellEnd"/>
            <w:r w:rsidRPr="00D938EB">
              <w:rPr>
                <w:rFonts w:eastAsia="Arial Unicode MS"/>
                <w:color w:val="000000" w:themeColor="text1"/>
                <w:sz w:val="20"/>
                <w:szCs w:val="20"/>
                <w:shd w:val="clear" w:color="auto" w:fill="FFFFFF"/>
                <w:lang w:val="en-US"/>
              </w:rPr>
              <w:t xml:space="preserve"> energiei </w:t>
            </w:r>
            <w:proofErr w:type="spellStart"/>
            <w:r w:rsidRPr="00D938EB">
              <w:rPr>
                <w:rFonts w:eastAsia="Arial Unicode MS"/>
                <w:color w:val="000000" w:themeColor="text1"/>
                <w:sz w:val="20"/>
                <w:szCs w:val="20"/>
                <w:shd w:val="clear" w:color="auto" w:fill="FFFFFF"/>
                <w:lang w:val="en-US"/>
              </w:rPr>
              <w:t>electrice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către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prosumatori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energie</w:t>
            </w:r>
            <w:proofErr w:type="spellEnd"/>
            <w:r w:rsidRPr="00D938EB">
              <w:rPr>
                <w:rFonts w:eastAsia="Arial Unicode MS"/>
                <w:color w:val="000000" w:themeColor="text1"/>
                <w:sz w:val="20"/>
                <w:szCs w:val="20"/>
                <w:shd w:val="clear" w:color="auto" w:fill="FFFFFF"/>
                <w:lang w:val="en-US"/>
              </w:rPr>
              <w:t xml:space="preserve"> din surse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și de </w:t>
            </w:r>
            <w:proofErr w:type="spellStart"/>
            <w:r w:rsidRPr="00D938EB">
              <w:rPr>
                <w:rFonts w:eastAsia="Arial Unicode MS"/>
                <w:color w:val="000000" w:themeColor="text1"/>
                <w:sz w:val="20"/>
                <w:szCs w:val="20"/>
                <w:shd w:val="clear" w:color="auto" w:fill="FFFFFF"/>
                <w:lang w:val="en-US"/>
              </w:rPr>
              <w:t>comunitățile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energie</w:t>
            </w:r>
            <w:proofErr w:type="spellEnd"/>
            <w:r w:rsidRPr="00D938EB">
              <w:rPr>
                <w:rFonts w:eastAsia="Arial Unicode MS"/>
                <w:color w:val="000000" w:themeColor="text1"/>
                <w:sz w:val="20"/>
                <w:szCs w:val="20"/>
                <w:shd w:val="clear" w:color="auto" w:fill="FFFFFF"/>
                <w:lang w:val="en-US"/>
              </w:rPr>
              <w:t xml:space="preserve"> din surse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w:t>
            </w:r>
          </w:p>
          <w:p w14:paraId="22D8D4E4" w14:textId="77777777"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evitare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defrișărilor</w:t>
            </w:r>
            <w:proofErr w:type="spellEnd"/>
            <w:r w:rsidRPr="00D938EB">
              <w:rPr>
                <w:rFonts w:eastAsia="Arial Unicode MS"/>
                <w:color w:val="000000" w:themeColor="text1"/>
                <w:sz w:val="20"/>
                <w:szCs w:val="20"/>
                <w:shd w:val="clear" w:color="auto" w:fill="FFFFFF"/>
                <w:lang w:val="en-US"/>
              </w:rPr>
              <w:t xml:space="preserve"> și de </w:t>
            </w:r>
            <w:proofErr w:type="spellStart"/>
            <w:r w:rsidRPr="00D938EB">
              <w:rPr>
                <w:rFonts w:eastAsia="Arial Unicode MS"/>
                <w:color w:val="000000" w:themeColor="text1"/>
                <w:sz w:val="20"/>
                <w:szCs w:val="20"/>
                <w:shd w:val="clear" w:color="auto" w:fill="FFFFFF"/>
                <w:lang w:val="en-US"/>
              </w:rPr>
              <w:t>sprijinire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protecției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restabilirii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turbăriilor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pădurilor</w:t>
            </w:r>
            <w:proofErr w:type="spellEnd"/>
            <w:r w:rsidRPr="00D938EB">
              <w:rPr>
                <w:rFonts w:eastAsia="Arial Unicode MS"/>
                <w:color w:val="000000" w:themeColor="text1"/>
                <w:sz w:val="20"/>
                <w:szCs w:val="20"/>
                <w:shd w:val="clear" w:color="auto" w:fill="FFFFFF"/>
                <w:lang w:val="en-US"/>
              </w:rPr>
              <w:t xml:space="preserve"> și a </w:t>
            </w:r>
            <w:proofErr w:type="spellStart"/>
            <w:r w:rsidRPr="00D938EB">
              <w:rPr>
                <w:rFonts w:eastAsia="Arial Unicode MS"/>
                <w:color w:val="000000" w:themeColor="text1"/>
                <w:sz w:val="20"/>
                <w:szCs w:val="20"/>
                <w:shd w:val="clear" w:color="auto" w:fill="FFFFFF"/>
                <w:lang w:val="en-US"/>
              </w:rPr>
              <w:t>altor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ecosisteme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terestre</w:t>
            </w:r>
            <w:proofErr w:type="spellEnd"/>
            <w:r w:rsidRPr="00D938EB">
              <w:rPr>
                <w:rFonts w:eastAsia="Arial Unicode MS"/>
                <w:color w:val="000000" w:themeColor="text1"/>
                <w:sz w:val="20"/>
                <w:szCs w:val="20"/>
                <w:shd w:val="clear" w:color="auto" w:fill="FFFFFF"/>
                <w:lang w:val="en-US"/>
              </w:rPr>
              <w:t xml:space="preserve"> și marine,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contribuie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protecția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restabilirea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îmbunătățirea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gestiunii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acestora</w:t>
            </w:r>
            <w:proofErr w:type="spellEnd"/>
            <w:r w:rsidRPr="00D938EB">
              <w:rPr>
                <w:rFonts w:eastAsia="Arial Unicode MS"/>
                <w:color w:val="000000" w:themeColor="text1"/>
                <w:sz w:val="20"/>
                <w:szCs w:val="20"/>
                <w:shd w:val="clear" w:color="auto" w:fill="FFFFFF"/>
                <w:lang w:val="en-US"/>
              </w:rPr>
              <w:t xml:space="preserve">, în special a </w:t>
            </w:r>
            <w:proofErr w:type="spellStart"/>
            <w:r w:rsidRPr="00D938EB">
              <w:rPr>
                <w:rFonts w:eastAsia="Arial Unicode MS"/>
                <w:color w:val="000000" w:themeColor="text1"/>
                <w:sz w:val="20"/>
                <w:szCs w:val="20"/>
                <w:shd w:val="clear" w:color="auto" w:fill="FFFFFF"/>
                <w:lang w:val="en-US"/>
              </w:rPr>
              <w:t>zonelor</w:t>
            </w:r>
            <w:proofErr w:type="spellEnd"/>
            <w:r w:rsidRPr="00D938EB">
              <w:rPr>
                <w:rFonts w:eastAsia="Arial Unicode MS"/>
                <w:color w:val="000000" w:themeColor="text1"/>
                <w:sz w:val="20"/>
                <w:szCs w:val="20"/>
                <w:shd w:val="clear" w:color="auto" w:fill="FFFFFF"/>
                <w:lang w:val="en-US"/>
              </w:rPr>
              <w:t xml:space="preserve"> marine </w:t>
            </w:r>
            <w:proofErr w:type="spellStart"/>
            <w:r w:rsidRPr="00D938EB">
              <w:rPr>
                <w:rFonts w:eastAsia="Arial Unicode MS"/>
                <w:color w:val="000000" w:themeColor="text1"/>
                <w:sz w:val="20"/>
                <w:szCs w:val="20"/>
                <w:shd w:val="clear" w:color="auto" w:fill="FFFFFF"/>
                <w:lang w:val="en-US"/>
              </w:rPr>
              <w:t>protejate</w:t>
            </w:r>
            <w:proofErr w:type="spellEnd"/>
            <w:r w:rsidRPr="00D938EB">
              <w:rPr>
                <w:rFonts w:eastAsia="Arial Unicode MS"/>
                <w:color w:val="000000" w:themeColor="text1"/>
                <w:sz w:val="20"/>
                <w:szCs w:val="20"/>
                <w:shd w:val="clear" w:color="auto" w:fill="FFFFFF"/>
                <w:lang w:val="en-US"/>
              </w:rPr>
              <w:t xml:space="preserve">, precum și de </w:t>
            </w:r>
            <w:proofErr w:type="spellStart"/>
            <w:r w:rsidRPr="00D938EB">
              <w:rPr>
                <w:rFonts w:eastAsia="Arial Unicode MS"/>
                <w:color w:val="000000" w:themeColor="text1"/>
                <w:sz w:val="20"/>
                <w:szCs w:val="20"/>
                <w:shd w:val="clear" w:color="auto" w:fill="FFFFFF"/>
                <w:lang w:val="en-US"/>
              </w:rPr>
              <w:t>intensificare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împăduririlor</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reîmpăduririlor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favorabile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biodiversității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țările</w:t>
            </w:r>
            <w:proofErr w:type="spellEnd"/>
            <w:r w:rsidRPr="00D938EB">
              <w:rPr>
                <w:rFonts w:eastAsia="Arial Unicode MS"/>
                <w:color w:val="000000" w:themeColor="text1"/>
                <w:sz w:val="20"/>
                <w:szCs w:val="20"/>
                <w:shd w:val="clear" w:color="auto" w:fill="FFFFFF"/>
                <w:lang w:val="en-US"/>
              </w:rPr>
              <w:t xml:space="preserve"> în curs de </w:t>
            </w:r>
            <w:proofErr w:type="spellStart"/>
            <w:r w:rsidRPr="00D938EB">
              <w:rPr>
                <w:rFonts w:eastAsia="Arial Unicode MS"/>
                <w:color w:val="000000" w:themeColor="text1"/>
                <w:sz w:val="20"/>
                <w:szCs w:val="20"/>
                <w:shd w:val="clear" w:color="auto" w:fill="FFFFFF"/>
                <w:lang w:val="en-US"/>
              </w:rPr>
              <w:t>dezvoltare</w:t>
            </w:r>
            <w:proofErr w:type="spellEnd"/>
            <w:r w:rsidRPr="00D938EB">
              <w:rPr>
                <w:rFonts w:eastAsia="Arial Unicode MS"/>
                <w:color w:val="000000" w:themeColor="text1"/>
                <w:sz w:val="20"/>
                <w:szCs w:val="20"/>
                <w:shd w:val="clear" w:color="auto" w:fill="FFFFFF"/>
                <w:lang w:val="en-US"/>
              </w:rPr>
              <w:t xml:space="preserve"> care au </w:t>
            </w:r>
            <w:proofErr w:type="spellStart"/>
            <w:r w:rsidRPr="00D938EB">
              <w:rPr>
                <w:rFonts w:eastAsia="Arial Unicode MS"/>
                <w:color w:val="000000" w:themeColor="text1"/>
                <w:sz w:val="20"/>
                <w:szCs w:val="20"/>
                <w:shd w:val="clear" w:color="auto" w:fill="FFFFFF"/>
                <w:lang w:val="en-US"/>
              </w:rPr>
              <w:t>ratificat</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Acordul</w:t>
            </w:r>
            <w:proofErr w:type="spellEnd"/>
            <w:r w:rsidRPr="00D938EB">
              <w:rPr>
                <w:rFonts w:eastAsia="Arial Unicode MS"/>
                <w:color w:val="000000" w:themeColor="text1"/>
                <w:sz w:val="20"/>
                <w:szCs w:val="20"/>
                <w:shd w:val="clear" w:color="auto" w:fill="FFFFFF"/>
                <w:lang w:val="en-US"/>
              </w:rPr>
              <w:t xml:space="preserve"> de la Paris, și </w:t>
            </w: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transferul</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tehnologii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facilitarea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adaptării</w:t>
            </w:r>
            <w:proofErr w:type="spellEnd"/>
            <w:r w:rsidRPr="00D938EB">
              <w:rPr>
                <w:rFonts w:eastAsia="Arial Unicode MS"/>
                <w:color w:val="000000" w:themeColor="text1"/>
                <w:sz w:val="20"/>
                <w:szCs w:val="20"/>
                <w:shd w:val="clear" w:color="auto" w:fill="FFFFFF"/>
                <w:lang w:val="en-US"/>
              </w:rPr>
              <w:t xml:space="preserve"> la efectele adverse ale </w:t>
            </w:r>
            <w:proofErr w:type="spellStart"/>
            <w:r w:rsidRPr="00D938EB">
              <w:rPr>
                <w:rFonts w:eastAsia="Arial Unicode MS"/>
                <w:color w:val="000000" w:themeColor="text1"/>
                <w:sz w:val="20"/>
                <w:szCs w:val="20"/>
                <w:shd w:val="clear" w:color="auto" w:fill="FFFFFF"/>
                <w:lang w:val="en-US"/>
              </w:rPr>
              <w:lastRenderedPageBreak/>
              <w:t>schimbărilor</w:t>
            </w:r>
            <w:proofErr w:type="spellEnd"/>
            <w:r w:rsidRPr="00D938EB">
              <w:rPr>
                <w:rFonts w:eastAsia="Arial Unicode MS"/>
                <w:color w:val="000000" w:themeColor="text1"/>
                <w:sz w:val="20"/>
                <w:szCs w:val="20"/>
                <w:shd w:val="clear" w:color="auto" w:fill="FFFFFF"/>
                <w:lang w:val="en-US"/>
              </w:rPr>
              <w:t xml:space="preserve"> climatice în </w:t>
            </w:r>
            <w:proofErr w:type="spellStart"/>
            <w:r w:rsidRPr="00D938EB">
              <w:rPr>
                <w:rFonts w:eastAsia="Arial Unicode MS"/>
                <w:color w:val="000000" w:themeColor="text1"/>
                <w:sz w:val="20"/>
                <w:szCs w:val="20"/>
                <w:shd w:val="clear" w:color="auto" w:fill="FFFFFF"/>
                <w:lang w:val="en-US"/>
              </w:rPr>
              <w:t>respectivele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țări</w:t>
            </w:r>
            <w:proofErr w:type="spellEnd"/>
            <w:r w:rsidRPr="00D938EB">
              <w:rPr>
                <w:rFonts w:eastAsia="Arial Unicode MS"/>
                <w:color w:val="000000" w:themeColor="text1"/>
                <w:sz w:val="20"/>
                <w:szCs w:val="20"/>
                <w:shd w:val="clear" w:color="auto" w:fill="FFFFFF"/>
                <w:lang w:val="en-US"/>
              </w:rPr>
              <w:t>;</w:t>
            </w:r>
          </w:p>
          <w:p w14:paraId="736BF8EE" w14:textId="77777777"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sechestrarea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forestieră</w:t>
            </w:r>
            <w:proofErr w:type="spellEnd"/>
            <w:r w:rsidRPr="00D938EB">
              <w:rPr>
                <w:rFonts w:eastAsia="Arial Unicode MS"/>
                <w:color w:val="000000" w:themeColor="text1"/>
                <w:sz w:val="20"/>
                <w:szCs w:val="20"/>
                <w:shd w:val="clear" w:color="auto" w:fill="FFFFFF"/>
                <w:lang w:val="en-US"/>
              </w:rPr>
              <w:t xml:space="preserve"> și în </w:t>
            </w:r>
            <w:proofErr w:type="spellStart"/>
            <w:r w:rsidRPr="00D938EB">
              <w:rPr>
                <w:rFonts w:eastAsia="Arial Unicode MS"/>
                <w:color w:val="000000" w:themeColor="text1"/>
                <w:sz w:val="20"/>
                <w:szCs w:val="20"/>
                <w:shd w:val="clear" w:color="auto" w:fill="FFFFFF"/>
                <w:lang w:val="en-US"/>
              </w:rPr>
              <w:t>soluri</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Uniune</w:t>
            </w:r>
            <w:proofErr w:type="spellEnd"/>
            <w:r w:rsidRPr="00D938EB">
              <w:rPr>
                <w:rFonts w:eastAsia="Arial Unicode MS"/>
                <w:color w:val="000000" w:themeColor="text1"/>
                <w:sz w:val="20"/>
                <w:szCs w:val="20"/>
                <w:shd w:val="clear" w:color="auto" w:fill="FFFFFF"/>
                <w:lang w:val="en-US"/>
              </w:rPr>
              <w:t>;</w:t>
            </w:r>
          </w:p>
          <w:p w14:paraId="1039B4F4" w14:textId="3BD06F5C"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captarea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stocarea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geologică</w:t>
            </w:r>
            <w:proofErr w:type="spellEnd"/>
            <w:r w:rsidRPr="00D938EB">
              <w:rPr>
                <w:rFonts w:eastAsia="Arial Unicode MS"/>
                <w:color w:val="000000" w:themeColor="text1"/>
                <w:sz w:val="20"/>
                <w:szCs w:val="20"/>
                <w:shd w:val="clear" w:color="auto" w:fill="FFFFFF"/>
                <w:lang w:val="en-US"/>
              </w:rPr>
              <w:t xml:space="preserve"> a CO</w:t>
            </w:r>
            <w:r w:rsidRPr="00D938EB">
              <w:rPr>
                <w:rStyle w:val="subscript"/>
                <w:rFonts w:eastAsia="Arial Unicode MS"/>
                <w:color w:val="000000" w:themeColor="text1"/>
                <w:sz w:val="20"/>
                <w:szCs w:val="20"/>
                <w:vertAlign w:val="subscript"/>
                <w:lang w:val="en-US"/>
              </w:rPr>
              <w:t>2</w:t>
            </w:r>
            <w:r w:rsidR="00D938EB" w:rsidRPr="00D938EB">
              <w:rPr>
                <w:rStyle w:val="apple-converted-space"/>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în </w:t>
            </w:r>
            <w:proofErr w:type="spellStart"/>
            <w:r w:rsidRPr="00D938EB">
              <w:rPr>
                <w:rFonts w:eastAsia="Arial Unicode MS"/>
                <w:color w:val="000000" w:themeColor="text1"/>
                <w:sz w:val="20"/>
                <w:szCs w:val="20"/>
                <w:shd w:val="clear" w:color="auto" w:fill="FFFFFF"/>
                <w:lang w:val="en-US"/>
              </w:rPr>
              <w:t>condiții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siguranță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mediu</w:t>
            </w:r>
            <w:proofErr w:type="spellEnd"/>
            <w:r w:rsidRPr="00D938EB">
              <w:rPr>
                <w:rFonts w:eastAsia="Arial Unicode MS"/>
                <w:color w:val="000000" w:themeColor="text1"/>
                <w:sz w:val="20"/>
                <w:szCs w:val="20"/>
                <w:shd w:val="clear" w:color="auto" w:fill="FFFFFF"/>
                <w:lang w:val="en-US"/>
              </w:rPr>
              <w:t xml:space="preserve">, în special a </w:t>
            </w:r>
            <w:proofErr w:type="spellStart"/>
            <w:r w:rsidRPr="00D938EB">
              <w:rPr>
                <w:rFonts w:eastAsia="Arial Unicode MS"/>
                <w:color w:val="000000" w:themeColor="text1"/>
                <w:sz w:val="20"/>
                <w:szCs w:val="20"/>
                <w:shd w:val="clear" w:color="auto" w:fill="FFFFFF"/>
                <w:lang w:val="en-US"/>
              </w:rPr>
              <w:t>celui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generat</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centralele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electrice</w:t>
            </w:r>
            <w:proofErr w:type="spellEnd"/>
            <w:r w:rsidRPr="00D938EB">
              <w:rPr>
                <w:rFonts w:eastAsia="Arial Unicode MS"/>
                <w:color w:val="000000" w:themeColor="text1"/>
                <w:sz w:val="20"/>
                <w:szCs w:val="20"/>
                <w:shd w:val="clear" w:color="auto" w:fill="FFFFFF"/>
                <w:lang w:val="en-US"/>
              </w:rPr>
              <w:t xml:space="preserve"> care </w:t>
            </w:r>
            <w:proofErr w:type="spellStart"/>
            <w:r w:rsidRPr="00D938EB">
              <w:rPr>
                <w:rFonts w:eastAsia="Arial Unicode MS"/>
                <w:color w:val="000000" w:themeColor="text1"/>
                <w:sz w:val="20"/>
                <w:szCs w:val="20"/>
                <w:shd w:val="clear" w:color="auto" w:fill="FFFFFF"/>
                <w:lang w:val="en-US"/>
              </w:rPr>
              <w:t>produc</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energie</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combustibili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fosili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solizi</w:t>
            </w:r>
            <w:proofErr w:type="spellEnd"/>
            <w:r w:rsidRPr="00D938EB">
              <w:rPr>
                <w:rFonts w:eastAsia="Arial Unicode MS"/>
                <w:color w:val="000000" w:themeColor="text1"/>
                <w:sz w:val="20"/>
                <w:szCs w:val="20"/>
                <w:shd w:val="clear" w:color="auto" w:fill="FFFFFF"/>
                <w:lang w:val="en-US"/>
              </w:rPr>
              <w:t xml:space="preserve"> și de o </w:t>
            </w:r>
            <w:proofErr w:type="spellStart"/>
            <w:r w:rsidRPr="00D938EB">
              <w:rPr>
                <w:rFonts w:eastAsia="Arial Unicode MS"/>
                <w:color w:val="000000" w:themeColor="text1"/>
                <w:sz w:val="20"/>
                <w:szCs w:val="20"/>
                <w:shd w:val="clear" w:color="auto" w:fill="FFFFFF"/>
                <w:lang w:val="en-US"/>
              </w:rPr>
              <w:t>serie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sectoare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subsectoare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industriale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țările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terțe</w:t>
            </w:r>
            <w:proofErr w:type="spellEnd"/>
            <w:r w:rsidRPr="00D938EB">
              <w:rPr>
                <w:rFonts w:eastAsia="Arial Unicode MS"/>
                <w:color w:val="000000" w:themeColor="text1"/>
                <w:sz w:val="20"/>
                <w:szCs w:val="20"/>
                <w:shd w:val="clear" w:color="auto" w:fill="FFFFFF"/>
                <w:lang w:val="en-US"/>
              </w:rPr>
              <w:t xml:space="preserve">, precum și </w:t>
            </w:r>
            <w:proofErr w:type="spellStart"/>
            <w:r w:rsidRPr="00D938EB">
              <w:rPr>
                <w:rFonts w:eastAsia="Arial Unicode MS"/>
                <w:color w:val="000000" w:themeColor="text1"/>
                <w:sz w:val="20"/>
                <w:szCs w:val="20"/>
                <w:shd w:val="clear" w:color="auto" w:fill="FFFFFF"/>
                <w:lang w:val="en-US"/>
              </w:rPr>
              <w:t>metode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tehnologice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inovatoare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absorbție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dioxidului</w:t>
            </w:r>
            <w:proofErr w:type="spellEnd"/>
            <w:r w:rsidRPr="00D938EB">
              <w:rPr>
                <w:rFonts w:eastAsia="Arial Unicode MS"/>
                <w:color w:val="000000" w:themeColor="text1"/>
                <w:sz w:val="20"/>
                <w:szCs w:val="20"/>
                <w:shd w:val="clear" w:color="auto" w:fill="FFFFFF"/>
                <w:lang w:val="en-US"/>
              </w:rPr>
              <w:t xml:space="preserve"> de carbon, cum </w:t>
            </w:r>
            <w:proofErr w:type="spellStart"/>
            <w:r w:rsidRPr="00D938EB">
              <w:rPr>
                <w:rFonts w:eastAsia="Arial Unicode MS"/>
                <w:color w:val="000000" w:themeColor="text1"/>
                <w:sz w:val="20"/>
                <w:szCs w:val="20"/>
                <w:shd w:val="clear" w:color="auto" w:fill="FFFFFF"/>
                <w:lang w:val="en-US"/>
              </w:rPr>
              <w:t>ar</w:t>
            </w:r>
            <w:proofErr w:type="spellEnd"/>
            <w:r w:rsidRPr="00D938EB">
              <w:rPr>
                <w:rFonts w:eastAsia="Arial Unicode MS"/>
                <w:color w:val="000000" w:themeColor="text1"/>
                <w:sz w:val="20"/>
                <w:szCs w:val="20"/>
                <w:shd w:val="clear" w:color="auto" w:fill="FFFFFF"/>
                <w:lang w:val="en-US"/>
              </w:rPr>
              <w:t xml:space="preserve"> fi </w:t>
            </w:r>
            <w:proofErr w:type="spellStart"/>
            <w:r w:rsidRPr="00D938EB">
              <w:rPr>
                <w:rFonts w:eastAsia="Arial Unicode MS"/>
                <w:color w:val="000000" w:themeColor="text1"/>
                <w:sz w:val="20"/>
                <w:szCs w:val="20"/>
                <w:shd w:val="clear" w:color="auto" w:fill="FFFFFF"/>
                <w:lang w:val="en-US"/>
              </w:rPr>
              <w:t>captarea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stocarea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directă</w:t>
            </w:r>
            <w:proofErr w:type="spellEnd"/>
            <w:r w:rsidRPr="00D938EB">
              <w:rPr>
                <w:rFonts w:eastAsia="Arial Unicode MS"/>
                <w:color w:val="000000" w:themeColor="text1"/>
                <w:sz w:val="20"/>
                <w:szCs w:val="20"/>
                <w:shd w:val="clear" w:color="auto" w:fill="FFFFFF"/>
                <w:lang w:val="en-US"/>
              </w:rPr>
              <w:t xml:space="preserve"> </w:t>
            </w:r>
            <w:proofErr w:type="gramStart"/>
            <w:r w:rsidRPr="00D938EB">
              <w:rPr>
                <w:rFonts w:eastAsia="Arial Unicode MS"/>
                <w:color w:val="000000" w:themeColor="text1"/>
                <w:sz w:val="20"/>
                <w:szCs w:val="20"/>
                <w:shd w:val="clear" w:color="auto" w:fill="FFFFFF"/>
                <w:lang w:val="en-US"/>
              </w:rPr>
              <w:t>a</w:t>
            </w:r>
            <w:proofErr w:type="gram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aerului</w:t>
            </w:r>
            <w:proofErr w:type="spellEnd"/>
            <w:r w:rsidRPr="00D938EB">
              <w:rPr>
                <w:rFonts w:eastAsia="Arial Unicode MS"/>
                <w:color w:val="000000" w:themeColor="text1"/>
                <w:sz w:val="20"/>
                <w:szCs w:val="20"/>
                <w:shd w:val="clear" w:color="auto" w:fill="FFFFFF"/>
                <w:lang w:val="en-US"/>
              </w:rPr>
              <w:t>;</w:t>
            </w:r>
          </w:p>
          <w:p w14:paraId="10DFBD19" w14:textId="1082062C"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investiții</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forme</w:t>
            </w:r>
            <w:proofErr w:type="spellEnd"/>
            <w:r w:rsidRPr="00D938EB">
              <w:rPr>
                <w:rFonts w:eastAsia="Arial Unicode MS"/>
                <w:color w:val="000000" w:themeColor="text1"/>
                <w:sz w:val="20"/>
                <w:szCs w:val="20"/>
                <w:shd w:val="clear" w:color="auto" w:fill="FFFFFF"/>
                <w:lang w:val="en-US"/>
              </w:rPr>
              <w:t xml:space="preserve"> de transport care </w:t>
            </w:r>
            <w:proofErr w:type="spellStart"/>
            <w:r w:rsidRPr="00D938EB">
              <w:rPr>
                <w:rFonts w:eastAsia="Arial Unicode MS"/>
                <w:color w:val="000000" w:themeColor="text1"/>
                <w:sz w:val="20"/>
                <w:szCs w:val="20"/>
                <w:shd w:val="clear" w:color="auto" w:fill="FFFFFF"/>
                <w:lang w:val="en-US"/>
              </w:rPr>
              <w:t>contribuie</w:t>
            </w:r>
            <w:proofErr w:type="spellEnd"/>
            <w:r w:rsidRPr="00D938EB">
              <w:rPr>
                <w:rFonts w:eastAsia="Arial Unicode MS"/>
                <w:color w:val="000000" w:themeColor="text1"/>
                <w:sz w:val="20"/>
                <w:szCs w:val="20"/>
                <w:shd w:val="clear" w:color="auto" w:fill="FFFFFF"/>
                <w:lang w:val="en-US"/>
              </w:rPr>
              <w:t xml:space="preserve"> în mod </w:t>
            </w:r>
            <w:proofErr w:type="spellStart"/>
            <w:r w:rsidRPr="00D938EB">
              <w:rPr>
                <w:rFonts w:eastAsia="Arial Unicode MS"/>
                <w:color w:val="000000" w:themeColor="text1"/>
                <w:sz w:val="20"/>
                <w:szCs w:val="20"/>
                <w:shd w:val="clear" w:color="auto" w:fill="FFFFFF"/>
                <w:lang w:val="en-US"/>
              </w:rPr>
              <w:t>semnificativ</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decarbonizarea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sectorului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accelerarea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tranziției</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aceste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forme</w:t>
            </w:r>
            <w:proofErr w:type="spellEnd"/>
            <w:r w:rsidRPr="00D938EB">
              <w:rPr>
                <w:rFonts w:eastAsia="Arial Unicode MS"/>
                <w:color w:val="000000" w:themeColor="text1"/>
                <w:sz w:val="20"/>
                <w:szCs w:val="20"/>
                <w:shd w:val="clear" w:color="auto" w:fill="FFFFFF"/>
                <w:lang w:val="en-US"/>
              </w:rPr>
              <w:t xml:space="preserve"> de transport,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dezvoltarea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servicii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tehnologii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ecologice</w:t>
            </w:r>
            <w:proofErr w:type="spellEnd"/>
            <w:r w:rsidRPr="00D938EB">
              <w:rPr>
                <w:rFonts w:eastAsia="Arial Unicode MS"/>
                <w:color w:val="000000" w:themeColor="text1"/>
                <w:sz w:val="20"/>
                <w:szCs w:val="20"/>
                <w:shd w:val="clear" w:color="auto" w:fill="FFFFFF"/>
                <w:lang w:val="en-US"/>
              </w:rPr>
              <w:t xml:space="preserve"> de transport </w:t>
            </w:r>
            <w:proofErr w:type="spellStart"/>
            <w:r w:rsidRPr="00D938EB">
              <w:rPr>
                <w:rFonts w:eastAsia="Arial Unicode MS"/>
                <w:color w:val="000000" w:themeColor="text1"/>
                <w:sz w:val="20"/>
                <w:szCs w:val="20"/>
                <w:shd w:val="clear" w:color="auto" w:fill="FFFFFF"/>
                <w:lang w:val="en-US"/>
              </w:rPr>
              <w:t>feroviar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călători</w:t>
            </w:r>
            <w:proofErr w:type="spellEnd"/>
            <w:r w:rsidRPr="00D938EB">
              <w:rPr>
                <w:rFonts w:eastAsia="Arial Unicode MS"/>
                <w:color w:val="000000" w:themeColor="text1"/>
                <w:sz w:val="20"/>
                <w:szCs w:val="20"/>
                <w:shd w:val="clear" w:color="auto" w:fill="FFFFFF"/>
                <w:lang w:val="en-US"/>
              </w:rPr>
              <w:t xml:space="preserve"> și de </w:t>
            </w:r>
            <w:proofErr w:type="spellStart"/>
            <w:r w:rsidRPr="00D938EB">
              <w:rPr>
                <w:rFonts w:eastAsia="Arial Unicode MS"/>
                <w:color w:val="000000" w:themeColor="text1"/>
                <w:sz w:val="20"/>
                <w:szCs w:val="20"/>
                <w:shd w:val="clear" w:color="auto" w:fill="FFFFFF"/>
                <w:lang w:val="en-US"/>
              </w:rPr>
              <w:t>marfă</w:t>
            </w:r>
            <w:proofErr w:type="spellEnd"/>
            <w:r w:rsidRPr="00D938EB">
              <w:rPr>
                <w:rFonts w:eastAsia="Arial Unicode MS"/>
                <w:color w:val="000000" w:themeColor="text1"/>
                <w:sz w:val="20"/>
                <w:szCs w:val="20"/>
                <w:shd w:val="clear" w:color="auto" w:fill="FFFFFF"/>
                <w:lang w:val="en-US"/>
              </w:rPr>
              <w:t xml:space="preserve"> și de transport cu </w:t>
            </w:r>
            <w:proofErr w:type="spellStart"/>
            <w:r w:rsidRPr="00D938EB">
              <w:rPr>
                <w:rFonts w:eastAsia="Arial Unicode MS"/>
                <w:color w:val="000000" w:themeColor="text1"/>
                <w:sz w:val="20"/>
                <w:szCs w:val="20"/>
                <w:shd w:val="clear" w:color="auto" w:fill="FFFFFF"/>
                <w:lang w:val="en-US"/>
              </w:rPr>
              <w:t>autobuzul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decarbonizare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sectorului</w:t>
            </w:r>
            <w:proofErr w:type="spellEnd"/>
            <w:r w:rsidRPr="00D938EB">
              <w:rPr>
                <w:rFonts w:eastAsia="Arial Unicode MS"/>
                <w:color w:val="000000" w:themeColor="text1"/>
                <w:sz w:val="20"/>
                <w:szCs w:val="20"/>
                <w:shd w:val="clear" w:color="auto" w:fill="FFFFFF"/>
                <w:lang w:val="en-US"/>
              </w:rPr>
              <w:t xml:space="preserve"> maritim,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îmbunătățirea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eficienței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navelor</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porturilor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tehnologii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infrastructuri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inovatoare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combustibili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alternativi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sustenabili</w:t>
            </w:r>
            <w:proofErr w:type="spellEnd"/>
            <w:r w:rsidRPr="00D938EB">
              <w:rPr>
                <w:rFonts w:eastAsia="Arial Unicode MS"/>
                <w:color w:val="000000" w:themeColor="text1"/>
                <w:sz w:val="20"/>
                <w:szCs w:val="20"/>
                <w:shd w:val="clear" w:color="auto" w:fill="FFFFFF"/>
                <w:lang w:val="en-US"/>
              </w:rPr>
              <w:t xml:space="preserve">, cum </w:t>
            </w:r>
            <w:proofErr w:type="spellStart"/>
            <w:r w:rsidRPr="00D938EB">
              <w:rPr>
                <w:rFonts w:eastAsia="Arial Unicode MS"/>
                <w:color w:val="000000" w:themeColor="text1"/>
                <w:sz w:val="20"/>
                <w:szCs w:val="20"/>
                <w:shd w:val="clear" w:color="auto" w:fill="FFFFFF"/>
                <w:lang w:val="en-US"/>
              </w:rPr>
              <w:t>ar</w:t>
            </w:r>
            <w:proofErr w:type="spellEnd"/>
            <w:r w:rsidRPr="00D938EB">
              <w:rPr>
                <w:rFonts w:eastAsia="Arial Unicode MS"/>
                <w:color w:val="000000" w:themeColor="text1"/>
                <w:sz w:val="20"/>
                <w:szCs w:val="20"/>
                <w:shd w:val="clear" w:color="auto" w:fill="FFFFFF"/>
                <w:lang w:val="en-US"/>
              </w:rPr>
              <w:t xml:space="preserve"> fi </w:t>
            </w:r>
            <w:proofErr w:type="spellStart"/>
            <w:r w:rsidRPr="00D938EB">
              <w:rPr>
                <w:rFonts w:eastAsia="Arial Unicode MS"/>
                <w:color w:val="000000" w:themeColor="text1"/>
                <w:sz w:val="20"/>
                <w:szCs w:val="20"/>
                <w:shd w:val="clear" w:color="auto" w:fill="FFFFFF"/>
                <w:lang w:val="en-US"/>
              </w:rPr>
              <w:t>hidrogenul</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amoniacul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produși</w:t>
            </w:r>
            <w:proofErr w:type="spellEnd"/>
            <w:r w:rsidRPr="00D938EB">
              <w:rPr>
                <w:rFonts w:eastAsia="Arial Unicode MS"/>
                <w:color w:val="000000" w:themeColor="text1"/>
                <w:sz w:val="20"/>
                <w:szCs w:val="20"/>
                <w:shd w:val="clear" w:color="auto" w:fill="FFFFFF"/>
                <w:lang w:val="en-US"/>
              </w:rPr>
              <w:t xml:space="preserve"> din surse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precum și </w:t>
            </w:r>
            <w:proofErr w:type="spellStart"/>
            <w:r w:rsidRPr="00D938EB">
              <w:rPr>
                <w:rFonts w:eastAsia="Arial Unicode MS"/>
                <w:color w:val="000000" w:themeColor="text1"/>
                <w:sz w:val="20"/>
                <w:szCs w:val="20"/>
                <w:shd w:val="clear" w:color="auto" w:fill="FFFFFF"/>
                <w:lang w:val="en-US"/>
              </w:rPr>
              <w:t>tehnologii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propulsie</w:t>
            </w:r>
            <w:proofErr w:type="spellEnd"/>
            <w:r w:rsidRPr="00D938EB">
              <w:rPr>
                <w:rFonts w:eastAsia="Arial Unicode MS"/>
                <w:color w:val="000000" w:themeColor="text1"/>
                <w:sz w:val="20"/>
                <w:szCs w:val="20"/>
                <w:shd w:val="clear" w:color="auto" w:fill="FFFFFF"/>
                <w:lang w:val="en-US"/>
              </w:rPr>
              <w:t xml:space="preserve"> cu zero </w:t>
            </w:r>
            <w:proofErr w:type="spellStart"/>
            <w:r w:rsidRPr="00D938EB">
              <w:rPr>
                <w:rFonts w:eastAsia="Arial Unicode MS"/>
                <w:color w:val="000000" w:themeColor="text1"/>
                <w:sz w:val="20"/>
                <w:szCs w:val="20"/>
                <w:shd w:val="clear" w:color="auto" w:fill="FFFFFF"/>
                <w:lang w:val="en-US"/>
              </w:rPr>
              <w:t>emisii</w:t>
            </w:r>
            <w:proofErr w:type="spellEnd"/>
            <w:r w:rsidRPr="00D938EB">
              <w:rPr>
                <w:rFonts w:eastAsia="Arial Unicode MS"/>
                <w:color w:val="000000" w:themeColor="text1"/>
                <w:sz w:val="20"/>
                <w:szCs w:val="20"/>
                <w:shd w:val="clear" w:color="auto" w:fill="FFFFFF"/>
                <w:lang w:val="en-US"/>
              </w:rPr>
              <w:t xml:space="preserve">, precum și </w:t>
            </w:r>
            <w:proofErr w:type="spellStart"/>
            <w:r w:rsidRPr="00D938EB">
              <w:rPr>
                <w:rFonts w:eastAsia="Arial Unicode MS"/>
                <w:color w:val="000000" w:themeColor="text1"/>
                <w:sz w:val="20"/>
                <w:szCs w:val="20"/>
                <w:shd w:val="clear" w:color="auto" w:fill="FFFFFF"/>
                <w:lang w:val="en-US"/>
              </w:rPr>
              <w:t>finanțarea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sprijinire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decarbonizării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aeroporturilor</w:t>
            </w:r>
            <w:proofErr w:type="spellEnd"/>
            <w:r w:rsidRPr="00D938EB">
              <w:rPr>
                <w:rFonts w:eastAsia="Arial Unicode MS"/>
                <w:color w:val="000000" w:themeColor="text1"/>
                <w:sz w:val="20"/>
                <w:szCs w:val="20"/>
                <w:shd w:val="clear" w:color="auto" w:fill="FFFFFF"/>
                <w:lang w:val="en-US"/>
              </w:rPr>
              <w:t xml:space="preserve"> în conformitate cu un </w:t>
            </w:r>
            <w:proofErr w:type="spellStart"/>
            <w:r w:rsidRPr="00D938EB">
              <w:rPr>
                <w:rFonts w:eastAsia="Arial Unicode MS"/>
                <w:color w:val="000000" w:themeColor="text1"/>
                <w:sz w:val="20"/>
                <w:szCs w:val="20"/>
                <w:shd w:val="clear" w:color="auto" w:fill="FFFFFF"/>
                <w:lang w:val="en-US"/>
              </w:rPr>
              <w:t>regulament</w:t>
            </w:r>
            <w:proofErr w:type="spellEnd"/>
            <w:r w:rsidRPr="00D938EB">
              <w:rPr>
                <w:rFonts w:eastAsia="Arial Unicode MS"/>
                <w:color w:val="000000" w:themeColor="text1"/>
                <w:sz w:val="20"/>
                <w:szCs w:val="20"/>
                <w:shd w:val="clear" w:color="auto" w:fill="FFFFFF"/>
                <w:lang w:val="en-US"/>
              </w:rPr>
              <w:t xml:space="preserve"> al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al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instalarea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infrastructurii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combustibili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alternativi</w:t>
            </w:r>
            <w:proofErr w:type="spellEnd"/>
            <w:r w:rsidRPr="00D938EB">
              <w:rPr>
                <w:rFonts w:eastAsia="Arial Unicode MS"/>
                <w:color w:val="000000" w:themeColor="text1"/>
                <w:sz w:val="20"/>
                <w:szCs w:val="20"/>
                <w:shd w:val="clear" w:color="auto" w:fill="FFFFFF"/>
                <w:lang w:val="en-US"/>
              </w:rPr>
              <w:t xml:space="preserve"> și de </w:t>
            </w:r>
            <w:proofErr w:type="spellStart"/>
            <w:r w:rsidRPr="00D938EB">
              <w:rPr>
                <w:rFonts w:eastAsia="Arial Unicode MS"/>
                <w:color w:val="000000" w:themeColor="text1"/>
                <w:sz w:val="20"/>
                <w:szCs w:val="20"/>
                <w:shd w:val="clear" w:color="auto" w:fill="FFFFFF"/>
                <w:lang w:val="en-US"/>
              </w:rPr>
              <w:t>abrogare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Directivei</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2014/94/UE a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 xml:space="preserve"> și cu un </w:t>
            </w:r>
            <w:proofErr w:type="spellStart"/>
            <w:r w:rsidRPr="00D938EB">
              <w:rPr>
                <w:rFonts w:eastAsia="Arial Unicode MS"/>
                <w:color w:val="000000" w:themeColor="text1"/>
                <w:sz w:val="20"/>
                <w:szCs w:val="20"/>
                <w:shd w:val="clear" w:color="auto" w:fill="FFFFFF"/>
                <w:lang w:val="en-US"/>
              </w:rPr>
              <w:t>regulament</w:t>
            </w:r>
            <w:proofErr w:type="spellEnd"/>
            <w:r w:rsidRPr="00D938EB">
              <w:rPr>
                <w:rFonts w:eastAsia="Arial Unicode MS"/>
                <w:color w:val="000000" w:themeColor="text1"/>
                <w:sz w:val="20"/>
                <w:szCs w:val="20"/>
                <w:shd w:val="clear" w:color="auto" w:fill="FFFFFF"/>
                <w:lang w:val="en-US"/>
              </w:rPr>
              <w:t xml:space="preserve"> al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al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asigurarea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condiții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concurență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echitabile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un transport </w:t>
            </w:r>
            <w:proofErr w:type="spellStart"/>
            <w:r w:rsidRPr="00D938EB">
              <w:rPr>
                <w:rFonts w:eastAsia="Arial Unicode MS"/>
                <w:color w:val="000000" w:themeColor="text1"/>
                <w:sz w:val="20"/>
                <w:szCs w:val="20"/>
                <w:shd w:val="clear" w:color="auto" w:fill="FFFFFF"/>
                <w:lang w:val="en-US"/>
              </w:rPr>
              <w:t>aerian</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durabil</w:t>
            </w:r>
            <w:proofErr w:type="spellEnd"/>
            <w:r w:rsidRPr="00D938EB">
              <w:rPr>
                <w:rFonts w:eastAsia="Arial Unicode MS"/>
                <w:color w:val="000000" w:themeColor="text1"/>
                <w:sz w:val="20"/>
                <w:szCs w:val="20"/>
                <w:shd w:val="clear" w:color="auto" w:fill="FFFFFF"/>
                <w:lang w:val="en-US"/>
              </w:rPr>
              <w:t>;</w:t>
            </w:r>
          </w:p>
          <w:p w14:paraId="7266345B" w14:textId="77777777" w:rsidR="00124364" w:rsidRDefault="00000000">
            <w:pPr>
              <w:pStyle w:val="ti-art"/>
              <w:shd w:val="clear" w:color="auto" w:fill="FFFFFF"/>
              <w:spacing w:before="0" w:beforeAutospacing="0" w:after="0" w:afterAutospacing="0"/>
              <w:ind w:left="1080"/>
              <w:rPr>
                <w:rFonts w:eastAsia="Arial Unicode MS"/>
                <w:color w:val="4472C4" w:themeColor="accent1"/>
                <w:sz w:val="20"/>
                <w:szCs w:val="20"/>
                <w:shd w:val="clear" w:color="auto" w:fill="FFFFFF"/>
                <w:lang w:val="en-US"/>
              </w:rPr>
            </w:pPr>
            <w:hyperlink r:id="rId102" w:tooltip="32009L0029: REPLACED" w:history="1">
              <w:r>
                <w:rPr>
                  <w:rStyle w:val="af3"/>
                  <w:rFonts w:eastAsia="Arial Unicode MS"/>
                  <w:b/>
                  <w:bCs/>
                  <w:color w:val="4472C4" w:themeColor="accent1"/>
                  <w:sz w:val="20"/>
                  <w:szCs w:val="20"/>
                </w:rPr>
                <w:t>▼M4</w:t>
              </w:r>
            </w:hyperlink>
          </w:p>
          <w:p w14:paraId="55F383D0" w14:textId="77777777"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finanțarea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cercetării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dezvoltării</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domeniul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eficienței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și al </w:t>
            </w:r>
            <w:proofErr w:type="spellStart"/>
            <w:r w:rsidRPr="00D938EB">
              <w:rPr>
                <w:rFonts w:eastAsia="Arial Unicode MS"/>
                <w:color w:val="000000" w:themeColor="text1"/>
                <w:sz w:val="20"/>
                <w:szCs w:val="20"/>
                <w:shd w:val="clear" w:color="auto" w:fill="FFFFFF"/>
                <w:lang w:val="en-US"/>
              </w:rPr>
              <w:t>tehnologiilor</w:t>
            </w:r>
            <w:proofErr w:type="spellEnd"/>
            <w:r w:rsidRPr="00D938EB">
              <w:rPr>
                <w:rFonts w:eastAsia="Arial Unicode MS"/>
                <w:color w:val="000000" w:themeColor="text1"/>
                <w:sz w:val="20"/>
                <w:szCs w:val="20"/>
                <w:shd w:val="clear" w:color="auto" w:fill="FFFFFF"/>
                <w:lang w:val="en-US"/>
              </w:rPr>
              <w:t xml:space="preserve"> curate în </w:t>
            </w:r>
            <w:proofErr w:type="spellStart"/>
            <w:r w:rsidRPr="00D938EB">
              <w:rPr>
                <w:rFonts w:eastAsia="Arial Unicode MS"/>
                <w:color w:val="000000" w:themeColor="text1"/>
                <w:sz w:val="20"/>
                <w:szCs w:val="20"/>
                <w:shd w:val="clear" w:color="auto" w:fill="FFFFFF"/>
                <w:lang w:val="en-US"/>
              </w:rPr>
              <w:t>sectoarele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aflate</w:t>
            </w:r>
            <w:proofErr w:type="spellEnd"/>
            <w:r w:rsidRPr="00D938EB">
              <w:rPr>
                <w:rFonts w:eastAsia="Arial Unicode MS"/>
                <w:color w:val="000000" w:themeColor="text1"/>
                <w:sz w:val="20"/>
                <w:szCs w:val="20"/>
                <w:shd w:val="clear" w:color="auto" w:fill="FFFFFF"/>
                <w:lang w:val="en-US"/>
              </w:rPr>
              <w:t xml:space="preserve"> sub </w:t>
            </w:r>
            <w:proofErr w:type="spellStart"/>
            <w:r w:rsidRPr="00D938EB">
              <w:rPr>
                <w:rFonts w:eastAsia="Arial Unicode MS"/>
                <w:color w:val="000000" w:themeColor="text1"/>
                <w:sz w:val="20"/>
                <w:szCs w:val="20"/>
                <w:shd w:val="clear" w:color="auto" w:fill="FFFFFF"/>
                <w:lang w:val="en-US"/>
              </w:rPr>
              <w:t>incidența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prezentei</w:t>
            </w:r>
            <w:proofErr w:type="spellEnd"/>
            <w:r w:rsidRPr="00D938EB">
              <w:rPr>
                <w:rFonts w:eastAsia="Arial Unicode MS"/>
                <w:color w:val="000000" w:themeColor="text1"/>
                <w:sz w:val="20"/>
                <w:szCs w:val="20"/>
                <w:shd w:val="clear" w:color="auto" w:fill="FFFFFF"/>
                <w:lang w:val="en-US"/>
              </w:rPr>
              <w:t xml:space="preserve"> directive;</w:t>
            </w:r>
          </w:p>
          <w:p w14:paraId="7A14AD08" w14:textId="77777777" w:rsidR="00124364" w:rsidRDefault="00000000">
            <w:pPr>
              <w:pStyle w:val="ti-art"/>
              <w:shd w:val="clear" w:color="auto" w:fill="FFFFFF"/>
              <w:spacing w:before="0" w:beforeAutospacing="0" w:after="0" w:afterAutospacing="0"/>
              <w:ind w:left="1080"/>
              <w:rPr>
                <w:rFonts w:eastAsia="Arial Unicode MS"/>
                <w:color w:val="4472C4" w:themeColor="accent1"/>
                <w:sz w:val="20"/>
                <w:szCs w:val="20"/>
                <w:shd w:val="clear" w:color="auto" w:fill="FFFFFF"/>
                <w:lang w:val="en-US"/>
              </w:rPr>
            </w:pPr>
            <w:hyperlink r:id="rId103" w:tooltip="32023L0959: REPLACED" w:history="1">
              <w:r>
                <w:rPr>
                  <w:rStyle w:val="af3"/>
                  <w:rFonts w:eastAsia="Arial Unicode MS"/>
                  <w:b/>
                  <w:bCs/>
                  <w:color w:val="4472C4" w:themeColor="accent1"/>
                  <w:sz w:val="20"/>
                  <w:szCs w:val="20"/>
                </w:rPr>
                <w:t>▼M15</w:t>
              </w:r>
            </w:hyperlink>
          </w:p>
          <w:p w14:paraId="063F1062" w14:textId="349DF645" w:rsidR="00124364" w:rsidRPr="00D938EB" w:rsidRDefault="00000000" w:rsidP="00D938EB">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lastRenderedPageBreak/>
              <w:t>măsuri</w:t>
            </w:r>
            <w:proofErr w:type="spellEnd"/>
            <w:r w:rsidRPr="00D938EB">
              <w:rPr>
                <w:rFonts w:eastAsia="Arial Unicode MS"/>
                <w:color w:val="000000" w:themeColor="text1"/>
                <w:sz w:val="20"/>
                <w:szCs w:val="20"/>
                <w:shd w:val="clear" w:color="auto" w:fill="FFFFFF"/>
                <w:lang w:val="en-US"/>
              </w:rPr>
              <w:t xml:space="preserve"> destinate </w:t>
            </w:r>
            <w:proofErr w:type="spellStart"/>
            <w:r w:rsidRPr="00D938EB">
              <w:rPr>
                <w:rFonts w:eastAsia="Arial Unicode MS"/>
                <w:color w:val="000000" w:themeColor="text1"/>
                <w:sz w:val="20"/>
                <w:szCs w:val="20"/>
                <w:shd w:val="clear" w:color="auto" w:fill="FFFFFF"/>
                <w:lang w:val="en-US"/>
              </w:rPr>
              <w:t>îmbunătățirii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eficienței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sistemelor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centralizate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termoficare</w:t>
            </w:r>
            <w:proofErr w:type="spellEnd"/>
            <w:r w:rsidRPr="00D938EB">
              <w:rPr>
                <w:rFonts w:eastAsia="Arial Unicode MS"/>
                <w:color w:val="000000" w:themeColor="text1"/>
                <w:sz w:val="20"/>
                <w:szCs w:val="20"/>
                <w:shd w:val="clear" w:color="auto" w:fill="FFFFFF"/>
                <w:lang w:val="en-US"/>
              </w:rPr>
              <w:t xml:space="preserve"> și a </w:t>
            </w:r>
            <w:proofErr w:type="spellStart"/>
            <w:r w:rsidRPr="00D938EB">
              <w:rPr>
                <w:rFonts w:eastAsia="Arial Unicode MS"/>
                <w:color w:val="000000" w:themeColor="text1"/>
                <w:sz w:val="20"/>
                <w:szCs w:val="20"/>
                <w:shd w:val="clear" w:color="auto" w:fill="FFFFFF"/>
                <w:lang w:val="en-US"/>
              </w:rPr>
              <w:t>izolării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termice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sprijinul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sistemelor</w:t>
            </w:r>
            <w:proofErr w:type="spellEnd"/>
            <w:r w:rsidRPr="00D938EB">
              <w:rPr>
                <w:rFonts w:eastAsia="Arial Unicode MS"/>
                <w:color w:val="000000" w:themeColor="text1"/>
                <w:sz w:val="20"/>
                <w:szCs w:val="20"/>
                <w:shd w:val="clear" w:color="auto" w:fill="FFFFFF"/>
                <w:lang w:val="en-US"/>
              </w:rPr>
              <w:t xml:space="preserve"> eficiente și din surse </w:t>
            </w:r>
            <w:proofErr w:type="spellStart"/>
            <w:r w:rsidRPr="00D938EB">
              <w:rPr>
                <w:rFonts w:eastAsia="Arial Unicode MS"/>
                <w:color w:val="000000" w:themeColor="text1"/>
                <w:sz w:val="20"/>
                <w:szCs w:val="20"/>
                <w:shd w:val="clear" w:color="auto" w:fill="FFFFFF"/>
                <w:lang w:val="en-US"/>
              </w:rPr>
              <w:t>regenerabile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încălzire</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răcire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măsuri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sprijin</w:t>
            </w:r>
            <w:proofErr w:type="spellEnd"/>
            <w:r w:rsidRPr="00D938EB">
              <w:rPr>
                <w:rFonts w:eastAsia="Arial Unicode MS"/>
                <w:color w:val="000000" w:themeColor="text1"/>
                <w:sz w:val="20"/>
                <w:szCs w:val="20"/>
                <w:shd w:val="clear" w:color="auto" w:fill="FFFFFF"/>
                <w:lang w:val="en-US"/>
              </w:rPr>
              <w:t xml:space="preserve"> destinate </w:t>
            </w:r>
            <w:proofErr w:type="spellStart"/>
            <w:r w:rsidRPr="00D938EB">
              <w:rPr>
                <w:rFonts w:eastAsia="Arial Unicode MS"/>
                <w:color w:val="000000" w:themeColor="text1"/>
                <w:sz w:val="20"/>
                <w:szCs w:val="20"/>
                <w:shd w:val="clear" w:color="auto" w:fill="FFFFFF"/>
                <w:lang w:val="en-US"/>
              </w:rPr>
              <w:t>renovării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aprofundate</w:t>
            </w:r>
            <w:proofErr w:type="spellEnd"/>
            <w:r w:rsidRPr="00D938EB">
              <w:rPr>
                <w:rFonts w:eastAsia="Arial Unicode MS"/>
                <w:color w:val="000000" w:themeColor="text1"/>
                <w:sz w:val="20"/>
                <w:szCs w:val="20"/>
                <w:shd w:val="clear" w:color="auto" w:fill="FFFFFF"/>
                <w:lang w:val="en-US"/>
              </w:rPr>
              <w:t xml:space="preserve"> și în </w:t>
            </w:r>
            <w:proofErr w:type="spellStart"/>
            <w:r w:rsidRPr="00D938EB">
              <w:rPr>
                <w:rFonts w:eastAsia="Arial Unicode MS"/>
                <w:color w:val="000000" w:themeColor="text1"/>
                <w:sz w:val="20"/>
                <w:szCs w:val="20"/>
                <w:shd w:val="clear" w:color="auto" w:fill="FFFFFF"/>
                <w:lang w:val="en-US"/>
              </w:rPr>
              <w:t>etape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clădirilor</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Directiva</w:t>
            </w:r>
            <w:proofErr w:type="spellEnd"/>
            <w:r w:rsid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2010/31/UE a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w:t>
            </w:r>
            <w:hyperlink r:id="rId104" w:anchor="E0011" w:history="1">
              <w:r w:rsidRPr="00D938EB">
                <w:rPr>
                  <w:rStyle w:val="superscript"/>
                  <w:rFonts w:eastAsia="Arial Unicode MS"/>
                  <w:color w:val="000000" w:themeColor="text1"/>
                  <w:sz w:val="20"/>
                  <w:szCs w:val="20"/>
                  <w:vertAlign w:val="superscript"/>
                  <w:lang w:val="en-US"/>
                </w:rPr>
                <w:t>11</w:t>
              </w:r>
            </w:hyperlink>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începând</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renovarea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clădirilor</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cele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slabe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performanțe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energetice</w:t>
            </w:r>
            <w:proofErr w:type="spellEnd"/>
            <w:r w:rsidRPr="00D938EB">
              <w:rPr>
                <w:rFonts w:eastAsia="Arial Unicode MS"/>
                <w:color w:val="000000" w:themeColor="text1"/>
                <w:sz w:val="20"/>
                <w:szCs w:val="20"/>
                <w:shd w:val="clear" w:color="auto" w:fill="FFFFFF"/>
                <w:lang w:val="en-US"/>
              </w:rPr>
              <w:t>;</w:t>
            </w:r>
          </w:p>
          <w:p w14:paraId="3C643879" w14:textId="77777777" w:rsidR="00124364" w:rsidRDefault="00000000">
            <w:pPr>
              <w:pStyle w:val="ti-art"/>
              <w:shd w:val="clear" w:color="auto" w:fill="FFFFFF"/>
              <w:spacing w:before="0" w:beforeAutospacing="0" w:after="0" w:afterAutospacing="0"/>
              <w:ind w:left="1080"/>
              <w:rPr>
                <w:color w:val="4472C4" w:themeColor="accent1"/>
                <w:sz w:val="20"/>
                <w:szCs w:val="20"/>
                <w:lang w:val="en-US"/>
              </w:rPr>
            </w:pPr>
            <w:hyperlink r:id="rId105" w:tooltip="32023L0959: INSERTED" w:history="1">
              <w:r>
                <w:rPr>
                  <w:rStyle w:val="af3"/>
                  <w:rFonts w:eastAsia="Arial Unicode MS"/>
                  <w:b/>
                  <w:bCs/>
                  <w:color w:val="4472C4" w:themeColor="accent1"/>
                  <w:sz w:val="20"/>
                  <w:szCs w:val="20"/>
                  <w:lang w:val="en-US"/>
                </w:rPr>
                <w:t>▼M15</w:t>
              </w:r>
            </w:hyperlink>
          </w:p>
          <w:p w14:paraId="6BD74EA0" w14:textId="77777777" w:rsidR="00124364" w:rsidRDefault="00000000" w:rsidP="00D938EB">
            <w:pPr>
              <w:pStyle w:val="ti-art"/>
              <w:numPr>
                <w:ilvl w:val="0"/>
                <w:numId w:val="41"/>
              </w:numPr>
              <w:shd w:val="clear" w:color="auto" w:fill="FFFFFF"/>
              <w:spacing w:before="0" w:beforeAutospacing="0" w:after="0" w:afterAutospacing="0"/>
              <w:jc w:val="both"/>
              <w:rPr>
                <w:color w:val="4472C4" w:themeColor="accent1"/>
                <w:sz w:val="20"/>
                <w:szCs w:val="20"/>
                <w:lang w:val="en-US"/>
              </w:rPr>
            </w:pPr>
            <w:proofErr w:type="spellStart"/>
            <w:r>
              <w:rPr>
                <w:rFonts w:eastAsia="Arial Unicode MS"/>
                <w:color w:val="333333"/>
                <w:sz w:val="20"/>
                <w:szCs w:val="20"/>
                <w:shd w:val="clear" w:color="auto" w:fill="FFFFFF"/>
                <w:lang w:val="en-US"/>
              </w:rPr>
              <w:t>asigurarea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abordarea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aspectelor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ordin</w:t>
            </w:r>
            <w:proofErr w:type="spellEnd"/>
            <w:r>
              <w:rPr>
                <w:rFonts w:eastAsia="Arial Unicode MS"/>
                <w:color w:val="333333"/>
                <w:sz w:val="20"/>
                <w:szCs w:val="20"/>
                <w:shd w:val="clear" w:color="auto" w:fill="FFFFFF"/>
                <w:lang w:val="en-US"/>
              </w:rPr>
              <w:t xml:space="preserve"> social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gospodăriilor</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mijlocii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impozitării</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distorsionare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specifică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impozitelor</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taxelor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energia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electrică</w:t>
            </w:r>
            <w:proofErr w:type="spellEnd"/>
            <w:r>
              <w:rPr>
                <w:rFonts w:eastAsia="Arial Unicode MS"/>
                <w:color w:val="333333"/>
                <w:sz w:val="20"/>
                <w:szCs w:val="20"/>
                <w:shd w:val="clear" w:color="auto" w:fill="FFFFFF"/>
                <w:lang w:val="en-US"/>
              </w:rPr>
              <w:t xml:space="preserve"> din surse </w:t>
            </w:r>
            <w:proofErr w:type="spellStart"/>
            <w:r>
              <w:rPr>
                <w:rFonts w:eastAsia="Arial Unicode MS"/>
                <w:color w:val="333333"/>
                <w:sz w:val="20"/>
                <w:szCs w:val="20"/>
                <w:shd w:val="clear" w:color="auto" w:fill="FFFFFF"/>
                <w:lang w:val="en-US"/>
              </w:rPr>
              <w:t>regenerabile</w:t>
            </w:r>
            <w:proofErr w:type="spellEnd"/>
            <w:r>
              <w:rPr>
                <w:rFonts w:eastAsia="Arial Unicode MS"/>
                <w:color w:val="333333"/>
                <w:sz w:val="20"/>
                <w:szCs w:val="20"/>
                <w:shd w:val="clear" w:color="auto" w:fill="FFFFFF"/>
                <w:lang w:val="en-US"/>
              </w:rPr>
              <w:t>;</w:t>
            </w:r>
          </w:p>
          <w:p w14:paraId="3DF033B5" w14:textId="1D058535" w:rsidR="00124364" w:rsidRDefault="00000000" w:rsidP="00D938EB">
            <w:pPr>
              <w:pStyle w:val="ti-art"/>
              <w:numPr>
                <w:ilvl w:val="0"/>
                <w:numId w:val="42"/>
              </w:numPr>
              <w:shd w:val="clear" w:color="auto" w:fill="FFFFFF"/>
              <w:spacing w:before="0" w:beforeAutospacing="0" w:after="0" w:afterAutospacing="0"/>
              <w:jc w:val="both"/>
              <w:rPr>
                <w:color w:val="4472C4" w:themeColor="accent1"/>
                <w:sz w:val="20"/>
                <w:szCs w:val="20"/>
                <w:lang w:val="en-US"/>
              </w:rPr>
            </w:pPr>
            <w:proofErr w:type="spellStart"/>
            <w:r>
              <w:rPr>
                <w:rFonts w:eastAsia="Arial Unicode MS"/>
                <w:color w:val="333333"/>
                <w:sz w:val="20"/>
                <w:szCs w:val="20"/>
                <w:shd w:val="clear" w:color="auto" w:fill="FFFFFF"/>
                <w:lang w:val="en-US"/>
              </w:rPr>
              <w:t>finanțarea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schemelor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naționale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dividende</w:t>
            </w:r>
            <w:proofErr w:type="spellEnd"/>
            <w:r>
              <w:rPr>
                <w:rFonts w:eastAsia="Arial Unicode MS"/>
                <w:color w:val="333333"/>
                <w:sz w:val="20"/>
                <w:szCs w:val="20"/>
                <w:shd w:val="clear" w:color="auto" w:fill="FFFFFF"/>
                <w:lang w:val="en-US"/>
              </w:rPr>
              <w:t xml:space="preserve"> climatice cu un impact </w:t>
            </w:r>
            <w:proofErr w:type="spellStart"/>
            <w:r>
              <w:rPr>
                <w:rFonts w:eastAsia="Arial Unicode MS"/>
                <w:color w:val="333333"/>
                <w:sz w:val="20"/>
                <w:szCs w:val="20"/>
                <w:shd w:val="clear" w:color="auto" w:fill="FFFFFF"/>
                <w:lang w:val="en-US"/>
              </w:rPr>
              <w:t>pozitiv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dovedit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asupra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documentat</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raportul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D938E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19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(2)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(UE)2018/1999 al </w:t>
            </w:r>
            <w:proofErr w:type="spellStart"/>
            <w:r>
              <w:rPr>
                <w:rFonts w:eastAsia="Arial Unicode MS"/>
                <w:color w:val="333333"/>
                <w:sz w:val="20"/>
                <w:szCs w:val="20"/>
                <w:shd w:val="clear" w:color="auto" w:fill="FFFFFF"/>
                <w:lang w:val="en-US"/>
              </w:rPr>
              <w:t>Parlamentului</w:t>
            </w:r>
            <w:proofErr w:type="spellEnd"/>
            <w:r>
              <w:rPr>
                <w:rFonts w:eastAsia="Arial Unicode MS"/>
                <w:color w:val="333333"/>
                <w:sz w:val="20"/>
                <w:szCs w:val="20"/>
                <w:shd w:val="clear" w:color="auto" w:fill="FFFFFF"/>
                <w:lang w:val="en-US"/>
              </w:rPr>
              <w:t xml:space="preserve"> European și al </w:t>
            </w:r>
            <w:proofErr w:type="spellStart"/>
            <w:r>
              <w:rPr>
                <w:rFonts w:eastAsia="Arial Unicode MS"/>
                <w:color w:val="333333"/>
                <w:sz w:val="20"/>
                <w:szCs w:val="20"/>
                <w:shd w:val="clear" w:color="auto" w:fill="FFFFFF"/>
                <w:lang w:val="en-US"/>
              </w:rPr>
              <w:t>Consiliului</w:t>
            </w:r>
            <w:proofErr w:type="spellEnd"/>
            <w:r w:rsidR="00D938E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w:t>
            </w:r>
            <w:hyperlink r:id="rId106" w:anchor="E0012" w:history="1">
              <w:r>
                <w:rPr>
                  <w:rStyle w:val="superscript"/>
                  <w:rFonts w:eastAsia="Arial Unicode MS"/>
                  <w:color w:val="4472C4" w:themeColor="accent1"/>
                  <w:sz w:val="20"/>
                  <w:szCs w:val="20"/>
                  <w:vertAlign w:val="superscript"/>
                  <w:lang w:val="en-US"/>
                </w:rPr>
                <w:t>12</w:t>
              </w:r>
            </w:hyperlink>
            <w:r>
              <w:rPr>
                <w:rFonts w:eastAsia="Arial Unicode MS"/>
                <w:color w:val="333333"/>
                <w:sz w:val="20"/>
                <w:szCs w:val="20"/>
                <w:shd w:val="clear" w:color="auto" w:fill="FFFFFF"/>
                <w:lang w:val="en-US"/>
              </w:rPr>
              <w:t>).</w:t>
            </w:r>
          </w:p>
          <w:p w14:paraId="42FC69AA" w14:textId="77777777" w:rsidR="00124364" w:rsidRDefault="00000000">
            <w:pPr>
              <w:pStyle w:val="ti-art"/>
              <w:shd w:val="clear" w:color="auto" w:fill="FFFFFF"/>
              <w:spacing w:before="0" w:beforeAutospacing="0" w:after="0" w:afterAutospacing="0"/>
              <w:ind w:left="360"/>
              <w:rPr>
                <w:color w:val="4472C4" w:themeColor="accent1"/>
                <w:sz w:val="20"/>
                <w:szCs w:val="20"/>
                <w:lang w:val="en-US"/>
              </w:rPr>
            </w:pPr>
            <w:hyperlink r:id="rId107" w:tooltip="32009L0029: REPLACED" w:history="1">
              <w:r>
                <w:rPr>
                  <w:rStyle w:val="af3"/>
                  <w:rFonts w:eastAsia="Arial Unicode MS"/>
                  <w:b/>
                  <w:bCs/>
                  <w:color w:val="4472C4" w:themeColor="accent1"/>
                  <w:sz w:val="20"/>
                  <w:szCs w:val="20"/>
                  <w:lang w:val="en-US"/>
                </w:rPr>
                <w:t>▼M4</w:t>
              </w:r>
            </w:hyperlink>
          </w:p>
          <w:p w14:paraId="686E8076" w14:textId="7C7F1EA9" w:rsidR="00124364" w:rsidRDefault="00000000">
            <w:pPr>
              <w:pStyle w:val="ti-art"/>
              <w:numPr>
                <w:ilvl w:val="0"/>
                <w:numId w:val="43"/>
              </w:numPr>
              <w:shd w:val="clear" w:color="auto" w:fill="FFFFFF"/>
              <w:spacing w:before="0" w:beforeAutospacing="0" w:after="0" w:afterAutospacing="0"/>
              <w:rPr>
                <w:color w:val="4472C4" w:themeColor="accent1"/>
                <w:sz w:val="20"/>
                <w:szCs w:val="20"/>
                <w:lang w:val="en-US"/>
              </w:rPr>
            </w:pPr>
            <w:proofErr w:type="spellStart"/>
            <w:r>
              <w:rPr>
                <w:rFonts w:eastAsia="Arial Unicode MS"/>
                <w:color w:val="333333"/>
                <w:sz w:val="20"/>
                <w:szCs w:val="20"/>
                <w:shd w:val="clear" w:color="auto" w:fill="FFFFFF"/>
                <w:lang w:val="en-US"/>
              </w:rPr>
              <w:t>acoperirea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cheltuielilor</w:t>
            </w:r>
            <w:proofErr w:type="spellEnd"/>
            <w:r>
              <w:rPr>
                <w:rFonts w:eastAsia="Arial Unicode MS"/>
                <w:color w:val="333333"/>
                <w:sz w:val="20"/>
                <w:szCs w:val="20"/>
                <w:shd w:val="clear" w:color="auto" w:fill="FFFFFF"/>
                <w:lang w:val="en-US"/>
              </w:rPr>
              <w:t xml:space="preserve"> administrative legate de </w:t>
            </w:r>
            <w:proofErr w:type="spellStart"/>
            <w:r>
              <w:rPr>
                <w:rFonts w:eastAsia="Arial Unicode MS"/>
                <w:color w:val="333333"/>
                <w:sz w:val="20"/>
                <w:szCs w:val="20"/>
                <w:shd w:val="clear" w:color="auto" w:fill="FFFFFF"/>
                <w:lang w:val="en-US"/>
              </w:rPr>
              <w:t>gestionarea</w:t>
            </w:r>
            <w:proofErr w:type="spellEnd"/>
            <w:r w:rsidR="00D938EB" w:rsidRPr="00D938EB">
              <w:rPr>
                <w:rStyle w:val="apple-converted-space"/>
                <w:rFonts w:eastAsia="Arial Unicode MS"/>
                <w:lang w:val="en-US"/>
              </w:rPr>
              <w:t xml:space="preserve"> </w:t>
            </w:r>
            <w:hyperlink r:id="rId108" w:tooltip="32018L0410: REPLACED" w:history="1">
              <w:r>
                <w:rPr>
                  <w:rStyle w:val="boldface"/>
                  <w:rFonts w:eastAsia="Arial Unicode MS"/>
                  <w:b/>
                  <w:bCs/>
                  <w:color w:val="4472C4" w:themeColor="accent1"/>
                  <w:sz w:val="20"/>
                  <w:szCs w:val="20"/>
                  <w:lang w:val="en-US"/>
                </w:rPr>
                <w:t>►M9</w:t>
              </w:r>
            </w:hyperlink>
            <w:r w:rsidR="00D938EB">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EU ETS</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w:t>
            </w:r>
          </w:p>
          <w:p w14:paraId="724329AC" w14:textId="77777777" w:rsidR="00124364" w:rsidRDefault="00000000">
            <w:pPr>
              <w:pStyle w:val="ti-art"/>
              <w:shd w:val="clear" w:color="auto" w:fill="FFFFFF"/>
              <w:spacing w:before="0" w:beforeAutospacing="0" w:after="0" w:afterAutospacing="0"/>
              <w:ind w:left="720"/>
              <w:rPr>
                <w:color w:val="4472C4" w:themeColor="accent1"/>
                <w:sz w:val="20"/>
                <w:szCs w:val="20"/>
                <w:lang w:val="en-US"/>
              </w:rPr>
            </w:pPr>
            <w:hyperlink r:id="rId109" w:tooltip="32018L0410: INSERTED" w:history="1">
              <w:r>
                <w:rPr>
                  <w:rStyle w:val="af3"/>
                  <w:rFonts w:eastAsia="Arial Unicode MS"/>
                  <w:b/>
                  <w:bCs/>
                  <w:color w:val="4472C4" w:themeColor="accent1"/>
                  <w:sz w:val="20"/>
                  <w:szCs w:val="20"/>
                </w:rPr>
                <w:t>▼M9</w:t>
              </w:r>
            </w:hyperlink>
          </w:p>
          <w:p w14:paraId="15A2A086" w14:textId="77777777" w:rsidR="00124364" w:rsidRPr="00D938EB" w:rsidRDefault="00000000" w:rsidP="00D938EB">
            <w:pPr>
              <w:pStyle w:val="ti-art"/>
              <w:numPr>
                <w:ilvl w:val="0"/>
                <w:numId w:val="43"/>
              </w:numPr>
              <w:shd w:val="clear" w:color="auto" w:fill="FFFFFF"/>
              <w:spacing w:before="0" w:beforeAutospacing="0" w:after="0" w:afterAutospacing="0"/>
              <w:jc w:val="both"/>
              <w:rPr>
                <w:color w:val="000000" w:themeColor="text1"/>
                <w:sz w:val="20"/>
                <w:szCs w:val="20"/>
                <w:lang w:val="en-US"/>
              </w:rPr>
            </w:pPr>
            <w:proofErr w:type="spellStart"/>
            <w:r w:rsidRPr="00D938EB">
              <w:rPr>
                <w:rFonts w:eastAsia="Arial Unicode MS"/>
                <w:color w:val="000000" w:themeColor="text1"/>
                <w:sz w:val="20"/>
                <w:szCs w:val="20"/>
                <w:shd w:val="clear" w:color="auto" w:fill="FFFFFF"/>
                <w:lang w:val="en-US"/>
              </w:rPr>
              <w:t>finanțarea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măsurilor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combatere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schimbărilor</w:t>
            </w:r>
            <w:proofErr w:type="spellEnd"/>
            <w:r w:rsidRPr="00D938EB">
              <w:rPr>
                <w:rFonts w:eastAsia="Arial Unicode MS"/>
                <w:color w:val="000000" w:themeColor="text1"/>
                <w:sz w:val="20"/>
                <w:szCs w:val="20"/>
                <w:shd w:val="clear" w:color="auto" w:fill="FFFFFF"/>
                <w:lang w:val="en-US"/>
              </w:rPr>
              <w:t xml:space="preserve"> climatice în </w:t>
            </w:r>
            <w:proofErr w:type="spellStart"/>
            <w:r w:rsidRPr="00D938EB">
              <w:rPr>
                <w:rFonts w:eastAsia="Arial Unicode MS"/>
                <w:color w:val="000000" w:themeColor="text1"/>
                <w:sz w:val="20"/>
                <w:szCs w:val="20"/>
                <w:shd w:val="clear" w:color="auto" w:fill="FFFFFF"/>
                <w:lang w:val="en-US"/>
              </w:rPr>
              <w:t>țările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terțe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vulnerabile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măsurilor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adaptare</w:t>
            </w:r>
            <w:proofErr w:type="spellEnd"/>
            <w:r w:rsidRPr="00D938EB">
              <w:rPr>
                <w:rFonts w:eastAsia="Arial Unicode MS"/>
                <w:color w:val="000000" w:themeColor="text1"/>
                <w:sz w:val="20"/>
                <w:szCs w:val="20"/>
                <w:shd w:val="clear" w:color="auto" w:fill="FFFFFF"/>
                <w:lang w:val="en-US"/>
              </w:rPr>
              <w:t xml:space="preserve"> la efectele </w:t>
            </w:r>
            <w:proofErr w:type="spellStart"/>
            <w:r w:rsidRPr="00D938EB">
              <w:rPr>
                <w:rFonts w:eastAsia="Arial Unicode MS"/>
                <w:color w:val="000000" w:themeColor="text1"/>
                <w:sz w:val="20"/>
                <w:szCs w:val="20"/>
                <w:shd w:val="clear" w:color="auto" w:fill="FFFFFF"/>
                <w:lang w:val="en-US"/>
              </w:rPr>
              <w:t>schimbărilor</w:t>
            </w:r>
            <w:proofErr w:type="spellEnd"/>
            <w:r w:rsidRPr="00D938EB">
              <w:rPr>
                <w:rFonts w:eastAsia="Arial Unicode MS"/>
                <w:color w:val="000000" w:themeColor="text1"/>
                <w:sz w:val="20"/>
                <w:szCs w:val="20"/>
                <w:shd w:val="clear" w:color="auto" w:fill="FFFFFF"/>
                <w:lang w:val="en-US"/>
              </w:rPr>
              <w:t xml:space="preserve"> climatice;</w:t>
            </w:r>
          </w:p>
          <w:p w14:paraId="1AF503E2" w14:textId="77777777" w:rsidR="00124364" w:rsidRDefault="00000000">
            <w:pPr>
              <w:pStyle w:val="ti-art"/>
              <w:shd w:val="clear" w:color="auto" w:fill="FFFFFF"/>
              <w:spacing w:before="0" w:beforeAutospacing="0" w:after="0" w:afterAutospacing="0"/>
              <w:ind w:left="720"/>
              <w:rPr>
                <w:color w:val="4472C4" w:themeColor="accent1"/>
                <w:sz w:val="20"/>
                <w:szCs w:val="20"/>
                <w:lang w:val="en-US"/>
              </w:rPr>
            </w:pPr>
            <w:hyperlink r:id="rId110" w:tooltip="32023L0959: REPLACED" w:history="1">
              <w:r>
                <w:rPr>
                  <w:rStyle w:val="af3"/>
                  <w:rFonts w:eastAsia="Arial Unicode MS"/>
                  <w:b/>
                  <w:bCs/>
                  <w:color w:val="4472C4" w:themeColor="accent1"/>
                  <w:sz w:val="20"/>
                  <w:szCs w:val="20"/>
                </w:rPr>
                <w:t>▼M15</w:t>
              </w:r>
            </w:hyperlink>
          </w:p>
          <w:p w14:paraId="44A2A85A" w14:textId="77777777" w:rsidR="00124364" w:rsidRPr="00D938EB" w:rsidRDefault="00000000" w:rsidP="00D938EB">
            <w:pPr>
              <w:pStyle w:val="ti-art"/>
              <w:numPr>
                <w:ilvl w:val="0"/>
                <w:numId w:val="43"/>
              </w:numPr>
              <w:shd w:val="clear" w:color="auto" w:fill="FFFFFF"/>
              <w:spacing w:before="0" w:beforeAutospacing="0" w:after="0" w:afterAutospacing="0"/>
              <w:jc w:val="both"/>
              <w:rPr>
                <w:color w:val="000000" w:themeColor="text1"/>
                <w:sz w:val="20"/>
                <w:szCs w:val="20"/>
                <w:lang w:val="en-US"/>
              </w:rPr>
            </w:pPr>
            <w:proofErr w:type="spellStart"/>
            <w:r w:rsidRPr="00D938EB">
              <w:rPr>
                <w:rFonts w:eastAsia="Arial Unicode MS"/>
                <w:color w:val="000000" w:themeColor="text1"/>
                <w:sz w:val="20"/>
                <w:szCs w:val="20"/>
                <w:shd w:val="clear" w:color="auto" w:fill="FFFFFF"/>
                <w:lang w:val="en-US"/>
              </w:rPr>
              <w:t>promovarea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formării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competențe</w:t>
            </w:r>
            <w:proofErr w:type="spellEnd"/>
            <w:r w:rsidRPr="00D938EB">
              <w:rPr>
                <w:rFonts w:eastAsia="Arial Unicode MS"/>
                <w:color w:val="000000" w:themeColor="text1"/>
                <w:sz w:val="20"/>
                <w:szCs w:val="20"/>
                <w:shd w:val="clear" w:color="auto" w:fill="FFFFFF"/>
                <w:lang w:val="en-US"/>
              </w:rPr>
              <w:t xml:space="preserve"> și a </w:t>
            </w:r>
            <w:proofErr w:type="spellStart"/>
            <w:r w:rsidRPr="00D938EB">
              <w:rPr>
                <w:rFonts w:eastAsia="Arial Unicode MS"/>
                <w:color w:val="000000" w:themeColor="text1"/>
                <w:sz w:val="20"/>
                <w:szCs w:val="20"/>
                <w:shd w:val="clear" w:color="auto" w:fill="FFFFFF"/>
                <w:lang w:val="en-US"/>
              </w:rPr>
              <w:t>redistribuirii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forței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muncă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contribui</w:t>
            </w:r>
            <w:proofErr w:type="spellEnd"/>
            <w:r w:rsidRPr="00D938EB">
              <w:rPr>
                <w:rFonts w:eastAsia="Arial Unicode MS"/>
                <w:color w:val="000000" w:themeColor="text1"/>
                <w:sz w:val="20"/>
                <w:szCs w:val="20"/>
                <w:shd w:val="clear" w:color="auto" w:fill="FFFFFF"/>
                <w:lang w:val="en-US"/>
              </w:rPr>
              <w:t xml:space="preserve"> la o </w:t>
            </w:r>
            <w:proofErr w:type="spellStart"/>
            <w:r w:rsidRPr="00D938EB">
              <w:rPr>
                <w:rFonts w:eastAsia="Arial Unicode MS"/>
                <w:color w:val="000000" w:themeColor="text1"/>
                <w:sz w:val="20"/>
                <w:szCs w:val="20"/>
                <w:shd w:val="clear" w:color="auto" w:fill="FFFFFF"/>
                <w:lang w:val="en-US"/>
              </w:rPr>
              <w:t>tranziție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justă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către</w:t>
            </w:r>
            <w:proofErr w:type="spellEnd"/>
            <w:r w:rsidRPr="00D938EB">
              <w:rPr>
                <w:rFonts w:eastAsia="Arial Unicode MS"/>
                <w:color w:val="000000" w:themeColor="text1"/>
                <w:sz w:val="20"/>
                <w:szCs w:val="20"/>
                <w:shd w:val="clear" w:color="auto" w:fill="FFFFFF"/>
                <w:lang w:val="en-US"/>
              </w:rPr>
              <w:t xml:space="preserve"> o </w:t>
            </w:r>
            <w:proofErr w:type="spellStart"/>
            <w:r w:rsidRPr="00D938EB">
              <w:rPr>
                <w:rFonts w:eastAsia="Arial Unicode MS"/>
                <w:color w:val="000000" w:themeColor="text1"/>
                <w:sz w:val="20"/>
                <w:szCs w:val="20"/>
                <w:shd w:val="clear" w:color="auto" w:fill="FFFFFF"/>
                <w:lang w:val="en-US"/>
              </w:rPr>
              <w:t>economie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neutră</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punct</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vedere</w:t>
            </w:r>
            <w:proofErr w:type="spellEnd"/>
            <w:r w:rsidRPr="00D938EB">
              <w:rPr>
                <w:rFonts w:eastAsia="Arial Unicode MS"/>
                <w:color w:val="000000" w:themeColor="text1"/>
                <w:sz w:val="20"/>
                <w:szCs w:val="20"/>
                <w:shd w:val="clear" w:color="auto" w:fill="FFFFFF"/>
                <w:lang w:val="en-US"/>
              </w:rPr>
              <w:t xml:space="preserve"> climatic, în special în </w:t>
            </w:r>
            <w:proofErr w:type="spellStart"/>
            <w:r w:rsidRPr="00D938EB">
              <w:rPr>
                <w:rFonts w:eastAsia="Arial Unicode MS"/>
                <w:color w:val="000000" w:themeColor="text1"/>
                <w:sz w:val="20"/>
                <w:szCs w:val="20"/>
                <w:shd w:val="clear" w:color="auto" w:fill="FFFFFF"/>
                <w:lang w:val="en-US"/>
              </w:rPr>
              <w:t>regiunile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puternic</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afectate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tranziția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locurilor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muncă</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strânsă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coordonare</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partenerii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sociali</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investiții</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perfecționarea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recalificarea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lucrătorilor</w:t>
            </w:r>
            <w:proofErr w:type="spellEnd"/>
            <w:r w:rsidRPr="00D938EB">
              <w:rPr>
                <w:rFonts w:eastAsia="Arial Unicode MS"/>
                <w:color w:val="000000" w:themeColor="text1"/>
                <w:sz w:val="20"/>
                <w:szCs w:val="20"/>
                <w:shd w:val="clear" w:color="auto" w:fill="FFFFFF"/>
                <w:lang w:val="en-US"/>
              </w:rPr>
              <w:t xml:space="preserve"> care pot fi </w:t>
            </w:r>
            <w:proofErr w:type="spellStart"/>
            <w:r w:rsidRPr="00D938EB">
              <w:rPr>
                <w:rFonts w:eastAsia="Arial Unicode MS"/>
                <w:color w:val="000000" w:themeColor="text1"/>
                <w:sz w:val="20"/>
                <w:szCs w:val="20"/>
                <w:shd w:val="clear" w:color="auto" w:fill="FFFFFF"/>
                <w:lang w:val="en-US"/>
              </w:rPr>
              <w:t>afectați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tranziție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lucrătorilor</w:t>
            </w:r>
            <w:proofErr w:type="spellEnd"/>
            <w:r w:rsidRPr="00D938EB">
              <w:rPr>
                <w:rFonts w:eastAsia="Arial Unicode MS"/>
                <w:color w:val="000000" w:themeColor="text1"/>
                <w:sz w:val="20"/>
                <w:szCs w:val="20"/>
                <w:shd w:val="clear" w:color="auto" w:fill="FFFFFF"/>
                <w:lang w:val="en-US"/>
              </w:rPr>
              <w:t xml:space="preserve"> din </w:t>
            </w:r>
            <w:proofErr w:type="spellStart"/>
            <w:r w:rsidRPr="00D938EB">
              <w:rPr>
                <w:rFonts w:eastAsia="Arial Unicode MS"/>
                <w:color w:val="000000" w:themeColor="text1"/>
                <w:sz w:val="20"/>
                <w:szCs w:val="20"/>
                <w:shd w:val="clear" w:color="auto" w:fill="FFFFFF"/>
                <w:lang w:val="en-US"/>
              </w:rPr>
              <w:t>transportul</w:t>
            </w:r>
            <w:proofErr w:type="spellEnd"/>
            <w:r w:rsidRPr="00D938EB">
              <w:rPr>
                <w:rFonts w:eastAsia="Arial Unicode MS"/>
                <w:color w:val="000000" w:themeColor="text1"/>
                <w:sz w:val="20"/>
                <w:szCs w:val="20"/>
                <w:shd w:val="clear" w:color="auto" w:fill="FFFFFF"/>
                <w:lang w:val="en-US"/>
              </w:rPr>
              <w:t xml:space="preserve"> maritim;</w:t>
            </w:r>
          </w:p>
          <w:p w14:paraId="2F2167D4" w14:textId="7837B22D" w:rsidR="00124364" w:rsidRPr="00D938EB" w:rsidRDefault="00000000" w:rsidP="00D938EB">
            <w:pPr>
              <w:pStyle w:val="ti-art"/>
              <w:numPr>
                <w:ilvl w:val="0"/>
                <w:numId w:val="43"/>
              </w:numPr>
              <w:shd w:val="clear" w:color="auto" w:fill="FFFFFF"/>
              <w:spacing w:before="0" w:beforeAutospacing="0" w:after="0" w:afterAutospacing="0"/>
              <w:jc w:val="both"/>
              <w:rPr>
                <w:color w:val="000000" w:themeColor="text1"/>
                <w:sz w:val="20"/>
                <w:szCs w:val="20"/>
                <w:lang w:val="en-US"/>
              </w:rPr>
            </w:pPr>
            <w:proofErr w:type="spellStart"/>
            <w:r w:rsidRPr="00D938EB">
              <w:rPr>
                <w:rFonts w:eastAsia="Arial Unicode MS"/>
                <w:color w:val="000000" w:themeColor="text1"/>
                <w:sz w:val="20"/>
                <w:szCs w:val="20"/>
                <w:shd w:val="clear" w:color="auto" w:fill="FFFFFF"/>
                <w:lang w:val="en-US"/>
              </w:rPr>
              <w:t>eliminarea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oricărui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risc</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rezidual</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relocare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emisiilor</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dioxid</w:t>
            </w:r>
            <w:proofErr w:type="spellEnd"/>
            <w:r w:rsidRPr="00D938EB">
              <w:rPr>
                <w:rFonts w:eastAsia="Arial Unicode MS"/>
                <w:color w:val="000000" w:themeColor="text1"/>
                <w:sz w:val="20"/>
                <w:szCs w:val="20"/>
                <w:shd w:val="clear" w:color="auto" w:fill="FFFFFF"/>
                <w:lang w:val="en-US"/>
              </w:rPr>
              <w:t xml:space="preserve"> de carbon în </w:t>
            </w:r>
            <w:proofErr w:type="spellStart"/>
            <w:r w:rsidRPr="00D938EB">
              <w:rPr>
                <w:rFonts w:eastAsia="Arial Unicode MS"/>
                <w:color w:val="000000" w:themeColor="text1"/>
                <w:sz w:val="20"/>
                <w:szCs w:val="20"/>
                <w:shd w:val="clear" w:color="auto" w:fill="FFFFFF"/>
                <w:lang w:val="en-US"/>
              </w:rPr>
              <w:t>sectoarele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vizate</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anexa</w:t>
            </w:r>
            <w:proofErr w:type="spellEnd"/>
            <w:r w:rsidRPr="00D938EB">
              <w:rPr>
                <w:rFonts w:eastAsia="Arial Unicode MS"/>
                <w:color w:val="000000" w:themeColor="text1"/>
                <w:sz w:val="20"/>
                <w:szCs w:val="20"/>
                <w:shd w:val="clear" w:color="auto" w:fill="FFFFFF"/>
                <w:lang w:val="en-US"/>
              </w:rPr>
              <w:t xml:space="preserve"> I la </w:t>
            </w:r>
            <w:proofErr w:type="spellStart"/>
            <w:r w:rsidRPr="00D938EB">
              <w:rPr>
                <w:rFonts w:eastAsia="Arial Unicode MS"/>
                <w:color w:val="000000" w:themeColor="text1"/>
                <w:sz w:val="20"/>
                <w:szCs w:val="20"/>
                <w:shd w:val="clear" w:color="auto" w:fill="FFFFFF"/>
                <w:lang w:val="en-US"/>
              </w:rPr>
              <w:t>Regulamentul</w:t>
            </w:r>
            <w:proofErr w:type="spellEnd"/>
            <w:r w:rsidRPr="00D938EB">
              <w:rPr>
                <w:rFonts w:eastAsia="Arial Unicode MS"/>
                <w:color w:val="000000" w:themeColor="text1"/>
                <w:sz w:val="20"/>
                <w:szCs w:val="20"/>
                <w:shd w:val="clear" w:color="auto" w:fill="FFFFFF"/>
                <w:lang w:val="en-US"/>
              </w:rPr>
              <w:t xml:space="preserve"> (UE) 2023/956 al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al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w:t>
            </w:r>
            <w:hyperlink r:id="rId111" w:anchor="E0013" w:history="1">
              <w:r w:rsidRPr="00D938EB">
                <w:rPr>
                  <w:rStyle w:val="superscript"/>
                  <w:rFonts w:eastAsia="Arial Unicode MS"/>
                  <w:color w:val="000000" w:themeColor="text1"/>
                  <w:sz w:val="20"/>
                  <w:szCs w:val="20"/>
                  <w:vertAlign w:val="superscript"/>
                  <w:lang w:val="en-US"/>
                </w:rPr>
                <w:t>13</w:t>
              </w:r>
            </w:hyperlink>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spri</w:t>
            </w:r>
            <w:r w:rsidRPr="00D938EB">
              <w:rPr>
                <w:rFonts w:eastAsia="Arial Unicode MS"/>
                <w:color w:val="000000" w:themeColor="text1"/>
                <w:sz w:val="20"/>
                <w:szCs w:val="20"/>
                <w:shd w:val="clear" w:color="auto" w:fill="FFFFFF"/>
                <w:lang w:val="en-US"/>
              </w:rPr>
              <w:lastRenderedPageBreak/>
              <w:t>jinind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tranziția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promovând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decarbonizarea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acestora</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normele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ajutoarele</w:t>
            </w:r>
            <w:proofErr w:type="spellEnd"/>
            <w:r w:rsidRPr="00D938EB">
              <w:rPr>
                <w:rFonts w:eastAsia="Arial Unicode MS"/>
                <w:color w:val="000000" w:themeColor="text1"/>
                <w:sz w:val="20"/>
                <w:szCs w:val="20"/>
                <w:shd w:val="clear" w:color="auto" w:fill="FFFFFF"/>
                <w:lang w:val="en-US"/>
              </w:rPr>
              <w:t xml:space="preserve"> de stat.</w:t>
            </w:r>
          </w:p>
          <w:p w14:paraId="2F98EF68" w14:textId="77777777" w:rsidR="00124364" w:rsidRDefault="00000000">
            <w:pPr>
              <w:pStyle w:val="ti-art"/>
              <w:shd w:val="clear" w:color="auto" w:fill="FFFFFF"/>
              <w:spacing w:before="0" w:beforeAutospacing="0" w:after="0" w:afterAutospacing="0"/>
              <w:rPr>
                <w:color w:val="4472C4" w:themeColor="accent1"/>
                <w:sz w:val="20"/>
                <w:szCs w:val="20"/>
                <w:lang w:val="en-US"/>
              </w:rPr>
            </w:pPr>
            <w:hyperlink r:id="rId112" w:tooltip="32023L0959: INSERTED" w:history="1">
              <w:r w:rsidRPr="00E34C2B">
                <w:rPr>
                  <w:rStyle w:val="af3"/>
                  <w:rFonts w:eastAsia="Arial Unicode MS"/>
                  <w:b/>
                  <w:bCs/>
                  <w:color w:val="4472C4" w:themeColor="accent1"/>
                  <w:sz w:val="20"/>
                  <w:szCs w:val="20"/>
                  <w:lang w:val="en-US"/>
                </w:rPr>
                <w:t>▼M15</w:t>
              </w:r>
            </w:hyperlink>
          </w:p>
          <w:p w14:paraId="192535E3" w14:textId="77777777"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Atunci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când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stabilesc</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modul</w:t>
            </w:r>
            <w:proofErr w:type="spellEnd"/>
            <w:r w:rsidRPr="00D938EB">
              <w:rPr>
                <w:rFonts w:eastAsia="Arial Unicode MS"/>
                <w:color w:val="000000" w:themeColor="text1"/>
                <w:sz w:val="20"/>
                <w:szCs w:val="20"/>
                <w:shd w:val="clear" w:color="auto" w:fill="FFFFFF"/>
                <w:lang w:val="en-US"/>
              </w:rPr>
              <w:t xml:space="preserve"> în care </w:t>
            </w:r>
            <w:proofErr w:type="spellStart"/>
            <w:r w:rsidRPr="00D938EB">
              <w:rPr>
                <w:rFonts w:eastAsia="Arial Unicode MS"/>
                <w:color w:val="000000" w:themeColor="text1"/>
                <w:sz w:val="20"/>
                <w:szCs w:val="20"/>
                <w:shd w:val="clear" w:color="auto" w:fill="FFFFFF"/>
                <w:lang w:val="en-US"/>
              </w:rPr>
              <w:t>vor</w:t>
            </w:r>
            <w:proofErr w:type="spellEnd"/>
            <w:r w:rsidRPr="00D938EB">
              <w:rPr>
                <w:rFonts w:eastAsia="Arial Unicode MS"/>
                <w:color w:val="000000" w:themeColor="text1"/>
                <w:sz w:val="20"/>
                <w:szCs w:val="20"/>
                <w:shd w:val="clear" w:color="auto" w:fill="FFFFFF"/>
                <w:lang w:val="en-US"/>
              </w:rPr>
              <w:t xml:space="preserve"> fi </w:t>
            </w:r>
            <w:proofErr w:type="spellStart"/>
            <w:r w:rsidRPr="00D938EB">
              <w:rPr>
                <w:rFonts w:eastAsia="Arial Unicode MS"/>
                <w:color w:val="000000" w:themeColor="text1"/>
                <w:sz w:val="20"/>
                <w:szCs w:val="20"/>
                <w:shd w:val="clear" w:color="auto" w:fill="FFFFFF"/>
                <w:lang w:val="en-US"/>
              </w:rPr>
              <w:t>utilizate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obținute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urma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licitării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certificatelor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țin</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seama</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necesitatea</w:t>
            </w:r>
            <w:proofErr w:type="spellEnd"/>
            <w:r w:rsidRPr="00D938EB">
              <w:rPr>
                <w:rFonts w:eastAsia="Arial Unicode MS"/>
                <w:color w:val="000000" w:themeColor="text1"/>
                <w:sz w:val="20"/>
                <w:szCs w:val="20"/>
                <w:shd w:val="clear" w:color="auto" w:fill="FFFFFF"/>
                <w:lang w:val="en-US"/>
              </w:rPr>
              <w:t xml:space="preserve"> </w:t>
            </w:r>
            <w:proofErr w:type="gramStart"/>
            <w:r w:rsidRPr="00D938EB">
              <w:rPr>
                <w:rFonts w:eastAsia="Arial Unicode MS"/>
                <w:color w:val="000000" w:themeColor="text1"/>
                <w:sz w:val="20"/>
                <w:szCs w:val="20"/>
                <w:shd w:val="clear" w:color="auto" w:fill="FFFFFF"/>
                <w:lang w:val="en-US"/>
              </w:rPr>
              <w:t>de a</w:t>
            </w:r>
            <w:proofErr w:type="gramEnd"/>
            <w:r w:rsidRPr="00D938EB">
              <w:rPr>
                <w:rFonts w:eastAsia="Arial Unicode MS"/>
                <w:color w:val="000000" w:themeColor="text1"/>
                <w:sz w:val="20"/>
                <w:szCs w:val="20"/>
                <w:shd w:val="clear" w:color="auto" w:fill="FFFFFF"/>
                <w:lang w:val="en-US"/>
              </w:rPr>
              <w:t xml:space="preserve"> continua </w:t>
            </w:r>
            <w:proofErr w:type="spellStart"/>
            <w:r w:rsidRPr="00D938EB">
              <w:rPr>
                <w:rFonts w:eastAsia="Arial Unicode MS"/>
                <w:color w:val="000000" w:themeColor="text1"/>
                <w:sz w:val="20"/>
                <w:szCs w:val="20"/>
                <w:shd w:val="clear" w:color="auto" w:fill="FFFFFF"/>
                <w:lang w:val="en-US"/>
              </w:rPr>
              <w:t>intensificarea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finanțării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internaționale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combaterii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schimbărilor</w:t>
            </w:r>
            <w:proofErr w:type="spellEnd"/>
            <w:r w:rsidRPr="00D938EB">
              <w:rPr>
                <w:rFonts w:eastAsia="Arial Unicode MS"/>
                <w:color w:val="000000" w:themeColor="text1"/>
                <w:sz w:val="20"/>
                <w:szCs w:val="20"/>
                <w:shd w:val="clear" w:color="auto" w:fill="FFFFFF"/>
                <w:lang w:val="en-US"/>
              </w:rPr>
              <w:t xml:space="preserve"> climatice în </w:t>
            </w:r>
            <w:proofErr w:type="spellStart"/>
            <w:r w:rsidRPr="00D938EB">
              <w:rPr>
                <w:rFonts w:eastAsia="Arial Unicode MS"/>
                <w:color w:val="000000" w:themeColor="text1"/>
                <w:sz w:val="20"/>
                <w:szCs w:val="20"/>
                <w:shd w:val="clear" w:color="auto" w:fill="FFFFFF"/>
                <w:lang w:val="en-US"/>
              </w:rPr>
              <w:t>țările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terțe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vulnerabile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primul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paragraf</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litera</w:t>
            </w:r>
            <w:proofErr w:type="spellEnd"/>
            <w:r w:rsidRPr="00D938EB">
              <w:rPr>
                <w:rFonts w:eastAsia="Arial Unicode MS"/>
                <w:color w:val="000000" w:themeColor="text1"/>
                <w:sz w:val="20"/>
                <w:szCs w:val="20"/>
                <w:shd w:val="clear" w:color="auto" w:fill="FFFFFF"/>
                <w:lang w:val="en-US"/>
              </w:rPr>
              <w:t xml:space="preserve"> (j).</w:t>
            </w:r>
          </w:p>
          <w:p w14:paraId="4390F56B" w14:textId="77777777" w:rsidR="00124364" w:rsidRDefault="00000000">
            <w:pPr>
              <w:pStyle w:val="ti-art"/>
              <w:shd w:val="clear" w:color="auto" w:fill="FFFFFF"/>
              <w:spacing w:before="0" w:beforeAutospacing="0" w:after="0" w:afterAutospacing="0"/>
              <w:rPr>
                <w:color w:val="4472C4" w:themeColor="accent1"/>
                <w:sz w:val="20"/>
                <w:szCs w:val="20"/>
                <w:lang w:val="en-US"/>
              </w:rPr>
            </w:pPr>
            <w:hyperlink r:id="rId113" w:tooltip="32023L0959: REPLACED" w:history="1">
              <w:r>
                <w:rPr>
                  <w:rStyle w:val="af3"/>
                  <w:rFonts w:eastAsia="Arial Unicode MS"/>
                  <w:b/>
                  <w:bCs/>
                  <w:color w:val="4472C4" w:themeColor="accent1"/>
                  <w:sz w:val="20"/>
                  <w:szCs w:val="20"/>
                  <w:lang w:val="en-US"/>
                </w:rPr>
                <w:t>▼M15</w:t>
              </w:r>
            </w:hyperlink>
          </w:p>
          <w:p w14:paraId="2B23ED4D" w14:textId="77777777"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Se </w:t>
            </w:r>
            <w:proofErr w:type="spellStart"/>
            <w:r w:rsidRPr="00D938EB">
              <w:rPr>
                <w:rFonts w:eastAsia="Arial Unicode MS"/>
                <w:color w:val="000000" w:themeColor="text1"/>
                <w:sz w:val="20"/>
                <w:szCs w:val="20"/>
                <w:shd w:val="clear" w:color="auto" w:fill="FFFFFF"/>
                <w:lang w:val="en-US"/>
              </w:rPr>
              <w:t>consideră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au </w:t>
            </w:r>
            <w:proofErr w:type="spellStart"/>
            <w:r w:rsidRPr="00D938EB">
              <w:rPr>
                <w:rFonts w:eastAsia="Arial Unicode MS"/>
                <w:color w:val="000000" w:themeColor="text1"/>
                <w:sz w:val="20"/>
                <w:szCs w:val="20"/>
                <w:shd w:val="clear" w:color="auto" w:fill="FFFFFF"/>
                <w:lang w:val="en-US"/>
              </w:rPr>
              <w:t>îndeplinit</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dispozițiile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prezentului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alineat</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dacă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acestea</w:t>
            </w:r>
            <w:proofErr w:type="spellEnd"/>
            <w:r w:rsidRPr="00D938EB">
              <w:rPr>
                <w:rFonts w:eastAsia="Arial Unicode MS"/>
                <w:color w:val="000000" w:themeColor="text1"/>
                <w:sz w:val="20"/>
                <w:szCs w:val="20"/>
                <w:shd w:val="clear" w:color="auto" w:fill="FFFFFF"/>
                <w:lang w:val="en-US"/>
              </w:rPr>
              <w:t xml:space="preserve"> au </w:t>
            </w:r>
            <w:proofErr w:type="spellStart"/>
            <w:r w:rsidRPr="00D938EB">
              <w:rPr>
                <w:rFonts w:eastAsia="Arial Unicode MS"/>
                <w:color w:val="000000" w:themeColor="text1"/>
                <w:sz w:val="20"/>
                <w:szCs w:val="20"/>
                <w:shd w:val="clear" w:color="auto" w:fill="FFFFFF"/>
                <w:lang w:val="en-US"/>
              </w:rPr>
              <w:t>instituit</w:t>
            </w:r>
            <w:proofErr w:type="spellEnd"/>
            <w:r w:rsidRPr="00D938EB">
              <w:rPr>
                <w:rFonts w:eastAsia="Arial Unicode MS"/>
                <w:color w:val="000000" w:themeColor="text1"/>
                <w:sz w:val="20"/>
                <w:szCs w:val="20"/>
                <w:shd w:val="clear" w:color="auto" w:fill="FFFFFF"/>
                <w:lang w:val="en-US"/>
              </w:rPr>
              <w:t xml:space="preserve"> și pun în </w:t>
            </w:r>
            <w:proofErr w:type="spellStart"/>
            <w:r w:rsidRPr="00D938EB">
              <w:rPr>
                <w:rFonts w:eastAsia="Arial Unicode MS"/>
                <w:color w:val="000000" w:themeColor="text1"/>
                <w:sz w:val="20"/>
                <w:szCs w:val="20"/>
                <w:shd w:val="clear" w:color="auto" w:fill="FFFFFF"/>
                <w:lang w:val="en-US"/>
              </w:rPr>
              <w:t>aplicare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politici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sprijin</w:t>
            </w:r>
            <w:proofErr w:type="spellEnd"/>
            <w:r w:rsidRPr="00D938EB">
              <w:rPr>
                <w:rFonts w:eastAsia="Arial Unicode MS"/>
                <w:color w:val="000000" w:themeColor="text1"/>
                <w:sz w:val="20"/>
                <w:szCs w:val="20"/>
                <w:shd w:val="clear" w:color="auto" w:fill="FFFFFF"/>
                <w:lang w:val="en-US"/>
              </w:rPr>
              <w:t xml:space="preserve"> fiscal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financiar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inclusiv</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mai</w:t>
            </w:r>
            <w:proofErr w:type="spellEnd"/>
            <w:r w:rsidRPr="00D938EB">
              <w:rPr>
                <w:rFonts w:eastAsia="Arial Unicode MS"/>
                <w:color w:val="000000" w:themeColor="text1"/>
                <w:sz w:val="20"/>
                <w:szCs w:val="20"/>
                <w:shd w:val="clear" w:color="auto" w:fill="FFFFFF"/>
                <w:lang w:val="en-US"/>
              </w:rPr>
              <w:t xml:space="preserve"> ales în </w:t>
            </w:r>
            <w:proofErr w:type="spellStart"/>
            <w:r w:rsidRPr="00D938EB">
              <w:rPr>
                <w:rFonts w:eastAsia="Arial Unicode MS"/>
                <w:color w:val="000000" w:themeColor="text1"/>
                <w:sz w:val="20"/>
                <w:szCs w:val="20"/>
                <w:shd w:val="clear" w:color="auto" w:fill="FFFFFF"/>
                <w:lang w:val="en-US"/>
              </w:rPr>
              <w:t>țările</w:t>
            </w:r>
            <w:proofErr w:type="spellEnd"/>
            <w:r w:rsidRPr="00D938EB">
              <w:rPr>
                <w:rFonts w:eastAsia="Arial Unicode MS"/>
                <w:color w:val="000000" w:themeColor="text1"/>
                <w:sz w:val="20"/>
                <w:szCs w:val="20"/>
                <w:shd w:val="clear" w:color="auto" w:fill="FFFFFF"/>
                <w:lang w:val="en-US"/>
              </w:rPr>
              <w:t xml:space="preserve"> în curs de </w:t>
            </w:r>
            <w:proofErr w:type="spellStart"/>
            <w:r w:rsidRPr="00D938EB">
              <w:rPr>
                <w:rFonts w:eastAsia="Arial Unicode MS"/>
                <w:color w:val="000000" w:themeColor="text1"/>
                <w:sz w:val="20"/>
                <w:szCs w:val="20"/>
                <w:shd w:val="clear" w:color="auto" w:fill="FFFFFF"/>
                <w:lang w:val="en-US"/>
              </w:rPr>
              <w:t>dezvoltare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sau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politici</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reglementare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naționale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impulsionarea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sprijinului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financiar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stabilite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scopurile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prezentate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primul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paragraf</w:t>
            </w:r>
            <w:proofErr w:type="spellEnd"/>
            <w:r w:rsidRPr="00D938EB">
              <w:rPr>
                <w:rFonts w:eastAsia="Arial Unicode MS"/>
                <w:color w:val="000000" w:themeColor="text1"/>
                <w:sz w:val="20"/>
                <w:szCs w:val="20"/>
                <w:shd w:val="clear" w:color="auto" w:fill="FFFFFF"/>
                <w:lang w:val="en-US"/>
              </w:rPr>
              <w:t xml:space="preserve"> și care au o </w:t>
            </w:r>
            <w:proofErr w:type="spellStart"/>
            <w:r w:rsidRPr="00D938EB">
              <w:rPr>
                <w:rFonts w:eastAsia="Arial Unicode MS"/>
                <w:color w:val="000000" w:themeColor="text1"/>
                <w:sz w:val="20"/>
                <w:szCs w:val="20"/>
                <w:shd w:val="clear" w:color="auto" w:fill="FFFFFF"/>
                <w:lang w:val="en-US"/>
              </w:rPr>
              <w:t>valoare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echivalentă</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veniturile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primul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paragraf</w:t>
            </w:r>
            <w:proofErr w:type="spellEnd"/>
            <w:r w:rsidRPr="00D938EB">
              <w:rPr>
                <w:rFonts w:eastAsia="Arial Unicode MS"/>
                <w:color w:val="000000" w:themeColor="text1"/>
                <w:sz w:val="20"/>
                <w:szCs w:val="20"/>
                <w:shd w:val="clear" w:color="auto" w:fill="FFFFFF"/>
                <w:lang w:val="en-US"/>
              </w:rPr>
              <w:t>.</w:t>
            </w:r>
          </w:p>
          <w:p w14:paraId="1C537E3D" w14:textId="083072EC"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38EB">
              <w:rPr>
                <w:rFonts w:eastAsia="Arial Unicode MS"/>
                <w:color w:val="000000" w:themeColor="text1"/>
                <w:sz w:val="20"/>
                <w:szCs w:val="20"/>
                <w:shd w:val="clear" w:color="auto" w:fill="FFFFFF"/>
                <w:lang w:val="en-US"/>
              </w:rPr>
              <w:t xml:space="preserve">În </w:t>
            </w:r>
            <w:proofErr w:type="spellStart"/>
            <w:r w:rsidRPr="00D938EB">
              <w:rPr>
                <w:rFonts w:eastAsia="Arial Unicode MS"/>
                <w:color w:val="000000" w:themeColor="text1"/>
                <w:sz w:val="20"/>
                <w:szCs w:val="20"/>
                <w:shd w:val="clear" w:color="auto" w:fill="FFFFFF"/>
                <w:lang w:val="en-US"/>
              </w:rPr>
              <w:t>rapoartele</w:t>
            </w:r>
            <w:proofErr w:type="spellEnd"/>
            <w:r w:rsidRPr="00D938EB">
              <w:rPr>
                <w:rFonts w:eastAsia="Arial Unicode MS"/>
                <w:color w:val="000000" w:themeColor="text1"/>
                <w:sz w:val="20"/>
                <w:szCs w:val="20"/>
                <w:shd w:val="clear" w:color="auto" w:fill="FFFFFF"/>
                <w:lang w:val="en-US"/>
              </w:rPr>
              <w:t xml:space="preserve"> lor </w:t>
            </w:r>
            <w:proofErr w:type="spellStart"/>
            <w:r w:rsidRPr="00D938EB">
              <w:rPr>
                <w:rFonts w:eastAsia="Arial Unicode MS"/>
                <w:color w:val="000000" w:themeColor="text1"/>
                <w:sz w:val="20"/>
                <w:szCs w:val="20"/>
                <w:shd w:val="clear" w:color="auto" w:fill="FFFFFF"/>
                <w:lang w:val="en-US"/>
              </w:rPr>
              <w:t>prezentate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temeiul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articolului</w:t>
            </w:r>
            <w:proofErr w:type="spellEnd"/>
            <w:r w:rsid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19 </w:t>
            </w:r>
            <w:proofErr w:type="spellStart"/>
            <w:r w:rsidRPr="00D938EB">
              <w:rPr>
                <w:rFonts w:eastAsia="Arial Unicode MS"/>
                <w:color w:val="000000" w:themeColor="text1"/>
                <w:sz w:val="20"/>
                <w:szCs w:val="20"/>
                <w:shd w:val="clear" w:color="auto" w:fill="FFFFFF"/>
                <w:lang w:val="en-US"/>
              </w:rPr>
              <w:t>alineatul</w:t>
            </w:r>
            <w:proofErr w:type="spellEnd"/>
            <w:r w:rsid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 din </w:t>
            </w:r>
            <w:proofErr w:type="spellStart"/>
            <w:r w:rsidRPr="00D938EB">
              <w:rPr>
                <w:rFonts w:eastAsia="Arial Unicode MS"/>
                <w:color w:val="000000" w:themeColor="text1"/>
                <w:sz w:val="20"/>
                <w:szCs w:val="20"/>
                <w:shd w:val="clear" w:color="auto" w:fill="FFFFFF"/>
                <w:lang w:val="en-US"/>
              </w:rPr>
              <w:t>Regulamentul</w:t>
            </w:r>
            <w:proofErr w:type="spellEnd"/>
            <w:r w:rsidRPr="00D938EB">
              <w:rPr>
                <w:rFonts w:eastAsia="Arial Unicode MS"/>
                <w:color w:val="000000" w:themeColor="text1"/>
                <w:sz w:val="20"/>
                <w:szCs w:val="20"/>
                <w:shd w:val="clear" w:color="auto" w:fill="FFFFFF"/>
                <w:lang w:val="en-US"/>
              </w:rPr>
              <w:t xml:space="preserve"> (UE)</w:t>
            </w:r>
            <w:r w:rsid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2018/1999,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informează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Comisia</w:t>
            </w:r>
            <w:proofErr w:type="spellEnd"/>
            <w:r w:rsidRPr="00D938EB">
              <w:rPr>
                <w:rFonts w:eastAsia="Arial Unicode MS"/>
                <w:color w:val="000000" w:themeColor="text1"/>
                <w:sz w:val="20"/>
                <w:szCs w:val="20"/>
                <w:shd w:val="clear" w:color="auto" w:fill="FFFFFF"/>
                <w:lang w:val="en-US"/>
              </w:rPr>
              <w:t xml:space="preserve"> cu </w:t>
            </w:r>
            <w:proofErr w:type="spellStart"/>
            <w:r w:rsidRPr="00D938EB">
              <w:rPr>
                <w:rFonts w:eastAsia="Arial Unicode MS"/>
                <w:color w:val="000000" w:themeColor="text1"/>
                <w:sz w:val="20"/>
                <w:szCs w:val="20"/>
                <w:shd w:val="clear" w:color="auto" w:fill="FFFFFF"/>
                <w:lang w:val="en-US"/>
              </w:rPr>
              <w:t>privire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utilizarea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veniturilor</w:t>
            </w:r>
            <w:proofErr w:type="spellEnd"/>
            <w:r w:rsidRPr="00D938EB">
              <w:rPr>
                <w:rFonts w:eastAsia="Arial Unicode MS"/>
                <w:color w:val="000000" w:themeColor="text1"/>
                <w:sz w:val="20"/>
                <w:szCs w:val="20"/>
                <w:shd w:val="clear" w:color="auto" w:fill="FFFFFF"/>
                <w:lang w:val="en-US"/>
              </w:rPr>
              <w:t xml:space="preserve"> și la </w:t>
            </w:r>
            <w:proofErr w:type="spellStart"/>
            <w:r w:rsidRPr="00D938EB">
              <w:rPr>
                <w:rFonts w:eastAsia="Arial Unicode MS"/>
                <w:color w:val="000000" w:themeColor="text1"/>
                <w:sz w:val="20"/>
                <w:szCs w:val="20"/>
                <w:shd w:val="clear" w:color="auto" w:fill="FFFFFF"/>
                <w:lang w:val="en-US"/>
              </w:rPr>
              <w:t>acțiunile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întreprinse</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temeiul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prezentului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alineat</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precizând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dacă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este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cazul</w:t>
            </w:r>
            <w:proofErr w:type="spellEnd"/>
            <w:r w:rsidRPr="00D938EB">
              <w:rPr>
                <w:rFonts w:eastAsia="Arial Unicode MS"/>
                <w:color w:val="000000" w:themeColor="text1"/>
                <w:sz w:val="20"/>
                <w:szCs w:val="20"/>
                <w:shd w:val="clear" w:color="auto" w:fill="FFFFFF"/>
                <w:lang w:val="en-US"/>
              </w:rPr>
              <w:t xml:space="preserve">, care sunt </w:t>
            </w:r>
            <w:proofErr w:type="spellStart"/>
            <w:r w:rsidRPr="00D938EB">
              <w:rPr>
                <w:rFonts w:eastAsia="Arial Unicode MS"/>
                <w:color w:val="000000" w:themeColor="text1"/>
                <w:sz w:val="20"/>
                <w:szCs w:val="20"/>
                <w:shd w:val="clear" w:color="auto" w:fill="FFFFFF"/>
                <w:lang w:val="en-US"/>
              </w:rPr>
              <w:t>veniturile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utilizate</w:t>
            </w:r>
            <w:proofErr w:type="spellEnd"/>
            <w:r w:rsidRPr="00D938EB">
              <w:rPr>
                <w:rFonts w:eastAsia="Arial Unicode MS"/>
                <w:color w:val="000000" w:themeColor="text1"/>
                <w:sz w:val="20"/>
                <w:szCs w:val="20"/>
                <w:shd w:val="clear" w:color="auto" w:fill="FFFFFF"/>
                <w:lang w:val="en-US"/>
              </w:rPr>
              <w:t xml:space="preserve"> și care sunt </w:t>
            </w:r>
            <w:proofErr w:type="spellStart"/>
            <w:r w:rsidRPr="00D938EB">
              <w:rPr>
                <w:rFonts w:eastAsia="Arial Unicode MS"/>
                <w:color w:val="000000" w:themeColor="text1"/>
                <w:sz w:val="20"/>
                <w:szCs w:val="20"/>
                <w:shd w:val="clear" w:color="auto" w:fill="FFFFFF"/>
                <w:lang w:val="en-US"/>
              </w:rPr>
              <w:t>acțiunile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întreprinse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punerea</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aplicare</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planurilor</w:t>
            </w:r>
            <w:proofErr w:type="spellEnd"/>
            <w:r w:rsidRPr="00D938EB">
              <w:rPr>
                <w:rFonts w:eastAsia="Arial Unicode MS"/>
                <w:color w:val="000000" w:themeColor="text1"/>
                <w:sz w:val="20"/>
                <w:szCs w:val="20"/>
                <w:shd w:val="clear" w:color="auto" w:fill="FFFFFF"/>
                <w:lang w:val="en-US"/>
              </w:rPr>
              <w:t xml:space="preserve"> lor </w:t>
            </w:r>
            <w:proofErr w:type="spellStart"/>
            <w:r w:rsidRPr="00D938EB">
              <w:rPr>
                <w:rFonts w:eastAsia="Arial Unicode MS"/>
                <w:color w:val="000000" w:themeColor="text1"/>
                <w:sz w:val="20"/>
                <w:szCs w:val="20"/>
                <w:shd w:val="clear" w:color="auto" w:fill="FFFFFF"/>
                <w:lang w:val="en-US"/>
              </w:rPr>
              <w:t>naționale</w:t>
            </w:r>
            <w:proofErr w:type="spellEnd"/>
            <w:r w:rsidRPr="00D938EB">
              <w:rPr>
                <w:rFonts w:eastAsia="Arial Unicode MS"/>
                <w:color w:val="000000" w:themeColor="text1"/>
                <w:sz w:val="20"/>
                <w:szCs w:val="20"/>
                <w:shd w:val="clear" w:color="auto" w:fill="FFFFFF"/>
                <w:lang w:val="en-US"/>
              </w:rPr>
              <w:t xml:space="preserve"> integrate </w:t>
            </w:r>
            <w:proofErr w:type="spellStart"/>
            <w:r w:rsidRPr="00D938EB">
              <w:rPr>
                <w:rFonts w:eastAsia="Arial Unicode MS"/>
                <w:color w:val="000000" w:themeColor="text1"/>
                <w:sz w:val="20"/>
                <w:szCs w:val="20"/>
                <w:shd w:val="clear" w:color="auto" w:fill="FFFFFF"/>
                <w:lang w:val="en-US"/>
              </w:rPr>
              <w:t>privind</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energia</w:t>
            </w:r>
            <w:proofErr w:type="spellEnd"/>
            <w:r w:rsidRPr="00D938EB">
              <w:rPr>
                <w:rFonts w:eastAsia="Arial Unicode MS"/>
                <w:color w:val="000000" w:themeColor="text1"/>
                <w:sz w:val="20"/>
                <w:szCs w:val="20"/>
                <w:shd w:val="clear" w:color="auto" w:fill="FFFFFF"/>
                <w:lang w:val="en-US"/>
              </w:rPr>
              <w:t xml:space="preserve"> și </w:t>
            </w:r>
            <w:proofErr w:type="spellStart"/>
            <w:r w:rsidRPr="00D938EB">
              <w:rPr>
                <w:rFonts w:eastAsia="Arial Unicode MS"/>
                <w:color w:val="000000" w:themeColor="text1"/>
                <w:sz w:val="20"/>
                <w:szCs w:val="20"/>
                <w:shd w:val="clear" w:color="auto" w:fill="FFFFFF"/>
                <w:lang w:val="en-US"/>
              </w:rPr>
              <w:t>schimbările</w:t>
            </w:r>
            <w:proofErr w:type="spellEnd"/>
            <w:r w:rsidRPr="00D938EB">
              <w:rPr>
                <w:rFonts w:eastAsia="Arial Unicode MS"/>
                <w:color w:val="000000" w:themeColor="text1"/>
                <w:sz w:val="20"/>
                <w:szCs w:val="20"/>
                <w:shd w:val="clear" w:color="auto" w:fill="FFFFFF"/>
                <w:lang w:val="en-US"/>
              </w:rPr>
              <w:t xml:space="preserve"> climatice, </w:t>
            </w:r>
            <w:proofErr w:type="spellStart"/>
            <w:r w:rsidRPr="00D938EB">
              <w:rPr>
                <w:rFonts w:eastAsia="Arial Unicode MS"/>
                <w:color w:val="000000" w:themeColor="text1"/>
                <w:sz w:val="20"/>
                <w:szCs w:val="20"/>
                <w:shd w:val="clear" w:color="auto" w:fill="FFFFFF"/>
                <w:lang w:val="en-US"/>
              </w:rPr>
              <w:t>prezentat</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regulamentul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w:t>
            </w:r>
            <w:proofErr w:type="spellEnd"/>
            <w:r w:rsidRPr="00D938EB">
              <w:rPr>
                <w:rFonts w:eastAsia="Arial Unicode MS"/>
                <w:color w:val="000000" w:themeColor="text1"/>
                <w:sz w:val="20"/>
                <w:szCs w:val="20"/>
                <w:shd w:val="clear" w:color="auto" w:fill="FFFFFF"/>
                <w:lang w:val="en-US"/>
              </w:rPr>
              <w:t xml:space="preserve">, precum și a </w:t>
            </w:r>
            <w:proofErr w:type="spellStart"/>
            <w:r w:rsidRPr="00D938EB">
              <w:rPr>
                <w:rFonts w:eastAsia="Arial Unicode MS"/>
                <w:color w:val="000000" w:themeColor="text1"/>
                <w:sz w:val="20"/>
                <w:szCs w:val="20"/>
                <w:shd w:val="clear" w:color="auto" w:fill="FFFFFF"/>
                <w:lang w:val="en-US"/>
              </w:rPr>
              <w:t>planurilor</w:t>
            </w:r>
            <w:proofErr w:type="spellEnd"/>
            <w:r w:rsidRPr="00D938EB">
              <w:rPr>
                <w:rFonts w:eastAsia="Arial Unicode MS"/>
                <w:color w:val="000000" w:themeColor="text1"/>
                <w:sz w:val="20"/>
                <w:szCs w:val="20"/>
                <w:shd w:val="clear" w:color="auto" w:fill="FFFFFF"/>
                <w:lang w:val="en-US"/>
              </w:rPr>
              <w:t xml:space="preserve"> lor </w:t>
            </w:r>
            <w:proofErr w:type="spellStart"/>
            <w:r w:rsidRPr="00D938EB">
              <w:rPr>
                <w:rFonts w:eastAsia="Arial Unicode MS"/>
                <w:color w:val="000000" w:themeColor="text1"/>
                <w:sz w:val="20"/>
                <w:szCs w:val="20"/>
                <w:shd w:val="clear" w:color="auto" w:fill="FFFFFF"/>
                <w:lang w:val="en-US"/>
              </w:rPr>
              <w:t>teritoriale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o </w:t>
            </w:r>
            <w:proofErr w:type="spellStart"/>
            <w:r w:rsidRPr="00D938EB">
              <w:rPr>
                <w:rFonts w:eastAsia="Arial Unicode MS"/>
                <w:color w:val="000000" w:themeColor="text1"/>
                <w:sz w:val="20"/>
                <w:szCs w:val="20"/>
                <w:shd w:val="clear" w:color="auto" w:fill="FFFFFF"/>
                <w:lang w:val="en-US"/>
              </w:rPr>
              <w:t>tranziție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justă</w:t>
            </w:r>
            <w:proofErr w:type="spellEnd"/>
            <w:r w:rsidRPr="00D938EB">
              <w:rPr>
                <w:rFonts w:eastAsia="Arial Unicode MS"/>
                <w:color w:val="000000" w:themeColor="text1"/>
                <w:sz w:val="20"/>
                <w:szCs w:val="20"/>
                <w:shd w:val="clear" w:color="auto" w:fill="FFFFFF"/>
                <w:lang w:val="en-US"/>
              </w:rPr>
              <w:t xml:space="preserve">, elaborate în conformitate cu </w:t>
            </w:r>
            <w:proofErr w:type="spellStart"/>
            <w:r w:rsidRPr="00D938EB">
              <w:rPr>
                <w:rFonts w:eastAsia="Arial Unicode MS"/>
                <w:color w:val="000000" w:themeColor="text1"/>
                <w:sz w:val="20"/>
                <w:szCs w:val="20"/>
                <w:shd w:val="clear" w:color="auto" w:fill="FFFFFF"/>
                <w:lang w:val="en-US"/>
              </w:rPr>
              <w:t>articolul</w:t>
            </w:r>
            <w:proofErr w:type="spellEnd"/>
            <w:r w:rsidRPr="00D938EB">
              <w:rPr>
                <w:rFonts w:eastAsia="Arial Unicode MS"/>
                <w:color w:val="000000" w:themeColor="text1"/>
                <w:sz w:val="20"/>
                <w:szCs w:val="20"/>
                <w:shd w:val="clear" w:color="auto" w:fill="FFFFFF"/>
                <w:lang w:val="en-US"/>
              </w:rPr>
              <w:t xml:space="preserve"> 11 din </w:t>
            </w:r>
            <w:proofErr w:type="spellStart"/>
            <w:r w:rsidRPr="00D938EB">
              <w:rPr>
                <w:rFonts w:eastAsia="Arial Unicode MS"/>
                <w:color w:val="000000" w:themeColor="text1"/>
                <w:sz w:val="20"/>
                <w:szCs w:val="20"/>
                <w:shd w:val="clear" w:color="auto" w:fill="FFFFFF"/>
                <w:lang w:val="en-US"/>
              </w:rPr>
              <w:t>Regulamentul</w:t>
            </w:r>
            <w:proofErr w:type="spellEnd"/>
            <w:r w:rsidRPr="00D938EB">
              <w:rPr>
                <w:rFonts w:eastAsia="Arial Unicode MS"/>
                <w:color w:val="000000" w:themeColor="text1"/>
                <w:sz w:val="20"/>
                <w:szCs w:val="20"/>
                <w:shd w:val="clear" w:color="auto" w:fill="FFFFFF"/>
                <w:lang w:val="en-US"/>
              </w:rPr>
              <w:t xml:space="preserve"> (UE)</w:t>
            </w:r>
            <w:r w:rsid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2021/1056 al </w:t>
            </w:r>
            <w:proofErr w:type="spellStart"/>
            <w:r w:rsidRPr="00D938EB">
              <w:rPr>
                <w:rFonts w:eastAsia="Arial Unicode MS"/>
                <w:color w:val="000000" w:themeColor="text1"/>
                <w:sz w:val="20"/>
                <w:szCs w:val="20"/>
                <w:shd w:val="clear" w:color="auto" w:fill="FFFFFF"/>
                <w:lang w:val="en-US"/>
              </w:rPr>
              <w:t>Parlamentului</w:t>
            </w:r>
            <w:proofErr w:type="spellEnd"/>
            <w:r w:rsidRPr="00D938EB">
              <w:rPr>
                <w:rFonts w:eastAsia="Arial Unicode MS"/>
                <w:color w:val="000000" w:themeColor="text1"/>
                <w:sz w:val="20"/>
                <w:szCs w:val="20"/>
                <w:shd w:val="clear" w:color="auto" w:fill="FFFFFF"/>
                <w:lang w:val="en-US"/>
              </w:rPr>
              <w:t xml:space="preserve"> European și al </w:t>
            </w:r>
            <w:proofErr w:type="spellStart"/>
            <w:r w:rsidRPr="00D938EB">
              <w:rPr>
                <w:rFonts w:eastAsia="Arial Unicode MS"/>
                <w:color w:val="000000" w:themeColor="text1"/>
                <w:sz w:val="20"/>
                <w:szCs w:val="20"/>
                <w:shd w:val="clear" w:color="auto" w:fill="FFFFFF"/>
                <w:lang w:val="en-US"/>
              </w:rPr>
              <w:t>Consiliului</w:t>
            </w:r>
            <w:proofErr w:type="spellEnd"/>
            <w:r w:rsidRPr="00D938EB">
              <w:rPr>
                <w:rFonts w:eastAsia="Arial Unicode MS"/>
                <w:color w:val="000000" w:themeColor="text1"/>
                <w:sz w:val="20"/>
                <w:szCs w:val="20"/>
                <w:shd w:val="clear" w:color="auto" w:fill="FFFFFF"/>
                <w:lang w:val="en-US"/>
              </w:rPr>
              <w:t>(</w:t>
            </w:r>
            <w:hyperlink r:id="rId114" w:anchor="E0014" w:history="1">
              <w:r w:rsidRPr="00D938EB">
                <w:rPr>
                  <w:rStyle w:val="superscript"/>
                  <w:rFonts w:eastAsia="Arial Unicode MS"/>
                  <w:color w:val="000000" w:themeColor="text1"/>
                  <w:sz w:val="20"/>
                  <w:szCs w:val="20"/>
                  <w:vertAlign w:val="superscript"/>
                  <w:lang w:val="en-US"/>
                </w:rPr>
                <w:t>14</w:t>
              </w:r>
            </w:hyperlink>
            <w:r w:rsidRPr="00D938EB">
              <w:rPr>
                <w:rFonts w:eastAsia="Arial Unicode MS"/>
                <w:color w:val="000000" w:themeColor="text1"/>
                <w:sz w:val="20"/>
                <w:szCs w:val="20"/>
                <w:shd w:val="clear" w:color="auto" w:fill="FFFFFF"/>
                <w:lang w:val="en-US"/>
              </w:rPr>
              <w:t>).</w:t>
            </w:r>
          </w:p>
          <w:p w14:paraId="4A1EA6C7" w14:textId="77777777"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Aceste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rapoarte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trebuie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fie </w:t>
            </w:r>
            <w:proofErr w:type="spellStart"/>
            <w:r w:rsidRPr="00D938EB">
              <w:rPr>
                <w:rFonts w:eastAsia="Arial Unicode MS"/>
                <w:color w:val="000000" w:themeColor="text1"/>
                <w:sz w:val="20"/>
                <w:szCs w:val="20"/>
                <w:shd w:val="clear" w:color="auto" w:fill="FFFFFF"/>
                <w:lang w:val="en-US"/>
              </w:rPr>
              <w:t>suficient</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detaliate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permite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Comisiei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evalueze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respectarea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primului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paragraf</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către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statele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membre</w:t>
            </w:r>
            <w:proofErr w:type="spellEnd"/>
            <w:r w:rsidRPr="00D938EB">
              <w:rPr>
                <w:rFonts w:eastAsia="Arial Unicode MS"/>
                <w:color w:val="000000" w:themeColor="text1"/>
                <w:sz w:val="20"/>
                <w:szCs w:val="20"/>
                <w:shd w:val="clear" w:color="auto" w:fill="FFFFFF"/>
                <w:lang w:val="en-US"/>
              </w:rPr>
              <w:t>.</w:t>
            </w:r>
          </w:p>
          <w:p w14:paraId="14F0F81D" w14:textId="77777777" w:rsidR="00124364" w:rsidRDefault="00000000">
            <w:pPr>
              <w:pStyle w:val="ti-art"/>
              <w:shd w:val="clear" w:color="auto" w:fill="FFFFFF"/>
              <w:spacing w:before="0" w:beforeAutospacing="0" w:after="0" w:afterAutospacing="0"/>
              <w:rPr>
                <w:color w:val="4472C4" w:themeColor="accent1"/>
                <w:sz w:val="20"/>
                <w:szCs w:val="20"/>
              </w:rPr>
            </w:pPr>
            <w:hyperlink r:id="rId115" w:tooltip="32018L0410: REPLACED" w:history="1">
              <w:r>
                <w:rPr>
                  <w:rStyle w:val="af3"/>
                  <w:rFonts w:eastAsia="Arial Unicode MS"/>
                  <w:b/>
                  <w:bCs/>
                  <w:color w:val="4472C4" w:themeColor="accent1"/>
                  <w:sz w:val="20"/>
                  <w:szCs w:val="20"/>
                </w:rPr>
                <w:t>▼M9</w:t>
              </w:r>
            </w:hyperlink>
          </w:p>
          <w:p w14:paraId="7B6B1F83" w14:textId="2DEA1FB3" w:rsidR="00124364" w:rsidRDefault="00000000" w:rsidP="00D938EB">
            <w:pPr>
              <w:pStyle w:val="af8"/>
              <w:numPr>
                <w:ilvl w:val="0"/>
                <w:numId w:val="32"/>
              </w:numPr>
              <w:suppressAutoHyphens w:val="0"/>
              <w:autoSpaceDN/>
              <w:spacing w:after="0" w:line="240" w:lineRule="auto"/>
              <w:jc w:val="both"/>
              <w:textAlignment w:val="auto"/>
              <w:rPr>
                <w:rStyle w:val="boldface"/>
                <w:sz w:val="24"/>
                <w:szCs w:val="24"/>
                <w:lang w:val="en-US"/>
              </w:rPr>
            </w:pPr>
            <w:hyperlink r:id="rId116" w:tooltip="32023L0959: REPLACED" w:history="1">
              <w:r>
                <w:rPr>
                  <w:rStyle w:val="boldface"/>
                  <w:rFonts w:ascii="Times New Roman" w:eastAsia="Arial Unicode MS" w:hAnsi="Times New Roman"/>
                  <w:b/>
                  <w:bCs/>
                  <w:color w:val="4472C4" w:themeColor="accent1"/>
                  <w:sz w:val="20"/>
                  <w:szCs w:val="20"/>
                </w:rPr>
                <w:t>►M15</w:t>
              </w:r>
            </w:hyperlink>
            <w:r w:rsidR="00D938EB">
              <w:rPr>
                <w:rStyle w:val="apple-converted-space"/>
                <w:rFonts w:ascii="Times New Roman" w:eastAsia="Arial Unicode MS" w:hAnsi="Times New Roman"/>
                <w:color w:val="4472C4" w:themeColor="accent1"/>
                <w:sz w:val="20"/>
                <w:szCs w:val="20"/>
              </w:rPr>
              <w:t xml:space="preserve"> </w:t>
            </w:r>
            <w:proofErr w:type="spellStart"/>
            <w:r>
              <w:rPr>
                <w:rFonts w:ascii="Times New Roman" w:eastAsia="Arial Unicode MS" w:hAnsi="Times New Roman"/>
                <w:color w:val="333333"/>
                <w:sz w:val="20"/>
                <w:szCs w:val="20"/>
              </w:rPr>
              <w:t>Comisia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este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împuternicită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adopte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acte</w:t>
            </w:r>
            <w:proofErr w:type="spellEnd"/>
            <w:r>
              <w:rPr>
                <w:rFonts w:ascii="Times New Roman" w:eastAsia="Arial Unicode MS" w:hAnsi="Times New Roman"/>
                <w:color w:val="333333"/>
                <w:sz w:val="20"/>
                <w:szCs w:val="20"/>
              </w:rPr>
              <w:t xml:space="preserve"> delegate în conformitate cu </w:t>
            </w:r>
            <w:proofErr w:type="spellStart"/>
            <w:r>
              <w:rPr>
                <w:rFonts w:ascii="Times New Roman" w:eastAsia="Arial Unicode MS" w:hAnsi="Times New Roman"/>
                <w:color w:val="333333"/>
                <w:sz w:val="20"/>
                <w:szCs w:val="20"/>
              </w:rPr>
              <w:t>articolul</w:t>
            </w:r>
            <w:proofErr w:type="spellEnd"/>
            <w:r w:rsidR="00D938EB">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23 din prezenta </w:t>
            </w:r>
            <w:proofErr w:type="spellStart"/>
            <w:r>
              <w:rPr>
                <w:rFonts w:ascii="Times New Roman" w:eastAsia="Arial Unicode MS" w:hAnsi="Times New Roman"/>
                <w:color w:val="333333"/>
                <w:sz w:val="20"/>
                <w:szCs w:val="20"/>
              </w:rPr>
              <w:t>directivă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pentru</w:t>
            </w:r>
            <w:proofErr w:type="spellEnd"/>
            <w:r>
              <w:rPr>
                <w:rFonts w:ascii="Times New Roman" w:eastAsia="Arial Unicode MS" w:hAnsi="Times New Roman"/>
                <w:color w:val="333333"/>
                <w:sz w:val="20"/>
                <w:szCs w:val="20"/>
              </w:rPr>
              <w:t xml:space="preserve"> a </w:t>
            </w:r>
            <w:proofErr w:type="spellStart"/>
            <w:r>
              <w:rPr>
                <w:rFonts w:ascii="Times New Roman" w:eastAsia="Arial Unicode MS" w:hAnsi="Times New Roman"/>
                <w:color w:val="333333"/>
                <w:sz w:val="20"/>
                <w:szCs w:val="20"/>
              </w:rPr>
              <w:t>completa</w:t>
            </w:r>
            <w:proofErr w:type="spellEnd"/>
            <w:r>
              <w:rPr>
                <w:rFonts w:ascii="Times New Roman" w:eastAsia="Arial Unicode MS" w:hAnsi="Times New Roman"/>
                <w:color w:val="333333"/>
                <w:sz w:val="20"/>
                <w:szCs w:val="20"/>
              </w:rPr>
              <w:t xml:space="preserve"> prezenta </w:t>
            </w:r>
            <w:proofErr w:type="spellStart"/>
            <w:r>
              <w:rPr>
                <w:rFonts w:ascii="Times New Roman" w:eastAsia="Arial Unicode MS" w:hAnsi="Times New Roman"/>
                <w:color w:val="333333"/>
                <w:sz w:val="20"/>
                <w:szCs w:val="20"/>
              </w:rPr>
              <w:t>directivă</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ceea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privește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calendarul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gestionarea</w:t>
            </w:r>
            <w:proofErr w:type="spellEnd"/>
            <w:r>
              <w:rPr>
                <w:rFonts w:ascii="Times New Roman" w:eastAsia="Arial Unicode MS" w:hAnsi="Times New Roman"/>
                <w:color w:val="333333"/>
                <w:sz w:val="20"/>
                <w:szCs w:val="20"/>
              </w:rPr>
              <w:t xml:space="preserve"> și </w:t>
            </w:r>
            <w:proofErr w:type="spellStart"/>
            <w:r>
              <w:rPr>
                <w:rFonts w:ascii="Times New Roman" w:eastAsia="Arial Unicode MS" w:hAnsi="Times New Roman"/>
                <w:color w:val="333333"/>
                <w:sz w:val="20"/>
                <w:szCs w:val="20"/>
              </w:rPr>
              <w:t>alte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aspecte</w:t>
            </w:r>
            <w:proofErr w:type="spellEnd"/>
            <w:r>
              <w:rPr>
                <w:rFonts w:ascii="Times New Roman" w:eastAsia="Arial Unicode MS" w:hAnsi="Times New Roman"/>
                <w:color w:val="333333"/>
                <w:sz w:val="20"/>
                <w:szCs w:val="20"/>
              </w:rPr>
              <w:t xml:space="preserve"> ale </w:t>
            </w:r>
            <w:proofErr w:type="spellStart"/>
            <w:r>
              <w:rPr>
                <w:rFonts w:ascii="Times New Roman" w:eastAsia="Arial Unicode MS" w:hAnsi="Times New Roman"/>
                <w:color w:val="333333"/>
                <w:sz w:val="20"/>
                <w:szCs w:val="20"/>
              </w:rPr>
              <w:t>licitațiilor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inclusiv</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ceea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privește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modalitățile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licitare</w:t>
            </w:r>
            <w:proofErr w:type="spellEnd"/>
            <w:r>
              <w:rPr>
                <w:rFonts w:ascii="Times New Roman" w:eastAsia="Arial Unicode MS" w:hAnsi="Times New Roman"/>
                <w:color w:val="333333"/>
                <w:sz w:val="20"/>
                <w:szCs w:val="20"/>
              </w:rPr>
              <w:t xml:space="preserve"> care sunt </w:t>
            </w:r>
            <w:proofErr w:type="spellStart"/>
            <w:r>
              <w:rPr>
                <w:rFonts w:ascii="Times New Roman" w:eastAsia="Arial Unicode MS" w:hAnsi="Times New Roman"/>
                <w:color w:val="333333"/>
                <w:sz w:val="20"/>
                <w:szCs w:val="20"/>
              </w:rPr>
              <w:t>necesare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pentru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transferul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unei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părți</w:t>
            </w:r>
            <w:proofErr w:type="spellEnd"/>
            <w:r>
              <w:rPr>
                <w:rFonts w:ascii="Times New Roman" w:eastAsia="Arial Unicode MS" w:hAnsi="Times New Roman"/>
                <w:color w:val="333333"/>
                <w:sz w:val="20"/>
                <w:szCs w:val="20"/>
              </w:rPr>
              <w:t xml:space="preserve"> din </w:t>
            </w:r>
            <w:proofErr w:type="spellStart"/>
            <w:r>
              <w:rPr>
                <w:rFonts w:ascii="Times New Roman" w:eastAsia="Arial Unicode MS" w:hAnsi="Times New Roman"/>
                <w:color w:val="333333"/>
                <w:sz w:val="20"/>
                <w:szCs w:val="20"/>
              </w:rPr>
              <w:t>venituri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către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bugetul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Uniunii</w:t>
            </w:r>
            <w:proofErr w:type="spellEnd"/>
            <w:r>
              <w:rPr>
                <w:rFonts w:ascii="Times New Roman" w:eastAsia="Arial Unicode MS" w:hAnsi="Times New Roman"/>
                <w:color w:val="333333"/>
                <w:sz w:val="20"/>
                <w:szCs w:val="20"/>
              </w:rPr>
              <w:t xml:space="preserve">, sub </w:t>
            </w:r>
            <w:proofErr w:type="spellStart"/>
            <w:r>
              <w:rPr>
                <w:rFonts w:ascii="Times New Roman" w:eastAsia="Arial Unicode MS" w:hAnsi="Times New Roman"/>
                <w:color w:val="333333"/>
                <w:sz w:val="20"/>
                <w:szCs w:val="20"/>
              </w:rPr>
              <w:t>formă</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venituri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externe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alocate</w:t>
            </w:r>
            <w:proofErr w:type="spellEnd"/>
            <w:r>
              <w:rPr>
                <w:rFonts w:ascii="Times New Roman" w:eastAsia="Arial Unicode MS" w:hAnsi="Times New Roman"/>
                <w:color w:val="333333"/>
                <w:sz w:val="20"/>
                <w:szCs w:val="20"/>
              </w:rPr>
              <w:t xml:space="preserve"> în conformitate cu </w:t>
            </w:r>
            <w:proofErr w:type="spellStart"/>
            <w:r>
              <w:rPr>
                <w:rFonts w:ascii="Times New Roman" w:eastAsia="Arial Unicode MS" w:hAnsi="Times New Roman"/>
                <w:color w:val="333333"/>
                <w:sz w:val="20"/>
                <w:szCs w:val="20"/>
              </w:rPr>
              <w:t>articolul</w:t>
            </w:r>
            <w:proofErr w:type="spellEnd"/>
            <w:r w:rsidR="00D938EB">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30d </w:t>
            </w:r>
            <w:proofErr w:type="spellStart"/>
            <w:r>
              <w:rPr>
                <w:rFonts w:ascii="Times New Roman" w:eastAsia="Arial Unicode MS" w:hAnsi="Times New Roman"/>
                <w:color w:val="333333"/>
                <w:sz w:val="20"/>
                <w:szCs w:val="20"/>
              </w:rPr>
              <w:t>alineatul</w:t>
            </w:r>
            <w:proofErr w:type="spellEnd"/>
            <w:r>
              <w:rPr>
                <w:rFonts w:ascii="Times New Roman" w:eastAsia="Arial Unicode MS" w:hAnsi="Times New Roman"/>
                <w:color w:val="333333"/>
                <w:sz w:val="20"/>
                <w:szCs w:val="20"/>
              </w:rPr>
              <w:t xml:space="preserve"> (4) din prezenta </w:t>
            </w:r>
            <w:proofErr w:type="spellStart"/>
            <w:r>
              <w:rPr>
                <w:rFonts w:ascii="Times New Roman" w:eastAsia="Arial Unicode MS" w:hAnsi="Times New Roman"/>
                <w:color w:val="333333"/>
                <w:sz w:val="20"/>
                <w:szCs w:val="20"/>
              </w:rPr>
              <w:t>directivă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sau</w:t>
            </w:r>
            <w:proofErr w:type="spellEnd"/>
            <w:r>
              <w:rPr>
                <w:rFonts w:ascii="Times New Roman" w:eastAsia="Arial Unicode MS" w:hAnsi="Times New Roman"/>
                <w:color w:val="333333"/>
                <w:sz w:val="20"/>
                <w:szCs w:val="20"/>
              </w:rPr>
              <w:t xml:space="preserve"> sub </w:t>
            </w:r>
            <w:proofErr w:type="spellStart"/>
            <w:r>
              <w:rPr>
                <w:rFonts w:ascii="Times New Roman" w:eastAsia="Arial Unicode MS" w:hAnsi="Times New Roman"/>
                <w:color w:val="333333"/>
                <w:sz w:val="20"/>
                <w:szCs w:val="20"/>
              </w:rPr>
              <w:t>formă</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resurse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proprii</w:t>
            </w:r>
            <w:proofErr w:type="spellEnd"/>
            <w:r>
              <w:rPr>
                <w:rFonts w:ascii="Times New Roman" w:eastAsia="Arial Unicode MS" w:hAnsi="Times New Roman"/>
                <w:color w:val="333333"/>
                <w:sz w:val="20"/>
                <w:szCs w:val="20"/>
              </w:rPr>
              <w:t xml:space="preserve"> în conformitate cu </w:t>
            </w:r>
            <w:proofErr w:type="spellStart"/>
            <w:r>
              <w:rPr>
                <w:rFonts w:ascii="Times New Roman" w:eastAsia="Arial Unicode MS" w:hAnsi="Times New Roman"/>
                <w:color w:val="333333"/>
                <w:sz w:val="20"/>
                <w:szCs w:val="20"/>
              </w:rPr>
              <w:t>articolul</w:t>
            </w:r>
            <w:proofErr w:type="spellEnd"/>
            <w:r w:rsidR="00D938EB">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311 al </w:t>
            </w:r>
            <w:proofErr w:type="spellStart"/>
            <w:r>
              <w:rPr>
                <w:rFonts w:ascii="Times New Roman" w:eastAsia="Arial Unicode MS" w:hAnsi="Times New Roman"/>
                <w:color w:val="333333"/>
                <w:sz w:val="20"/>
                <w:szCs w:val="20"/>
              </w:rPr>
              <w:t>treilea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paragraf</w:t>
            </w:r>
            <w:proofErr w:type="spellEnd"/>
            <w:r>
              <w:rPr>
                <w:rFonts w:ascii="Times New Roman" w:eastAsia="Arial Unicode MS" w:hAnsi="Times New Roman"/>
                <w:color w:val="333333"/>
                <w:sz w:val="20"/>
                <w:szCs w:val="20"/>
              </w:rPr>
              <w:t xml:space="preserve"> din TFUE,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încât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acestea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se </w:t>
            </w:r>
            <w:proofErr w:type="spellStart"/>
            <w:r>
              <w:rPr>
                <w:rFonts w:ascii="Times New Roman" w:eastAsia="Arial Unicode MS" w:hAnsi="Times New Roman"/>
                <w:color w:val="333333"/>
                <w:sz w:val="20"/>
                <w:szCs w:val="20"/>
              </w:rPr>
              <w:t>desfășoare</w:t>
            </w:r>
            <w:proofErr w:type="spellEnd"/>
            <w:r>
              <w:rPr>
                <w:rFonts w:ascii="Times New Roman" w:eastAsia="Arial Unicode MS" w:hAnsi="Times New Roman"/>
                <w:color w:val="333333"/>
                <w:sz w:val="20"/>
                <w:szCs w:val="20"/>
              </w:rPr>
              <w:t xml:space="preserve"> în mod </w:t>
            </w:r>
            <w:proofErr w:type="spellStart"/>
            <w:r>
              <w:rPr>
                <w:rFonts w:ascii="Times New Roman" w:eastAsia="Arial Unicode MS" w:hAnsi="Times New Roman"/>
                <w:color w:val="333333"/>
                <w:sz w:val="20"/>
                <w:szCs w:val="20"/>
              </w:rPr>
              <w:t>deschis</w:t>
            </w:r>
            <w:proofErr w:type="spellEnd"/>
            <w:r>
              <w:rPr>
                <w:rFonts w:ascii="Times New Roman" w:eastAsia="Arial Unicode MS" w:hAnsi="Times New Roman"/>
                <w:color w:val="333333"/>
                <w:sz w:val="20"/>
                <w:szCs w:val="20"/>
              </w:rPr>
              <w:t xml:space="preserve">, transparent, </w:t>
            </w:r>
            <w:proofErr w:type="spellStart"/>
            <w:r>
              <w:rPr>
                <w:rFonts w:ascii="Times New Roman" w:eastAsia="Arial Unicode MS" w:hAnsi="Times New Roman"/>
                <w:color w:val="333333"/>
                <w:sz w:val="20"/>
                <w:szCs w:val="20"/>
              </w:rPr>
              <w:t>armonizat</w:t>
            </w:r>
            <w:proofErr w:type="spellEnd"/>
            <w:r>
              <w:rPr>
                <w:rFonts w:ascii="Times New Roman" w:eastAsia="Arial Unicode MS" w:hAnsi="Times New Roman"/>
                <w:color w:val="333333"/>
                <w:sz w:val="20"/>
                <w:szCs w:val="20"/>
              </w:rPr>
              <w:t xml:space="preserve"> și </w:t>
            </w:r>
            <w:proofErr w:type="spellStart"/>
            <w:r>
              <w:rPr>
                <w:rFonts w:ascii="Times New Roman" w:eastAsia="Arial Unicode MS" w:hAnsi="Times New Roman"/>
                <w:color w:val="333333"/>
                <w:sz w:val="20"/>
                <w:szCs w:val="20"/>
              </w:rPr>
              <w:lastRenderedPageBreak/>
              <w:t>nediscriminatoriu</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acest</w:t>
            </w:r>
            <w:proofErr w:type="spellEnd"/>
            <w:r>
              <w:rPr>
                <w:rFonts w:ascii="Times New Roman" w:eastAsia="Arial Unicode MS" w:hAnsi="Times New Roman"/>
                <w:color w:val="333333"/>
                <w:sz w:val="20"/>
                <w:szCs w:val="20"/>
              </w:rPr>
              <w:t xml:space="preserve"> scop, </w:t>
            </w:r>
            <w:proofErr w:type="spellStart"/>
            <w:r>
              <w:rPr>
                <w:rFonts w:ascii="Times New Roman" w:eastAsia="Arial Unicode MS" w:hAnsi="Times New Roman"/>
                <w:color w:val="333333"/>
                <w:sz w:val="20"/>
                <w:szCs w:val="20"/>
              </w:rPr>
              <w:t>procesul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fie </w:t>
            </w:r>
            <w:proofErr w:type="spellStart"/>
            <w:r>
              <w:rPr>
                <w:rFonts w:ascii="Times New Roman" w:eastAsia="Arial Unicode MS" w:hAnsi="Times New Roman"/>
                <w:color w:val="333333"/>
                <w:sz w:val="20"/>
                <w:szCs w:val="20"/>
              </w:rPr>
              <w:t>previzibil</w:t>
            </w:r>
            <w:proofErr w:type="spellEnd"/>
            <w:r>
              <w:rPr>
                <w:rFonts w:ascii="Times New Roman" w:eastAsia="Arial Unicode MS" w:hAnsi="Times New Roman"/>
                <w:color w:val="333333"/>
                <w:sz w:val="20"/>
                <w:szCs w:val="20"/>
              </w:rPr>
              <w:t xml:space="preserve">, în special în </w:t>
            </w:r>
            <w:proofErr w:type="spellStart"/>
            <w:r>
              <w:rPr>
                <w:rFonts w:ascii="Times New Roman" w:eastAsia="Arial Unicode MS" w:hAnsi="Times New Roman"/>
                <w:color w:val="333333"/>
                <w:sz w:val="20"/>
                <w:szCs w:val="20"/>
              </w:rPr>
              <w:t>ceea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privește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calendarul</w:t>
            </w:r>
            <w:proofErr w:type="spellEnd"/>
            <w:r>
              <w:rPr>
                <w:rFonts w:ascii="Times New Roman" w:eastAsia="Arial Unicode MS" w:hAnsi="Times New Roman"/>
                <w:color w:val="333333"/>
                <w:sz w:val="20"/>
                <w:szCs w:val="20"/>
              </w:rPr>
              <w:t xml:space="preserve"> și </w:t>
            </w:r>
            <w:proofErr w:type="spellStart"/>
            <w:r>
              <w:rPr>
                <w:rFonts w:ascii="Times New Roman" w:eastAsia="Arial Unicode MS" w:hAnsi="Times New Roman"/>
                <w:color w:val="333333"/>
                <w:sz w:val="20"/>
                <w:szCs w:val="20"/>
              </w:rPr>
              <w:t>succesiunea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licitațiilor</w:t>
            </w:r>
            <w:proofErr w:type="spellEnd"/>
            <w:r>
              <w:rPr>
                <w:rFonts w:ascii="Times New Roman" w:eastAsia="Arial Unicode MS" w:hAnsi="Times New Roman"/>
                <w:color w:val="333333"/>
                <w:sz w:val="20"/>
                <w:szCs w:val="20"/>
              </w:rPr>
              <w:t xml:space="preserve">, precum și </w:t>
            </w:r>
            <w:proofErr w:type="spellStart"/>
            <w:r>
              <w:rPr>
                <w:rFonts w:ascii="Times New Roman" w:eastAsia="Arial Unicode MS" w:hAnsi="Times New Roman"/>
                <w:color w:val="333333"/>
                <w:sz w:val="20"/>
                <w:szCs w:val="20"/>
              </w:rPr>
              <w:t>volumul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estimat</w:t>
            </w:r>
            <w:proofErr w:type="spellEnd"/>
            <w:r>
              <w:rPr>
                <w:rFonts w:ascii="Times New Roman" w:eastAsia="Arial Unicode MS" w:hAnsi="Times New Roman"/>
                <w:color w:val="333333"/>
                <w:sz w:val="20"/>
                <w:szCs w:val="20"/>
              </w:rPr>
              <w:t xml:space="preserve"> de certificate care </w:t>
            </w:r>
            <w:proofErr w:type="spellStart"/>
            <w:r>
              <w:rPr>
                <w:rFonts w:ascii="Times New Roman" w:eastAsia="Arial Unicode MS" w:hAnsi="Times New Roman"/>
                <w:color w:val="333333"/>
                <w:sz w:val="20"/>
                <w:szCs w:val="20"/>
              </w:rPr>
              <w:t>urmează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fie </w:t>
            </w:r>
            <w:proofErr w:type="spellStart"/>
            <w:r>
              <w:rPr>
                <w:rFonts w:ascii="Times New Roman" w:eastAsia="Arial Unicode MS" w:hAnsi="Times New Roman"/>
                <w:color w:val="333333"/>
                <w:sz w:val="20"/>
                <w:szCs w:val="20"/>
              </w:rPr>
              <w:t>puse</w:t>
            </w:r>
            <w:proofErr w:type="spellEnd"/>
            <w:r>
              <w:rPr>
                <w:rFonts w:ascii="Times New Roman" w:eastAsia="Arial Unicode MS" w:hAnsi="Times New Roman"/>
                <w:color w:val="333333"/>
                <w:sz w:val="20"/>
                <w:szCs w:val="20"/>
              </w:rPr>
              <w:t xml:space="preserve"> la </w:t>
            </w:r>
            <w:proofErr w:type="spellStart"/>
            <w:proofErr w:type="gramStart"/>
            <w:r>
              <w:rPr>
                <w:rFonts w:ascii="Times New Roman" w:eastAsia="Arial Unicode MS" w:hAnsi="Times New Roman"/>
                <w:color w:val="333333"/>
                <w:sz w:val="20"/>
                <w:szCs w:val="20"/>
              </w:rPr>
              <w:t>dispoziție</w:t>
            </w:r>
            <w:proofErr w:type="spellEnd"/>
            <w:r>
              <w:rPr>
                <w:rFonts w:ascii="Times New Roman" w:eastAsia="Arial Unicode MS" w:hAnsi="Times New Roman"/>
                <w:color w:val="333333"/>
                <w:sz w:val="20"/>
                <w:szCs w:val="20"/>
              </w:rPr>
              <w:t>.</w:t>
            </w:r>
            <w:r>
              <w:rPr>
                <w:rStyle w:val="boldface"/>
                <w:rFonts w:ascii="Times New Roman" w:eastAsia="Arial Unicode MS" w:hAnsi="Times New Roman"/>
                <w:b/>
                <w:bCs/>
                <w:color w:val="333333"/>
                <w:sz w:val="20"/>
                <w:szCs w:val="20"/>
              </w:rPr>
              <w:t>◄</w:t>
            </w:r>
            <w:proofErr w:type="gramEnd"/>
          </w:p>
          <w:p w14:paraId="57A4E085" w14:textId="77777777" w:rsidR="00124364" w:rsidRPr="00D938EB" w:rsidRDefault="00000000" w:rsidP="00D938EB">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938EB">
              <w:rPr>
                <w:rFonts w:ascii="Times New Roman" w:eastAsia="Arial Unicode MS" w:hAnsi="Times New Roman"/>
                <w:color w:val="000000" w:themeColor="text1"/>
                <w:sz w:val="20"/>
                <w:szCs w:val="20"/>
                <w:shd w:val="clear" w:color="auto" w:fill="FFFFFF"/>
              </w:rPr>
              <w:t>Actele</w:t>
            </w:r>
            <w:proofErr w:type="spellEnd"/>
            <w:r w:rsidRPr="00D938EB">
              <w:rPr>
                <w:rFonts w:ascii="Times New Roman" w:eastAsia="Arial Unicode MS" w:hAnsi="Times New Roman"/>
                <w:color w:val="000000" w:themeColor="text1"/>
                <w:sz w:val="20"/>
                <w:szCs w:val="20"/>
                <w:shd w:val="clear" w:color="auto" w:fill="FFFFFF"/>
              </w:rPr>
              <w:t xml:space="preserve"> delegate respective </w:t>
            </w:r>
            <w:proofErr w:type="spellStart"/>
            <w:r w:rsidRPr="00D938EB">
              <w:rPr>
                <w:rFonts w:ascii="Times New Roman" w:eastAsia="Arial Unicode MS" w:hAnsi="Times New Roman"/>
                <w:color w:val="000000" w:themeColor="text1"/>
                <w:sz w:val="20"/>
                <w:szCs w:val="20"/>
                <w:shd w:val="clear" w:color="auto" w:fill="FFFFFF"/>
              </w:rPr>
              <w:t>asigură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licitațiile</w:t>
            </w:r>
            <w:proofErr w:type="spellEnd"/>
            <w:r w:rsidRPr="00D938EB">
              <w:rPr>
                <w:rFonts w:ascii="Times New Roman" w:eastAsia="Arial Unicode MS" w:hAnsi="Times New Roman"/>
                <w:color w:val="000000" w:themeColor="text1"/>
                <w:sz w:val="20"/>
                <w:szCs w:val="20"/>
                <w:shd w:val="clear" w:color="auto" w:fill="FFFFFF"/>
              </w:rPr>
              <w:t xml:space="preserve"> sunt </w:t>
            </w:r>
            <w:proofErr w:type="spellStart"/>
            <w:r w:rsidRPr="00D938EB">
              <w:rPr>
                <w:rFonts w:ascii="Times New Roman" w:eastAsia="Arial Unicode MS" w:hAnsi="Times New Roman"/>
                <w:color w:val="000000" w:themeColor="text1"/>
                <w:sz w:val="20"/>
                <w:szCs w:val="20"/>
                <w:shd w:val="clear" w:color="auto" w:fill="FFFFFF"/>
              </w:rPr>
              <w:t>concepute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astfel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încât</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asigure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că</w:t>
            </w:r>
            <w:proofErr w:type="spellEnd"/>
            <w:r w:rsidRPr="00D938EB">
              <w:rPr>
                <w:rFonts w:ascii="Times New Roman" w:eastAsia="Arial Unicode MS" w:hAnsi="Times New Roman"/>
                <w:color w:val="000000" w:themeColor="text1"/>
                <w:sz w:val="20"/>
                <w:szCs w:val="20"/>
                <w:shd w:val="clear" w:color="auto" w:fill="FFFFFF"/>
              </w:rPr>
              <w:t>:</w:t>
            </w:r>
          </w:p>
          <w:p w14:paraId="6B4638CA" w14:textId="61A9F6C5" w:rsidR="00124364" w:rsidRPr="00D938EB" w:rsidRDefault="00000000" w:rsidP="00D938EB">
            <w:pPr>
              <w:pStyle w:val="af8"/>
              <w:numPr>
                <w:ilvl w:val="0"/>
                <w:numId w:val="4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938EB">
              <w:rPr>
                <w:rFonts w:ascii="Times New Roman" w:eastAsia="Arial Unicode MS" w:hAnsi="Times New Roman"/>
                <w:color w:val="000000" w:themeColor="text1"/>
                <w:sz w:val="20"/>
                <w:szCs w:val="20"/>
                <w:shd w:val="clear" w:color="auto" w:fill="FFFFFF"/>
              </w:rPr>
              <w:t>operatorii</w:t>
            </w:r>
            <w:proofErr w:type="spellEnd"/>
            <w:r w:rsidRPr="00D938EB">
              <w:rPr>
                <w:rFonts w:ascii="Times New Roman" w:eastAsia="Arial Unicode MS" w:hAnsi="Times New Roman"/>
                <w:color w:val="000000" w:themeColor="text1"/>
                <w:sz w:val="20"/>
                <w:szCs w:val="20"/>
                <w:shd w:val="clear" w:color="auto" w:fill="FFFFFF"/>
              </w:rPr>
              <w:t xml:space="preserve">, în special </w:t>
            </w:r>
            <w:proofErr w:type="spellStart"/>
            <w:r w:rsidRPr="00D938EB">
              <w:rPr>
                <w:rFonts w:ascii="Times New Roman" w:eastAsia="Arial Unicode MS" w:hAnsi="Times New Roman"/>
                <w:color w:val="000000" w:themeColor="text1"/>
                <w:sz w:val="20"/>
                <w:szCs w:val="20"/>
                <w:shd w:val="clear" w:color="auto" w:fill="FFFFFF"/>
              </w:rPr>
              <w:t>întreprinderile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mici</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mijlocii</w:t>
            </w:r>
            <w:proofErr w:type="spellEnd"/>
            <w:r w:rsidRPr="00D938EB">
              <w:rPr>
                <w:rFonts w:ascii="Times New Roman" w:eastAsia="Arial Unicode MS" w:hAnsi="Times New Roman"/>
                <w:color w:val="000000" w:themeColor="text1"/>
                <w:sz w:val="20"/>
                <w:szCs w:val="20"/>
                <w:shd w:val="clear" w:color="auto" w:fill="FFFFFF"/>
              </w:rPr>
              <w:t xml:space="preserve"> care </w:t>
            </w:r>
            <w:proofErr w:type="spellStart"/>
            <w:r w:rsidRPr="00D938EB">
              <w:rPr>
                <w:rFonts w:ascii="Times New Roman" w:eastAsia="Arial Unicode MS" w:hAnsi="Times New Roman"/>
                <w:color w:val="000000" w:themeColor="text1"/>
                <w:sz w:val="20"/>
                <w:szCs w:val="20"/>
                <w:shd w:val="clear" w:color="auto" w:fill="FFFFFF"/>
              </w:rPr>
              <w:t>intră</w:t>
            </w:r>
            <w:proofErr w:type="spellEnd"/>
            <w:r w:rsidRPr="00D938EB">
              <w:rPr>
                <w:rFonts w:ascii="Times New Roman" w:eastAsia="Arial Unicode MS" w:hAnsi="Times New Roman"/>
                <w:color w:val="000000" w:themeColor="text1"/>
                <w:sz w:val="20"/>
                <w:szCs w:val="20"/>
                <w:shd w:val="clear" w:color="auto" w:fill="FFFFFF"/>
              </w:rPr>
              <w:t xml:space="preserve"> sub </w:t>
            </w:r>
            <w:proofErr w:type="spellStart"/>
            <w:r w:rsidRPr="00D938EB">
              <w:rPr>
                <w:rFonts w:ascii="Times New Roman" w:eastAsia="Arial Unicode MS" w:hAnsi="Times New Roman"/>
                <w:color w:val="000000" w:themeColor="text1"/>
                <w:sz w:val="20"/>
                <w:szCs w:val="20"/>
                <w:shd w:val="clear" w:color="auto" w:fill="FFFFFF"/>
              </w:rPr>
              <w:t>incidența</w:t>
            </w:r>
            <w:proofErr w:type="spellEnd"/>
            <w:r w:rsidRPr="00D938EB">
              <w:rPr>
                <w:rFonts w:ascii="Times New Roman" w:eastAsia="Arial Unicode MS" w:hAnsi="Times New Roman"/>
                <w:color w:val="000000" w:themeColor="text1"/>
                <w:sz w:val="20"/>
                <w:szCs w:val="20"/>
                <w:shd w:val="clear" w:color="auto" w:fill="FFFFFF"/>
              </w:rPr>
              <w:t xml:space="preserve"> EU</w:t>
            </w:r>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ETS, au </w:t>
            </w:r>
            <w:proofErr w:type="spellStart"/>
            <w:r w:rsidRPr="00D938EB">
              <w:rPr>
                <w:rFonts w:ascii="Times New Roman" w:eastAsia="Arial Unicode MS" w:hAnsi="Times New Roman"/>
                <w:color w:val="000000" w:themeColor="text1"/>
                <w:sz w:val="20"/>
                <w:szCs w:val="20"/>
                <w:shd w:val="clear" w:color="auto" w:fill="FFFFFF"/>
              </w:rPr>
              <w:t>acces</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deplin</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echitabil</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gramStart"/>
            <w:r w:rsidRPr="00D938EB">
              <w:rPr>
                <w:rFonts w:ascii="Times New Roman" w:eastAsia="Arial Unicode MS" w:hAnsi="Times New Roman"/>
                <w:color w:val="000000" w:themeColor="text1"/>
                <w:sz w:val="20"/>
                <w:szCs w:val="20"/>
                <w:shd w:val="clear" w:color="auto" w:fill="FFFFFF"/>
              </w:rPr>
              <w:t>egal;</w:t>
            </w:r>
            <w:proofErr w:type="gramEnd"/>
          </w:p>
          <w:p w14:paraId="7FFD7B7D" w14:textId="77777777" w:rsidR="00124364" w:rsidRPr="00D938EB" w:rsidRDefault="00000000" w:rsidP="00D938EB">
            <w:pPr>
              <w:pStyle w:val="af8"/>
              <w:numPr>
                <w:ilvl w:val="0"/>
                <w:numId w:val="4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938EB">
              <w:rPr>
                <w:rFonts w:ascii="Times New Roman" w:eastAsia="Arial Unicode MS" w:hAnsi="Times New Roman"/>
                <w:color w:val="000000" w:themeColor="text1"/>
                <w:sz w:val="20"/>
                <w:szCs w:val="20"/>
                <w:shd w:val="clear" w:color="auto" w:fill="FFFFFF"/>
              </w:rPr>
              <w:t>toți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participanții</w:t>
            </w:r>
            <w:proofErr w:type="spellEnd"/>
            <w:r w:rsidRPr="00D938EB">
              <w:rPr>
                <w:rFonts w:ascii="Times New Roman" w:eastAsia="Arial Unicode MS" w:hAnsi="Times New Roman"/>
                <w:color w:val="000000" w:themeColor="text1"/>
                <w:sz w:val="20"/>
                <w:szCs w:val="20"/>
                <w:shd w:val="clear" w:color="auto" w:fill="FFFFFF"/>
              </w:rPr>
              <w:t xml:space="preserve"> au </w:t>
            </w:r>
            <w:proofErr w:type="spellStart"/>
            <w:r w:rsidRPr="00D938EB">
              <w:rPr>
                <w:rFonts w:ascii="Times New Roman" w:eastAsia="Arial Unicode MS" w:hAnsi="Times New Roman"/>
                <w:color w:val="000000" w:themeColor="text1"/>
                <w:sz w:val="20"/>
                <w:szCs w:val="20"/>
                <w:shd w:val="clear" w:color="auto" w:fill="FFFFFF"/>
              </w:rPr>
              <w:t>acces</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simultan</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aceleași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informații</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participanții</w:t>
            </w:r>
            <w:proofErr w:type="spellEnd"/>
            <w:r w:rsidRPr="00D938EB">
              <w:rPr>
                <w:rFonts w:ascii="Times New Roman" w:eastAsia="Arial Unicode MS" w:hAnsi="Times New Roman"/>
                <w:color w:val="000000" w:themeColor="text1"/>
                <w:sz w:val="20"/>
                <w:szCs w:val="20"/>
                <w:shd w:val="clear" w:color="auto" w:fill="FFFFFF"/>
              </w:rPr>
              <w:t xml:space="preserve"> nu </w:t>
            </w:r>
            <w:proofErr w:type="spellStart"/>
            <w:r w:rsidRPr="00D938EB">
              <w:rPr>
                <w:rFonts w:ascii="Times New Roman" w:eastAsia="Arial Unicode MS" w:hAnsi="Times New Roman"/>
                <w:color w:val="000000" w:themeColor="text1"/>
                <w:sz w:val="20"/>
                <w:szCs w:val="20"/>
                <w:shd w:val="clear" w:color="auto" w:fill="FFFFFF"/>
              </w:rPr>
              <w:t>subminează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desfășurarea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proofErr w:type="gramStart"/>
            <w:r w:rsidRPr="00D938EB">
              <w:rPr>
                <w:rFonts w:ascii="Times New Roman" w:eastAsia="Arial Unicode MS" w:hAnsi="Times New Roman"/>
                <w:color w:val="000000" w:themeColor="text1"/>
                <w:sz w:val="20"/>
                <w:szCs w:val="20"/>
                <w:shd w:val="clear" w:color="auto" w:fill="FFFFFF"/>
              </w:rPr>
              <w:t>licitațiilor</w:t>
            </w:r>
            <w:proofErr w:type="spellEnd"/>
            <w:r w:rsidRPr="00D938EB">
              <w:rPr>
                <w:rFonts w:ascii="Times New Roman" w:eastAsia="Arial Unicode MS" w:hAnsi="Times New Roman"/>
                <w:color w:val="000000" w:themeColor="text1"/>
                <w:sz w:val="20"/>
                <w:szCs w:val="20"/>
                <w:shd w:val="clear" w:color="auto" w:fill="FFFFFF"/>
              </w:rPr>
              <w:t>;</w:t>
            </w:r>
            <w:proofErr w:type="gramEnd"/>
          </w:p>
          <w:p w14:paraId="3A777002" w14:textId="77777777" w:rsidR="00124364" w:rsidRPr="00D938EB" w:rsidRDefault="00000000" w:rsidP="00D938EB">
            <w:pPr>
              <w:pStyle w:val="af8"/>
              <w:numPr>
                <w:ilvl w:val="0"/>
                <w:numId w:val="4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938EB">
              <w:rPr>
                <w:rFonts w:ascii="Times New Roman" w:eastAsia="Arial Unicode MS" w:hAnsi="Times New Roman"/>
                <w:color w:val="000000" w:themeColor="text1"/>
                <w:sz w:val="20"/>
                <w:szCs w:val="20"/>
                <w:shd w:val="clear" w:color="auto" w:fill="FFFFFF"/>
              </w:rPr>
              <w:t>organizarea</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licitații</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participarea</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acestea</w:t>
            </w:r>
            <w:proofErr w:type="spellEnd"/>
            <w:r w:rsidRPr="00D938EB">
              <w:rPr>
                <w:rFonts w:ascii="Times New Roman" w:eastAsia="Arial Unicode MS" w:hAnsi="Times New Roman"/>
                <w:color w:val="000000" w:themeColor="text1"/>
                <w:sz w:val="20"/>
                <w:szCs w:val="20"/>
                <w:shd w:val="clear" w:color="auto" w:fill="FFFFFF"/>
              </w:rPr>
              <w:t xml:space="preserve"> sunt eficiente din </w:t>
            </w:r>
            <w:proofErr w:type="spellStart"/>
            <w:r w:rsidRPr="00D938EB">
              <w:rPr>
                <w:rFonts w:ascii="Times New Roman" w:eastAsia="Arial Unicode MS" w:hAnsi="Times New Roman"/>
                <w:color w:val="000000" w:themeColor="text1"/>
                <w:sz w:val="20"/>
                <w:szCs w:val="20"/>
                <w:shd w:val="clear" w:color="auto" w:fill="FFFFFF"/>
              </w:rPr>
              <w:t>punct</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vedere</w:t>
            </w:r>
            <w:proofErr w:type="spellEnd"/>
            <w:r w:rsidRPr="00D938EB">
              <w:rPr>
                <w:rFonts w:ascii="Times New Roman" w:eastAsia="Arial Unicode MS" w:hAnsi="Times New Roman"/>
                <w:color w:val="000000" w:themeColor="text1"/>
                <w:sz w:val="20"/>
                <w:szCs w:val="20"/>
                <w:shd w:val="clear" w:color="auto" w:fill="FFFFFF"/>
              </w:rPr>
              <w:t xml:space="preserve"> al </w:t>
            </w:r>
            <w:proofErr w:type="spellStart"/>
            <w:r w:rsidRPr="00D938EB">
              <w:rPr>
                <w:rFonts w:ascii="Times New Roman" w:eastAsia="Arial Unicode MS" w:hAnsi="Times New Roman"/>
                <w:color w:val="000000" w:themeColor="text1"/>
                <w:sz w:val="20"/>
                <w:szCs w:val="20"/>
                <w:shd w:val="clear" w:color="auto" w:fill="FFFFFF"/>
              </w:rPr>
              <w:t>costurilor</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că</w:t>
            </w:r>
            <w:proofErr w:type="spellEnd"/>
            <w:r w:rsidRPr="00D938EB">
              <w:rPr>
                <w:rFonts w:ascii="Times New Roman" w:eastAsia="Arial Unicode MS" w:hAnsi="Times New Roman"/>
                <w:color w:val="000000" w:themeColor="text1"/>
                <w:sz w:val="20"/>
                <w:szCs w:val="20"/>
                <w:shd w:val="clear" w:color="auto" w:fill="FFFFFF"/>
              </w:rPr>
              <w:t xml:space="preserve"> sunt </w:t>
            </w:r>
            <w:proofErr w:type="spellStart"/>
            <w:r w:rsidRPr="00D938EB">
              <w:rPr>
                <w:rFonts w:ascii="Times New Roman" w:eastAsia="Arial Unicode MS" w:hAnsi="Times New Roman"/>
                <w:color w:val="000000" w:themeColor="text1"/>
                <w:sz w:val="20"/>
                <w:szCs w:val="20"/>
                <w:shd w:val="clear" w:color="auto" w:fill="FFFFFF"/>
              </w:rPr>
              <w:t>evitate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costurile</w:t>
            </w:r>
            <w:proofErr w:type="spellEnd"/>
            <w:r w:rsidRPr="00D938EB">
              <w:rPr>
                <w:rFonts w:ascii="Times New Roman" w:eastAsia="Arial Unicode MS" w:hAnsi="Times New Roman"/>
                <w:color w:val="000000" w:themeColor="text1"/>
                <w:sz w:val="20"/>
                <w:szCs w:val="20"/>
                <w:shd w:val="clear" w:color="auto" w:fill="FFFFFF"/>
              </w:rPr>
              <w:t xml:space="preserve"> administrative </w:t>
            </w:r>
            <w:proofErr w:type="spellStart"/>
            <w:r w:rsidRPr="00D938EB">
              <w:rPr>
                <w:rFonts w:ascii="Times New Roman" w:eastAsia="Arial Unicode MS" w:hAnsi="Times New Roman"/>
                <w:color w:val="000000" w:themeColor="text1"/>
                <w:sz w:val="20"/>
                <w:szCs w:val="20"/>
                <w:shd w:val="clear" w:color="auto" w:fill="FFFFFF"/>
              </w:rPr>
              <w:t>nejustificate</w:t>
            </w:r>
            <w:proofErr w:type="spellEnd"/>
            <w:r w:rsidRPr="00D938EB">
              <w:rPr>
                <w:rFonts w:ascii="Times New Roman" w:eastAsia="Arial Unicode MS" w:hAnsi="Times New Roman"/>
                <w:color w:val="000000" w:themeColor="text1"/>
                <w:sz w:val="20"/>
                <w:szCs w:val="20"/>
                <w:shd w:val="clear" w:color="auto" w:fill="FFFFFF"/>
              </w:rPr>
              <w:t>; și</w:t>
            </w:r>
          </w:p>
          <w:p w14:paraId="1310D179" w14:textId="77777777" w:rsidR="00124364" w:rsidRPr="00D938EB" w:rsidRDefault="00000000" w:rsidP="00D938EB">
            <w:pPr>
              <w:pStyle w:val="af8"/>
              <w:numPr>
                <w:ilvl w:val="0"/>
                <w:numId w:val="44"/>
              </w:numPr>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shd w:val="clear" w:color="auto" w:fill="FFFFFF"/>
              </w:rPr>
              <w:t xml:space="preserve">se </w:t>
            </w:r>
            <w:proofErr w:type="spellStart"/>
            <w:r w:rsidRPr="00D938EB">
              <w:rPr>
                <w:rFonts w:ascii="Times New Roman" w:eastAsia="Arial Unicode MS" w:hAnsi="Times New Roman"/>
                <w:color w:val="000000" w:themeColor="text1"/>
                <w:sz w:val="20"/>
                <w:szCs w:val="20"/>
                <w:shd w:val="clear" w:color="auto" w:fill="FFFFFF"/>
              </w:rPr>
              <w:t>permite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accesul</w:t>
            </w:r>
            <w:proofErr w:type="spellEnd"/>
            <w:r w:rsidRPr="00D938EB">
              <w:rPr>
                <w:rFonts w:ascii="Times New Roman" w:eastAsia="Arial Unicode MS" w:hAnsi="Times New Roman"/>
                <w:color w:val="000000" w:themeColor="text1"/>
                <w:sz w:val="20"/>
                <w:szCs w:val="20"/>
                <w:shd w:val="clear" w:color="auto" w:fill="FFFFFF"/>
              </w:rPr>
              <w:t xml:space="preserve"> la certificate </w:t>
            </w:r>
            <w:proofErr w:type="spellStart"/>
            <w:r w:rsidRPr="00D938EB">
              <w:rPr>
                <w:rFonts w:ascii="Times New Roman" w:eastAsia="Arial Unicode MS" w:hAnsi="Times New Roman"/>
                <w:color w:val="000000" w:themeColor="text1"/>
                <w:sz w:val="20"/>
                <w:szCs w:val="20"/>
                <w:shd w:val="clear" w:color="auto" w:fill="FFFFFF"/>
              </w:rPr>
              <w:t>operatorilor</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emisii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scăzute</w:t>
            </w:r>
            <w:proofErr w:type="spellEnd"/>
            <w:r w:rsidRPr="00D938EB">
              <w:rPr>
                <w:rFonts w:ascii="Times New Roman" w:eastAsia="Arial Unicode MS" w:hAnsi="Times New Roman"/>
                <w:color w:val="000000" w:themeColor="text1"/>
                <w:sz w:val="20"/>
                <w:szCs w:val="20"/>
                <w:shd w:val="clear" w:color="auto" w:fill="FFFFFF"/>
              </w:rPr>
              <w:t>.</w:t>
            </w:r>
          </w:p>
          <w:p w14:paraId="0740D325" w14:textId="77777777" w:rsidR="00124364" w:rsidRDefault="00000000">
            <w:pPr>
              <w:suppressAutoHyphens w:val="0"/>
              <w:autoSpaceDN/>
              <w:spacing w:after="0" w:line="240" w:lineRule="auto"/>
              <w:ind w:left="360"/>
              <w:textAlignment w:val="auto"/>
              <w:rPr>
                <w:rFonts w:ascii="Times New Roman" w:hAnsi="Times New Roman"/>
                <w:color w:val="4472C4" w:themeColor="accent1"/>
              </w:rPr>
            </w:pPr>
            <w:hyperlink r:id="rId117" w:tooltip="32009L0029: REPLACED" w:history="1">
              <w:r>
                <w:rPr>
                  <w:rStyle w:val="af3"/>
                  <w:rFonts w:ascii="Times New Roman" w:eastAsia="Arial Unicode MS" w:hAnsi="Times New Roman"/>
                  <w:b/>
                  <w:bCs/>
                  <w:color w:val="4472C4" w:themeColor="accent1"/>
                  <w:sz w:val="21"/>
                  <w:szCs w:val="21"/>
                </w:rPr>
                <w:t>▼M4</w:t>
              </w:r>
            </w:hyperlink>
          </w:p>
          <w:p w14:paraId="5CF0F128" w14:textId="77777777" w:rsidR="00124364" w:rsidRPr="00D938EB" w:rsidRDefault="00000000" w:rsidP="00D938EB">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938EB">
              <w:rPr>
                <w:rFonts w:ascii="Times New Roman" w:eastAsia="Arial Unicode MS" w:hAnsi="Times New Roman"/>
                <w:color w:val="000000" w:themeColor="text1"/>
                <w:sz w:val="20"/>
                <w:szCs w:val="20"/>
                <w:shd w:val="clear" w:color="auto" w:fill="FFFFFF"/>
              </w:rPr>
              <w:t>Pentru</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fiecare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licitație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statele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membre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prezintă</w:t>
            </w:r>
            <w:proofErr w:type="spellEnd"/>
            <w:r w:rsidRPr="00D938EB">
              <w:rPr>
                <w:rFonts w:ascii="Times New Roman" w:eastAsia="Arial Unicode MS" w:hAnsi="Times New Roman"/>
                <w:color w:val="000000" w:themeColor="text1"/>
                <w:sz w:val="20"/>
                <w:szCs w:val="20"/>
                <w:shd w:val="clear" w:color="auto" w:fill="FFFFFF"/>
              </w:rPr>
              <w:t xml:space="preserve"> un </w:t>
            </w:r>
            <w:proofErr w:type="spellStart"/>
            <w:r w:rsidRPr="00D938EB">
              <w:rPr>
                <w:rFonts w:ascii="Times New Roman" w:eastAsia="Arial Unicode MS" w:hAnsi="Times New Roman"/>
                <w:color w:val="000000" w:themeColor="text1"/>
                <w:sz w:val="20"/>
                <w:szCs w:val="20"/>
                <w:shd w:val="clear" w:color="auto" w:fill="FFFFFF"/>
              </w:rPr>
              <w:t>raport</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privire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punerea</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aplicare</w:t>
            </w:r>
            <w:proofErr w:type="spellEnd"/>
            <w:r w:rsidRPr="00D938EB">
              <w:rPr>
                <w:rFonts w:ascii="Times New Roman" w:eastAsia="Arial Unicode MS" w:hAnsi="Times New Roman"/>
                <w:color w:val="000000" w:themeColor="text1"/>
                <w:sz w:val="20"/>
                <w:szCs w:val="20"/>
                <w:shd w:val="clear" w:color="auto" w:fill="FFFFFF"/>
              </w:rPr>
              <w:t xml:space="preserve"> în mod </w:t>
            </w:r>
            <w:proofErr w:type="spellStart"/>
            <w:r w:rsidRPr="00D938EB">
              <w:rPr>
                <w:rFonts w:ascii="Times New Roman" w:eastAsia="Arial Unicode MS" w:hAnsi="Times New Roman"/>
                <w:color w:val="000000" w:themeColor="text1"/>
                <w:sz w:val="20"/>
                <w:szCs w:val="20"/>
                <w:shd w:val="clear" w:color="auto" w:fill="FFFFFF"/>
              </w:rPr>
              <w:t>corespunzător</w:t>
            </w:r>
            <w:proofErr w:type="spellEnd"/>
            <w:r w:rsidRPr="00D938EB">
              <w:rPr>
                <w:rFonts w:ascii="Times New Roman" w:eastAsia="Arial Unicode MS" w:hAnsi="Times New Roman"/>
                <w:color w:val="000000" w:themeColor="text1"/>
                <w:sz w:val="20"/>
                <w:szCs w:val="20"/>
                <w:shd w:val="clear" w:color="auto" w:fill="FFFFFF"/>
              </w:rPr>
              <w:t xml:space="preserve"> a </w:t>
            </w:r>
            <w:proofErr w:type="spellStart"/>
            <w:r w:rsidRPr="00D938EB">
              <w:rPr>
                <w:rFonts w:ascii="Times New Roman" w:eastAsia="Arial Unicode MS" w:hAnsi="Times New Roman"/>
                <w:color w:val="000000" w:themeColor="text1"/>
                <w:sz w:val="20"/>
                <w:szCs w:val="20"/>
                <w:shd w:val="clear" w:color="auto" w:fill="FFFFFF"/>
              </w:rPr>
              <w:t>regulilor</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licitare</w:t>
            </w:r>
            <w:proofErr w:type="spellEnd"/>
            <w:r w:rsidRPr="00D938EB">
              <w:rPr>
                <w:rFonts w:ascii="Times New Roman" w:eastAsia="Arial Unicode MS" w:hAnsi="Times New Roman"/>
                <w:color w:val="000000" w:themeColor="text1"/>
                <w:sz w:val="20"/>
                <w:szCs w:val="20"/>
                <w:shd w:val="clear" w:color="auto" w:fill="FFFFFF"/>
              </w:rPr>
              <w:t xml:space="preserve">, în special a </w:t>
            </w:r>
            <w:proofErr w:type="spellStart"/>
            <w:r w:rsidRPr="00D938EB">
              <w:rPr>
                <w:rFonts w:ascii="Times New Roman" w:eastAsia="Arial Unicode MS" w:hAnsi="Times New Roman"/>
                <w:color w:val="000000" w:themeColor="text1"/>
                <w:sz w:val="20"/>
                <w:szCs w:val="20"/>
                <w:shd w:val="clear" w:color="auto" w:fill="FFFFFF"/>
              </w:rPr>
              <w:t>celor</w:t>
            </w:r>
            <w:proofErr w:type="spellEnd"/>
            <w:r w:rsidRPr="00D938EB">
              <w:rPr>
                <w:rFonts w:ascii="Times New Roman" w:eastAsia="Arial Unicode MS" w:hAnsi="Times New Roman"/>
                <w:color w:val="000000" w:themeColor="text1"/>
                <w:sz w:val="20"/>
                <w:szCs w:val="20"/>
                <w:shd w:val="clear" w:color="auto" w:fill="FFFFFF"/>
              </w:rPr>
              <w:t xml:space="preserve"> legate de </w:t>
            </w:r>
            <w:proofErr w:type="spellStart"/>
            <w:r w:rsidRPr="00D938EB">
              <w:rPr>
                <w:rFonts w:ascii="Times New Roman" w:eastAsia="Arial Unicode MS" w:hAnsi="Times New Roman"/>
                <w:color w:val="000000" w:themeColor="text1"/>
                <w:sz w:val="20"/>
                <w:szCs w:val="20"/>
                <w:shd w:val="clear" w:color="auto" w:fill="FFFFFF"/>
              </w:rPr>
              <w:t>accesul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echitabil</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deschis</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transparența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stabilirea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prețului</w:t>
            </w:r>
            <w:proofErr w:type="spellEnd"/>
            <w:r w:rsidRPr="00D938EB">
              <w:rPr>
                <w:rFonts w:ascii="Times New Roman" w:eastAsia="Arial Unicode MS" w:hAnsi="Times New Roman"/>
                <w:color w:val="000000" w:themeColor="text1"/>
                <w:sz w:val="20"/>
                <w:szCs w:val="20"/>
                <w:shd w:val="clear" w:color="auto" w:fill="FFFFFF"/>
              </w:rPr>
              <w:t xml:space="preserve"> și de </w:t>
            </w:r>
            <w:proofErr w:type="spellStart"/>
            <w:r w:rsidRPr="00D938EB">
              <w:rPr>
                <w:rFonts w:ascii="Times New Roman" w:eastAsia="Arial Unicode MS" w:hAnsi="Times New Roman"/>
                <w:color w:val="000000" w:themeColor="text1"/>
                <w:sz w:val="20"/>
                <w:szCs w:val="20"/>
                <w:shd w:val="clear" w:color="auto" w:fill="FFFFFF"/>
              </w:rPr>
              <w:t>aspectele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tehnice</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operaționale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Rapoartele</w:t>
            </w:r>
            <w:proofErr w:type="spellEnd"/>
            <w:r w:rsidRPr="00D938EB">
              <w:rPr>
                <w:rFonts w:ascii="Times New Roman" w:eastAsia="Arial Unicode MS" w:hAnsi="Times New Roman"/>
                <w:color w:val="000000" w:themeColor="text1"/>
                <w:sz w:val="20"/>
                <w:szCs w:val="20"/>
                <w:shd w:val="clear" w:color="auto" w:fill="FFFFFF"/>
              </w:rPr>
              <w:t xml:space="preserve"> se </w:t>
            </w:r>
            <w:proofErr w:type="spellStart"/>
            <w:r w:rsidRPr="00D938EB">
              <w:rPr>
                <w:rFonts w:ascii="Times New Roman" w:eastAsia="Arial Unicode MS" w:hAnsi="Times New Roman"/>
                <w:color w:val="000000" w:themeColor="text1"/>
                <w:sz w:val="20"/>
                <w:szCs w:val="20"/>
                <w:shd w:val="clear" w:color="auto" w:fill="FFFFFF"/>
              </w:rPr>
              <w:t>înaintează</w:t>
            </w:r>
            <w:proofErr w:type="spellEnd"/>
            <w:r w:rsidRPr="00D938EB">
              <w:rPr>
                <w:rFonts w:ascii="Times New Roman" w:eastAsia="Arial Unicode MS" w:hAnsi="Times New Roman"/>
                <w:color w:val="000000" w:themeColor="text1"/>
                <w:sz w:val="20"/>
                <w:szCs w:val="20"/>
                <w:shd w:val="clear" w:color="auto" w:fill="FFFFFF"/>
              </w:rPr>
              <w:t xml:space="preserve"> în termen de o </w:t>
            </w:r>
            <w:proofErr w:type="spellStart"/>
            <w:r w:rsidRPr="00D938EB">
              <w:rPr>
                <w:rFonts w:ascii="Times New Roman" w:eastAsia="Arial Unicode MS" w:hAnsi="Times New Roman"/>
                <w:color w:val="000000" w:themeColor="text1"/>
                <w:sz w:val="20"/>
                <w:szCs w:val="20"/>
                <w:shd w:val="clear" w:color="auto" w:fill="FFFFFF"/>
              </w:rPr>
              <w:t>lună</w:t>
            </w:r>
            <w:proofErr w:type="spellEnd"/>
            <w:r w:rsidRPr="00D938EB">
              <w:rPr>
                <w:rFonts w:ascii="Times New Roman" w:eastAsia="Arial Unicode MS" w:hAnsi="Times New Roman"/>
                <w:color w:val="000000" w:themeColor="text1"/>
                <w:sz w:val="20"/>
                <w:szCs w:val="20"/>
                <w:shd w:val="clear" w:color="auto" w:fill="FFFFFF"/>
              </w:rPr>
              <w:t xml:space="preserve"> de la </w:t>
            </w:r>
            <w:proofErr w:type="spellStart"/>
            <w:r w:rsidRPr="00D938EB">
              <w:rPr>
                <w:rFonts w:ascii="Times New Roman" w:eastAsia="Arial Unicode MS" w:hAnsi="Times New Roman"/>
                <w:color w:val="000000" w:themeColor="text1"/>
                <w:sz w:val="20"/>
                <w:szCs w:val="20"/>
                <w:shd w:val="clear" w:color="auto" w:fill="FFFFFF"/>
              </w:rPr>
              <w:t>licitația</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cauză</w:t>
            </w:r>
            <w:proofErr w:type="spellEnd"/>
            <w:r w:rsidRPr="00D938EB">
              <w:rPr>
                <w:rFonts w:ascii="Times New Roman" w:eastAsia="Arial Unicode MS" w:hAnsi="Times New Roman"/>
                <w:color w:val="000000" w:themeColor="text1"/>
                <w:sz w:val="20"/>
                <w:szCs w:val="20"/>
                <w:shd w:val="clear" w:color="auto" w:fill="FFFFFF"/>
              </w:rPr>
              <w:t xml:space="preserve"> și se </w:t>
            </w:r>
            <w:proofErr w:type="spellStart"/>
            <w:r w:rsidRPr="00D938EB">
              <w:rPr>
                <w:rFonts w:ascii="Times New Roman" w:eastAsia="Arial Unicode MS" w:hAnsi="Times New Roman"/>
                <w:color w:val="000000" w:themeColor="text1"/>
                <w:sz w:val="20"/>
                <w:szCs w:val="20"/>
                <w:shd w:val="clear" w:color="auto" w:fill="FFFFFF"/>
              </w:rPr>
              <w:t>publică</w:t>
            </w:r>
            <w:proofErr w:type="spellEnd"/>
            <w:r w:rsidRPr="00D938EB">
              <w:rPr>
                <w:rFonts w:ascii="Times New Roman" w:eastAsia="Arial Unicode MS" w:hAnsi="Times New Roman"/>
                <w:color w:val="000000" w:themeColor="text1"/>
                <w:sz w:val="20"/>
                <w:szCs w:val="20"/>
                <w:shd w:val="clear" w:color="auto" w:fill="FFFFFF"/>
              </w:rPr>
              <w:t xml:space="preserve"> pe website-</w:t>
            </w:r>
            <w:proofErr w:type="spellStart"/>
            <w:r w:rsidRPr="00D938EB">
              <w:rPr>
                <w:rFonts w:ascii="Times New Roman" w:eastAsia="Arial Unicode MS" w:hAnsi="Times New Roman"/>
                <w:color w:val="000000" w:themeColor="text1"/>
                <w:sz w:val="20"/>
                <w:szCs w:val="20"/>
                <w:shd w:val="clear" w:color="auto" w:fill="FFFFFF"/>
              </w:rPr>
              <w:t>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Comisiei</w:t>
            </w:r>
            <w:proofErr w:type="spellEnd"/>
            <w:r w:rsidRPr="00D938EB">
              <w:rPr>
                <w:rFonts w:ascii="Times New Roman" w:eastAsia="Arial Unicode MS" w:hAnsi="Times New Roman"/>
                <w:color w:val="000000" w:themeColor="text1"/>
                <w:sz w:val="20"/>
                <w:szCs w:val="20"/>
                <w:shd w:val="clear" w:color="auto" w:fill="FFFFFF"/>
              </w:rPr>
              <w:t>.</w:t>
            </w:r>
          </w:p>
          <w:p w14:paraId="226066A5" w14:textId="77777777" w:rsidR="00124364" w:rsidRDefault="00000000">
            <w:pPr>
              <w:suppressAutoHyphens w:val="0"/>
              <w:autoSpaceDN/>
              <w:spacing w:after="0" w:line="240" w:lineRule="auto"/>
              <w:textAlignment w:val="auto"/>
              <w:rPr>
                <w:rStyle w:val="boldface"/>
                <w:rFonts w:ascii="Times New Roman" w:hAnsi="Times New Roman"/>
                <w:color w:val="4472C4" w:themeColor="accent1"/>
                <w:sz w:val="20"/>
                <w:szCs w:val="20"/>
                <w:lang w:val="en-US"/>
              </w:rPr>
            </w:pPr>
            <w:hyperlink r:id="rId118" w:tooltip="32023L0959: REPLACED" w:history="1">
              <w:r>
                <w:rPr>
                  <w:rStyle w:val="af3"/>
                  <w:rFonts w:ascii="Times New Roman" w:eastAsia="Arial Unicode MS" w:hAnsi="Times New Roman"/>
                  <w:b/>
                  <w:bCs/>
                  <w:color w:val="4472C4" w:themeColor="accent1"/>
                  <w:sz w:val="20"/>
                  <w:szCs w:val="20"/>
                </w:rPr>
                <w:t>▼M15</w:t>
              </w:r>
            </w:hyperlink>
          </w:p>
          <w:p w14:paraId="674E9CFC" w14:textId="7BEB4754" w:rsidR="00124364" w:rsidRPr="00D938EB" w:rsidRDefault="00000000" w:rsidP="00D938EB">
            <w:pPr>
              <w:pStyle w:val="af8"/>
              <w:numPr>
                <w:ilvl w:val="0"/>
                <w:numId w:val="32"/>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938EB">
              <w:rPr>
                <w:rFonts w:ascii="Times New Roman" w:eastAsia="Arial Unicode MS" w:hAnsi="Times New Roman"/>
                <w:color w:val="000000" w:themeColor="text1"/>
                <w:sz w:val="20"/>
                <w:szCs w:val="20"/>
                <w:shd w:val="clear" w:color="auto" w:fill="FFFFFF"/>
              </w:rPr>
              <w:t>Comisia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monitorizează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funcționarea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pieței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europene</w:t>
            </w:r>
            <w:proofErr w:type="spellEnd"/>
            <w:r w:rsidRPr="00D938EB">
              <w:rPr>
                <w:rFonts w:ascii="Times New Roman" w:eastAsia="Arial Unicode MS" w:hAnsi="Times New Roman"/>
                <w:color w:val="000000" w:themeColor="text1"/>
                <w:sz w:val="20"/>
                <w:szCs w:val="20"/>
                <w:shd w:val="clear" w:color="auto" w:fill="FFFFFF"/>
              </w:rPr>
              <w:t xml:space="preserve"> a carbonului. În </w:t>
            </w:r>
            <w:proofErr w:type="spellStart"/>
            <w:r w:rsidRPr="00D938EB">
              <w:rPr>
                <w:rFonts w:ascii="Times New Roman" w:eastAsia="Arial Unicode MS" w:hAnsi="Times New Roman"/>
                <w:color w:val="000000" w:themeColor="text1"/>
                <w:sz w:val="20"/>
                <w:szCs w:val="20"/>
                <w:shd w:val="clear" w:color="auto" w:fill="FFFFFF"/>
              </w:rPr>
              <w:t>fiecare</w:t>
            </w:r>
            <w:proofErr w:type="spellEnd"/>
            <w:r w:rsidRPr="00D938EB">
              <w:rPr>
                <w:rFonts w:ascii="Times New Roman" w:eastAsia="Arial Unicode MS" w:hAnsi="Times New Roman"/>
                <w:color w:val="000000" w:themeColor="text1"/>
                <w:sz w:val="20"/>
                <w:szCs w:val="20"/>
                <w:shd w:val="clear" w:color="auto" w:fill="FFFFFF"/>
              </w:rPr>
              <w:t xml:space="preserve"> an, </w:t>
            </w:r>
            <w:proofErr w:type="spellStart"/>
            <w:r w:rsidRPr="00D938EB">
              <w:rPr>
                <w:rFonts w:ascii="Times New Roman" w:eastAsia="Arial Unicode MS" w:hAnsi="Times New Roman"/>
                <w:color w:val="000000" w:themeColor="text1"/>
                <w:sz w:val="20"/>
                <w:szCs w:val="20"/>
                <w:shd w:val="clear" w:color="auto" w:fill="FFFFFF"/>
              </w:rPr>
              <w:t>Comisia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prezintă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Parlamentului</w:t>
            </w:r>
            <w:proofErr w:type="spellEnd"/>
            <w:r w:rsidRPr="00D938EB">
              <w:rPr>
                <w:rFonts w:ascii="Times New Roman" w:eastAsia="Arial Unicode MS" w:hAnsi="Times New Roman"/>
                <w:color w:val="000000" w:themeColor="text1"/>
                <w:sz w:val="20"/>
                <w:szCs w:val="20"/>
                <w:shd w:val="clear" w:color="auto" w:fill="FFFFFF"/>
              </w:rPr>
              <w:t xml:space="preserve"> European și </w:t>
            </w:r>
            <w:proofErr w:type="spellStart"/>
            <w:r w:rsidRPr="00D938EB">
              <w:rPr>
                <w:rFonts w:ascii="Times New Roman" w:eastAsia="Arial Unicode MS" w:hAnsi="Times New Roman"/>
                <w:color w:val="000000" w:themeColor="text1"/>
                <w:sz w:val="20"/>
                <w:szCs w:val="20"/>
                <w:shd w:val="clear" w:color="auto" w:fill="FFFFFF"/>
              </w:rPr>
              <w:t>Consiliului</w:t>
            </w:r>
            <w:proofErr w:type="spellEnd"/>
            <w:r w:rsidRPr="00D938EB">
              <w:rPr>
                <w:rFonts w:ascii="Times New Roman" w:eastAsia="Arial Unicode MS" w:hAnsi="Times New Roman"/>
                <w:color w:val="000000" w:themeColor="text1"/>
                <w:sz w:val="20"/>
                <w:szCs w:val="20"/>
                <w:shd w:val="clear" w:color="auto" w:fill="FFFFFF"/>
              </w:rPr>
              <w:t xml:space="preserve"> un </w:t>
            </w:r>
            <w:proofErr w:type="spellStart"/>
            <w:r w:rsidRPr="00D938EB">
              <w:rPr>
                <w:rFonts w:ascii="Times New Roman" w:eastAsia="Arial Unicode MS" w:hAnsi="Times New Roman"/>
                <w:color w:val="000000" w:themeColor="text1"/>
                <w:sz w:val="20"/>
                <w:szCs w:val="20"/>
                <w:shd w:val="clear" w:color="auto" w:fill="FFFFFF"/>
              </w:rPr>
              <w:t>raport</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referitor</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funcționarea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pieței</w:t>
            </w:r>
            <w:proofErr w:type="spellEnd"/>
            <w:r w:rsidRPr="00D938EB">
              <w:rPr>
                <w:rFonts w:ascii="Times New Roman" w:eastAsia="Arial Unicode MS" w:hAnsi="Times New Roman"/>
                <w:color w:val="000000" w:themeColor="text1"/>
                <w:sz w:val="20"/>
                <w:szCs w:val="20"/>
                <w:shd w:val="clear" w:color="auto" w:fill="FFFFFF"/>
              </w:rPr>
              <w:t xml:space="preserve"> carbonului și la </w:t>
            </w:r>
            <w:proofErr w:type="spellStart"/>
            <w:r w:rsidRPr="00D938EB">
              <w:rPr>
                <w:rFonts w:ascii="Times New Roman" w:eastAsia="Arial Unicode MS" w:hAnsi="Times New Roman"/>
                <w:color w:val="000000" w:themeColor="text1"/>
                <w:sz w:val="20"/>
                <w:szCs w:val="20"/>
                <w:shd w:val="clear" w:color="auto" w:fill="FFFFFF"/>
              </w:rPr>
              <w:t>alte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politici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relevante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privind</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clima</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energia</w:t>
            </w:r>
            <w:proofErr w:type="spellEnd"/>
            <w:r w:rsidRPr="00D938EB">
              <w:rPr>
                <w:rFonts w:ascii="Times New Roman" w:eastAsia="Arial Unicode MS" w:hAnsi="Times New Roman"/>
                <w:color w:val="000000" w:themeColor="text1"/>
                <w:sz w:val="20"/>
                <w:szCs w:val="20"/>
                <w:shd w:val="clear" w:color="auto" w:fill="FFFFFF"/>
              </w:rPr>
              <w:t xml:space="preserve">, care include </w:t>
            </w:r>
            <w:proofErr w:type="spellStart"/>
            <w:r w:rsidRPr="00D938EB">
              <w:rPr>
                <w:rFonts w:ascii="Times New Roman" w:eastAsia="Arial Unicode MS" w:hAnsi="Times New Roman"/>
                <w:color w:val="000000" w:themeColor="text1"/>
                <w:sz w:val="20"/>
                <w:szCs w:val="20"/>
                <w:shd w:val="clear" w:color="auto" w:fill="FFFFFF"/>
              </w:rPr>
              <w:t>aspecte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privind</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funcționarea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licitațiilor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lichiditățile</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volumele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tranzacționate</w:t>
            </w:r>
            <w:proofErr w:type="spellEnd"/>
            <w:r w:rsidRPr="00D938EB">
              <w:rPr>
                <w:rFonts w:ascii="Times New Roman" w:eastAsia="Arial Unicode MS" w:hAnsi="Times New Roman"/>
                <w:color w:val="000000" w:themeColor="text1"/>
                <w:sz w:val="20"/>
                <w:szCs w:val="20"/>
                <w:shd w:val="clear" w:color="auto" w:fill="FFFFFF"/>
              </w:rPr>
              <w:t xml:space="preserve"> și care </w:t>
            </w:r>
            <w:proofErr w:type="spellStart"/>
            <w:r w:rsidRPr="00D938EB">
              <w:rPr>
                <w:rFonts w:ascii="Times New Roman" w:eastAsia="Arial Unicode MS" w:hAnsi="Times New Roman"/>
                <w:color w:val="000000" w:themeColor="text1"/>
                <w:sz w:val="20"/>
                <w:szCs w:val="20"/>
                <w:shd w:val="clear" w:color="auto" w:fill="FFFFFF"/>
              </w:rPr>
              <w:t>sintetizează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informațiile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furnizate</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Autoritatea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Europeană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pentru</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Valori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Mobiliare</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Piețe</w:t>
            </w:r>
            <w:proofErr w:type="spellEnd"/>
            <w:r w:rsidRPr="00D938EB">
              <w:rPr>
                <w:rFonts w:ascii="Times New Roman" w:eastAsia="Arial Unicode MS" w:hAnsi="Times New Roman"/>
                <w:color w:val="000000" w:themeColor="text1"/>
                <w:sz w:val="20"/>
                <w:szCs w:val="20"/>
                <w:shd w:val="clear" w:color="auto" w:fill="FFFFFF"/>
              </w:rPr>
              <w:t xml:space="preserve"> (ESMA) în conformitate cu </w:t>
            </w:r>
            <w:proofErr w:type="spellStart"/>
            <w:r w:rsidRPr="00D938EB">
              <w:rPr>
                <w:rFonts w:ascii="Times New Roman" w:eastAsia="Arial Unicode MS" w:hAnsi="Times New Roman"/>
                <w:color w:val="000000" w:themeColor="text1"/>
                <w:sz w:val="20"/>
                <w:szCs w:val="20"/>
                <w:shd w:val="clear" w:color="auto" w:fill="FFFFFF"/>
              </w:rPr>
              <w:t>alineatul</w:t>
            </w:r>
            <w:proofErr w:type="spellEnd"/>
            <w:r w:rsidRPr="00D938EB">
              <w:rPr>
                <w:rFonts w:ascii="Times New Roman" w:eastAsia="Arial Unicode MS" w:hAnsi="Times New Roman"/>
                <w:color w:val="000000" w:themeColor="text1"/>
                <w:sz w:val="20"/>
                <w:szCs w:val="20"/>
                <w:shd w:val="clear" w:color="auto" w:fill="FFFFFF"/>
              </w:rPr>
              <w:t xml:space="preserve"> (6) de la </w:t>
            </w:r>
            <w:proofErr w:type="spellStart"/>
            <w:r w:rsidRPr="00D938EB">
              <w:rPr>
                <w:rFonts w:ascii="Times New Roman" w:eastAsia="Arial Unicode MS" w:hAnsi="Times New Roman"/>
                <w:color w:val="000000" w:themeColor="text1"/>
                <w:sz w:val="20"/>
                <w:szCs w:val="20"/>
                <w:shd w:val="clear" w:color="auto" w:fill="FFFFFF"/>
              </w:rPr>
              <w:t>prezentul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articol</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informațiile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furnizate</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statele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membre</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privire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măsurile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financiare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menționate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10a </w:t>
            </w:r>
            <w:proofErr w:type="spellStart"/>
            <w:r w:rsidRPr="00D938EB">
              <w:rPr>
                <w:rFonts w:ascii="Times New Roman" w:eastAsia="Arial Unicode MS" w:hAnsi="Times New Roman"/>
                <w:color w:val="000000" w:themeColor="text1"/>
                <w:sz w:val="20"/>
                <w:szCs w:val="20"/>
                <w:shd w:val="clear" w:color="auto" w:fill="FFFFFF"/>
              </w:rPr>
              <w:t>alineatul</w:t>
            </w:r>
            <w:proofErr w:type="spellEnd"/>
            <w:r w:rsidR="00D938EB" w:rsidRP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(6). </w:t>
            </w:r>
            <w:proofErr w:type="spellStart"/>
            <w:r w:rsidRPr="00D938EB">
              <w:rPr>
                <w:rFonts w:ascii="Times New Roman" w:eastAsia="Arial Unicode MS" w:hAnsi="Times New Roman"/>
                <w:color w:val="000000" w:themeColor="text1"/>
                <w:sz w:val="20"/>
                <w:szCs w:val="20"/>
                <w:shd w:val="clear" w:color="auto" w:fill="FFFFFF"/>
              </w:rPr>
              <w:t>Statele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membre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asigură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transmiterea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către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Comisie</w:t>
            </w:r>
            <w:proofErr w:type="spellEnd"/>
            <w:r w:rsidRPr="00D938EB">
              <w:rPr>
                <w:rFonts w:ascii="Times New Roman" w:eastAsia="Arial Unicode MS" w:hAnsi="Times New Roman"/>
                <w:color w:val="000000" w:themeColor="text1"/>
                <w:sz w:val="20"/>
                <w:szCs w:val="20"/>
                <w:shd w:val="clear" w:color="auto" w:fill="FFFFFF"/>
              </w:rPr>
              <w:t xml:space="preserve"> a </w:t>
            </w:r>
            <w:proofErr w:type="spellStart"/>
            <w:r w:rsidRPr="00D938EB">
              <w:rPr>
                <w:rFonts w:ascii="Times New Roman" w:eastAsia="Arial Unicode MS" w:hAnsi="Times New Roman"/>
                <w:color w:val="000000" w:themeColor="text1"/>
                <w:sz w:val="20"/>
                <w:szCs w:val="20"/>
                <w:shd w:val="clear" w:color="auto" w:fill="FFFFFF"/>
              </w:rPr>
              <w:t>tuturor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informațiilor</w:t>
            </w:r>
            <w:proofErr w:type="spellEnd"/>
            <w:r w:rsidRPr="00D938EB">
              <w:rPr>
                <w:rFonts w:ascii="Times New Roman" w:eastAsia="Arial Unicode MS" w:hAnsi="Times New Roman"/>
                <w:color w:val="000000" w:themeColor="text1"/>
                <w:sz w:val="20"/>
                <w:szCs w:val="20"/>
                <w:shd w:val="clear" w:color="auto" w:fill="FFFFFF"/>
              </w:rPr>
              <w:t xml:space="preserve"> utile, cu </w:t>
            </w:r>
            <w:proofErr w:type="spellStart"/>
            <w:r w:rsidRPr="00D938EB">
              <w:rPr>
                <w:rFonts w:ascii="Times New Roman" w:eastAsia="Arial Unicode MS" w:hAnsi="Times New Roman"/>
                <w:color w:val="000000" w:themeColor="text1"/>
                <w:sz w:val="20"/>
                <w:szCs w:val="20"/>
                <w:shd w:val="clear" w:color="auto" w:fill="FFFFFF"/>
              </w:rPr>
              <w:t>cel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puțin</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două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luni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înainte</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adoptarea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raportului</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către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Comisie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dacă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acest</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lucru</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este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necesar</w:t>
            </w:r>
            <w:proofErr w:type="spellEnd"/>
            <w:r w:rsidRPr="00D938EB">
              <w:rPr>
                <w:rFonts w:ascii="Times New Roman" w:eastAsia="Arial Unicode MS" w:hAnsi="Times New Roman"/>
                <w:color w:val="000000" w:themeColor="text1"/>
                <w:sz w:val="20"/>
                <w:szCs w:val="20"/>
                <w:shd w:val="clear" w:color="auto" w:fill="FFFFFF"/>
              </w:rPr>
              <w:t>.</w:t>
            </w:r>
          </w:p>
          <w:p w14:paraId="4DE94F9B"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lang w:val="en-US"/>
              </w:rPr>
            </w:pPr>
            <w:hyperlink r:id="rId119" w:tooltip="32023L0959: INSERTED" w:history="1">
              <w:r>
                <w:rPr>
                  <w:rStyle w:val="af3"/>
                  <w:rFonts w:ascii="Times New Roman" w:eastAsia="Arial Unicode MS" w:hAnsi="Times New Roman"/>
                  <w:b/>
                  <w:bCs/>
                  <w:color w:val="4472C4" w:themeColor="accent1"/>
                  <w:sz w:val="20"/>
                  <w:szCs w:val="20"/>
                </w:rPr>
                <w:t>▼M15</w:t>
              </w:r>
            </w:hyperlink>
          </w:p>
          <w:p w14:paraId="0A9FC1E8" w14:textId="329813B5" w:rsidR="00124364" w:rsidRPr="00D938EB" w:rsidRDefault="00000000" w:rsidP="00D938EB">
            <w:pPr>
              <w:pStyle w:val="af8"/>
              <w:numPr>
                <w:ilvl w:val="0"/>
                <w:numId w:val="32"/>
              </w:numPr>
              <w:suppressAutoHyphens w:val="0"/>
              <w:autoSpaceDN/>
              <w:spacing w:after="0" w:line="240" w:lineRule="auto"/>
              <w:jc w:val="both"/>
              <w:textAlignment w:val="auto"/>
              <w:rPr>
                <w:rFonts w:ascii="Times New Roman" w:hAnsi="Times New Roman"/>
                <w:color w:val="000000" w:themeColor="text1"/>
                <w:sz w:val="20"/>
                <w:szCs w:val="20"/>
                <w:lang w:val="en-US"/>
              </w:rPr>
            </w:pPr>
            <w:r w:rsidRPr="00D938EB">
              <w:rPr>
                <w:rFonts w:ascii="Times New Roman" w:eastAsia="Arial Unicode MS" w:hAnsi="Times New Roman"/>
                <w:color w:val="000000" w:themeColor="text1"/>
                <w:sz w:val="20"/>
                <w:szCs w:val="20"/>
                <w:shd w:val="clear" w:color="auto" w:fill="FFFFFF"/>
              </w:rPr>
              <w:t xml:space="preserve">ESMA </w:t>
            </w:r>
            <w:proofErr w:type="spellStart"/>
            <w:r w:rsidRPr="00D938EB">
              <w:rPr>
                <w:rFonts w:ascii="Times New Roman" w:eastAsia="Arial Unicode MS" w:hAnsi="Times New Roman"/>
                <w:color w:val="000000" w:themeColor="text1"/>
                <w:sz w:val="20"/>
                <w:szCs w:val="20"/>
                <w:shd w:val="clear" w:color="auto" w:fill="FFFFFF"/>
              </w:rPr>
              <w:t>monitorizează</w:t>
            </w:r>
            <w:proofErr w:type="spellEnd"/>
            <w:r w:rsidRPr="00D938EB">
              <w:rPr>
                <w:rFonts w:ascii="Times New Roman" w:eastAsia="Arial Unicode MS" w:hAnsi="Times New Roman"/>
                <w:color w:val="000000" w:themeColor="text1"/>
                <w:sz w:val="20"/>
                <w:szCs w:val="20"/>
                <w:shd w:val="clear" w:color="auto" w:fill="FFFFFF"/>
              </w:rPr>
              <w:t xml:space="preserve"> periodic </w:t>
            </w:r>
            <w:proofErr w:type="spellStart"/>
            <w:r w:rsidRPr="00D938EB">
              <w:rPr>
                <w:rFonts w:ascii="Times New Roman" w:eastAsia="Arial Unicode MS" w:hAnsi="Times New Roman"/>
                <w:color w:val="000000" w:themeColor="text1"/>
                <w:sz w:val="20"/>
                <w:szCs w:val="20"/>
                <w:shd w:val="clear" w:color="auto" w:fill="FFFFFF"/>
              </w:rPr>
              <w:t>integritatea</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transparența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pieței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europene</w:t>
            </w:r>
            <w:proofErr w:type="spellEnd"/>
            <w:r w:rsidRPr="00D938EB">
              <w:rPr>
                <w:rFonts w:ascii="Times New Roman" w:eastAsia="Arial Unicode MS" w:hAnsi="Times New Roman"/>
                <w:color w:val="000000" w:themeColor="text1"/>
                <w:sz w:val="20"/>
                <w:szCs w:val="20"/>
                <w:shd w:val="clear" w:color="auto" w:fill="FFFFFF"/>
              </w:rPr>
              <w:t xml:space="preserve"> a carbonului, în special în </w:t>
            </w:r>
            <w:proofErr w:type="spellStart"/>
            <w:r w:rsidRPr="00D938EB">
              <w:rPr>
                <w:rFonts w:ascii="Times New Roman" w:eastAsia="Arial Unicode MS" w:hAnsi="Times New Roman"/>
                <w:color w:val="000000" w:themeColor="text1"/>
                <w:sz w:val="20"/>
                <w:szCs w:val="20"/>
                <w:shd w:val="clear" w:color="auto" w:fill="FFFFFF"/>
              </w:rPr>
              <w:lastRenderedPageBreak/>
              <w:t>ceea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privește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volatilitatea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pieței</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evoluția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prețurilor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funcționarea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licitațiilor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operațiunile</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tranzacționare</w:t>
            </w:r>
            <w:proofErr w:type="spellEnd"/>
            <w:r w:rsidRPr="00D938EB">
              <w:rPr>
                <w:rFonts w:ascii="Times New Roman" w:eastAsia="Arial Unicode MS" w:hAnsi="Times New Roman"/>
                <w:color w:val="000000" w:themeColor="text1"/>
                <w:sz w:val="20"/>
                <w:szCs w:val="20"/>
                <w:shd w:val="clear" w:color="auto" w:fill="FFFFFF"/>
              </w:rPr>
              <w:t xml:space="preserve"> pe </w:t>
            </w:r>
            <w:proofErr w:type="spellStart"/>
            <w:r w:rsidRPr="00D938EB">
              <w:rPr>
                <w:rFonts w:ascii="Times New Roman" w:eastAsia="Arial Unicode MS" w:hAnsi="Times New Roman"/>
                <w:color w:val="000000" w:themeColor="text1"/>
                <w:sz w:val="20"/>
                <w:szCs w:val="20"/>
                <w:shd w:val="clear" w:color="auto" w:fill="FFFFFF"/>
              </w:rPr>
              <w:t>piață</w:t>
            </w:r>
            <w:proofErr w:type="spellEnd"/>
            <w:r w:rsidRPr="00D938EB">
              <w:rPr>
                <w:rFonts w:ascii="Times New Roman" w:eastAsia="Arial Unicode MS" w:hAnsi="Times New Roman"/>
                <w:color w:val="000000" w:themeColor="text1"/>
                <w:sz w:val="20"/>
                <w:szCs w:val="20"/>
                <w:shd w:val="clear" w:color="auto" w:fill="FFFFFF"/>
              </w:rPr>
              <w:t xml:space="preserve"> a </w:t>
            </w:r>
            <w:proofErr w:type="spellStart"/>
            <w:r w:rsidRPr="00D938EB">
              <w:rPr>
                <w:rFonts w:ascii="Times New Roman" w:eastAsia="Arial Unicode MS" w:hAnsi="Times New Roman"/>
                <w:color w:val="000000" w:themeColor="text1"/>
                <w:sz w:val="20"/>
                <w:szCs w:val="20"/>
                <w:shd w:val="clear" w:color="auto" w:fill="FFFFFF"/>
              </w:rPr>
              <w:t>certificatelor</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emisii</w:t>
            </w:r>
            <w:proofErr w:type="spellEnd"/>
            <w:r w:rsidRPr="00D938EB">
              <w:rPr>
                <w:rFonts w:ascii="Times New Roman" w:eastAsia="Arial Unicode MS" w:hAnsi="Times New Roman"/>
                <w:color w:val="000000" w:themeColor="text1"/>
                <w:sz w:val="20"/>
                <w:szCs w:val="20"/>
                <w:shd w:val="clear" w:color="auto" w:fill="FFFFFF"/>
              </w:rPr>
              <w:t xml:space="preserve"> și a </w:t>
            </w:r>
            <w:proofErr w:type="spellStart"/>
            <w:r w:rsidRPr="00D938EB">
              <w:rPr>
                <w:rFonts w:ascii="Times New Roman" w:eastAsia="Arial Unicode MS" w:hAnsi="Times New Roman"/>
                <w:color w:val="000000" w:themeColor="text1"/>
                <w:sz w:val="20"/>
                <w:szCs w:val="20"/>
                <w:shd w:val="clear" w:color="auto" w:fill="FFFFFF"/>
              </w:rPr>
              <w:t>instrumentelor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financiare</w:t>
            </w:r>
            <w:proofErr w:type="spellEnd"/>
            <w:r w:rsidRPr="00D938EB">
              <w:rPr>
                <w:rFonts w:ascii="Times New Roman" w:eastAsia="Arial Unicode MS" w:hAnsi="Times New Roman"/>
                <w:color w:val="000000" w:themeColor="text1"/>
                <w:sz w:val="20"/>
                <w:szCs w:val="20"/>
                <w:shd w:val="clear" w:color="auto" w:fill="FFFFFF"/>
              </w:rPr>
              <w:t xml:space="preserve"> derivate, </w:t>
            </w:r>
            <w:proofErr w:type="spellStart"/>
            <w:r w:rsidRPr="00D938EB">
              <w:rPr>
                <w:rFonts w:ascii="Times New Roman" w:eastAsia="Arial Unicode MS" w:hAnsi="Times New Roman"/>
                <w:color w:val="000000" w:themeColor="text1"/>
                <w:sz w:val="20"/>
                <w:szCs w:val="20"/>
                <w:shd w:val="clear" w:color="auto" w:fill="FFFFFF"/>
              </w:rPr>
              <w:t>inclusiv</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tranzacționarea</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extrabursieră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lichiditatea</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volumele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tranzacționate</w:t>
            </w:r>
            <w:proofErr w:type="spellEnd"/>
            <w:r w:rsidRPr="00D938EB">
              <w:rPr>
                <w:rFonts w:ascii="Times New Roman" w:eastAsia="Arial Unicode MS" w:hAnsi="Times New Roman"/>
                <w:color w:val="000000" w:themeColor="text1"/>
                <w:sz w:val="20"/>
                <w:szCs w:val="20"/>
                <w:shd w:val="clear" w:color="auto" w:fill="FFFFFF"/>
              </w:rPr>
              <w:t xml:space="preserve">, precum și </w:t>
            </w:r>
            <w:proofErr w:type="spellStart"/>
            <w:r w:rsidRPr="00D938EB">
              <w:rPr>
                <w:rFonts w:ascii="Times New Roman" w:eastAsia="Arial Unicode MS" w:hAnsi="Times New Roman"/>
                <w:color w:val="000000" w:themeColor="text1"/>
                <w:sz w:val="20"/>
                <w:szCs w:val="20"/>
                <w:shd w:val="clear" w:color="auto" w:fill="FFFFFF"/>
              </w:rPr>
              <w:t>categoriile</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comportamentul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participanților</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piață</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cursul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tranzacționărilor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inclusiv</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pozițiile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intermediarilor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financiari</w:t>
            </w:r>
            <w:proofErr w:type="spellEnd"/>
            <w:r w:rsidRPr="00D938EB">
              <w:rPr>
                <w:rFonts w:ascii="Times New Roman" w:eastAsia="Arial Unicode MS" w:hAnsi="Times New Roman"/>
                <w:color w:val="000000" w:themeColor="text1"/>
                <w:sz w:val="20"/>
                <w:szCs w:val="20"/>
                <w:shd w:val="clear" w:color="auto" w:fill="FFFFFF"/>
              </w:rPr>
              <w:t xml:space="preserve">. ESMA include </w:t>
            </w:r>
            <w:proofErr w:type="spellStart"/>
            <w:r w:rsidRPr="00D938EB">
              <w:rPr>
                <w:rFonts w:ascii="Times New Roman" w:eastAsia="Arial Unicode MS" w:hAnsi="Times New Roman"/>
                <w:color w:val="000000" w:themeColor="text1"/>
                <w:sz w:val="20"/>
                <w:szCs w:val="20"/>
                <w:shd w:val="clear" w:color="auto" w:fill="FFFFFF"/>
              </w:rPr>
              <w:t>constatările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pertinente</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dacă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este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necesar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oferă</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recomandări</w:t>
            </w:r>
            <w:proofErr w:type="spellEnd"/>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evaluările</w:t>
            </w:r>
            <w:proofErr w:type="spellEnd"/>
            <w:r w:rsidRPr="00D938EB">
              <w:rPr>
                <w:rFonts w:ascii="Times New Roman" w:eastAsia="Arial Unicode MS" w:hAnsi="Times New Roman"/>
                <w:color w:val="000000" w:themeColor="text1"/>
                <w:sz w:val="20"/>
                <w:szCs w:val="20"/>
                <w:shd w:val="clear" w:color="auto" w:fill="FFFFFF"/>
              </w:rPr>
              <w:t xml:space="preserve"> sale </w:t>
            </w:r>
            <w:proofErr w:type="spellStart"/>
            <w:r w:rsidRPr="00D938EB">
              <w:rPr>
                <w:rFonts w:ascii="Times New Roman" w:eastAsia="Arial Unicode MS" w:hAnsi="Times New Roman"/>
                <w:color w:val="000000" w:themeColor="text1"/>
                <w:sz w:val="20"/>
                <w:szCs w:val="20"/>
                <w:shd w:val="clear" w:color="auto" w:fill="FFFFFF"/>
              </w:rPr>
              <w:t>adresate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Parlamentului</w:t>
            </w:r>
            <w:proofErr w:type="spellEnd"/>
            <w:r w:rsidRPr="00D938EB">
              <w:rPr>
                <w:rFonts w:ascii="Times New Roman" w:eastAsia="Arial Unicode MS" w:hAnsi="Times New Roman"/>
                <w:color w:val="000000" w:themeColor="text1"/>
                <w:sz w:val="20"/>
                <w:szCs w:val="20"/>
                <w:shd w:val="clear" w:color="auto" w:fill="FFFFFF"/>
              </w:rPr>
              <w:t xml:space="preserve"> European, </w:t>
            </w:r>
            <w:proofErr w:type="spellStart"/>
            <w:r w:rsidRPr="00D938EB">
              <w:rPr>
                <w:rFonts w:ascii="Times New Roman" w:eastAsia="Arial Unicode MS" w:hAnsi="Times New Roman"/>
                <w:color w:val="000000" w:themeColor="text1"/>
                <w:sz w:val="20"/>
                <w:szCs w:val="20"/>
                <w:shd w:val="clear" w:color="auto" w:fill="FFFFFF"/>
              </w:rPr>
              <w:t>Consiliului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Comisiei</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Comitetului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european</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pentru</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risc</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sistemic</w:t>
            </w:r>
            <w:proofErr w:type="spellEnd"/>
            <w:r w:rsidRPr="00D938EB">
              <w:rPr>
                <w:rFonts w:ascii="Times New Roman" w:eastAsia="Arial Unicode MS" w:hAnsi="Times New Roman"/>
                <w:color w:val="000000" w:themeColor="text1"/>
                <w:sz w:val="20"/>
                <w:szCs w:val="20"/>
                <w:shd w:val="clear" w:color="auto" w:fill="FFFFFF"/>
              </w:rPr>
              <w:t xml:space="preserve">, în conformitate cu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32 </w:t>
            </w:r>
            <w:proofErr w:type="spellStart"/>
            <w:r w:rsidRPr="00D938EB">
              <w:rPr>
                <w:rFonts w:ascii="Times New Roman" w:eastAsia="Arial Unicode MS" w:hAnsi="Times New Roman"/>
                <w:color w:val="000000" w:themeColor="text1"/>
                <w:sz w:val="20"/>
                <w:szCs w:val="20"/>
                <w:shd w:val="clear" w:color="auto" w:fill="FFFFFF"/>
              </w:rPr>
              <w:t>alineatul</w:t>
            </w:r>
            <w:proofErr w:type="spellEnd"/>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(3) din </w:t>
            </w:r>
            <w:proofErr w:type="spellStart"/>
            <w:r w:rsidRPr="00D938EB">
              <w:rPr>
                <w:rFonts w:ascii="Times New Roman" w:eastAsia="Arial Unicode MS" w:hAnsi="Times New Roman"/>
                <w:color w:val="000000" w:themeColor="text1"/>
                <w:sz w:val="20"/>
                <w:szCs w:val="20"/>
                <w:shd w:val="clear" w:color="auto" w:fill="FFFFFF"/>
              </w:rPr>
              <w:t>Regulamentul</w:t>
            </w:r>
            <w:proofErr w:type="spellEnd"/>
            <w:r w:rsidRPr="00D938EB">
              <w:rPr>
                <w:rFonts w:ascii="Times New Roman" w:eastAsia="Arial Unicode MS" w:hAnsi="Times New Roman"/>
                <w:color w:val="000000" w:themeColor="text1"/>
                <w:sz w:val="20"/>
                <w:szCs w:val="20"/>
                <w:shd w:val="clear" w:color="auto" w:fill="FFFFFF"/>
              </w:rPr>
              <w:t xml:space="preserve"> (UE) nr.</w:t>
            </w:r>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1095/2010 al </w:t>
            </w:r>
            <w:proofErr w:type="spellStart"/>
            <w:r w:rsidRPr="00D938EB">
              <w:rPr>
                <w:rFonts w:ascii="Times New Roman" w:eastAsia="Arial Unicode MS" w:hAnsi="Times New Roman"/>
                <w:color w:val="000000" w:themeColor="text1"/>
                <w:sz w:val="20"/>
                <w:szCs w:val="20"/>
                <w:shd w:val="clear" w:color="auto" w:fill="FFFFFF"/>
              </w:rPr>
              <w:t>Parlamentului</w:t>
            </w:r>
            <w:proofErr w:type="spellEnd"/>
            <w:r w:rsidRPr="00D938EB">
              <w:rPr>
                <w:rFonts w:ascii="Times New Roman" w:eastAsia="Arial Unicode MS" w:hAnsi="Times New Roman"/>
                <w:color w:val="000000" w:themeColor="text1"/>
                <w:sz w:val="20"/>
                <w:szCs w:val="20"/>
                <w:shd w:val="clear" w:color="auto" w:fill="FFFFFF"/>
              </w:rPr>
              <w:t xml:space="preserve"> European și al </w:t>
            </w:r>
            <w:proofErr w:type="spellStart"/>
            <w:r w:rsidRPr="00D938EB">
              <w:rPr>
                <w:rFonts w:ascii="Times New Roman" w:eastAsia="Arial Unicode MS" w:hAnsi="Times New Roman"/>
                <w:color w:val="000000" w:themeColor="text1"/>
                <w:sz w:val="20"/>
                <w:szCs w:val="20"/>
                <w:shd w:val="clear" w:color="auto" w:fill="FFFFFF"/>
              </w:rPr>
              <w:t>Consiliului</w:t>
            </w:r>
            <w:proofErr w:type="spellEnd"/>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w:t>
            </w:r>
            <w:hyperlink r:id="rId120" w:anchor="E0015" w:history="1">
              <w:r w:rsidRPr="00D938EB">
                <w:rPr>
                  <w:rStyle w:val="superscript"/>
                  <w:rFonts w:ascii="Times New Roman" w:eastAsia="Arial Unicode MS" w:hAnsi="Times New Roman"/>
                  <w:color w:val="000000" w:themeColor="text1"/>
                  <w:sz w:val="20"/>
                  <w:szCs w:val="20"/>
                  <w:vertAlign w:val="superscript"/>
                </w:rPr>
                <w:t>15</w:t>
              </w:r>
            </w:hyperlink>
            <w:r w:rsidRPr="00D938EB">
              <w:rPr>
                <w:rFonts w:ascii="Times New Roman" w:eastAsia="Arial Unicode MS" w:hAnsi="Times New Roman"/>
                <w:color w:val="000000" w:themeColor="text1"/>
                <w:sz w:val="20"/>
                <w:szCs w:val="20"/>
                <w:shd w:val="clear" w:color="auto" w:fill="FFFFFF"/>
              </w:rPr>
              <w:t xml:space="preserve">). În </w:t>
            </w:r>
            <w:proofErr w:type="spellStart"/>
            <w:r w:rsidRPr="00D938EB">
              <w:rPr>
                <w:rFonts w:ascii="Times New Roman" w:eastAsia="Arial Unicode MS" w:hAnsi="Times New Roman"/>
                <w:color w:val="000000" w:themeColor="text1"/>
                <w:sz w:val="20"/>
                <w:szCs w:val="20"/>
                <w:shd w:val="clear" w:color="auto" w:fill="FFFFFF"/>
              </w:rPr>
              <w:t>scopul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îndeplinirii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sarcinilor</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menționate</w:t>
            </w:r>
            <w:proofErr w:type="spellEnd"/>
            <w:r w:rsidRPr="00D938EB">
              <w:rPr>
                <w:rFonts w:ascii="Times New Roman" w:eastAsia="Arial Unicode MS" w:hAnsi="Times New Roman"/>
                <w:color w:val="000000" w:themeColor="text1"/>
                <w:sz w:val="20"/>
                <w:szCs w:val="20"/>
                <w:shd w:val="clear" w:color="auto" w:fill="FFFFFF"/>
              </w:rPr>
              <w:t xml:space="preserve"> la prima </w:t>
            </w:r>
            <w:proofErr w:type="spellStart"/>
            <w:r w:rsidRPr="00D938EB">
              <w:rPr>
                <w:rFonts w:ascii="Times New Roman" w:eastAsia="Arial Unicode MS" w:hAnsi="Times New Roman"/>
                <w:color w:val="000000" w:themeColor="text1"/>
                <w:sz w:val="20"/>
                <w:szCs w:val="20"/>
                <w:shd w:val="clear" w:color="auto" w:fill="FFFFFF"/>
              </w:rPr>
              <w:t>teză</w:t>
            </w:r>
            <w:proofErr w:type="spellEnd"/>
            <w:r w:rsidRPr="00D938EB">
              <w:rPr>
                <w:rFonts w:ascii="Times New Roman" w:eastAsia="Arial Unicode MS" w:hAnsi="Times New Roman"/>
                <w:color w:val="000000" w:themeColor="text1"/>
                <w:sz w:val="20"/>
                <w:szCs w:val="20"/>
                <w:shd w:val="clear" w:color="auto" w:fill="FFFFFF"/>
              </w:rPr>
              <w:t xml:space="preserve"> de la </w:t>
            </w:r>
            <w:proofErr w:type="spellStart"/>
            <w:r w:rsidRPr="00D938EB">
              <w:rPr>
                <w:rFonts w:ascii="Times New Roman" w:eastAsia="Arial Unicode MS" w:hAnsi="Times New Roman"/>
                <w:color w:val="000000" w:themeColor="text1"/>
                <w:sz w:val="20"/>
                <w:szCs w:val="20"/>
                <w:shd w:val="clear" w:color="auto" w:fill="FFFFFF"/>
              </w:rPr>
              <w:t>prezentul</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alineat</w:t>
            </w:r>
            <w:proofErr w:type="spellEnd"/>
            <w:r w:rsidRPr="00D938EB">
              <w:rPr>
                <w:rFonts w:ascii="Times New Roman" w:eastAsia="Arial Unicode MS" w:hAnsi="Times New Roman"/>
                <w:color w:val="000000" w:themeColor="text1"/>
                <w:sz w:val="20"/>
                <w:szCs w:val="20"/>
                <w:shd w:val="clear" w:color="auto" w:fill="FFFFFF"/>
              </w:rPr>
              <w:t xml:space="preserve">, ESMA și </w:t>
            </w:r>
            <w:proofErr w:type="spellStart"/>
            <w:r w:rsidRPr="00D938EB">
              <w:rPr>
                <w:rFonts w:ascii="Times New Roman" w:eastAsia="Arial Unicode MS" w:hAnsi="Times New Roman"/>
                <w:color w:val="000000" w:themeColor="text1"/>
                <w:sz w:val="20"/>
                <w:szCs w:val="20"/>
                <w:shd w:val="clear" w:color="auto" w:fill="FFFFFF"/>
              </w:rPr>
              <w:t>autoritățile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competente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vizate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cooperează</w:t>
            </w:r>
            <w:proofErr w:type="spellEnd"/>
            <w:r w:rsidRPr="00D938EB">
              <w:rPr>
                <w:rFonts w:ascii="Times New Roman" w:eastAsia="Arial Unicode MS" w:hAnsi="Times New Roman"/>
                <w:color w:val="000000" w:themeColor="text1"/>
                <w:sz w:val="20"/>
                <w:szCs w:val="20"/>
                <w:shd w:val="clear" w:color="auto" w:fill="FFFFFF"/>
              </w:rPr>
              <w:t xml:space="preserve"> și </w:t>
            </w:r>
            <w:proofErr w:type="spellStart"/>
            <w:r w:rsidRPr="00D938EB">
              <w:rPr>
                <w:rFonts w:ascii="Times New Roman" w:eastAsia="Arial Unicode MS" w:hAnsi="Times New Roman"/>
                <w:color w:val="000000" w:themeColor="text1"/>
                <w:sz w:val="20"/>
                <w:szCs w:val="20"/>
                <w:shd w:val="clear" w:color="auto" w:fill="FFFFFF"/>
              </w:rPr>
              <w:t>fac</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schimb</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informații</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detaliate</w:t>
            </w:r>
            <w:proofErr w:type="spellEnd"/>
            <w:r w:rsidRPr="00D938EB">
              <w:rPr>
                <w:rFonts w:ascii="Times New Roman" w:eastAsia="Arial Unicode MS" w:hAnsi="Times New Roman"/>
                <w:color w:val="000000" w:themeColor="text1"/>
                <w:sz w:val="20"/>
                <w:szCs w:val="20"/>
                <w:shd w:val="clear" w:color="auto" w:fill="FFFFFF"/>
              </w:rPr>
              <w:t xml:space="preserve"> cu </w:t>
            </w:r>
            <w:proofErr w:type="spellStart"/>
            <w:r w:rsidRPr="00D938EB">
              <w:rPr>
                <w:rFonts w:ascii="Times New Roman" w:eastAsia="Arial Unicode MS" w:hAnsi="Times New Roman"/>
                <w:color w:val="000000" w:themeColor="text1"/>
                <w:sz w:val="20"/>
                <w:szCs w:val="20"/>
                <w:shd w:val="clear" w:color="auto" w:fill="FFFFFF"/>
              </w:rPr>
              <w:t>privire</w:t>
            </w:r>
            <w:proofErr w:type="spellEnd"/>
            <w:r w:rsidRPr="00D938EB">
              <w:rPr>
                <w:rFonts w:ascii="Times New Roman" w:eastAsia="Arial Unicode MS" w:hAnsi="Times New Roman"/>
                <w:color w:val="000000" w:themeColor="text1"/>
                <w:sz w:val="20"/>
                <w:szCs w:val="20"/>
                <w:shd w:val="clear" w:color="auto" w:fill="FFFFFF"/>
              </w:rPr>
              <w:t xml:space="preserve"> la </w:t>
            </w:r>
            <w:proofErr w:type="spellStart"/>
            <w:r w:rsidRPr="00D938EB">
              <w:rPr>
                <w:rFonts w:ascii="Times New Roman" w:eastAsia="Arial Unicode MS" w:hAnsi="Times New Roman"/>
                <w:color w:val="000000" w:themeColor="text1"/>
                <w:sz w:val="20"/>
                <w:szCs w:val="20"/>
                <w:shd w:val="clear" w:color="auto" w:fill="FFFFFF"/>
              </w:rPr>
              <w:t>toate</w:t>
            </w:r>
            <w:proofErr w:type="spellEnd"/>
            <w:r w:rsidRPr="00D938EB">
              <w:rPr>
                <w:rFonts w:ascii="Times New Roman" w:eastAsia="Arial Unicode MS" w:hAnsi="Times New Roman"/>
                <w:color w:val="000000" w:themeColor="text1"/>
                <w:sz w:val="20"/>
                <w:szCs w:val="20"/>
                <w:shd w:val="clear" w:color="auto" w:fill="FFFFFF"/>
              </w:rPr>
              <w:t xml:space="preserve"> </w:t>
            </w:r>
            <w:proofErr w:type="spellStart"/>
            <w:r w:rsidRPr="00D938EB">
              <w:rPr>
                <w:rFonts w:ascii="Times New Roman" w:eastAsia="Arial Unicode MS" w:hAnsi="Times New Roman"/>
                <w:color w:val="000000" w:themeColor="text1"/>
                <w:sz w:val="20"/>
                <w:szCs w:val="20"/>
                <w:shd w:val="clear" w:color="auto" w:fill="FFFFFF"/>
              </w:rPr>
              <w:t>tipurile</w:t>
            </w:r>
            <w:proofErr w:type="spellEnd"/>
            <w:r w:rsidRPr="00D938EB">
              <w:rPr>
                <w:rFonts w:ascii="Times New Roman" w:eastAsia="Arial Unicode MS" w:hAnsi="Times New Roman"/>
                <w:color w:val="000000" w:themeColor="text1"/>
                <w:sz w:val="20"/>
                <w:szCs w:val="20"/>
                <w:shd w:val="clear" w:color="auto" w:fill="FFFFFF"/>
              </w:rPr>
              <w:t xml:space="preserve"> de </w:t>
            </w:r>
            <w:proofErr w:type="spellStart"/>
            <w:r w:rsidRPr="00D938EB">
              <w:rPr>
                <w:rFonts w:ascii="Times New Roman" w:eastAsia="Arial Unicode MS" w:hAnsi="Times New Roman"/>
                <w:color w:val="000000" w:themeColor="text1"/>
                <w:sz w:val="20"/>
                <w:szCs w:val="20"/>
                <w:shd w:val="clear" w:color="auto" w:fill="FFFFFF"/>
              </w:rPr>
              <w:t>tranzacții</w:t>
            </w:r>
            <w:proofErr w:type="spellEnd"/>
            <w:r w:rsidRPr="00D938EB">
              <w:rPr>
                <w:rFonts w:ascii="Times New Roman" w:eastAsia="Arial Unicode MS" w:hAnsi="Times New Roman"/>
                <w:color w:val="000000" w:themeColor="text1"/>
                <w:sz w:val="20"/>
                <w:szCs w:val="20"/>
                <w:shd w:val="clear" w:color="auto" w:fill="FFFFFF"/>
              </w:rPr>
              <w:t xml:space="preserve">, în conformitate cu </w:t>
            </w:r>
            <w:proofErr w:type="spellStart"/>
            <w:r w:rsidRPr="00D938EB">
              <w:rPr>
                <w:rFonts w:ascii="Times New Roman" w:eastAsia="Arial Unicode MS" w:hAnsi="Times New Roman"/>
                <w:color w:val="000000" w:themeColor="text1"/>
                <w:sz w:val="20"/>
                <w:szCs w:val="20"/>
                <w:shd w:val="clear" w:color="auto" w:fill="FFFFFF"/>
              </w:rPr>
              <w:t>articolul</w:t>
            </w:r>
            <w:proofErr w:type="spellEnd"/>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25 din </w:t>
            </w:r>
            <w:proofErr w:type="spellStart"/>
            <w:r w:rsidRPr="00D938EB">
              <w:rPr>
                <w:rFonts w:ascii="Times New Roman" w:eastAsia="Arial Unicode MS" w:hAnsi="Times New Roman"/>
                <w:color w:val="000000" w:themeColor="text1"/>
                <w:sz w:val="20"/>
                <w:szCs w:val="20"/>
                <w:shd w:val="clear" w:color="auto" w:fill="FFFFFF"/>
              </w:rPr>
              <w:t>Regulamentul</w:t>
            </w:r>
            <w:proofErr w:type="spellEnd"/>
            <w:r w:rsidRPr="00D938EB">
              <w:rPr>
                <w:rFonts w:ascii="Times New Roman" w:eastAsia="Arial Unicode MS" w:hAnsi="Times New Roman"/>
                <w:color w:val="000000" w:themeColor="text1"/>
                <w:sz w:val="20"/>
                <w:szCs w:val="20"/>
                <w:shd w:val="clear" w:color="auto" w:fill="FFFFFF"/>
              </w:rPr>
              <w:t xml:space="preserve"> (UE) nr.</w:t>
            </w:r>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 xml:space="preserve">596/2014 al </w:t>
            </w:r>
            <w:proofErr w:type="spellStart"/>
            <w:r w:rsidRPr="00D938EB">
              <w:rPr>
                <w:rFonts w:ascii="Times New Roman" w:eastAsia="Arial Unicode MS" w:hAnsi="Times New Roman"/>
                <w:color w:val="000000" w:themeColor="text1"/>
                <w:sz w:val="20"/>
                <w:szCs w:val="20"/>
                <w:shd w:val="clear" w:color="auto" w:fill="FFFFFF"/>
              </w:rPr>
              <w:t>Parlamentului</w:t>
            </w:r>
            <w:proofErr w:type="spellEnd"/>
            <w:r w:rsidRPr="00D938EB">
              <w:rPr>
                <w:rFonts w:ascii="Times New Roman" w:eastAsia="Arial Unicode MS" w:hAnsi="Times New Roman"/>
                <w:color w:val="000000" w:themeColor="text1"/>
                <w:sz w:val="20"/>
                <w:szCs w:val="20"/>
                <w:shd w:val="clear" w:color="auto" w:fill="FFFFFF"/>
              </w:rPr>
              <w:t xml:space="preserve"> European și al </w:t>
            </w:r>
            <w:proofErr w:type="spellStart"/>
            <w:r w:rsidRPr="00D938EB">
              <w:rPr>
                <w:rFonts w:ascii="Times New Roman" w:eastAsia="Arial Unicode MS" w:hAnsi="Times New Roman"/>
                <w:color w:val="000000" w:themeColor="text1"/>
                <w:sz w:val="20"/>
                <w:szCs w:val="20"/>
                <w:shd w:val="clear" w:color="auto" w:fill="FFFFFF"/>
              </w:rPr>
              <w:t>Consiliului</w:t>
            </w:r>
            <w:proofErr w:type="spellEnd"/>
            <w:r w:rsidR="00D938EB">
              <w:rPr>
                <w:rFonts w:ascii="Times New Roman" w:eastAsia="Arial Unicode MS" w:hAnsi="Times New Roman"/>
                <w:color w:val="000000" w:themeColor="text1"/>
                <w:sz w:val="20"/>
                <w:szCs w:val="20"/>
                <w:shd w:val="clear" w:color="auto" w:fill="FFFFFF"/>
              </w:rPr>
              <w:t xml:space="preserve"> </w:t>
            </w:r>
            <w:r w:rsidRPr="00D938EB">
              <w:rPr>
                <w:rFonts w:ascii="Times New Roman" w:eastAsia="Arial Unicode MS" w:hAnsi="Times New Roman"/>
                <w:color w:val="000000" w:themeColor="text1"/>
                <w:sz w:val="20"/>
                <w:szCs w:val="20"/>
                <w:shd w:val="clear" w:color="auto" w:fill="FFFFFF"/>
              </w:rPr>
              <w:t>(</w:t>
            </w:r>
            <w:hyperlink r:id="rId121" w:anchor="E0016" w:history="1">
              <w:r w:rsidRPr="00D938EB">
                <w:rPr>
                  <w:rStyle w:val="superscript"/>
                  <w:rFonts w:ascii="Times New Roman" w:eastAsia="Arial Unicode MS" w:hAnsi="Times New Roman"/>
                  <w:color w:val="000000" w:themeColor="text1"/>
                  <w:sz w:val="20"/>
                  <w:szCs w:val="20"/>
                  <w:vertAlign w:val="superscript"/>
                </w:rPr>
                <w:t>16</w:t>
              </w:r>
            </w:hyperlink>
            <w:r w:rsidRPr="00D938EB">
              <w:rPr>
                <w:rFonts w:ascii="Times New Roman" w:eastAsia="Arial Unicode MS" w:hAnsi="Times New Roman"/>
                <w:color w:val="000000" w:themeColor="text1"/>
                <w:sz w:val="20"/>
                <w:szCs w:val="20"/>
                <w:shd w:val="clear" w:color="auto" w:fill="FFFFFF"/>
              </w:rPr>
              <w:t>).</w:t>
            </w:r>
          </w:p>
          <w:p w14:paraId="2DDE9788"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lang w:val="en-US"/>
              </w:rPr>
            </w:pPr>
            <w:hyperlink r:id="rId122" w:tooltip="32009L0029R(04): REPLACED" w:history="1">
              <w:r>
                <w:rPr>
                  <w:rStyle w:val="af3"/>
                  <w:rFonts w:ascii="Times New Roman" w:eastAsia="Arial Unicode MS" w:hAnsi="Times New Roman"/>
                  <w:b/>
                  <w:bCs/>
                  <w:color w:val="4472C4" w:themeColor="accent1"/>
                  <w:sz w:val="20"/>
                  <w:szCs w:val="20"/>
                </w:rPr>
                <w:t>▼C5</w:t>
              </w:r>
            </w:hyperlink>
          </w:p>
        </w:tc>
        <w:tc>
          <w:tcPr>
            <w:tcW w:w="4394" w:type="dxa"/>
            <w:shd w:val="clear" w:color="auto" w:fill="auto"/>
          </w:tcPr>
          <w:p w14:paraId="4F68035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DAB4AE4" w14:textId="5ECDB74B" w:rsidR="00124364" w:rsidRDefault="00D938EB" w:rsidP="00D938E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3F64EFBC"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523D125" w14:textId="77777777" w:rsidR="00D938EB" w:rsidRPr="0066519A" w:rsidRDefault="00D938EB" w:rsidP="00D938E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de seră, dar intenționează să le transpună și să instituie un sistem regional de </w:t>
            </w:r>
            <w:r w:rsidRPr="0066519A">
              <w:rPr>
                <w:rFonts w:ascii="Times New Roman" w:eastAsiaTheme="minorHAnsi" w:hAnsi="Times New Roman"/>
                <w:color w:val="000000" w:themeColor="text1"/>
                <w:sz w:val="20"/>
                <w:szCs w:val="20"/>
                <w:lang w:val="ro-RO"/>
              </w:rPr>
              <w:lastRenderedPageBreak/>
              <w:t>comercializare a cotelor, care va fi instituit de către Comunitatea Energetică.</w:t>
            </w:r>
          </w:p>
          <w:p w14:paraId="1E4DD026"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95E3D7A" w14:textId="77777777" w:rsidR="00124364" w:rsidRDefault="00124364" w:rsidP="00D938EB">
            <w:pPr>
              <w:autoSpaceDE w:val="0"/>
              <w:spacing w:after="0" w:line="240" w:lineRule="auto"/>
              <w:rPr>
                <w:rFonts w:ascii="Times New Roman" w:hAnsi="Times New Roman"/>
                <w:sz w:val="20"/>
                <w:szCs w:val="20"/>
                <w:lang w:val="fr-FR"/>
              </w:rPr>
            </w:pPr>
          </w:p>
        </w:tc>
      </w:tr>
      <w:tr w:rsidR="00124364" w14:paraId="3A556927" w14:textId="77777777">
        <w:trPr>
          <w:trHeight w:val="558"/>
        </w:trPr>
        <w:tc>
          <w:tcPr>
            <w:tcW w:w="4957" w:type="dxa"/>
            <w:shd w:val="clear" w:color="auto" w:fill="auto"/>
          </w:tcPr>
          <w:p w14:paraId="12BAB4FF" w14:textId="77777777" w:rsidR="00124364" w:rsidRPr="00D938EB"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938EB">
              <w:rPr>
                <w:rFonts w:eastAsia="Arial Unicode MS"/>
                <w:i/>
                <w:iCs/>
                <w:color w:val="000000" w:themeColor="text1"/>
                <w:sz w:val="20"/>
                <w:szCs w:val="20"/>
                <w:shd w:val="clear" w:color="auto" w:fill="FFFFFF"/>
                <w:lang w:val="en-US"/>
              </w:rPr>
              <w:lastRenderedPageBreak/>
              <w:t>Articolul</w:t>
            </w:r>
            <w:proofErr w:type="spellEnd"/>
            <w:r w:rsidRPr="00D938EB">
              <w:rPr>
                <w:rFonts w:eastAsia="Arial Unicode MS"/>
                <w:i/>
                <w:iCs/>
                <w:color w:val="000000" w:themeColor="text1"/>
                <w:sz w:val="20"/>
                <w:szCs w:val="20"/>
                <w:shd w:val="clear" w:color="auto" w:fill="FFFFFF"/>
                <w:lang w:val="en-US"/>
              </w:rPr>
              <w:t xml:space="preserve"> 10a</w:t>
            </w:r>
          </w:p>
          <w:p w14:paraId="1FBE51A3" w14:textId="77777777" w:rsidR="00124364" w:rsidRPr="00D938EB"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D938EB">
              <w:rPr>
                <w:rFonts w:eastAsia="Arial Unicode MS"/>
                <w:b/>
                <w:bCs/>
                <w:color w:val="000000" w:themeColor="text1"/>
                <w:sz w:val="20"/>
                <w:szCs w:val="20"/>
                <w:shd w:val="clear" w:color="auto" w:fill="FFFFFF"/>
                <w:lang w:val="en-US"/>
              </w:rPr>
              <w:t>Norme</w:t>
            </w:r>
            <w:proofErr w:type="spellEnd"/>
            <w:r w:rsidRPr="00D938EB">
              <w:rPr>
                <w:rFonts w:eastAsia="Arial Unicode MS"/>
                <w:b/>
                <w:bCs/>
                <w:color w:val="000000" w:themeColor="text1"/>
                <w:sz w:val="20"/>
                <w:szCs w:val="20"/>
                <w:shd w:val="clear" w:color="auto" w:fill="FFFFFF"/>
                <w:lang w:val="en-US"/>
              </w:rPr>
              <w:t xml:space="preserve"> </w:t>
            </w:r>
            <w:proofErr w:type="spellStart"/>
            <w:r w:rsidRPr="00D938EB">
              <w:rPr>
                <w:rFonts w:eastAsia="Arial Unicode MS"/>
                <w:b/>
                <w:bCs/>
                <w:color w:val="000000" w:themeColor="text1"/>
                <w:sz w:val="20"/>
                <w:szCs w:val="20"/>
                <w:shd w:val="clear" w:color="auto" w:fill="FFFFFF"/>
                <w:lang w:val="en-US"/>
              </w:rPr>
              <w:t>comunitare</w:t>
            </w:r>
            <w:proofErr w:type="spellEnd"/>
            <w:r w:rsidRPr="00D938EB">
              <w:rPr>
                <w:rFonts w:eastAsia="Arial Unicode MS"/>
                <w:b/>
                <w:bCs/>
                <w:color w:val="000000" w:themeColor="text1"/>
                <w:sz w:val="20"/>
                <w:szCs w:val="20"/>
                <w:shd w:val="clear" w:color="auto" w:fill="FFFFFF"/>
                <w:lang w:val="en-US"/>
              </w:rPr>
              <w:t xml:space="preserve"> </w:t>
            </w:r>
            <w:proofErr w:type="spellStart"/>
            <w:r w:rsidRPr="00D938EB">
              <w:rPr>
                <w:rFonts w:eastAsia="Arial Unicode MS"/>
                <w:b/>
                <w:bCs/>
                <w:color w:val="000000" w:themeColor="text1"/>
                <w:sz w:val="20"/>
                <w:szCs w:val="20"/>
                <w:shd w:val="clear" w:color="auto" w:fill="FFFFFF"/>
                <w:lang w:val="en-US"/>
              </w:rPr>
              <w:t>tranzitorii</w:t>
            </w:r>
            <w:proofErr w:type="spellEnd"/>
            <w:r w:rsidRPr="00D938EB">
              <w:rPr>
                <w:rFonts w:eastAsia="Arial Unicode MS"/>
                <w:b/>
                <w:bCs/>
                <w:color w:val="000000" w:themeColor="text1"/>
                <w:sz w:val="20"/>
                <w:szCs w:val="20"/>
                <w:shd w:val="clear" w:color="auto" w:fill="FFFFFF"/>
                <w:lang w:val="en-US"/>
              </w:rPr>
              <w:t xml:space="preserve"> </w:t>
            </w:r>
            <w:proofErr w:type="spellStart"/>
            <w:r w:rsidRPr="00D938EB">
              <w:rPr>
                <w:rFonts w:eastAsia="Arial Unicode MS"/>
                <w:b/>
                <w:bCs/>
                <w:color w:val="000000" w:themeColor="text1"/>
                <w:sz w:val="20"/>
                <w:szCs w:val="20"/>
                <w:shd w:val="clear" w:color="auto" w:fill="FFFFFF"/>
                <w:lang w:val="en-US"/>
              </w:rPr>
              <w:t>privind</w:t>
            </w:r>
            <w:proofErr w:type="spellEnd"/>
            <w:r w:rsidRPr="00D938EB">
              <w:rPr>
                <w:rFonts w:eastAsia="Arial Unicode MS"/>
                <w:b/>
                <w:bCs/>
                <w:color w:val="000000" w:themeColor="text1"/>
                <w:sz w:val="20"/>
                <w:szCs w:val="20"/>
                <w:shd w:val="clear" w:color="auto" w:fill="FFFFFF"/>
                <w:lang w:val="en-US"/>
              </w:rPr>
              <w:t xml:space="preserve"> </w:t>
            </w:r>
            <w:proofErr w:type="spellStart"/>
            <w:r w:rsidRPr="00D938EB">
              <w:rPr>
                <w:rFonts w:eastAsia="Arial Unicode MS"/>
                <w:b/>
                <w:bCs/>
                <w:color w:val="000000" w:themeColor="text1"/>
                <w:sz w:val="20"/>
                <w:szCs w:val="20"/>
                <w:shd w:val="clear" w:color="auto" w:fill="FFFFFF"/>
                <w:lang w:val="en-US"/>
              </w:rPr>
              <w:t>alocarea</w:t>
            </w:r>
            <w:proofErr w:type="spellEnd"/>
            <w:r w:rsidRPr="00D938EB">
              <w:rPr>
                <w:rFonts w:eastAsia="Arial Unicode MS"/>
                <w:b/>
                <w:bCs/>
                <w:color w:val="000000" w:themeColor="text1"/>
                <w:sz w:val="20"/>
                <w:szCs w:val="20"/>
                <w:shd w:val="clear" w:color="auto" w:fill="FFFFFF"/>
                <w:lang w:val="en-US"/>
              </w:rPr>
              <w:t xml:space="preserve"> de cote cu </w:t>
            </w:r>
            <w:proofErr w:type="spellStart"/>
            <w:r w:rsidRPr="00D938EB">
              <w:rPr>
                <w:rFonts w:eastAsia="Arial Unicode MS"/>
                <w:b/>
                <w:bCs/>
                <w:color w:val="000000" w:themeColor="text1"/>
                <w:sz w:val="20"/>
                <w:szCs w:val="20"/>
                <w:shd w:val="clear" w:color="auto" w:fill="FFFFFF"/>
                <w:lang w:val="en-US"/>
              </w:rPr>
              <w:t>titlu</w:t>
            </w:r>
            <w:proofErr w:type="spellEnd"/>
            <w:r w:rsidRPr="00D938EB">
              <w:rPr>
                <w:rFonts w:eastAsia="Arial Unicode MS"/>
                <w:b/>
                <w:bCs/>
                <w:color w:val="000000" w:themeColor="text1"/>
                <w:sz w:val="20"/>
                <w:szCs w:val="20"/>
                <w:shd w:val="clear" w:color="auto" w:fill="FFFFFF"/>
                <w:lang w:val="en-US"/>
              </w:rPr>
              <w:t xml:space="preserve"> gratuity</w:t>
            </w:r>
          </w:p>
          <w:p w14:paraId="634E9A20" w14:textId="77777777" w:rsidR="00124364" w:rsidRDefault="00000000">
            <w:pPr>
              <w:pStyle w:val="ti-art"/>
              <w:shd w:val="clear" w:color="auto" w:fill="FFFFFF"/>
              <w:spacing w:before="0" w:beforeAutospacing="0" w:after="0" w:afterAutospacing="0"/>
              <w:rPr>
                <w:color w:val="4472C4" w:themeColor="accent1"/>
                <w:sz w:val="20"/>
                <w:szCs w:val="20"/>
              </w:rPr>
            </w:pPr>
            <w:hyperlink r:id="rId123" w:tooltip="32018L0410: REPLACED" w:history="1">
              <w:r>
                <w:rPr>
                  <w:rStyle w:val="af3"/>
                  <w:rFonts w:eastAsia="Arial Unicode MS"/>
                  <w:b/>
                  <w:bCs/>
                  <w:color w:val="4472C4" w:themeColor="accent1"/>
                  <w:sz w:val="20"/>
                  <w:szCs w:val="20"/>
                </w:rPr>
                <w:t>▼M9</w:t>
              </w:r>
            </w:hyperlink>
          </w:p>
          <w:p w14:paraId="597BBB81" w14:textId="09E5592F" w:rsidR="00124364" w:rsidRPr="00D938EB" w:rsidRDefault="00000000" w:rsidP="00D938EB">
            <w:pPr>
              <w:pStyle w:val="ti-art"/>
              <w:numPr>
                <w:ilvl w:val="0"/>
                <w:numId w:val="4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Comisia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este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împuternicită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adopte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acte</w:t>
            </w:r>
            <w:proofErr w:type="spellEnd"/>
            <w:r w:rsidRPr="00D938EB">
              <w:rPr>
                <w:rFonts w:eastAsia="Arial Unicode MS"/>
                <w:color w:val="000000" w:themeColor="text1"/>
                <w:sz w:val="20"/>
                <w:szCs w:val="20"/>
                <w:shd w:val="clear" w:color="auto" w:fill="FFFFFF"/>
                <w:lang w:val="en-US"/>
              </w:rPr>
              <w:t xml:space="preserve"> delegate în conformitate cu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23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a </w:t>
            </w:r>
            <w:proofErr w:type="spellStart"/>
            <w:r w:rsidRPr="00D938EB">
              <w:rPr>
                <w:rFonts w:eastAsia="Arial Unicode MS"/>
                <w:color w:val="000000" w:themeColor="text1"/>
                <w:sz w:val="20"/>
                <w:szCs w:val="20"/>
                <w:shd w:val="clear" w:color="auto" w:fill="FFFFFF"/>
                <w:lang w:val="en-US"/>
              </w:rPr>
              <w:t>completa</w:t>
            </w:r>
            <w:proofErr w:type="spellEnd"/>
            <w:r w:rsidRPr="00D938EB">
              <w:rPr>
                <w:rFonts w:eastAsia="Arial Unicode MS"/>
                <w:color w:val="000000" w:themeColor="text1"/>
                <w:sz w:val="20"/>
                <w:szCs w:val="20"/>
                <w:shd w:val="clear" w:color="auto" w:fill="FFFFFF"/>
                <w:lang w:val="en-US"/>
              </w:rPr>
              <w:t xml:space="preserve"> prezenta </w:t>
            </w:r>
            <w:proofErr w:type="spellStart"/>
            <w:r w:rsidRPr="00D938EB">
              <w:rPr>
                <w:rFonts w:eastAsia="Arial Unicode MS"/>
                <w:color w:val="000000" w:themeColor="text1"/>
                <w:sz w:val="20"/>
                <w:szCs w:val="20"/>
                <w:shd w:val="clear" w:color="auto" w:fill="FFFFFF"/>
                <w:lang w:val="en-US"/>
              </w:rPr>
              <w:t>directivă</w:t>
            </w:r>
            <w:proofErr w:type="spellEnd"/>
            <w:r w:rsidRPr="00D938EB">
              <w:rPr>
                <w:rFonts w:eastAsia="Arial Unicode MS"/>
                <w:color w:val="000000" w:themeColor="text1"/>
                <w:sz w:val="20"/>
                <w:szCs w:val="20"/>
                <w:shd w:val="clear" w:color="auto" w:fill="FFFFFF"/>
                <w:lang w:val="en-US"/>
              </w:rPr>
              <w:t xml:space="preserve"> în </w:t>
            </w:r>
            <w:proofErr w:type="spellStart"/>
            <w:r w:rsidRPr="00D938EB">
              <w:rPr>
                <w:rFonts w:eastAsia="Arial Unicode MS"/>
                <w:color w:val="000000" w:themeColor="text1"/>
                <w:sz w:val="20"/>
                <w:szCs w:val="20"/>
                <w:shd w:val="clear" w:color="auto" w:fill="FFFFFF"/>
                <w:lang w:val="en-US"/>
              </w:rPr>
              <w:t>ceea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privește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normele</w:t>
            </w:r>
            <w:proofErr w:type="spellEnd"/>
            <w:r w:rsidRPr="00D938EB">
              <w:rPr>
                <w:rFonts w:eastAsia="Arial Unicode MS"/>
                <w:color w:val="000000" w:themeColor="text1"/>
                <w:sz w:val="20"/>
                <w:szCs w:val="20"/>
                <w:shd w:val="clear" w:color="auto" w:fill="FFFFFF"/>
                <w:lang w:val="en-US"/>
              </w:rPr>
              <w:t xml:space="preserve"> integral </w:t>
            </w:r>
            <w:proofErr w:type="spellStart"/>
            <w:r w:rsidRPr="00D938EB">
              <w:rPr>
                <w:rFonts w:eastAsia="Arial Unicode MS"/>
                <w:color w:val="000000" w:themeColor="text1"/>
                <w:sz w:val="20"/>
                <w:szCs w:val="20"/>
                <w:shd w:val="clear" w:color="auto" w:fill="FFFFFF"/>
                <w:lang w:val="en-US"/>
              </w:rPr>
              <w:t>armonizate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nivelul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Uniunii</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pentru</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alocarea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certificatelor</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menționate</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alineatele</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(4), (5), (7) și</w:t>
            </w:r>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(19) de la </w:t>
            </w:r>
            <w:proofErr w:type="spellStart"/>
            <w:r w:rsidRPr="00D938EB">
              <w:rPr>
                <w:rFonts w:eastAsia="Arial Unicode MS"/>
                <w:color w:val="000000" w:themeColor="text1"/>
                <w:sz w:val="20"/>
                <w:szCs w:val="20"/>
                <w:shd w:val="clear" w:color="auto" w:fill="FFFFFF"/>
                <w:lang w:val="en-US"/>
              </w:rPr>
              <w:t>prezentul</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articol</w:t>
            </w:r>
            <w:proofErr w:type="spellEnd"/>
            <w:r w:rsidRPr="00D938EB">
              <w:rPr>
                <w:rFonts w:eastAsia="Arial Unicode MS"/>
                <w:color w:val="000000" w:themeColor="text1"/>
                <w:sz w:val="20"/>
                <w:szCs w:val="20"/>
                <w:shd w:val="clear" w:color="auto" w:fill="FFFFFF"/>
                <w:lang w:val="en-US"/>
              </w:rPr>
              <w:t>.</w:t>
            </w:r>
          </w:p>
          <w:p w14:paraId="7AD523B1" w14:textId="77777777" w:rsidR="00124364" w:rsidRPr="00E34C2B" w:rsidRDefault="00000000">
            <w:pPr>
              <w:pStyle w:val="ti-art"/>
              <w:shd w:val="clear" w:color="auto" w:fill="FFFFFF"/>
              <w:spacing w:before="0" w:beforeAutospacing="0" w:after="0" w:afterAutospacing="0"/>
              <w:ind w:left="720"/>
              <w:rPr>
                <w:color w:val="4472C4" w:themeColor="accent1"/>
                <w:sz w:val="20"/>
                <w:szCs w:val="20"/>
                <w:lang w:val="en-US"/>
              </w:rPr>
            </w:pPr>
            <w:hyperlink r:id="rId124" w:tooltip="32009L0029R(04): REPLACED" w:history="1">
              <w:r w:rsidRPr="00E34C2B">
                <w:rPr>
                  <w:rStyle w:val="af3"/>
                  <w:rFonts w:eastAsia="Arial Unicode MS"/>
                  <w:b/>
                  <w:bCs/>
                  <w:color w:val="4472C4" w:themeColor="accent1"/>
                  <w:sz w:val="20"/>
                  <w:szCs w:val="20"/>
                  <w:lang w:val="en-US"/>
                </w:rPr>
                <w:t>▼C5</w:t>
              </w:r>
            </w:hyperlink>
          </w:p>
          <w:p w14:paraId="5DC749B7" w14:textId="5EF65222" w:rsidR="00124364" w:rsidRPr="00D938EB" w:rsidRDefault="00000000" w:rsidP="00D938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38EB">
              <w:rPr>
                <w:rFonts w:eastAsia="Arial Unicode MS"/>
                <w:color w:val="000000" w:themeColor="text1"/>
                <w:sz w:val="20"/>
                <w:szCs w:val="20"/>
                <w:shd w:val="clear" w:color="auto" w:fill="FFFFFF"/>
                <w:lang w:val="en-US"/>
              </w:rPr>
              <w:t>Măsurile</w:t>
            </w:r>
            <w:proofErr w:type="spellEnd"/>
            <w:r w:rsidRPr="00D938EB">
              <w:rPr>
                <w:rFonts w:eastAsia="Arial Unicode MS"/>
                <w:color w:val="000000" w:themeColor="text1"/>
                <w:sz w:val="20"/>
                <w:szCs w:val="20"/>
                <w:shd w:val="clear" w:color="auto" w:fill="FFFFFF"/>
                <w:lang w:val="en-US"/>
              </w:rPr>
              <w:t xml:space="preserve"> respective, destinate </w:t>
            </w:r>
            <w:proofErr w:type="spellStart"/>
            <w:r w:rsidRPr="00D938EB">
              <w:rPr>
                <w:rFonts w:eastAsia="Arial Unicode MS"/>
                <w:color w:val="000000" w:themeColor="text1"/>
                <w:sz w:val="20"/>
                <w:szCs w:val="20"/>
                <w:shd w:val="clear" w:color="auto" w:fill="FFFFFF"/>
                <w:lang w:val="en-US"/>
              </w:rPr>
              <w:t>să</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modifice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elemente</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neesențiale</w:t>
            </w:r>
            <w:proofErr w:type="spellEnd"/>
            <w:r w:rsidRPr="00D938EB">
              <w:rPr>
                <w:rFonts w:eastAsia="Arial Unicode MS"/>
                <w:color w:val="000000" w:themeColor="text1"/>
                <w:sz w:val="20"/>
                <w:szCs w:val="20"/>
                <w:shd w:val="clear" w:color="auto" w:fill="FFFFFF"/>
                <w:lang w:val="en-US"/>
              </w:rPr>
              <w:t xml:space="preserve"> ale </w:t>
            </w:r>
            <w:proofErr w:type="spellStart"/>
            <w:r w:rsidRPr="00D938EB">
              <w:rPr>
                <w:rFonts w:eastAsia="Arial Unicode MS"/>
                <w:color w:val="000000" w:themeColor="text1"/>
                <w:sz w:val="20"/>
                <w:szCs w:val="20"/>
                <w:shd w:val="clear" w:color="auto" w:fill="FFFFFF"/>
                <w:lang w:val="en-US"/>
              </w:rPr>
              <w:t>prezentei</w:t>
            </w:r>
            <w:proofErr w:type="spellEnd"/>
            <w:r w:rsidRPr="00D938EB">
              <w:rPr>
                <w:rFonts w:eastAsia="Arial Unicode MS"/>
                <w:color w:val="000000" w:themeColor="text1"/>
                <w:sz w:val="20"/>
                <w:szCs w:val="20"/>
                <w:shd w:val="clear" w:color="auto" w:fill="FFFFFF"/>
                <w:lang w:val="en-US"/>
              </w:rPr>
              <w:t xml:space="preserve"> directive </w:t>
            </w:r>
            <w:proofErr w:type="spellStart"/>
            <w:r w:rsidRPr="00D938EB">
              <w:rPr>
                <w:rFonts w:eastAsia="Arial Unicode MS"/>
                <w:color w:val="000000" w:themeColor="text1"/>
                <w:sz w:val="20"/>
                <w:szCs w:val="20"/>
                <w:shd w:val="clear" w:color="auto" w:fill="FFFFFF"/>
                <w:lang w:val="en-US"/>
              </w:rPr>
              <w:t>prin</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completarea</w:t>
            </w:r>
            <w:proofErr w:type="spellEnd"/>
            <w:r w:rsidRPr="00D938EB">
              <w:rPr>
                <w:rFonts w:eastAsia="Arial Unicode MS"/>
                <w:color w:val="000000" w:themeColor="text1"/>
                <w:sz w:val="20"/>
                <w:szCs w:val="20"/>
                <w:shd w:val="clear" w:color="auto" w:fill="FFFFFF"/>
                <w:lang w:val="en-US"/>
              </w:rPr>
              <w:t xml:space="preserve"> </w:t>
            </w:r>
            <w:proofErr w:type="spellStart"/>
            <w:r w:rsidRPr="00D938EB">
              <w:rPr>
                <w:rFonts w:eastAsia="Arial Unicode MS"/>
                <w:color w:val="000000" w:themeColor="text1"/>
                <w:sz w:val="20"/>
                <w:szCs w:val="20"/>
                <w:shd w:val="clear" w:color="auto" w:fill="FFFFFF"/>
                <w:lang w:val="en-US"/>
              </w:rPr>
              <w:t>acesteia</w:t>
            </w:r>
            <w:proofErr w:type="spellEnd"/>
            <w:r w:rsidRPr="00D938EB">
              <w:rPr>
                <w:rFonts w:eastAsia="Arial Unicode MS"/>
                <w:color w:val="000000" w:themeColor="text1"/>
                <w:sz w:val="20"/>
                <w:szCs w:val="20"/>
                <w:shd w:val="clear" w:color="auto" w:fill="FFFFFF"/>
                <w:lang w:val="en-US"/>
              </w:rPr>
              <w:t xml:space="preserve">, se </w:t>
            </w:r>
            <w:proofErr w:type="spellStart"/>
            <w:r w:rsidRPr="00D938EB">
              <w:rPr>
                <w:rFonts w:eastAsia="Arial Unicode MS"/>
                <w:color w:val="000000" w:themeColor="text1"/>
                <w:sz w:val="20"/>
                <w:szCs w:val="20"/>
                <w:shd w:val="clear" w:color="auto" w:fill="FFFFFF"/>
                <w:lang w:val="en-US"/>
              </w:rPr>
              <w:t>adoptă</w:t>
            </w:r>
            <w:proofErr w:type="spellEnd"/>
            <w:r w:rsidRPr="00D938EB">
              <w:rPr>
                <w:rFonts w:eastAsia="Arial Unicode MS"/>
                <w:color w:val="000000" w:themeColor="text1"/>
                <w:sz w:val="20"/>
                <w:szCs w:val="20"/>
                <w:shd w:val="clear" w:color="auto" w:fill="FFFFFF"/>
                <w:lang w:val="en-US"/>
              </w:rPr>
              <w:t xml:space="preserve"> în conformitate cu </w:t>
            </w:r>
            <w:proofErr w:type="spellStart"/>
            <w:r w:rsidRPr="00D938EB">
              <w:rPr>
                <w:rFonts w:eastAsia="Arial Unicode MS"/>
                <w:color w:val="000000" w:themeColor="text1"/>
                <w:sz w:val="20"/>
                <w:szCs w:val="20"/>
                <w:shd w:val="clear" w:color="auto" w:fill="FFFFFF"/>
                <w:lang w:val="en-US"/>
              </w:rPr>
              <w:t>procedura</w:t>
            </w:r>
            <w:proofErr w:type="spellEnd"/>
            <w:r w:rsidRPr="00D938EB">
              <w:rPr>
                <w:rFonts w:eastAsia="Arial Unicode MS"/>
                <w:color w:val="000000" w:themeColor="text1"/>
                <w:sz w:val="20"/>
                <w:szCs w:val="20"/>
                <w:shd w:val="clear" w:color="auto" w:fill="FFFFFF"/>
                <w:lang w:val="en-US"/>
              </w:rPr>
              <w:t xml:space="preserve"> de </w:t>
            </w:r>
            <w:proofErr w:type="spellStart"/>
            <w:r w:rsidRPr="00D938EB">
              <w:rPr>
                <w:rFonts w:eastAsia="Arial Unicode MS"/>
                <w:color w:val="000000" w:themeColor="text1"/>
                <w:sz w:val="20"/>
                <w:szCs w:val="20"/>
                <w:shd w:val="clear" w:color="auto" w:fill="FFFFFF"/>
                <w:lang w:val="en-US"/>
              </w:rPr>
              <w:t>reglementare</w:t>
            </w:r>
            <w:proofErr w:type="spellEnd"/>
            <w:r w:rsidRPr="00D938EB">
              <w:rPr>
                <w:rFonts w:eastAsia="Arial Unicode MS"/>
                <w:color w:val="000000" w:themeColor="text1"/>
                <w:sz w:val="20"/>
                <w:szCs w:val="20"/>
                <w:shd w:val="clear" w:color="auto" w:fill="FFFFFF"/>
                <w:lang w:val="en-US"/>
              </w:rPr>
              <w:t xml:space="preserve"> cu control </w:t>
            </w:r>
            <w:proofErr w:type="spellStart"/>
            <w:r w:rsidRPr="00D938EB">
              <w:rPr>
                <w:rFonts w:eastAsia="Arial Unicode MS"/>
                <w:color w:val="000000" w:themeColor="text1"/>
                <w:sz w:val="20"/>
                <w:szCs w:val="20"/>
                <w:shd w:val="clear" w:color="auto" w:fill="FFFFFF"/>
                <w:lang w:val="en-US"/>
              </w:rPr>
              <w:t>menționată</w:t>
            </w:r>
            <w:proofErr w:type="spellEnd"/>
            <w:r w:rsidRPr="00D938EB">
              <w:rPr>
                <w:rFonts w:eastAsia="Arial Unicode MS"/>
                <w:color w:val="000000" w:themeColor="text1"/>
                <w:sz w:val="20"/>
                <w:szCs w:val="20"/>
                <w:shd w:val="clear" w:color="auto" w:fill="FFFFFF"/>
                <w:lang w:val="en-US"/>
              </w:rPr>
              <w:t xml:space="preserve"> la </w:t>
            </w:r>
            <w:proofErr w:type="spellStart"/>
            <w:r w:rsidRPr="00D938EB">
              <w:rPr>
                <w:rFonts w:eastAsia="Arial Unicode MS"/>
                <w:color w:val="000000" w:themeColor="text1"/>
                <w:sz w:val="20"/>
                <w:szCs w:val="20"/>
                <w:shd w:val="clear" w:color="auto" w:fill="FFFFFF"/>
                <w:lang w:val="en-US"/>
              </w:rPr>
              <w:t>articolul</w:t>
            </w:r>
            <w:proofErr w:type="spellEnd"/>
            <w:r w:rsidR="00D938EB" w:rsidRPr="00D938EB">
              <w:rPr>
                <w:rFonts w:eastAsia="Arial Unicode MS"/>
                <w:color w:val="000000" w:themeColor="text1"/>
                <w:sz w:val="20"/>
                <w:szCs w:val="20"/>
                <w:shd w:val="clear" w:color="auto" w:fill="FFFFFF"/>
                <w:lang w:val="en-US"/>
              </w:rPr>
              <w:t xml:space="preserve"> </w:t>
            </w:r>
            <w:r w:rsidRPr="00D938EB">
              <w:rPr>
                <w:rFonts w:eastAsia="Arial Unicode MS"/>
                <w:color w:val="000000" w:themeColor="text1"/>
                <w:sz w:val="20"/>
                <w:szCs w:val="20"/>
                <w:shd w:val="clear" w:color="auto" w:fill="FFFFFF"/>
                <w:lang w:val="en-US"/>
              </w:rPr>
              <w:t xml:space="preserve">23 </w:t>
            </w:r>
            <w:proofErr w:type="spellStart"/>
            <w:r w:rsidRPr="00D938EB">
              <w:rPr>
                <w:rFonts w:eastAsia="Arial Unicode MS"/>
                <w:color w:val="000000" w:themeColor="text1"/>
                <w:sz w:val="20"/>
                <w:szCs w:val="20"/>
                <w:shd w:val="clear" w:color="auto" w:fill="FFFFFF"/>
                <w:lang w:val="en-US"/>
              </w:rPr>
              <w:t>alineatul</w:t>
            </w:r>
            <w:proofErr w:type="spellEnd"/>
            <w:r w:rsidRPr="00D938EB">
              <w:rPr>
                <w:rFonts w:eastAsia="Arial Unicode MS"/>
                <w:color w:val="000000" w:themeColor="text1"/>
                <w:sz w:val="20"/>
                <w:szCs w:val="20"/>
                <w:shd w:val="clear" w:color="auto" w:fill="FFFFFF"/>
                <w:lang w:val="en-US"/>
              </w:rPr>
              <w:t xml:space="preserve"> (3).</w:t>
            </w:r>
          </w:p>
          <w:p w14:paraId="4163DA75"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25" w:tooltip="32023L0959: INSERTED" w:history="1">
              <w:r w:rsidRPr="00E34C2B">
                <w:rPr>
                  <w:rStyle w:val="af3"/>
                  <w:rFonts w:eastAsia="Arial Unicode MS"/>
                  <w:b/>
                  <w:bCs/>
                  <w:color w:val="4472C4" w:themeColor="accent1"/>
                  <w:sz w:val="20"/>
                  <w:szCs w:val="20"/>
                  <w:lang w:val="en-US"/>
                </w:rPr>
                <w:t>▼M15</w:t>
              </w:r>
            </w:hyperlink>
          </w:p>
          <w:p w14:paraId="2EC08057" w14:textId="6036B1CF"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Dacă</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instalație</w:t>
            </w:r>
            <w:proofErr w:type="spellEnd"/>
            <w:r w:rsidRPr="00A5319F">
              <w:rPr>
                <w:rFonts w:eastAsia="Arial Unicode MS"/>
                <w:color w:val="000000" w:themeColor="text1"/>
                <w:sz w:val="20"/>
                <w:szCs w:val="20"/>
                <w:shd w:val="clear" w:color="auto" w:fill="FFFFFF"/>
                <w:lang w:val="en-US"/>
              </w:rPr>
              <w:t xml:space="preserve"> face </w:t>
            </w:r>
            <w:proofErr w:type="spellStart"/>
            <w:r w:rsidRPr="00A5319F">
              <w:rPr>
                <w:rFonts w:eastAsia="Arial Unicode MS"/>
                <w:color w:val="000000" w:themeColor="text1"/>
                <w:sz w:val="20"/>
                <w:szCs w:val="20"/>
                <w:shd w:val="clear" w:color="auto" w:fill="FFFFFF"/>
                <w:lang w:val="en-US"/>
              </w:rPr>
              <w:t>obiectul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obligației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efectuare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unui</w:t>
            </w:r>
            <w:proofErr w:type="spellEnd"/>
            <w:r w:rsidRPr="00A5319F">
              <w:rPr>
                <w:rFonts w:eastAsia="Arial Unicode MS"/>
                <w:color w:val="000000" w:themeColor="text1"/>
                <w:sz w:val="20"/>
                <w:szCs w:val="20"/>
                <w:shd w:val="clear" w:color="auto" w:fill="FFFFFF"/>
                <w:lang w:val="en-US"/>
              </w:rPr>
              <w:t xml:space="preserve"> audit energetic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punere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unui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sistem</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gestionare</w:t>
            </w:r>
            <w:proofErr w:type="spellEnd"/>
            <w:r w:rsidRPr="00A5319F">
              <w:rPr>
                <w:rFonts w:eastAsia="Arial Unicode MS"/>
                <w:color w:val="000000" w:themeColor="text1"/>
                <w:sz w:val="20"/>
                <w:szCs w:val="20"/>
                <w:shd w:val="clear" w:color="auto" w:fill="FFFFFF"/>
                <w:lang w:val="en-US"/>
              </w:rPr>
              <w:t xml:space="preserve"> a energiei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D938EB"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8 din </w:t>
            </w:r>
            <w:proofErr w:type="spellStart"/>
            <w:r w:rsidRPr="00A5319F">
              <w:rPr>
                <w:rFonts w:eastAsia="Arial Unicode MS"/>
                <w:color w:val="000000" w:themeColor="text1"/>
                <w:sz w:val="20"/>
                <w:szCs w:val="20"/>
                <w:shd w:val="clear" w:color="auto" w:fill="FFFFFF"/>
                <w:lang w:val="en-US"/>
              </w:rPr>
              <w:t>Directiva</w:t>
            </w:r>
            <w:proofErr w:type="spellEnd"/>
            <w:r w:rsidR="00D938EB"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2012/27/UE a </w:t>
            </w:r>
            <w:proofErr w:type="spellStart"/>
            <w:r w:rsidRPr="00A5319F">
              <w:rPr>
                <w:rFonts w:eastAsia="Arial Unicode MS"/>
                <w:color w:val="000000" w:themeColor="text1"/>
                <w:sz w:val="20"/>
                <w:szCs w:val="20"/>
                <w:shd w:val="clear" w:color="auto" w:fill="FFFFFF"/>
                <w:lang w:val="en-US"/>
              </w:rPr>
              <w:t>Parlamentului</w:t>
            </w:r>
            <w:proofErr w:type="spellEnd"/>
            <w:r w:rsidRPr="00A5319F">
              <w:rPr>
                <w:rFonts w:eastAsia="Arial Unicode MS"/>
                <w:color w:val="000000" w:themeColor="text1"/>
                <w:sz w:val="20"/>
                <w:szCs w:val="20"/>
                <w:shd w:val="clear" w:color="auto" w:fill="FFFFFF"/>
                <w:lang w:val="en-US"/>
              </w:rPr>
              <w:t xml:space="preserve"> European și a </w:t>
            </w:r>
            <w:proofErr w:type="spellStart"/>
            <w:r w:rsidRPr="00A5319F">
              <w:rPr>
                <w:rFonts w:eastAsia="Arial Unicode MS"/>
                <w:color w:val="000000" w:themeColor="text1"/>
                <w:sz w:val="20"/>
                <w:szCs w:val="20"/>
                <w:shd w:val="clear" w:color="auto" w:fill="FFFFFF"/>
                <w:lang w:val="en-US"/>
              </w:rPr>
              <w:t>Consiliului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w:t>
            </w:r>
            <w:hyperlink r:id="rId126" w:anchor="E0017" w:history="1">
              <w:r w:rsidRPr="00A5319F">
                <w:rPr>
                  <w:rStyle w:val="superscript"/>
                  <w:rFonts w:eastAsia="Arial Unicode MS"/>
                  <w:color w:val="000000" w:themeColor="text1"/>
                  <w:sz w:val="20"/>
                  <w:szCs w:val="20"/>
                  <w:vertAlign w:val="superscript"/>
                  <w:lang w:val="en-US"/>
                </w:rPr>
                <w:t>17</w:t>
              </w:r>
            </w:hyperlink>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dacă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recomandările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raportul</w:t>
            </w:r>
            <w:proofErr w:type="spellEnd"/>
            <w:r w:rsidRPr="00A5319F">
              <w:rPr>
                <w:rFonts w:eastAsia="Arial Unicode MS"/>
                <w:color w:val="000000" w:themeColor="text1"/>
                <w:sz w:val="20"/>
                <w:szCs w:val="20"/>
                <w:shd w:val="clear" w:color="auto" w:fill="FFFFFF"/>
                <w:lang w:val="en-US"/>
              </w:rPr>
              <w:t xml:space="preserve"> de audit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sistemul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gestionare</w:t>
            </w:r>
            <w:proofErr w:type="spellEnd"/>
            <w:r w:rsidRPr="00A5319F">
              <w:rPr>
                <w:rFonts w:eastAsia="Arial Unicode MS"/>
                <w:color w:val="000000" w:themeColor="text1"/>
                <w:sz w:val="20"/>
                <w:szCs w:val="20"/>
                <w:shd w:val="clear" w:color="auto" w:fill="FFFFFF"/>
                <w:lang w:val="en-US"/>
              </w:rPr>
              <w:t xml:space="preserve"> a energiei nu sunt </w:t>
            </w:r>
            <w:proofErr w:type="spellStart"/>
            <w:r w:rsidRPr="00A5319F">
              <w:rPr>
                <w:rFonts w:eastAsia="Arial Unicode MS"/>
                <w:color w:val="000000" w:themeColor="text1"/>
                <w:sz w:val="20"/>
                <w:szCs w:val="20"/>
                <w:shd w:val="clear" w:color="auto" w:fill="FFFFFF"/>
                <w:lang w:val="en-US"/>
              </w:rPr>
              <w:t>puse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excepția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cazului</w:t>
            </w:r>
            <w:proofErr w:type="spellEnd"/>
            <w:r w:rsidRPr="00A5319F">
              <w:rPr>
                <w:rFonts w:eastAsia="Arial Unicode MS"/>
                <w:color w:val="000000" w:themeColor="text1"/>
                <w:sz w:val="20"/>
                <w:szCs w:val="20"/>
                <w:shd w:val="clear" w:color="auto" w:fill="FFFFFF"/>
                <w:lang w:val="en-US"/>
              </w:rPr>
              <w:t xml:space="preserve"> în care perioada de </w:t>
            </w:r>
            <w:proofErr w:type="spellStart"/>
            <w:r w:rsidRPr="00A5319F">
              <w:rPr>
                <w:rFonts w:eastAsia="Arial Unicode MS"/>
                <w:color w:val="000000" w:themeColor="text1"/>
                <w:sz w:val="20"/>
                <w:szCs w:val="20"/>
                <w:shd w:val="clear" w:color="auto" w:fill="FFFFFF"/>
                <w:lang w:val="en-US"/>
              </w:rPr>
              <w:t>recuperare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investițiile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relevante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depășește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trei</w:t>
            </w:r>
            <w:proofErr w:type="spellEnd"/>
            <w:r w:rsidRPr="00A5319F">
              <w:rPr>
                <w:rFonts w:eastAsia="Arial Unicode MS"/>
                <w:color w:val="000000" w:themeColor="text1"/>
                <w:sz w:val="20"/>
                <w:szCs w:val="20"/>
                <w:shd w:val="clear" w:color="auto" w:fill="FFFFFF"/>
                <w:lang w:val="en-US"/>
              </w:rPr>
              <w:t xml:space="preserve"> ani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lastRenderedPageBreak/>
              <w:t xml:space="preserve">a </w:t>
            </w:r>
            <w:proofErr w:type="spellStart"/>
            <w:r w:rsidRPr="00A5319F">
              <w:rPr>
                <w:rFonts w:eastAsia="Arial Unicode MS"/>
                <w:color w:val="000000" w:themeColor="text1"/>
                <w:sz w:val="20"/>
                <w:szCs w:val="20"/>
                <w:shd w:val="clear" w:color="auto" w:fill="FFFFFF"/>
                <w:lang w:val="en-US"/>
              </w:rPr>
              <w:t>cazului</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costurile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investițiilor</w:t>
            </w:r>
            <w:proofErr w:type="spellEnd"/>
            <w:r w:rsidRPr="00A5319F">
              <w:rPr>
                <w:rFonts w:eastAsia="Arial Unicode MS"/>
                <w:color w:val="000000" w:themeColor="text1"/>
                <w:sz w:val="20"/>
                <w:szCs w:val="20"/>
                <w:shd w:val="clear" w:color="auto" w:fill="FFFFFF"/>
                <w:lang w:val="en-US"/>
              </w:rPr>
              <w:t xml:space="preserve"> respective sunt </w:t>
            </w:r>
            <w:proofErr w:type="spellStart"/>
            <w:r w:rsidRPr="00A5319F">
              <w:rPr>
                <w:rFonts w:eastAsia="Arial Unicode MS"/>
                <w:color w:val="000000" w:themeColor="text1"/>
                <w:sz w:val="20"/>
                <w:szCs w:val="20"/>
                <w:shd w:val="clear" w:color="auto" w:fill="FFFFFF"/>
                <w:lang w:val="en-US"/>
              </w:rPr>
              <w:t>disproporționate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atunci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volumul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alocărilor</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se reduce cu 20</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Volumul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alocărilor</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nu se reduce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un operator </w:t>
            </w:r>
            <w:proofErr w:type="spellStart"/>
            <w:r w:rsidRPr="00A5319F">
              <w:rPr>
                <w:rFonts w:eastAsia="Arial Unicode MS"/>
                <w:color w:val="000000" w:themeColor="text1"/>
                <w:sz w:val="20"/>
                <w:szCs w:val="20"/>
                <w:shd w:val="clear" w:color="auto" w:fill="FFFFFF"/>
                <w:lang w:val="en-US"/>
              </w:rPr>
              <w:t>demonstrează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a pus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conduc</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reduceri</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echivalente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cele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recomandate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raportul</w:t>
            </w:r>
            <w:proofErr w:type="spellEnd"/>
            <w:r w:rsidRPr="00A5319F">
              <w:rPr>
                <w:rFonts w:eastAsia="Arial Unicode MS"/>
                <w:color w:val="000000" w:themeColor="text1"/>
                <w:sz w:val="20"/>
                <w:szCs w:val="20"/>
                <w:shd w:val="clear" w:color="auto" w:fill="FFFFFF"/>
                <w:lang w:val="en-US"/>
              </w:rPr>
              <w:t xml:space="preserve"> de audit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sistemul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gestionare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energiei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instalația</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cauză</w:t>
            </w:r>
            <w:proofErr w:type="spellEnd"/>
            <w:r w:rsidRPr="00A5319F">
              <w:rPr>
                <w:rFonts w:eastAsia="Arial Unicode MS"/>
                <w:color w:val="000000" w:themeColor="text1"/>
                <w:sz w:val="20"/>
                <w:szCs w:val="20"/>
                <w:shd w:val="clear" w:color="auto" w:fill="FFFFFF"/>
                <w:lang w:val="en-US"/>
              </w:rPr>
              <w:t>.</w:t>
            </w:r>
          </w:p>
          <w:p w14:paraId="2A08482C" w14:textId="3A270C6D"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actele</w:t>
            </w:r>
            <w:proofErr w:type="spellEnd"/>
            <w:r w:rsidRPr="00A5319F">
              <w:rPr>
                <w:rFonts w:eastAsia="Arial Unicode MS"/>
                <w:color w:val="000000" w:themeColor="text1"/>
                <w:sz w:val="20"/>
                <w:szCs w:val="20"/>
                <w:shd w:val="clear" w:color="auto" w:fill="FFFFFF"/>
                <w:lang w:val="en-US"/>
              </w:rPr>
              <w:t xml:space="preserve"> delegate </w:t>
            </w:r>
            <w:proofErr w:type="spellStart"/>
            <w:r w:rsidRPr="00A5319F">
              <w:rPr>
                <w:rFonts w:eastAsia="Arial Unicode MS"/>
                <w:color w:val="000000" w:themeColor="text1"/>
                <w:sz w:val="20"/>
                <w:szCs w:val="20"/>
                <w:shd w:val="clear" w:color="auto" w:fill="FFFFFF"/>
                <w:lang w:val="en-US"/>
              </w:rPr>
              <w:t>adoptate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prezentului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fără</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aduce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atingere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normelor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aplicabile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Directivei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2012/27/UE,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completează</w:t>
            </w:r>
            <w:proofErr w:type="spellEnd"/>
            <w:r w:rsidRPr="00A5319F">
              <w:rPr>
                <w:rFonts w:eastAsia="Arial Unicode MS"/>
                <w:color w:val="000000" w:themeColor="text1"/>
                <w:sz w:val="20"/>
                <w:szCs w:val="20"/>
                <w:shd w:val="clear" w:color="auto" w:fill="FFFFFF"/>
                <w:lang w:val="en-US"/>
              </w:rPr>
              <w:t xml:space="preserve">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norme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armonizate</w:t>
            </w:r>
            <w:proofErr w:type="spellEnd"/>
            <w:r w:rsidRPr="00A5319F">
              <w:rPr>
                <w:rFonts w:eastAsia="Arial Unicode MS"/>
                <w:color w:val="000000" w:themeColor="text1"/>
                <w:sz w:val="20"/>
                <w:szCs w:val="20"/>
                <w:shd w:val="clear" w:color="auto" w:fill="FFFFFF"/>
                <w:lang w:val="en-US"/>
              </w:rPr>
              <w:t xml:space="preserve"> simple din </w:t>
            </w:r>
            <w:proofErr w:type="spellStart"/>
            <w:r w:rsidRPr="00A5319F">
              <w:rPr>
                <w:rFonts w:eastAsia="Arial Unicode MS"/>
                <w:color w:val="000000" w:themeColor="text1"/>
                <w:sz w:val="20"/>
                <w:szCs w:val="20"/>
                <w:shd w:val="clear" w:color="auto" w:fill="FFFFFF"/>
                <w:lang w:val="en-US"/>
              </w:rPr>
              <w:t>punct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vedere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administrativ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celui</w:t>
            </w:r>
            <w:proofErr w:type="spellEnd"/>
            <w:r w:rsidRPr="00A5319F">
              <w:rPr>
                <w:rFonts w:eastAsia="Arial Unicode MS"/>
                <w:color w:val="000000" w:themeColor="text1"/>
                <w:sz w:val="20"/>
                <w:szCs w:val="20"/>
                <w:shd w:val="clear" w:color="auto" w:fill="FFFFFF"/>
                <w:lang w:val="en-US"/>
              </w:rPr>
              <w:t xml:space="preserve"> de al </w:t>
            </w:r>
            <w:proofErr w:type="spellStart"/>
            <w:r w:rsidRPr="00A5319F">
              <w:rPr>
                <w:rFonts w:eastAsia="Arial Unicode MS"/>
                <w:color w:val="000000" w:themeColor="text1"/>
                <w:sz w:val="20"/>
                <w:szCs w:val="20"/>
                <w:shd w:val="clear" w:color="auto" w:fill="FFFFFF"/>
                <w:lang w:val="en-US"/>
              </w:rPr>
              <w:t>treilea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garanteze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condiționalității</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pune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pericol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condițiile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concurență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echitabile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integritatea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mediu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egalitatea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tratament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întreaga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norme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armonizate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stabilesc</w:t>
            </w:r>
            <w:proofErr w:type="spellEnd"/>
            <w:r w:rsidRPr="00A5319F">
              <w:rPr>
                <w:rFonts w:eastAsia="Arial Unicode MS"/>
                <w:color w:val="000000" w:themeColor="text1"/>
                <w:sz w:val="20"/>
                <w:szCs w:val="20"/>
                <w:shd w:val="clear" w:color="auto" w:fill="FFFFFF"/>
                <w:lang w:val="en-US"/>
              </w:rPr>
              <w:t xml:space="preserve">, în special, </w:t>
            </w:r>
            <w:proofErr w:type="spellStart"/>
            <w:r w:rsidRPr="00A5319F">
              <w:rPr>
                <w:rFonts w:eastAsia="Arial Unicode MS"/>
                <w:color w:val="000000" w:themeColor="text1"/>
                <w:sz w:val="20"/>
                <w:szCs w:val="20"/>
                <w:shd w:val="clear" w:color="auto" w:fill="FFFFFF"/>
                <w:lang w:val="en-US"/>
              </w:rPr>
              <w:t>termene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criterii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recunoașterea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eficiență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energetică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puse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precum și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w:t>
            </w:r>
            <w:proofErr w:type="spellEnd"/>
            <w:r w:rsidRPr="00A5319F">
              <w:rPr>
                <w:rFonts w:eastAsia="Arial Unicode MS"/>
                <w:color w:val="000000" w:themeColor="text1"/>
                <w:sz w:val="20"/>
                <w:szCs w:val="20"/>
                <w:shd w:val="clear" w:color="auto" w:fill="FFFFFF"/>
                <w:lang w:val="en-US"/>
              </w:rPr>
              <w:t xml:space="preserve"> alternative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utilizând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procedura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naționale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punere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11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 din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w:t>
            </w:r>
          </w:p>
          <w:p w14:paraId="1AC58D2A" w14:textId="17F334AF"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plus </w:t>
            </w:r>
            <w:proofErr w:type="spellStart"/>
            <w:r>
              <w:rPr>
                <w:rFonts w:eastAsia="Arial Unicode MS"/>
                <w:color w:val="333333"/>
                <w:sz w:val="20"/>
                <w:szCs w:val="20"/>
                <w:shd w:val="clear" w:color="auto" w:fill="FFFFFF"/>
                <w:lang w:val="en-US"/>
              </w:rPr>
              <w:t>față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cerințele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cu 20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paragraful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operatorilor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instalațiilor</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căror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niveluri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de 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depășesc</w:t>
            </w:r>
            <w:proofErr w:type="spellEnd"/>
            <w:r>
              <w:rPr>
                <w:rFonts w:eastAsia="Arial Unicode MS"/>
                <w:color w:val="333333"/>
                <w:sz w:val="20"/>
                <w:szCs w:val="20"/>
                <w:shd w:val="clear" w:color="auto" w:fill="FFFFFF"/>
                <w:lang w:val="en-US"/>
              </w:rPr>
              <w:t xml:space="preserve"> a 80-a </w:t>
            </w:r>
            <w:proofErr w:type="spellStart"/>
            <w:r>
              <w:rPr>
                <w:rFonts w:eastAsia="Arial Unicode MS"/>
                <w:color w:val="333333"/>
                <w:sz w:val="20"/>
                <w:szCs w:val="20"/>
                <w:shd w:val="clear" w:color="auto" w:fill="FFFFFF"/>
                <w:lang w:val="en-US"/>
              </w:rPr>
              <w:t>percentilă</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valorile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referință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produsele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1</w:t>
            </w:r>
            <w:r w:rsidR="00A5319F">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2024, nu au </w:t>
            </w:r>
            <w:proofErr w:type="spellStart"/>
            <w:r>
              <w:rPr>
                <w:rFonts w:eastAsia="Arial Unicode MS"/>
                <w:color w:val="333333"/>
                <w:sz w:val="20"/>
                <w:szCs w:val="20"/>
                <w:shd w:val="clear" w:color="auto" w:fill="FFFFFF"/>
                <w:lang w:val="en-US"/>
              </w:rPr>
              <w:t>stabilit</w:t>
            </w:r>
            <w:proofErr w:type="spellEnd"/>
            <w:r>
              <w:rPr>
                <w:rFonts w:eastAsia="Arial Unicode MS"/>
                <w:color w:val="333333"/>
                <w:sz w:val="20"/>
                <w:szCs w:val="20"/>
                <w:shd w:val="clear" w:color="auto" w:fill="FFFFFF"/>
                <w:lang w:val="en-US"/>
              </w:rPr>
              <w:t xml:space="preserve"> un plan de </w:t>
            </w:r>
            <w:proofErr w:type="spellStart"/>
            <w:r>
              <w:rPr>
                <w:rFonts w:eastAsia="Arial Unicode MS"/>
                <w:color w:val="333333"/>
                <w:sz w:val="20"/>
                <w:szCs w:val="20"/>
                <w:shd w:val="clear" w:color="auto" w:fill="FFFFFF"/>
                <w:lang w:val="en-US"/>
              </w:rPr>
              <w:t>neutralitate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climatică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instalațiile</w:t>
            </w:r>
            <w:proofErr w:type="spellEnd"/>
            <w:r>
              <w:rPr>
                <w:rFonts w:eastAsia="Arial Unicode MS"/>
                <w:color w:val="333333"/>
                <w:sz w:val="20"/>
                <w:szCs w:val="20"/>
                <w:shd w:val="clear" w:color="auto" w:fill="FFFFFF"/>
                <w:lang w:val="en-US"/>
              </w:rPr>
              <w:t xml:space="preserve"> respective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reglementate</w:t>
            </w:r>
            <w:proofErr w:type="spellEnd"/>
            <w:r>
              <w:rPr>
                <w:rFonts w:eastAsia="Arial Unicode MS"/>
                <w:color w:val="333333"/>
                <w:sz w:val="20"/>
                <w:szCs w:val="20"/>
                <w:shd w:val="clear" w:color="auto" w:fill="FFFFFF"/>
                <w:lang w:val="en-US"/>
              </w:rPr>
              <w:t xml:space="preserve"> de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Planul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conține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elementele</w:t>
            </w:r>
            <w:proofErr w:type="spellEnd"/>
            <w:r>
              <w:rPr>
                <w:rFonts w:eastAsia="Arial Unicode MS"/>
                <w:color w:val="333333"/>
                <w:sz w:val="20"/>
                <w:szCs w:val="20"/>
                <w:shd w:val="clear" w:color="auto" w:fill="FFFFFF"/>
                <w:lang w:val="en-US"/>
              </w:rPr>
              <w:t xml:space="preserve"> indicate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10b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(4) și se </w:t>
            </w:r>
            <w:proofErr w:type="spellStart"/>
            <w:r>
              <w:rPr>
                <w:rFonts w:eastAsia="Arial Unicode MS"/>
                <w:color w:val="333333"/>
                <w:sz w:val="20"/>
                <w:szCs w:val="20"/>
                <w:shd w:val="clear" w:color="auto" w:fill="FFFFFF"/>
                <w:lang w:val="en-US"/>
              </w:rPr>
              <w:t>stabilește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10b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(4) se </w:t>
            </w:r>
            <w:proofErr w:type="spellStart"/>
            <w:r>
              <w:rPr>
                <w:rFonts w:eastAsia="Arial Unicode MS"/>
                <w:color w:val="333333"/>
                <w:sz w:val="20"/>
                <w:szCs w:val="20"/>
                <w:shd w:val="clear" w:color="auto" w:fill="FFFFFF"/>
                <w:lang w:val="en-US"/>
              </w:rPr>
              <w:t>interpretează</w:t>
            </w:r>
            <w:proofErr w:type="spellEnd"/>
            <w:r>
              <w:rPr>
                <w:rFonts w:eastAsia="Arial Unicode MS"/>
                <w:color w:val="333333"/>
                <w:sz w:val="20"/>
                <w:szCs w:val="20"/>
                <w:shd w:val="clear" w:color="auto" w:fill="FFFFFF"/>
                <w:lang w:val="en-US"/>
              </w:rPr>
              <w:t xml:space="preserve"> ca </w:t>
            </w:r>
            <w:proofErr w:type="spellStart"/>
            <w:r>
              <w:rPr>
                <w:rFonts w:eastAsia="Arial Unicode MS"/>
                <w:color w:val="333333"/>
                <w:sz w:val="20"/>
                <w:szCs w:val="20"/>
                <w:shd w:val="clear" w:color="auto" w:fill="FFFFFF"/>
                <w:lang w:val="en-US"/>
              </w:rPr>
              <w:t>referindu</w:t>
            </w:r>
            <w:proofErr w:type="spellEnd"/>
            <w:r>
              <w:rPr>
                <w:rFonts w:eastAsia="Arial Unicode MS"/>
                <w:color w:val="333333"/>
                <w:sz w:val="20"/>
                <w:szCs w:val="20"/>
                <w:shd w:val="clear" w:color="auto" w:fill="FFFFFF"/>
                <w:lang w:val="en-US"/>
              </w:rPr>
              <w:t xml:space="preserve">-se </w:t>
            </w:r>
            <w:proofErr w:type="spellStart"/>
            <w:r>
              <w:rPr>
                <w:rFonts w:eastAsia="Arial Unicode MS"/>
                <w:color w:val="333333"/>
                <w:sz w:val="20"/>
                <w:szCs w:val="20"/>
                <w:shd w:val="clear" w:color="auto" w:fill="FFFFFF"/>
                <w:lang w:val="en-US"/>
              </w:rPr>
              <w:t>numai</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Atingerea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țintelor</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jaloanelor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10b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(4)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litera</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(b) se </w:t>
            </w:r>
            <w:proofErr w:type="spellStart"/>
            <w:r>
              <w:rPr>
                <w:rFonts w:eastAsia="Arial Unicode MS"/>
                <w:color w:val="333333"/>
                <w:sz w:val="20"/>
                <w:szCs w:val="20"/>
                <w:shd w:val="clear" w:color="auto" w:fill="FFFFFF"/>
                <w:lang w:val="en-US"/>
              </w:rPr>
              <w:t>verifică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care se </w:t>
            </w:r>
            <w:proofErr w:type="spellStart"/>
            <w:r>
              <w:rPr>
                <w:rFonts w:eastAsia="Arial Unicode MS"/>
                <w:color w:val="333333"/>
                <w:sz w:val="20"/>
                <w:szCs w:val="20"/>
                <w:shd w:val="clear" w:color="auto" w:fill="FFFFFF"/>
                <w:lang w:val="en-US"/>
              </w:rPr>
              <w:t>încheie</w:t>
            </w:r>
            <w:proofErr w:type="spellEnd"/>
            <w:r>
              <w:rPr>
                <w:rFonts w:eastAsia="Arial Unicode MS"/>
                <w:color w:val="333333"/>
                <w:sz w:val="20"/>
                <w:szCs w:val="20"/>
                <w:shd w:val="clear" w:color="auto" w:fill="FFFFFF"/>
                <w:lang w:val="en-US"/>
              </w:rPr>
              <w:t xml:space="preserve"> la 31</w:t>
            </w:r>
            <w:r w:rsidR="00A5319F">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decembrie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2025 și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perioadă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ulterioară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cinci</w:t>
            </w:r>
            <w:proofErr w:type="spellEnd"/>
            <w:r>
              <w:rPr>
                <w:rFonts w:eastAsia="Arial Unicode MS"/>
                <w:color w:val="333333"/>
                <w:sz w:val="20"/>
                <w:szCs w:val="20"/>
                <w:shd w:val="clear" w:color="auto" w:fill="FFFFFF"/>
                <w:lang w:val="en-US"/>
              </w:rPr>
              <w:t xml:space="preserve"> ani care se </w:t>
            </w:r>
            <w:proofErr w:type="spellStart"/>
            <w:r>
              <w:rPr>
                <w:rFonts w:eastAsia="Arial Unicode MS"/>
                <w:color w:val="333333"/>
                <w:sz w:val="20"/>
                <w:szCs w:val="20"/>
                <w:shd w:val="clear" w:color="auto" w:fill="FFFFFF"/>
                <w:lang w:val="en-US"/>
              </w:rPr>
              <w:t>încheie</w:t>
            </w:r>
            <w:proofErr w:type="spellEnd"/>
            <w:r>
              <w:rPr>
                <w:rFonts w:eastAsia="Arial Unicode MS"/>
                <w:color w:val="333333"/>
                <w:sz w:val="20"/>
                <w:szCs w:val="20"/>
                <w:shd w:val="clear" w:color="auto" w:fill="FFFFFF"/>
                <w:lang w:val="en-US"/>
              </w:rPr>
              <w:t xml:space="preserve"> la data de 31 </w:t>
            </w:r>
            <w:proofErr w:type="spellStart"/>
            <w:r>
              <w:rPr>
                <w:rFonts w:eastAsia="Arial Unicode MS"/>
                <w:color w:val="333333"/>
                <w:sz w:val="20"/>
                <w:szCs w:val="20"/>
                <w:shd w:val="clear" w:color="auto" w:fill="FFFFFF"/>
                <w:lang w:val="en-US"/>
              </w:rPr>
              <w:t>decembrie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procedurile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verificare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acreditare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15. Nu se </w:t>
            </w:r>
            <w:proofErr w:type="spellStart"/>
            <w:r>
              <w:rPr>
                <w:rFonts w:eastAsia="Arial Unicode MS"/>
                <w:color w:val="333333"/>
                <w:sz w:val="20"/>
                <w:szCs w:val="20"/>
                <w:shd w:val="clear" w:color="auto" w:fill="FFFFFF"/>
                <w:lang w:val="en-US"/>
              </w:rPr>
              <w:t>alocă</w:t>
            </w:r>
            <w:proofErr w:type="spellEnd"/>
            <w:r>
              <w:rPr>
                <w:rFonts w:eastAsia="Arial Unicode MS"/>
                <w:color w:val="333333"/>
                <w:sz w:val="20"/>
                <w:szCs w:val="20"/>
                <w:shd w:val="clear" w:color="auto" w:fill="FFFFFF"/>
                <w:lang w:val="en-US"/>
              </w:rPr>
              <w:t xml:space="preserve"> certificate cu </w:t>
            </w:r>
            <w:proofErr w:type="spellStart"/>
            <w:r>
              <w:rPr>
                <w:rFonts w:eastAsia="Arial Unicode MS"/>
                <w:color w:val="333333"/>
                <w:sz w:val="20"/>
                <w:szCs w:val="20"/>
                <w:shd w:val="clear" w:color="auto" w:fill="FFFFFF"/>
                <w:lang w:val="en-US"/>
              </w:rPr>
              <w:t>titlu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gratuit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procentul</w:t>
            </w:r>
            <w:proofErr w:type="spellEnd"/>
            <w:r>
              <w:rPr>
                <w:rFonts w:eastAsia="Arial Unicode MS"/>
                <w:color w:val="333333"/>
                <w:sz w:val="20"/>
                <w:szCs w:val="20"/>
                <w:shd w:val="clear" w:color="auto" w:fill="FFFFFF"/>
                <w:lang w:val="en-US"/>
              </w:rPr>
              <w:t xml:space="preserve"> de 80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îndeplinirea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țintelor</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jaloanelor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intermediare</w:t>
            </w:r>
            <w:proofErr w:type="spellEnd"/>
            <w:r>
              <w:rPr>
                <w:rFonts w:eastAsia="Arial Unicode MS"/>
                <w:color w:val="333333"/>
                <w:sz w:val="20"/>
                <w:szCs w:val="20"/>
                <w:shd w:val="clear" w:color="auto" w:fill="FFFFFF"/>
                <w:lang w:val="en-US"/>
              </w:rPr>
              <w:t xml:space="preserve"> nu a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verificată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ceea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privește</w:t>
            </w:r>
            <w:proofErr w:type="spellEnd"/>
            <w:r>
              <w:rPr>
                <w:rFonts w:eastAsia="Arial Unicode MS"/>
                <w:color w:val="333333"/>
                <w:sz w:val="20"/>
                <w:szCs w:val="20"/>
                <w:shd w:val="clear" w:color="auto" w:fill="FFFFFF"/>
                <w:lang w:val="en-US"/>
              </w:rPr>
              <w:t xml:space="preserve"> perioada de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sfârșitul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anului</w:t>
            </w:r>
            <w:proofErr w:type="spellEnd"/>
            <w:r>
              <w:rPr>
                <w:rFonts w:eastAsia="Arial Unicode MS"/>
                <w:color w:val="333333"/>
                <w:sz w:val="20"/>
                <w:szCs w:val="20"/>
                <w:shd w:val="clear" w:color="auto" w:fill="FFFFFF"/>
                <w:lang w:val="en-US"/>
              </w:rPr>
              <w:t xml:space="preserve"> 2025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ceea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privește</w:t>
            </w:r>
            <w:proofErr w:type="spellEnd"/>
            <w:r>
              <w:rPr>
                <w:rFonts w:eastAsia="Arial Unicode MS"/>
                <w:color w:val="333333"/>
                <w:sz w:val="20"/>
                <w:szCs w:val="20"/>
                <w:shd w:val="clear" w:color="auto" w:fill="FFFFFF"/>
                <w:lang w:val="en-US"/>
              </w:rPr>
              <w:t xml:space="preserve"> perioada 2026-2030.</w:t>
            </w:r>
          </w:p>
          <w:p w14:paraId="27C53B2F" w14:textId="74B8B690"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lastRenderedPageBreak/>
              <w:t>Certificatele</w:t>
            </w:r>
            <w:proofErr w:type="spellEnd"/>
            <w:r w:rsidRPr="00A5319F">
              <w:rPr>
                <w:rFonts w:eastAsia="Arial Unicode MS"/>
                <w:color w:val="000000" w:themeColor="text1"/>
                <w:sz w:val="20"/>
                <w:szCs w:val="20"/>
                <w:shd w:val="clear" w:color="auto" w:fill="FFFFFF"/>
                <w:lang w:val="en-US"/>
              </w:rPr>
              <w:t xml:space="preserve"> care nu sunt </w:t>
            </w:r>
            <w:proofErr w:type="spellStart"/>
            <w:r w:rsidRPr="00A5319F">
              <w:rPr>
                <w:rFonts w:eastAsia="Arial Unicode MS"/>
                <w:color w:val="000000" w:themeColor="text1"/>
                <w:sz w:val="20"/>
                <w:szCs w:val="20"/>
                <w:shd w:val="clear" w:color="auto" w:fill="FFFFFF"/>
                <w:lang w:val="en-US"/>
              </w:rPr>
              <w:t>alocate</w:t>
            </w:r>
            <w:proofErr w:type="spellEnd"/>
            <w:r w:rsidRPr="00A5319F">
              <w:rPr>
                <w:rFonts w:eastAsia="Arial Unicode MS"/>
                <w:color w:val="000000" w:themeColor="text1"/>
                <w:sz w:val="20"/>
                <w:szCs w:val="20"/>
                <w:shd w:val="clear" w:color="auto" w:fill="FFFFFF"/>
                <w:lang w:val="en-US"/>
              </w:rPr>
              <w:t xml:space="preserve"> ca </w:t>
            </w:r>
            <w:proofErr w:type="spellStart"/>
            <w:r w:rsidRPr="00A5319F">
              <w:rPr>
                <w:rFonts w:eastAsia="Arial Unicode MS"/>
                <w:color w:val="000000" w:themeColor="text1"/>
                <w:sz w:val="20"/>
                <w:szCs w:val="20"/>
                <w:shd w:val="clear" w:color="auto" w:fill="FFFFFF"/>
                <w:lang w:val="en-US"/>
              </w:rPr>
              <w:t>urmare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unei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reduceri</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în conformitate cu al </w:t>
            </w:r>
            <w:proofErr w:type="spellStart"/>
            <w:r w:rsidRPr="00A5319F">
              <w:rPr>
                <w:rFonts w:eastAsia="Arial Unicode MS"/>
                <w:color w:val="000000" w:themeColor="text1"/>
                <w:sz w:val="20"/>
                <w:szCs w:val="20"/>
                <w:shd w:val="clear" w:color="auto" w:fill="FFFFFF"/>
                <w:lang w:val="en-US"/>
              </w:rPr>
              <w:t>treilea</w:t>
            </w:r>
            <w:proofErr w:type="spellEnd"/>
            <w:r w:rsidRPr="00A5319F">
              <w:rPr>
                <w:rFonts w:eastAsia="Arial Unicode MS"/>
                <w:color w:val="000000" w:themeColor="text1"/>
                <w:sz w:val="20"/>
                <w:szCs w:val="20"/>
                <w:shd w:val="clear" w:color="auto" w:fill="FFFFFF"/>
                <w:lang w:val="en-US"/>
              </w:rPr>
              <w:t xml:space="preserve"> și al </w:t>
            </w:r>
            <w:proofErr w:type="spellStart"/>
            <w:r w:rsidRPr="00A5319F">
              <w:rPr>
                <w:rFonts w:eastAsia="Arial Unicode MS"/>
                <w:color w:val="000000" w:themeColor="text1"/>
                <w:sz w:val="20"/>
                <w:szCs w:val="20"/>
                <w:shd w:val="clear" w:color="auto" w:fill="FFFFFF"/>
                <w:lang w:val="en-US"/>
              </w:rPr>
              <w:t>cincilea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excepta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ajustarea</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(5)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rămân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de certificate, 50</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respective sunt </w:t>
            </w:r>
            <w:proofErr w:type="spellStart"/>
            <w:r w:rsidRPr="00A5319F">
              <w:rPr>
                <w:rFonts w:eastAsia="Arial Unicode MS"/>
                <w:color w:val="000000" w:themeColor="text1"/>
                <w:sz w:val="20"/>
                <w:szCs w:val="20"/>
                <w:shd w:val="clear" w:color="auto" w:fill="FFFFFF"/>
                <w:lang w:val="en-US"/>
              </w:rPr>
              <w:t>puse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dispoziție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sprijini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inovarea</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(8)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Celelalte</w:t>
            </w:r>
            <w:proofErr w:type="spellEnd"/>
            <w:r w:rsidRPr="00A5319F">
              <w:rPr>
                <w:rFonts w:eastAsia="Arial Unicode MS"/>
                <w:color w:val="000000" w:themeColor="text1"/>
                <w:sz w:val="20"/>
                <w:szCs w:val="20"/>
                <w:shd w:val="clear" w:color="auto" w:fill="FFFFFF"/>
                <w:lang w:val="en-US"/>
              </w:rPr>
              <w:t xml:space="preserve"> 50</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respective se </w:t>
            </w:r>
            <w:proofErr w:type="spellStart"/>
            <w:r w:rsidRPr="00A5319F">
              <w:rPr>
                <w:rFonts w:eastAsia="Arial Unicode MS"/>
                <w:color w:val="000000" w:themeColor="text1"/>
                <w:sz w:val="20"/>
                <w:szCs w:val="20"/>
                <w:shd w:val="clear" w:color="auto" w:fill="FFFFFF"/>
                <w:lang w:val="en-US"/>
              </w:rPr>
              <w:t>scot</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licitație</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10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 din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statele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membre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trebui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utilizeze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veniturile</w:t>
            </w:r>
            <w:proofErr w:type="spellEnd"/>
            <w:r w:rsidRPr="00A5319F">
              <w:rPr>
                <w:rFonts w:eastAsia="Arial Unicode MS"/>
                <w:color w:val="000000" w:themeColor="text1"/>
                <w:sz w:val="20"/>
                <w:szCs w:val="20"/>
                <w:shd w:val="clear" w:color="auto" w:fill="FFFFFF"/>
                <w:lang w:val="en-US"/>
              </w:rPr>
              <w:t xml:space="preserve"> respective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aborda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orice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risc</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rezidual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în </w:t>
            </w:r>
            <w:proofErr w:type="spellStart"/>
            <w:r w:rsidRPr="00A5319F">
              <w:rPr>
                <w:rFonts w:eastAsia="Arial Unicode MS"/>
                <w:color w:val="000000" w:themeColor="text1"/>
                <w:sz w:val="20"/>
                <w:szCs w:val="20"/>
                <w:shd w:val="clear" w:color="auto" w:fill="FFFFFF"/>
                <w:lang w:val="en-US"/>
              </w:rPr>
              <w:t>sectoarele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vizate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anexa</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I la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(UE) 2023/956, </w:t>
            </w:r>
            <w:proofErr w:type="spellStart"/>
            <w:r w:rsidRPr="00A5319F">
              <w:rPr>
                <w:rFonts w:eastAsia="Arial Unicode MS"/>
                <w:color w:val="000000" w:themeColor="text1"/>
                <w:sz w:val="20"/>
                <w:szCs w:val="20"/>
                <w:shd w:val="clear" w:color="auto" w:fill="FFFFFF"/>
                <w:lang w:val="en-US"/>
              </w:rPr>
              <w:t>sprijinind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tranziția</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promovând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decarbonizarea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acestora</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normele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privind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ajutoarele</w:t>
            </w:r>
            <w:proofErr w:type="spellEnd"/>
            <w:r w:rsidRPr="00A5319F">
              <w:rPr>
                <w:rFonts w:eastAsia="Arial Unicode MS"/>
                <w:color w:val="000000" w:themeColor="text1"/>
                <w:sz w:val="20"/>
                <w:szCs w:val="20"/>
                <w:shd w:val="clear" w:color="auto" w:fill="FFFFFF"/>
                <w:lang w:val="en-US"/>
              </w:rPr>
              <w:t xml:space="preserve"> de stat.</w:t>
            </w:r>
          </w:p>
          <w:p w14:paraId="547C3305" w14:textId="4BC0FB02"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Se </w:t>
            </w:r>
            <w:proofErr w:type="spellStart"/>
            <w:r w:rsidRPr="00A5319F">
              <w:rPr>
                <w:rFonts w:eastAsia="Arial Unicode MS"/>
                <w:color w:val="000000" w:themeColor="text1"/>
                <w:sz w:val="20"/>
                <w:szCs w:val="20"/>
                <w:shd w:val="clear" w:color="auto" w:fill="FFFFFF"/>
                <w:lang w:val="en-US"/>
              </w:rPr>
              <w:t>interzice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alocarea</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instalațiilor</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sectoare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subsectoare</w:t>
            </w:r>
            <w:proofErr w:type="spellEnd"/>
            <w:r w:rsidRPr="00A5319F">
              <w:rPr>
                <w:rFonts w:eastAsia="Arial Unicode MS"/>
                <w:color w:val="000000" w:themeColor="text1"/>
                <w:sz w:val="20"/>
                <w:szCs w:val="20"/>
                <w:shd w:val="clear" w:color="auto" w:fill="FFFFFF"/>
                <w:lang w:val="en-US"/>
              </w:rPr>
              <w:t xml:space="preserve"> care fac </w:t>
            </w:r>
            <w:proofErr w:type="spellStart"/>
            <w:r w:rsidRPr="00A5319F">
              <w:rPr>
                <w:rFonts w:eastAsia="Arial Unicode MS"/>
                <w:color w:val="000000" w:themeColor="text1"/>
                <w:sz w:val="20"/>
                <w:szCs w:val="20"/>
                <w:shd w:val="clear" w:color="auto" w:fill="FFFFFF"/>
                <w:lang w:val="en-US"/>
              </w:rPr>
              <w:t>obiectul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contracarare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riscului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cum se </w:t>
            </w:r>
            <w:proofErr w:type="spellStart"/>
            <w:r w:rsidRPr="00A5319F">
              <w:rPr>
                <w:rFonts w:eastAsia="Arial Unicode MS"/>
                <w:color w:val="000000" w:themeColor="text1"/>
                <w:sz w:val="20"/>
                <w:szCs w:val="20"/>
                <w:shd w:val="clear" w:color="auto" w:fill="FFFFFF"/>
                <w:lang w:val="en-US"/>
              </w:rPr>
              <w:t>prevede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Regulamentul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(UE)</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2023/956. </w:t>
            </w:r>
            <w:proofErr w:type="spellStart"/>
            <w:r w:rsidRPr="00A5319F">
              <w:rPr>
                <w:rFonts w:eastAsia="Arial Unicode MS"/>
                <w:color w:val="000000" w:themeColor="text1"/>
                <w:sz w:val="20"/>
                <w:szCs w:val="20"/>
                <w:shd w:val="clear" w:color="auto" w:fill="FFFFFF"/>
                <w:lang w:val="en-US"/>
              </w:rPr>
              <w:t>Măsurile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primul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ajustează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consecință</w:t>
            </w:r>
            <w:proofErr w:type="spellEnd"/>
            <w:r w:rsidRPr="00A5319F">
              <w:rPr>
                <w:rFonts w:eastAsia="Arial Unicode MS"/>
                <w:color w:val="000000" w:themeColor="text1"/>
                <w:sz w:val="20"/>
                <w:szCs w:val="20"/>
                <w:shd w:val="clear" w:color="auto" w:fill="FFFFFF"/>
                <w:lang w:val="en-US"/>
              </w:rPr>
              <w:t>.</w:t>
            </w:r>
          </w:p>
          <w:p w14:paraId="3BBE2274"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27" w:tooltip="32023L0959: REPLACED" w:history="1">
              <w:r w:rsidRPr="00E34C2B">
                <w:rPr>
                  <w:rStyle w:val="af3"/>
                  <w:rFonts w:eastAsia="Arial Unicode MS"/>
                  <w:b/>
                  <w:bCs/>
                  <w:color w:val="4472C4" w:themeColor="accent1"/>
                  <w:sz w:val="20"/>
                  <w:szCs w:val="20"/>
                  <w:lang w:val="en-US"/>
                </w:rPr>
                <w:t>▼M15</w:t>
              </w:r>
            </w:hyperlink>
          </w:p>
          <w:p w14:paraId="083C9B9A" w14:textId="61F31692"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sector și subsector, în </w:t>
            </w:r>
            <w:proofErr w:type="spellStart"/>
            <w:r w:rsidRPr="00A5319F">
              <w:rPr>
                <w:rFonts w:eastAsia="Arial Unicode MS"/>
                <w:color w:val="000000" w:themeColor="text1"/>
                <w:sz w:val="20"/>
                <w:szCs w:val="20"/>
                <w:shd w:val="clear" w:color="auto" w:fill="FFFFFF"/>
                <w:lang w:val="en-US"/>
              </w:rPr>
              <w:t>principiu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sunt calculate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degrabă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produsul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finit</w:t>
            </w:r>
            <w:proofErr w:type="spellEnd"/>
            <w:r w:rsidRPr="00A5319F">
              <w:rPr>
                <w:rFonts w:eastAsia="Arial Unicode MS"/>
                <w:color w:val="000000" w:themeColor="text1"/>
                <w:sz w:val="20"/>
                <w:szCs w:val="20"/>
                <w:shd w:val="clear" w:color="auto" w:fill="FFFFFF"/>
                <w:lang w:val="en-US"/>
              </w:rPr>
              <w:t xml:space="preserve"> și nu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materiile</w:t>
            </w:r>
            <w:proofErr w:type="spellEnd"/>
            <w:r w:rsidRPr="00A5319F">
              <w:rPr>
                <w:rFonts w:eastAsia="Arial Unicode MS"/>
                <w:color w:val="000000" w:themeColor="text1"/>
                <w:sz w:val="20"/>
                <w:szCs w:val="20"/>
                <w:shd w:val="clear" w:color="auto" w:fill="FFFFFF"/>
                <w:lang w:val="en-US"/>
              </w:rPr>
              <w:t xml:space="preserve"> prime,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încât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maximizeze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eficiența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energetică</w:t>
            </w:r>
            <w:proofErr w:type="spellEnd"/>
            <w:r w:rsidRPr="00A5319F">
              <w:rPr>
                <w:rFonts w:eastAsia="Arial Unicode MS"/>
                <w:color w:val="000000" w:themeColor="text1"/>
                <w:sz w:val="20"/>
                <w:szCs w:val="20"/>
                <w:shd w:val="clear" w:color="auto" w:fill="FFFFFF"/>
                <w:lang w:val="en-US"/>
              </w:rPr>
              <w:t xml:space="preserve"> pe </w:t>
            </w:r>
            <w:proofErr w:type="spellStart"/>
            <w:r w:rsidRPr="00A5319F">
              <w:rPr>
                <w:rFonts w:eastAsia="Arial Unicode MS"/>
                <w:color w:val="000000" w:themeColor="text1"/>
                <w:sz w:val="20"/>
                <w:szCs w:val="20"/>
                <w:shd w:val="clear" w:color="auto" w:fill="FFFFFF"/>
                <w:lang w:val="en-US"/>
              </w:rPr>
              <w:t>parcursul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fiecărui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proces</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producție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sectorul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subsectorul</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cauză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oferi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stimulente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suplimentare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îmbunătățirea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eficienței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energetice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asigura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condiții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concurență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echitabile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tehnologii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noi</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reduc</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parțial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elimină</w:t>
            </w:r>
            <w:proofErr w:type="spellEnd"/>
            <w:r w:rsidRPr="00A5319F">
              <w:rPr>
                <w:rFonts w:eastAsia="Arial Unicode MS"/>
                <w:color w:val="000000" w:themeColor="text1"/>
                <w:sz w:val="20"/>
                <w:szCs w:val="20"/>
                <w:shd w:val="clear" w:color="auto" w:fill="FFFFFF"/>
                <w:lang w:val="en-US"/>
              </w:rPr>
              <w:t xml:space="preserve"> integral </w:t>
            </w:r>
            <w:proofErr w:type="spellStart"/>
            <w:r w:rsidRPr="00A5319F">
              <w:rPr>
                <w:rFonts w:eastAsia="Arial Unicode MS"/>
                <w:color w:val="000000" w:themeColor="text1"/>
                <w:sz w:val="20"/>
                <w:szCs w:val="20"/>
                <w:shd w:val="clear" w:color="auto" w:fill="FFFFFF"/>
                <w:lang w:val="en-US"/>
              </w:rPr>
              <w:t>emisiile</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tehnologiile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existente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criteriile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00A5319F" w:rsidRPr="00A5319F">
              <w:rPr>
                <w:rStyle w:val="apple-converted-space"/>
                <w:rFonts w:eastAsia="Arial Unicode MS"/>
                <w:color w:val="000000" w:themeColor="text1"/>
                <w:sz w:val="20"/>
                <w:szCs w:val="20"/>
                <w:shd w:val="clear" w:color="auto" w:fill="FFFFFF"/>
                <w:lang w:val="en-US"/>
              </w:rPr>
              <w:t xml:space="preserve"> </w:t>
            </w:r>
            <w:r w:rsidRPr="00A5319F">
              <w:rPr>
                <w:rStyle w:val="italics"/>
                <w:rFonts w:eastAsia="Arial Unicode MS"/>
                <w:i/>
                <w:iCs/>
                <w:color w:val="000000" w:themeColor="text1"/>
                <w:sz w:val="20"/>
                <w:szCs w:val="20"/>
                <w:lang w:val="en-US"/>
              </w:rPr>
              <w:t>ex ante</w:t>
            </w:r>
            <w:r w:rsidR="00A5319F" w:rsidRPr="00A5319F">
              <w:rPr>
                <w:rStyle w:val="apple-converted-space"/>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stabilite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nivelul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Uniunii</w:t>
            </w:r>
            <w:proofErr w:type="spellEnd"/>
            <w:r w:rsidRPr="00A5319F">
              <w:rPr>
                <w:rFonts w:eastAsia="Arial Unicode MS"/>
                <w:color w:val="000000" w:themeColor="text1"/>
                <w:sz w:val="20"/>
                <w:szCs w:val="20"/>
                <w:shd w:val="clear" w:color="auto" w:fill="FFFFFF"/>
                <w:lang w:val="en-US"/>
              </w:rPr>
              <w:t xml:space="preserve"> sunt </w:t>
            </w:r>
            <w:proofErr w:type="spellStart"/>
            <w:r w:rsidRPr="00A5319F">
              <w:rPr>
                <w:rFonts w:eastAsia="Arial Unicode MS"/>
                <w:color w:val="000000" w:themeColor="text1"/>
                <w:sz w:val="20"/>
                <w:szCs w:val="20"/>
                <w:shd w:val="clear" w:color="auto" w:fill="FFFFFF"/>
                <w:lang w:val="en-US"/>
              </w:rPr>
              <w:t>revizuite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fi </w:t>
            </w:r>
            <w:proofErr w:type="spellStart"/>
            <w:r w:rsidRPr="00A5319F">
              <w:rPr>
                <w:rFonts w:eastAsia="Arial Unicode MS"/>
                <w:color w:val="000000" w:themeColor="text1"/>
                <w:sz w:val="20"/>
                <w:szCs w:val="20"/>
                <w:shd w:val="clear" w:color="auto" w:fill="FFFFFF"/>
                <w:lang w:val="en-US"/>
              </w:rPr>
              <w:t>aplicate</w:t>
            </w:r>
            <w:proofErr w:type="spellEnd"/>
            <w:r w:rsidRPr="00A5319F">
              <w:rPr>
                <w:rFonts w:eastAsia="Arial Unicode MS"/>
                <w:color w:val="000000" w:themeColor="text1"/>
                <w:sz w:val="20"/>
                <w:szCs w:val="20"/>
                <w:shd w:val="clear" w:color="auto" w:fill="FFFFFF"/>
                <w:lang w:val="en-US"/>
              </w:rPr>
              <w:t xml:space="preserve"> în perioada 2026-2030, în </w:t>
            </w:r>
            <w:proofErr w:type="spellStart"/>
            <w:r w:rsidRPr="00A5319F">
              <w:rPr>
                <w:rFonts w:eastAsia="Arial Unicode MS"/>
                <w:color w:val="000000" w:themeColor="text1"/>
                <w:sz w:val="20"/>
                <w:szCs w:val="20"/>
                <w:shd w:val="clear" w:color="auto" w:fill="FFFFFF"/>
                <w:lang w:val="en-US"/>
              </w:rPr>
              <w:t>vederea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eventuale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modificări</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definițiilor</w:t>
            </w:r>
            <w:proofErr w:type="spellEnd"/>
            <w:r w:rsidRPr="00A5319F">
              <w:rPr>
                <w:rFonts w:eastAsia="Arial Unicode MS"/>
                <w:color w:val="000000" w:themeColor="text1"/>
                <w:sz w:val="20"/>
                <w:szCs w:val="20"/>
                <w:shd w:val="clear" w:color="auto" w:fill="FFFFFF"/>
                <w:lang w:val="en-US"/>
              </w:rPr>
              <w:t xml:space="preserve"> și a </w:t>
            </w:r>
            <w:proofErr w:type="spellStart"/>
            <w:r w:rsidRPr="00A5319F">
              <w:rPr>
                <w:rFonts w:eastAsia="Arial Unicode MS"/>
                <w:color w:val="000000" w:themeColor="text1"/>
                <w:sz w:val="20"/>
                <w:szCs w:val="20"/>
                <w:shd w:val="clear" w:color="auto" w:fill="FFFFFF"/>
                <w:lang w:val="en-US"/>
              </w:rPr>
              <w:t>limitelor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schemei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legătură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existente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produse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luând</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considerare</w:t>
            </w:r>
            <w:proofErr w:type="spellEnd"/>
            <w:r w:rsidRPr="00A5319F">
              <w:rPr>
                <w:rFonts w:eastAsia="Arial Unicode MS"/>
                <w:color w:val="000000" w:themeColor="text1"/>
                <w:sz w:val="20"/>
                <w:szCs w:val="20"/>
                <w:shd w:val="clear" w:color="auto" w:fill="FFFFFF"/>
                <w:lang w:val="en-US"/>
              </w:rPr>
              <w:t xml:space="preserve"> ca principii </w:t>
            </w:r>
            <w:proofErr w:type="spellStart"/>
            <w:r w:rsidRPr="00A5319F">
              <w:rPr>
                <w:rFonts w:eastAsia="Arial Unicode MS"/>
                <w:color w:val="000000" w:themeColor="text1"/>
                <w:sz w:val="20"/>
                <w:szCs w:val="20"/>
                <w:shd w:val="clear" w:color="auto" w:fill="FFFFFF"/>
                <w:lang w:val="en-US"/>
              </w:rPr>
              <w:t>directoare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potențialul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utilizare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circulară</w:t>
            </w:r>
            <w:proofErr w:type="spellEnd"/>
            <w:r w:rsidRPr="00A5319F">
              <w:rPr>
                <w:rFonts w:eastAsia="Arial Unicode MS"/>
                <w:color w:val="000000" w:themeColor="text1"/>
                <w:sz w:val="20"/>
                <w:szCs w:val="20"/>
                <w:shd w:val="clear" w:color="auto" w:fill="FFFFFF"/>
                <w:lang w:val="en-US"/>
              </w:rPr>
              <w:t xml:space="preserve"> al </w:t>
            </w:r>
            <w:proofErr w:type="spellStart"/>
            <w:r w:rsidRPr="00A5319F">
              <w:rPr>
                <w:rFonts w:eastAsia="Arial Unicode MS"/>
                <w:color w:val="000000" w:themeColor="text1"/>
                <w:sz w:val="20"/>
                <w:szCs w:val="20"/>
                <w:shd w:val="clear" w:color="auto" w:fill="FFFFFF"/>
                <w:lang w:val="en-US"/>
              </w:rPr>
              <w:t>materialelor</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faptul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trebui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independente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materiile</w:t>
            </w:r>
            <w:proofErr w:type="spellEnd"/>
            <w:r w:rsidRPr="00A5319F">
              <w:rPr>
                <w:rFonts w:eastAsia="Arial Unicode MS"/>
                <w:color w:val="000000" w:themeColor="text1"/>
                <w:sz w:val="20"/>
                <w:szCs w:val="20"/>
                <w:shd w:val="clear" w:color="auto" w:fill="FFFFFF"/>
                <w:lang w:val="en-US"/>
              </w:rPr>
              <w:t xml:space="preserve"> prime și de </w:t>
            </w:r>
            <w:proofErr w:type="spellStart"/>
            <w:r w:rsidRPr="00A5319F">
              <w:rPr>
                <w:rFonts w:eastAsia="Arial Unicode MS"/>
                <w:color w:val="000000" w:themeColor="text1"/>
                <w:sz w:val="20"/>
                <w:szCs w:val="20"/>
                <w:shd w:val="clear" w:color="auto" w:fill="FFFFFF"/>
                <w:lang w:val="en-US"/>
              </w:rPr>
              <w:t>tipul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proces</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producție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procesele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producție</w:t>
            </w:r>
            <w:proofErr w:type="spellEnd"/>
            <w:r w:rsidRPr="00A5319F">
              <w:rPr>
                <w:rFonts w:eastAsia="Arial Unicode MS"/>
                <w:color w:val="000000" w:themeColor="text1"/>
                <w:sz w:val="20"/>
                <w:szCs w:val="20"/>
                <w:shd w:val="clear" w:color="auto" w:fill="FFFFFF"/>
                <w:lang w:val="en-US"/>
              </w:rPr>
              <w:t xml:space="preserve"> au </w:t>
            </w:r>
            <w:proofErr w:type="spellStart"/>
            <w:r w:rsidRPr="00A5319F">
              <w:rPr>
                <w:rFonts w:eastAsia="Arial Unicode MS"/>
                <w:color w:val="000000" w:themeColor="text1"/>
                <w:sz w:val="20"/>
                <w:szCs w:val="20"/>
                <w:shd w:val="clear" w:color="auto" w:fill="FFFFFF"/>
                <w:lang w:val="en-US"/>
              </w:rPr>
              <w:t>același</w:t>
            </w:r>
            <w:proofErr w:type="spellEnd"/>
            <w:r w:rsidRPr="00A5319F">
              <w:rPr>
                <w:rFonts w:eastAsia="Arial Unicode MS"/>
                <w:color w:val="000000" w:themeColor="text1"/>
                <w:sz w:val="20"/>
                <w:szCs w:val="20"/>
                <w:shd w:val="clear" w:color="auto" w:fill="FFFFFF"/>
                <w:lang w:val="en-US"/>
              </w:rPr>
              <w:t xml:space="preserve"> scop.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depune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eforturi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adopta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punere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scopul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revizuite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alocarea</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 al </w:t>
            </w:r>
            <w:proofErr w:type="spellStart"/>
            <w:r w:rsidRPr="00A5319F">
              <w:rPr>
                <w:rFonts w:eastAsia="Arial Unicode MS"/>
                <w:color w:val="000000" w:themeColor="text1"/>
                <w:sz w:val="20"/>
                <w:szCs w:val="20"/>
                <w:shd w:val="clear" w:color="auto" w:fill="FFFFFF"/>
                <w:lang w:val="en-US"/>
              </w:rPr>
              <w:t>treilea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cât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curând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posibil</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înainte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începerea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perioadei</w:t>
            </w:r>
            <w:proofErr w:type="spellEnd"/>
            <w:r w:rsidRPr="00A5319F">
              <w:rPr>
                <w:rFonts w:eastAsia="Arial Unicode MS"/>
                <w:color w:val="000000" w:themeColor="text1"/>
                <w:sz w:val="20"/>
                <w:szCs w:val="20"/>
                <w:shd w:val="clear" w:color="auto" w:fill="FFFFFF"/>
                <w:lang w:val="en-US"/>
              </w:rPr>
              <w:t xml:space="preserve"> 2026-2030.</w:t>
            </w:r>
          </w:p>
          <w:p w14:paraId="182A2629"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28" w:tooltip="32009L0029R(04): REPLACED" w:history="1">
              <w:r w:rsidRPr="00E34C2B">
                <w:rPr>
                  <w:rStyle w:val="af3"/>
                  <w:rFonts w:eastAsia="Arial Unicode MS"/>
                  <w:b/>
                  <w:bCs/>
                  <w:color w:val="4472C4" w:themeColor="accent1"/>
                  <w:sz w:val="20"/>
                  <w:szCs w:val="20"/>
                  <w:lang w:val="en-US"/>
                </w:rPr>
                <w:t>▼C5</w:t>
              </w:r>
            </w:hyperlink>
          </w:p>
          <w:p w14:paraId="2406A3C0" w14:textId="4AA47053"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La </w:t>
            </w:r>
            <w:proofErr w:type="spellStart"/>
            <w:r w:rsidRPr="00A5319F">
              <w:rPr>
                <w:rFonts w:eastAsia="Arial Unicode MS"/>
                <w:color w:val="000000" w:themeColor="text1"/>
                <w:sz w:val="20"/>
                <w:szCs w:val="20"/>
                <w:shd w:val="clear" w:color="auto" w:fill="FFFFFF"/>
                <w:lang w:val="en-US"/>
              </w:rPr>
              <w:t>definirea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principiilor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stabilire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00A5319F" w:rsidRPr="00A5319F">
              <w:rPr>
                <w:rStyle w:val="apple-converted-space"/>
                <w:rFonts w:eastAsia="Arial Unicode MS"/>
                <w:color w:val="000000" w:themeColor="text1"/>
                <w:sz w:val="20"/>
                <w:szCs w:val="20"/>
                <w:shd w:val="clear" w:color="auto" w:fill="FFFFFF"/>
                <w:lang w:val="en-US"/>
              </w:rPr>
              <w:t xml:space="preserve"> </w:t>
            </w:r>
            <w:r w:rsidRPr="00A5319F">
              <w:rPr>
                <w:rStyle w:val="italics"/>
                <w:rFonts w:eastAsia="Arial Unicode MS"/>
                <w:i/>
                <w:iCs/>
                <w:color w:val="000000" w:themeColor="text1"/>
                <w:sz w:val="20"/>
                <w:szCs w:val="20"/>
                <w:lang w:val="en-US"/>
              </w:rPr>
              <w:t>ex ante</w:t>
            </w:r>
            <w:r w:rsidR="00A5319F" w:rsidRPr="00A5319F">
              <w:rPr>
                <w:rStyle w:val="apple-converted-space"/>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sector și subsector,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consultă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părțile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interesate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inclusiv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sectoarele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subsectoarele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cauză</w:t>
            </w:r>
            <w:proofErr w:type="spellEnd"/>
            <w:r w:rsidRPr="00A5319F">
              <w:rPr>
                <w:rFonts w:eastAsia="Arial Unicode MS"/>
                <w:color w:val="000000" w:themeColor="text1"/>
                <w:sz w:val="20"/>
                <w:szCs w:val="20"/>
                <w:shd w:val="clear" w:color="auto" w:fill="FFFFFF"/>
                <w:lang w:val="en-US"/>
              </w:rPr>
              <w:t>.</w:t>
            </w:r>
          </w:p>
          <w:p w14:paraId="2DC4C0B6" w14:textId="7C7489C1"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Din </w:t>
            </w:r>
            <w:proofErr w:type="spellStart"/>
            <w:r w:rsidRPr="00A5319F">
              <w:rPr>
                <w:rFonts w:eastAsia="Arial Unicode MS"/>
                <w:color w:val="000000" w:themeColor="text1"/>
                <w:sz w:val="20"/>
                <w:szCs w:val="20"/>
                <w:shd w:val="clear" w:color="auto" w:fill="FFFFFF"/>
                <w:lang w:val="en-US"/>
              </w:rPr>
              <w:t>momentul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aprobării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către</w:t>
            </w:r>
            <w:proofErr w:type="spellEnd"/>
            <w:r w:rsidR="00A5319F" w:rsidRPr="00A5319F">
              <w:rPr>
                <w:rStyle w:val="apple-converted-space"/>
                <w:rFonts w:eastAsia="Arial Unicode MS"/>
                <w:color w:val="000000" w:themeColor="text1"/>
                <w:sz w:val="20"/>
                <w:szCs w:val="20"/>
                <w:shd w:val="clear" w:color="auto" w:fill="FFFFFF"/>
                <w:lang w:val="en-US"/>
              </w:rPr>
              <w:t xml:space="preserve"> </w:t>
            </w:r>
            <w:hyperlink r:id="rId129" w:tooltip="32018L0410: REPLACED" w:history="1">
              <w:r w:rsidRPr="00A5319F">
                <w:rPr>
                  <w:rStyle w:val="boldface"/>
                  <w:rFonts w:eastAsia="Arial Unicode MS"/>
                  <w:b/>
                  <w:bCs/>
                  <w:color w:val="000000" w:themeColor="text1"/>
                  <w:sz w:val="20"/>
                  <w:szCs w:val="20"/>
                  <w:lang w:val="en-US"/>
                </w:rPr>
                <w:t>►M9</w:t>
              </w:r>
            </w:hyperlink>
            <w:r w:rsidR="00A5319F" w:rsidRPr="00A5319F">
              <w:rPr>
                <w:rStyle w:val="apple-converted-space"/>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shd w:val="clear" w:color="auto" w:fill="FFFFFF"/>
                <w:lang w:val="en-US"/>
              </w:rPr>
              <w:t>Uniune</w:t>
            </w:r>
            <w:proofErr w:type="spellEnd"/>
            <w:r w:rsidR="00A5319F" w:rsidRPr="00A5319F">
              <w:rPr>
                <w:rStyle w:val="boldface"/>
                <w:rFonts w:eastAsia="Arial Unicode MS"/>
                <w:b/>
                <w:bCs/>
                <w:color w:val="000000" w:themeColor="text1"/>
                <w:sz w:val="20"/>
                <w:szCs w:val="20"/>
                <w:lang w:val="en-US"/>
              </w:rPr>
              <w:t xml:space="preserve"> </w:t>
            </w:r>
            <w:r w:rsidRPr="00A5319F">
              <w:rPr>
                <w:rStyle w:val="boldface"/>
                <w:rFonts w:eastAsia="Arial Unicode MS"/>
                <w:b/>
                <w:bCs/>
                <w:color w:val="000000" w:themeColor="text1"/>
                <w:sz w:val="20"/>
                <w:szCs w:val="20"/>
                <w:lang w:val="en-US"/>
              </w:rPr>
              <w:t>◄</w:t>
            </w:r>
            <w:r w:rsidR="00A5319F" w:rsidRPr="00A5319F">
              <w:rPr>
                <w:rStyle w:val="apple-converted-space"/>
                <w:rFonts w:eastAsia="Arial Unicode MS"/>
                <w:b/>
                <w:bCs/>
                <w:color w:val="000000" w:themeColor="text1"/>
                <w:sz w:val="20"/>
                <w:szCs w:val="20"/>
                <w:lang w:val="en-US"/>
              </w:rPr>
              <w:t xml:space="preserve"> </w:t>
            </w:r>
            <w:r w:rsidRPr="00A5319F">
              <w:rPr>
                <w:rFonts w:eastAsia="Arial Unicode MS"/>
                <w:color w:val="000000" w:themeColor="text1"/>
                <w:sz w:val="20"/>
                <w:szCs w:val="20"/>
                <w:shd w:val="clear" w:color="auto" w:fill="FFFFFF"/>
                <w:lang w:val="en-US"/>
              </w:rPr>
              <w:t xml:space="preserve">a </w:t>
            </w:r>
            <w:proofErr w:type="spellStart"/>
            <w:r w:rsidRPr="00A5319F">
              <w:rPr>
                <w:rFonts w:eastAsia="Arial Unicode MS"/>
                <w:color w:val="000000" w:themeColor="text1"/>
                <w:sz w:val="20"/>
                <w:szCs w:val="20"/>
                <w:shd w:val="clear" w:color="auto" w:fill="FFFFFF"/>
                <w:lang w:val="en-US"/>
              </w:rPr>
              <w:t>unui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acord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internațional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privind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schimbările</w:t>
            </w:r>
            <w:proofErr w:type="spellEnd"/>
            <w:r w:rsidRPr="00A5319F">
              <w:rPr>
                <w:rFonts w:eastAsia="Arial Unicode MS"/>
                <w:color w:val="000000" w:themeColor="text1"/>
                <w:sz w:val="20"/>
                <w:szCs w:val="20"/>
                <w:shd w:val="clear" w:color="auto" w:fill="FFFFFF"/>
                <w:lang w:val="en-US"/>
              </w:rPr>
              <w:t xml:space="preserve"> climatice, care </w:t>
            </w:r>
            <w:proofErr w:type="spellStart"/>
            <w:r w:rsidRPr="00A5319F">
              <w:rPr>
                <w:rFonts w:eastAsia="Arial Unicode MS"/>
                <w:color w:val="000000" w:themeColor="text1"/>
                <w:sz w:val="20"/>
                <w:szCs w:val="20"/>
                <w:shd w:val="clear" w:color="auto" w:fill="FFFFFF"/>
                <w:lang w:val="en-US"/>
              </w:rPr>
              <w:t>prevede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reduceri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obligatorii</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comparabile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cele</w:t>
            </w:r>
            <w:proofErr w:type="spellEnd"/>
            <w:r w:rsidRPr="00A5319F">
              <w:rPr>
                <w:rFonts w:eastAsia="Arial Unicode MS"/>
                <w:color w:val="000000" w:themeColor="text1"/>
                <w:sz w:val="20"/>
                <w:szCs w:val="20"/>
                <w:shd w:val="clear" w:color="auto" w:fill="FFFFFF"/>
                <w:lang w:val="en-US"/>
              </w:rPr>
              <w:t xml:space="preserve"> ale</w:t>
            </w:r>
            <w:r w:rsidR="00A5319F" w:rsidRPr="00A5319F">
              <w:rPr>
                <w:rStyle w:val="apple-converted-space"/>
                <w:rFonts w:eastAsia="Arial Unicode MS"/>
                <w:color w:val="000000" w:themeColor="text1"/>
                <w:sz w:val="20"/>
                <w:szCs w:val="20"/>
                <w:shd w:val="clear" w:color="auto" w:fill="FFFFFF"/>
                <w:lang w:val="en-US"/>
              </w:rPr>
              <w:t xml:space="preserve"> </w:t>
            </w:r>
            <w:hyperlink r:id="rId130" w:tooltip="32018L0410: REPLACED" w:history="1">
              <w:r w:rsidRPr="00A5319F">
                <w:rPr>
                  <w:rStyle w:val="boldface"/>
                  <w:rFonts w:eastAsia="Arial Unicode MS"/>
                  <w:b/>
                  <w:bCs/>
                  <w:color w:val="000000" w:themeColor="text1"/>
                  <w:sz w:val="20"/>
                  <w:szCs w:val="20"/>
                  <w:lang w:val="en-US"/>
                </w:rPr>
                <w:t>►M9</w:t>
              </w:r>
            </w:hyperlink>
            <w:r w:rsidR="00A5319F" w:rsidRPr="00A5319F">
              <w:rPr>
                <w:rStyle w:val="apple-converted-space"/>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shd w:val="clear" w:color="auto" w:fill="FFFFFF"/>
                <w:lang w:val="en-US"/>
              </w:rPr>
              <w:t>Uniunii</w:t>
            </w:r>
            <w:proofErr w:type="spellEnd"/>
            <w:r w:rsidR="00A5319F" w:rsidRPr="00A5319F">
              <w:rPr>
                <w:rStyle w:val="boldface"/>
                <w:rFonts w:eastAsia="Arial Unicode MS"/>
                <w:b/>
                <w:bCs/>
                <w:color w:val="000000" w:themeColor="text1"/>
                <w:sz w:val="20"/>
                <w:szCs w:val="20"/>
                <w:lang w:val="en-US"/>
              </w:rPr>
              <w:t xml:space="preserve"> </w:t>
            </w:r>
            <w:r w:rsidRPr="00A5319F">
              <w:rPr>
                <w:rStyle w:val="boldface"/>
                <w:rFonts w:eastAsia="Arial Unicode MS"/>
                <w:b/>
                <w:bCs/>
                <w:color w:val="000000" w:themeColor="text1"/>
                <w:sz w:val="20"/>
                <w:szCs w:val="20"/>
                <w:lang w:val="en-US"/>
              </w:rPr>
              <w:t>◄</w:t>
            </w:r>
            <w:r w:rsidR="00A5319F" w:rsidRPr="00A5319F">
              <w:rPr>
                <w:rStyle w:val="apple-converted-space"/>
                <w:rFonts w:eastAsia="Arial Unicode MS"/>
                <w:b/>
                <w:bCs/>
                <w:color w:val="000000" w:themeColor="text1"/>
                <w:sz w:val="20"/>
                <w:szCs w:val="20"/>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reexaminează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se </w:t>
            </w:r>
            <w:proofErr w:type="spellStart"/>
            <w:r w:rsidRPr="00A5319F">
              <w:rPr>
                <w:rFonts w:eastAsia="Arial Unicode MS"/>
                <w:color w:val="000000" w:themeColor="text1"/>
                <w:sz w:val="20"/>
                <w:szCs w:val="20"/>
                <w:shd w:val="clear" w:color="auto" w:fill="FFFFFF"/>
                <w:lang w:val="en-US"/>
              </w:rPr>
              <w:t>asigura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alocarea</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utilizată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numai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cazuri</w:t>
            </w:r>
            <w:proofErr w:type="spellEnd"/>
            <w:r w:rsidRPr="00A5319F">
              <w:rPr>
                <w:rFonts w:eastAsia="Arial Unicode MS"/>
                <w:color w:val="000000" w:themeColor="text1"/>
                <w:sz w:val="20"/>
                <w:szCs w:val="20"/>
                <w:shd w:val="clear" w:color="auto" w:fill="FFFFFF"/>
                <w:lang w:val="en-US"/>
              </w:rPr>
              <w:t xml:space="preserve"> pe </w:t>
            </w:r>
            <w:proofErr w:type="spellStart"/>
            <w:r w:rsidRPr="00A5319F">
              <w:rPr>
                <w:rFonts w:eastAsia="Arial Unicode MS"/>
                <w:color w:val="000000" w:themeColor="text1"/>
                <w:sz w:val="20"/>
                <w:szCs w:val="20"/>
                <w:shd w:val="clear" w:color="auto" w:fill="FFFFFF"/>
                <w:lang w:val="en-US"/>
              </w:rPr>
              <w:t>deplin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justificate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având</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vedere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acordul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w:t>
            </w:r>
          </w:p>
          <w:p w14:paraId="7021D64A" w14:textId="77777777" w:rsidR="00124364" w:rsidRDefault="00000000">
            <w:pPr>
              <w:pStyle w:val="ti-art"/>
              <w:shd w:val="clear" w:color="auto" w:fill="FFFFFF"/>
              <w:spacing w:before="0" w:beforeAutospacing="0" w:after="0" w:afterAutospacing="0"/>
              <w:rPr>
                <w:color w:val="4472C4" w:themeColor="accent1"/>
                <w:sz w:val="20"/>
                <w:szCs w:val="20"/>
              </w:rPr>
            </w:pPr>
            <w:hyperlink r:id="rId131" w:tooltip="32023L0959: INSERTED" w:history="1">
              <w:r>
                <w:rPr>
                  <w:rStyle w:val="af3"/>
                  <w:rFonts w:eastAsia="Arial Unicode MS"/>
                  <w:b/>
                  <w:bCs/>
                  <w:color w:val="4472C4" w:themeColor="accent1"/>
                  <w:sz w:val="20"/>
                  <w:szCs w:val="20"/>
                </w:rPr>
                <w:t>▼M15</w:t>
              </w:r>
            </w:hyperlink>
          </w:p>
          <w:p w14:paraId="5D26BC5B" w14:textId="77777777" w:rsidR="00124364" w:rsidRPr="00A5319F" w:rsidRDefault="00000000" w:rsidP="00A5319F">
            <w:pPr>
              <w:pStyle w:val="ti-art"/>
              <w:numPr>
                <w:ilvl w:val="0"/>
                <w:numId w:val="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Sub </w:t>
            </w:r>
            <w:proofErr w:type="spellStart"/>
            <w:r w:rsidRPr="00A5319F">
              <w:rPr>
                <w:rFonts w:eastAsia="Arial Unicode MS"/>
                <w:color w:val="000000" w:themeColor="text1"/>
                <w:sz w:val="20"/>
                <w:szCs w:val="20"/>
                <w:shd w:val="clear" w:color="auto" w:fill="FFFFFF"/>
                <w:lang w:val="en-US"/>
              </w:rPr>
              <w:t>rezerva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Regulamentului</w:t>
            </w:r>
            <w:proofErr w:type="spellEnd"/>
            <w:r w:rsidRPr="00A5319F">
              <w:rPr>
                <w:rFonts w:eastAsia="Arial Unicode MS"/>
                <w:color w:val="000000" w:themeColor="text1"/>
                <w:sz w:val="20"/>
                <w:szCs w:val="20"/>
                <w:shd w:val="clear" w:color="auto" w:fill="FFFFFF"/>
                <w:lang w:val="en-US"/>
              </w:rPr>
              <w:t xml:space="preserve"> (UE) 2023/956, se </w:t>
            </w:r>
            <w:proofErr w:type="spellStart"/>
            <w:r w:rsidRPr="00A5319F">
              <w:rPr>
                <w:rFonts w:eastAsia="Arial Unicode MS"/>
                <w:color w:val="000000" w:themeColor="text1"/>
                <w:sz w:val="20"/>
                <w:szCs w:val="20"/>
                <w:shd w:val="clear" w:color="auto" w:fill="FFFFFF"/>
                <w:lang w:val="en-US"/>
              </w:rPr>
              <w:t>interzice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alocarea</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producția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mărfurilor</w:t>
            </w:r>
            <w:proofErr w:type="spellEnd"/>
            <w:r w:rsidRPr="00A5319F">
              <w:rPr>
                <w:rFonts w:eastAsia="Arial Unicode MS"/>
                <w:color w:val="000000" w:themeColor="text1"/>
                <w:sz w:val="20"/>
                <w:szCs w:val="20"/>
                <w:shd w:val="clear" w:color="auto" w:fill="FFFFFF"/>
                <w:lang w:val="en-US"/>
              </w:rPr>
              <w:t xml:space="preserve"> enumerate în </w:t>
            </w:r>
            <w:proofErr w:type="spellStart"/>
            <w:r w:rsidRPr="00A5319F">
              <w:rPr>
                <w:rFonts w:eastAsia="Arial Unicode MS"/>
                <w:color w:val="000000" w:themeColor="text1"/>
                <w:sz w:val="20"/>
                <w:szCs w:val="20"/>
                <w:shd w:val="clear" w:color="auto" w:fill="FFFFFF"/>
                <w:lang w:val="en-US"/>
              </w:rPr>
              <w:t>anexa</w:t>
            </w:r>
            <w:proofErr w:type="spellEnd"/>
            <w:r w:rsidRPr="00A5319F">
              <w:rPr>
                <w:rFonts w:eastAsia="Arial Unicode MS"/>
                <w:color w:val="000000" w:themeColor="text1"/>
                <w:sz w:val="20"/>
                <w:szCs w:val="20"/>
                <w:shd w:val="clear" w:color="auto" w:fill="FFFFFF"/>
                <w:lang w:val="en-US"/>
              </w:rPr>
              <w:t xml:space="preserve"> I la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w:t>
            </w:r>
          </w:p>
          <w:p w14:paraId="3214E96B" w14:textId="7BEE7474"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derogare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primul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primii</w:t>
            </w:r>
            <w:proofErr w:type="spellEnd"/>
            <w:r w:rsidRPr="00A5319F">
              <w:rPr>
                <w:rFonts w:eastAsia="Arial Unicode MS"/>
                <w:color w:val="000000" w:themeColor="text1"/>
                <w:sz w:val="20"/>
                <w:szCs w:val="20"/>
                <w:shd w:val="clear" w:color="auto" w:fill="FFFFFF"/>
                <w:lang w:val="en-US"/>
              </w:rPr>
              <w:t xml:space="preserve"> ani de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Regulamentului</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(UE) 2023/956, </w:t>
            </w:r>
            <w:proofErr w:type="spellStart"/>
            <w:r w:rsidRPr="00A5319F">
              <w:rPr>
                <w:rFonts w:eastAsia="Arial Unicode MS"/>
                <w:color w:val="000000" w:themeColor="text1"/>
                <w:sz w:val="20"/>
                <w:szCs w:val="20"/>
                <w:shd w:val="clear" w:color="auto" w:fill="FFFFFF"/>
                <w:lang w:val="en-US"/>
              </w:rPr>
              <w:t>producția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mărfurilor</w:t>
            </w:r>
            <w:proofErr w:type="spellEnd"/>
            <w:r w:rsidRPr="00A5319F">
              <w:rPr>
                <w:rFonts w:eastAsia="Arial Unicode MS"/>
                <w:color w:val="000000" w:themeColor="text1"/>
                <w:sz w:val="20"/>
                <w:szCs w:val="20"/>
                <w:shd w:val="clear" w:color="auto" w:fill="FFFFFF"/>
                <w:lang w:val="en-US"/>
              </w:rPr>
              <w:t xml:space="preserve"> enumerate în </w:t>
            </w:r>
            <w:proofErr w:type="spellStart"/>
            <w:r w:rsidRPr="00A5319F">
              <w:rPr>
                <w:rFonts w:eastAsia="Arial Unicode MS"/>
                <w:color w:val="000000" w:themeColor="text1"/>
                <w:sz w:val="20"/>
                <w:szCs w:val="20"/>
                <w:shd w:val="clear" w:color="auto" w:fill="FFFFFF"/>
                <w:lang w:val="en-US"/>
              </w:rPr>
              <w:t>anexa</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I la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beneficiază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alocări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cantități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reduse</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un factor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producția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mărfurilor</w:t>
            </w:r>
            <w:proofErr w:type="spellEnd"/>
            <w:r w:rsidRPr="00A5319F">
              <w:rPr>
                <w:rFonts w:eastAsia="Arial Unicode MS"/>
                <w:color w:val="000000" w:themeColor="text1"/>
                <w:sz w:val="20"/>
                <w:szCs w:val="20"/>
                <w:shd w:val="clear" w:color="auto" w:fill="FFFFFF"/>
                <w:lang w:val="en-US"/>
              </w:rPr>
              <w:t xml:space="preserve"> respective („</w:t>
            </w:r>
            <w:proofErr w:type="spellStart"/>
            <w:r w:rsidRPr="00A5319F">
              <w:rPr>
                <w:rFonts w:eastAsia="Arial Unicode MS"/>
                <w:color w:val="000000" w:themeColor="text1"/>
                <w:sz w:val="20"/>
                <w:szCs w:val="20"/>
                <w:shd w:val="clear" w:color="auto" w:fill="FFFFFF"/>
                <w:lang w:val="en-US"/>
              </w:rPr>
              <w:t>factorul</w:t>
            </w:r>
            <w:proofErr w:type="spellEnd"/>
            <w:r w:rsidRPr="00A5319F">
              <w:rPr>
                <w:rFonts w:eastAsia="Arial Unicode MS"/>
                <w:color w:val="000000" w:themeColor="text1"/>
                <w:sz w:val="20"/>
                <w:szCs w:val="20"/>
                <w:shd w:val="clear" w:color="auto" w:fill="FFFFFF"/>
                <w:lang w:val="en-US"/>
              </w:rPr>
              <w:t xml:space="preserve"> CBAM”). </w:t>
            </w:r>
            <w:proofErr w:type="spellStart"/>
            <w:r w:rsidRPr="00A5319F">
              <w:rPr>
                <w:rFonts w:eastAsia="Arial Unicode MS"/>
                <w:color w:val="000000" w:themeColor="text1"/>
                <w:sz w:val="20"/>
                <w:szCs w:val="20"/>
                <w:shd w:val="clear" w:color="auto" w:fill="FFFFFF"/>
                <w:lang w:val="en-US"/>
              </w:rPr>
              <w:t>Factorul</w:t>
            </w:r>
            <w:proofErr w:type="spellEnd"/>
            <w:r w:rsidRPr="00A5319F">
              <w:rPr>
                <w:rFonts w:eastAsia="Arial Unicode MS"/>
                <w:color w:val="000000" w:themeColor="text1"/>
                <w:sz w:val="20"/>
                <w:szCs w:val="20"/>
                <w:shd w:val="clear" w:color="auto" w:fill="FFFFFF"/>
                <w:lang w:val="en-US"/>
              </w:rPr>
              <w:t xml:space="preserve"> CBAM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egal cu 100</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în perioada </w:t>
            </w:r>
            <w:proofErr w:type="spellStart"/>
            <w:r w:rsidRPr="00A5319F">
              <w:rPr>
                <w:rFonts w:eastAsia="Arial Unicode MS"/>
                <w:color w:val="000000" w:themeColor="text1"/>
                <w:sz w:val="20"/>
                <w:szCs w:val="20"/>
                <w:shd w:val="clear" w:color="auto" w:fill="FFFFFF"/>
                <w:lang w:val="en-US"/>
              </w:rPr>
              <w:t>cuprinsă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intrarea</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vigoare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regulamentului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sfârșitul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anului</w:t>
            </w:r>
            <w:proofErr w:type="spellEnd"/>
            <w:r w:rsidRPr="00A5319F">
              <w:rPr>
                <w:rFonts w:eastAsia="Arial Unicode MS"/>
                <w:color w:val="000000" w:themeColor="text1"/>
                <w:sz w:val="20"/>
                <w:szCs w:val="20"/>
                <w:shd w:val="clear" w:color="auto" w:fill="FFFFFF"/>
                <w:lang w:val="en-US"/>
              </w:rPr>
              <w:t xml:space="preserve"> 2025 și, sub </w:t>
            </w:r>
            <w:proofErr w:type="spellStart"/>
            <w:r w:rsidRPr="00A5319F">
              <w:rPr>
                <w:rFonts w:eastAsia="Arial Unicode MS"/>
                <w:color w:val="000000" w:themeColor="text1"/>
                <w:sz w:val="20"/>
                <w:szCs w:val="20"/>
                <w:shd w:val="clear" w:color="auto" w:fill="FFFFFF"/>
                <w:lang w:val="en-US"/>
              </w:rPr>
              <w:t>rezerva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dispozițiilor</w:t>
            </w:r>
            <w:proofErr w:type="spellEnd"/>
            <w:r w:rsidRPr="00A5319F">
              <w:rPr>
                <w:rFonts w:eastAsia="Arial Unicode MS"/>
                <w:color w:val="000000" w:themeColor="text1"/>
                <w:sz w:val="20"/>
                <w:szCs w:val="20"/>
                <w:shd w:val="clear" w:color="auto" w:fill="FFFFFF"/>
                <w:lang w:val="en-US"/>
              </w:rPr>
              <w:t xml:space="preserve"> de la articolul36 </w:t>
            </w:r>
            <w:proofErr w:type="spellStart"/>
            <w:r w:rsidRPr="00A5319F">
              <w:rPr>
                <w:rFonts w:eastAsia="Arial Unicode MS"/>
                <w:color w:val="000000" w:themeColor="text1"/>
                <w:sz w:val="20"/>
                <w:szCs w:val="20"/>
                <w:shd w:val="clear" w:color="auto" w:fill="FFFFFF"/>
                <w:lang w:val="en-US"/>
              </w:rPr>
              <w:t>alineatul</w:t>
            </w:r>
            <w:proofErr w:type="spellEnd"/>
            <w:r w:rsidRPr="00A5319F">
              <w:rPr>
                <w:rFonts w:eastAsia="Arial Unicode MS"/>
                <w:color w:val="000000" w:themeColor="text1"/>
                <w:sz w:val="20"/>
                <w:szCs w:val="20"/>
                <w:shd w:val="clear" w:color="auto" w:fill="FFFFFF"/>
                <w:lang w:val="en-US"/>
              </w:rPr>
              <w:t xml:space="preserve"> (2) </w:t>
            </w:r>
            <w:proofErr w:type="spellStart"/>
            <w:r w:rsidRPr="00A5319F">
              <w:rPr>
                <w:rFonts w:eastAsia="Arial Unicode MS"/>
                <w:color w:val="000000" w:themeColor="text1"/>
                <w:sz w:val="20"/>
                <w:szCs w:val="20"/>
                <w:shd w:val="clear" w:color="auto" w:fill="FFFFFF"/>
                <w:lang w:val="en-US"/>
              </w:rPr>
              <w:t>litera</w:t>
            </w:r>
            <w:proofErr w:type="spellEnd"/>
            <w:r w:rsidRPr="00A5319F">
              <w:rPr>
                <w:rFonts w:eastAsia="Arial Unicode MS"/>
                <w:color w:val="000000" w:themeColor="text1"/>
                <w:sz w:val="20"/>
                <w:szCs w:val="20"/>
                <w:shd w:val="clear" w:color="auto" w:fill="FFFFFF"/>
                <w:lang w:val="en-US"/>
              </w:rPr>
              <w:t xml:space="preserve"> (b) din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egal cu 97,5</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2026, 95% în 2027, 90</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2028, 77,5</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2029, 51,5</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2030, 39</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2031, 26,5</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în 2032 și</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14% în 2033. </w:t>
            </w:r>
            <w:proofErr w:type="spellStart"/>
            <w:r w:rsidRPr="00A5319F">
              <w:rPr>
                <w:rFonts w:eastAsia="Arial Unicode MS"/>
                <w:color w:val="000000" w:themeColor="text1"/>
                <w:sz w:val="20"/>
                <w:szCs w:val="20"/>
                <w:shd w:val="clear" w:color="auto" w:fill="FFFFFF"/>
                <w:lang w:val="en-US"/>
              </w:rPr>
              <w:t>Începând</w:t>
            </w:r>
            <w:proofErr w:type="spellEnd"/>
            <w:r w:rsidRPr="00A5319F">
              <w:rPr>
                <w:rFonts w:eastAsia="Arial Unicode MS"/>
                <w:color w:val="000000" w:themeColor="text1"/>
                <w:sz w:val="20"/>
                <w:szCs w:val="20"/>
                <w:shd w:val="clear" w:color="auto" w:fill="FFFFFF"/>
                <w:lang w:val="en-US"/>
              </w:rPr>
              <w:t xml:space="preserve"> cu anul 2034, nu se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niciun</w:t>
            </w:r>
            <w:proofErr w:type="spellEnd"/>
            <w:r w:rsidRPr="00A5319F">
              <w:rPr>
                <w:rFonts w:eastAsia="Arial Unicode MS"/>
                <w:color w:val="000000" w:themeColor="text1"/>
                <w:sz w:val="20"/>
                <w:szCs w:val="20"/>
                <w:shd w:val="clear" w:color="auto" w:fill="FFFFFF"/>
                <w:lang w:val="en-US"/>
              </w:rPr>
              <w:t xml:space="preserve"> factor CBAM.</w:t>
            </w:r>
          </w:p>
          <w:p w14:paraId="674B7919" w14:textId="6414B30C"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calculează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anual</w:t>
            </w:r>
            <w:proofErr w:type="spellEnd"/>
            <w:r w:rsidRPr="00A5319F">
              <w:rPr>
                <w:rFonts w:eastAsia="Arial Unicode MS"/>
                <w:color w:val="000000" w:themeColor="text1"/>
                <w:sz w:val="20"/>
                <w:szCs w:val="20"/>
                <w:shd w:val="clear" w:color="auto" w:fill="FFFFFF"/>
                <w:lang w:val="en-US"/>
              </w:rPr>
              <w:t xml:space="preserve"> ca </w:t>
            </w:r>
            <w:proofErr w:type="spellStart"/>
            <w:r w:rsidRPr="00A5319F">
              <w:rPr>
                <w:rFonts w:eastAsia="Arial Unicode MS"/>
                <w:color w:val="000000" w:themeColor="text1"/>
                <w:sz w:val="20"/>
                <w:szCs w:val="20"/>
                <w:shd w:val="clear" w:color="auto" w:fill="FFFFFF"/>
                <w:lang w:val="en-US"/>
              </w:rPr>
              <w:t>pondere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medie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cererii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alocare</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producția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mărfurilor</w:t>
            </w:r>
            <w:proofErr w:type="spellEnd"/>
            <w:r w:rsidRPr="00A5319F">
              <w:rPr>
                <w:rFonts w:eastAsia="Arial Unicode MS"/>
                <w:color w:val="000000" w:themeColor="text1"/>
                <w:sz w:val="20"/>
                <w:szCs w:val="20"/>
                <w:shd w:val="clear" w:color="auto" w:fill="FFFFFF"/>
                <w:lang w:val="en-US"/>
              </w:rPr>
              <w:t xml:space="preserve"> enumerate în </w:t>
            </w:r>
            <w:proofErr w:type="spellStart"/>
            <w:r w:rsidRPr="00A5319F">
              <w:rPr>
                <w:rFonts w:eastAsia="Arial Unicode MS"/>
                <w:color w:val="000000" w:themeColor="text1"/>
                <w:sz w:val="20"/>
                <w:szCs w:val="20"/>
                <w:shd w:val="clear" w:color="auto" w:fill="FFFFFF"/>
                <w:lang w:val="en-US"/>
              </w:rPr>
              <w:t>anexa</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I la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(UE) 2023/956 în </w:t>
            </w:r>
            <w:proofErr w:type="spellStart"/>
            <w:r w:rsidRPr="00A5319F">
              <w:rPr>
                <w:rFonts w:eastAsia="Arial Unicode MS"/>
                <w:color w:val="000000" w:themeColor="text1"/>
                <w:sz w:val="20"/>
                <w:szCs w:val="20"/>
                <w:shd w:val="clear" w:color="auto" w:fill="FFFFFF"/>
                <w:lang w:val="en-US"/>
              </w:rPr>
              <w:t>raport</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cererea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totală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alocare</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calculată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toate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w:t>
            </w:r>
            <w:proofErr w:type="spellStart"/>
            <w:r w:rsidRPr="00A5319F">
              <w:rPr>
                <w:rFonts w:eastAsia="Arial Unicode MS"/>
                <w:color w:val="000000" w:themeColor="text1"/>
                <w:sz w:val="20"/>
                <w:szCs w:val="20"/>
                <w:shd w:val="clear" w:color="auto" w:fill="FFFFFF"/>
                <w:lang w:val="en-US"/>
              </w:rPr>
              <w:t>relevantă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articolul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11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 din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acest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calcul</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factorul</w:t>
            </w:r>
            <w:proofErr w:type="spellEnd"/>
            <w:r w:rsidRPr="00A5319F">
              <w:rPr>
                <w:rFonts w:eastAsia="Arial Unicode MS"/>
                <w:color w:val="000000" w:themeColor="text1"/>
                <w:sz w:val="20"/>
                <w:szCs w:val="20"/>
                <w:shd w:val="clear" w:color="auto" w:fill="FFFFFF"/>
                <w:lang w:val="en-US"/>
              </w:rPr>
              <w:t xml:space="preserve"> CBAM.</w:t>
            </w:r>
          </w:p>
          <w:p w14:paraId="55719C02" w14:textId="2AD3F76F"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rezultă</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sunt </w:t>
            </w:r>
            <w:proofErr w:type="spellStart"/>
            <w:r w:rsidRPr="00A5319F">
              <w:rPr>
                <w:rFonts w:eastAsia="Arial Unicode MS"/>
                <w:color w:val="000000" w:themeColor="text1"/>
                <w:sz w:val="20"/>
                <w:szCs w:val="20"/>
                <w:shd w:val="clear" w:color="auto" w:fill="FFFFFF"/>
                <w:lang w:val="en-US"/>
              </w:rPr>
              <w:t>puse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dispoziție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sprijinirea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inovării</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(8).</w:t>
            </w:r>
          </w:p>
          <w:p w14:paraId="027AD019" w14:textId="11939A25"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Până</w:t>
            </w:r>
            <w:proofErr w:type="spellEnd"/>
            <w:r w:rsidRPr="00A5319F">
              <w:rPr>
                <w:rFonts w:eastAsia="Arial Unicode MS"/>
                <w:color w:val="000000" w:themeColor="text1"/>
                <w:sz w:val="20"/>
                <w:szCs w:val="20"/>
                <w:shd w:val="clear" w:color="auto" w:fill="FFFFFF"/>
                <w:lang w:val="en-US"/>
              </w:rPr>
              <w:t xml:space="preserve"> la 31</w:t>
            </w:r>
            <w:r w:rsid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decembrie</w:t>
            </w:r>
            <w:proofErr w:type="spellEnd"/>
            <w:r w:rsidRPr="00A5319F">
              <w:rPr>
                <w:rFonts w:eastAsia="Arial Unicode MS"/>
                <w:color w:val="000000" w:themeColor="text1"/>
                <w:sz w:val="20"/>
                <w:szCs w:val="20"/>
                <w:shd w:val="clear" w:color="auto" w:fill="FFFFFF"/>
                <w:lang w:val="en-US"/>
              </w:rPr>
              <w:t xml:space="preserve"> 2024 și ca </w:t>
            </w:r>
            <w:proofErr w:type="spellStart"/>
            <w:r w:rsidRPr="00A5319F">
              <w:rPr>
                <w:rFonts w:eastAsia="Arial Unicode MS"/>
                <w:color w:val="000000" w:themeColor="text1"/>
                <w:sz w:val="20"/>
                <w:szCs w:val="20"/>
                <w:shd w:val="clear" w:color="auto" w:fill="FFFFFF"/>
                <w:lang w:val="en-US"/>
              </w:rPr>
              <w:t>parte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raportului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anual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Parlamentul</w:t>
            </w:r>
            <w:proofErr w:type="spellEnd"/>
            <w:r w:rsidRPr="00A5319F">
              <w:rPr>
                <w:rFonts w:eastAsia="Arial Unicode MS"/>
                <w:color w:val="000000" w:themeColor="text1"/>
                <w:sz w:val="20"/>
                <w:szCs w:val="20"/>
                <w:shd w:val="clear" w:color="auto" w:fill="FFFFFF"/>
                <w:lang w:val="en-US"/>
              </w:rPr>
              <w:t xml:space="preserve"> European și </w:t>
            </w:r>
            <w:proofErr w:type="spellStart"/>
            <w:r w:rsidRPr="00A5319F">
              <w:rPr>
                <w:rFonts w:eastAsia="Arial Unicode MS"/>
                <w:color w:val="000000" w:themeColor="text1"/>
                <w:sz w:val="20"/>
                <w:szCs w:val="20"/>
                <w:shd w:val="clear" w:color="auto" w:fill="FFFFFF"/>
                <w:lang w:val="en-US"/>
              </w:rPr>
              <w:t>Consiliu</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10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(5) din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evaluează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riscul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vizate</w:t>
            </w:r>
            <w:proofErr w:type="spellEnd"/>
            <w:r w:rsidRPr="00A5319F">
              <w:rPr>
                <w:rFonts w:eastAsia="Arial Unicode MS"/>
                <w:color w:val="000000" w:themeColor="text1"/>
                <w:sz w:val="20"/>
                <w:szCs w:val="20"/>
                <w:shd w:val="clear" w:color="auto" w:fill="FFFFFF"/>
                <w:lang w:val="en-US"/>
              </w:rPr>
              <w:t xml:space="preserve"> de CBAM </w:t>
            </w:r>
            <w:proofErr w:type="spellStart"/>
            <w:r w:rsidRPr="00A5319F">
              <w:rPr>
                <w:rFonts w:eastAsia="Arial Unicode MS"/>
                <w:color w:val="000000" w:themeColor="text1"/>
                <w:sz w:val="20"/>
                <w:szCs w:val="20"/>
                <w:shd w:val="clear" w:color="auto" w:fill="FFFFFF"/>
                <w:lang w:val="en-US"/>
              </w:rPr>
              <w:t>produse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 xml:space="preserve"> și destinate </w:t>
            </w:r>
            <w:proofErr w:type="spellStart"/>
            <w:r w:rsidRPr="00A5319F">
              <w:rPr>
                <w:rFonts w:eastAsia="Arial Unicode MS"/>
                <w:color w:val="000000" w:themeColor="text1"/>
                <w:sz w:val="20"/>
                <w:szCs w:val="20"/>
                <w:shd w:val="clear" w:color="auto" w:fill="FFFFFF"/>
                <w:lang w:val="en-US"/>
              </w:rPr>
              <w:t>exportului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țări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terțe</w:t>
            </w:r>
            <w:proofErr w:type="spellEnd"/>
            <w:r w:rsidRPr="00A5319F">
              <w:rPr>
                <w:rFonts w:eastAsia="Arial Unicode MS"/>
                <w:color w:val="000000" w:themeColor="text1"/>
                <w:sz w:val="20"/>
                <w:szCs w:val="20"/>
                <w:shd w:val="clear" w:color="auto" w:fill="FFFFFF"/>
                <w:lang w:val="en-US"/>
              </w:rPr>
              <w:t xml:space="preserve"> care nu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EU ETS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lastRenderedPageBreak/>
              <w:t xml:space="preserve">un </w:t>
            </w:r>
            <w:proofErr w:type="spellStart"/>
            <w:r w:rsidRPr="00A5319F">
              <w:rPr>
                <w:rFonts w:eastAsia="Arial Unicode MS"/>
                <w:color w:val="000000" w:themeColor="text1"/>
                <w:sz w:val="20"/>
                <w:szCs w:val="20"/>
                <w:shd w:val="clear" w:color="auto" w:fill="FFFFFF"/>
                <w:lang w:val="en-US"/>
              </w:rPr>
              <w:t>mecanism</w:t>
            </w:r>
            <w:proofErr w:type="spellEnd"/>
            <w:r w:rsidRPr="00A5319F">
              <w:rPr>
                <w:rFonts w:eastAsia="Arial Unicode MS"/>
                <w:color w:val="000000" w:themeColor="text1"/>
                <w:sz w:val="20"/>
                <w:szCs w:val="20"/>
                <w:shd w:val="clear" w:color="auto" w:fill="FFFFFF"/>
                <w:lang w:val="en-US"/>
              </w:rPr>
              <w:t xml:space="preserve"> similar de </w:t>
            </w:r>
            <w:proofErr w:type="spellStart"/>
            <w:r w:rsidRPr="00A5319F">
              <w:rPr>
                <w:rFonts w:eastAsia="Arial Unicode MS"/>
                <w:color w:val="000000" w:themeColor="text1"/>
                <w:sz w:val="20"/>
                <w:szCs w:val="20"/>
                <w:shd w:val="clear" w:color="auto" w:fill="FFFFFF"/>
                <w:lang w:val="en-US"/>
              </w:rPr>
              <w:t>stabilire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prețului</w:t>
            </w:r>
            <w:proofErr w:type="spellEnd"/>
            <w:r w:rsidRPr="00A5319F">
              <w:rPr>
                <w:rFonts w:eastAsia="Arial Unicode MS"/>
                <w:color w:val="000000" w:themeColor="text1"/>
                <w:sz w:val="20"/>
                <w:szCs w:val="20"/>
                <w:shd w:val="clear" w:color="auto" w:fill="FFFFFF"/>
                <w:lang w:val="en-US"/>
              </w:rPr>
              <w:t xml:space="preserve"> carbonului. </w:t>
            </w:r>
            <w:proofErr w:type="spellStart"/>
            <w:r w:rsidRPr="00A5319F">
              <w:rPr>
                <w:rFonts w:eastAsia="Arial Unicode MS"/>
                <w:color w:val="000000" w:themeColor="text1"/>
                <w:sz w:val="20"/>
                <w:szCs w:val="20"/>
                <w:shd w:val="clear" w:color="auto" w:fill="FFFFFF"/>
                <w:lang w:val="en-US"/>
              </w:rPr>
              <w:t>Raportul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evaluează</w:t>
            </w:r>
            <w:proofErr w:type="spellEnd"/>
            <w:r w:rsidRPr="00A5319F">
              <w:rPr>
                <w:rFonts w:eastAsia="Arial Unicode MS"/>
                <w:color w:val="000000" w:themeColor="text1"/>
                <w:sz w:val="20"/>
                <w:szCs w:val="20"/>
                <w:shd w:val="clear" w:color="auto" w:fill="FFFFFF"/>
                <w:lang w:val="en-US"/>
              </w:rPr>
              <w:t xml:space="preserve"> în special </w:t>
            </w:r>
            <w:proofErr w:type="spellStart"/>
            <w:r w:rsidRPr="00A5319F">
              <w:rPr>
                <w:rFonts w:eastAsia="Arial Unicode MS"/>
                <w:color w:val="000000" w:themeColor="text1"/>
                <w:sz w:val="20"/>
                <w:szCs w:val="20"/>
                <w:shd w:val="clear" w:color="auto" w:fill="FFFFFF"/>
                <w:lang w:val="en-US"/>
              </w:rPr>
              <w:t>riscul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în </w:t>
            </w:r>
            <w:proofErr w:type="spellStart"/>
            <w:r w:rsidRPr="00A5319F">
              <w:rPr>
                <w:rFonts w:eastAsia="Arial Unicode MS"/>
                <w:color w:val="000000" w:themeColor="text1"/>
                <w:sz w:val="20"/>
                <w:szCs w:val="20"/>
                <w:shd w:val="clear" w:color="auto" w:fill="FFFFFF"/>
                <w:lang w:val="en-US"/>
              </w:rPr>
              <w:t>sectoarele</w:t>
            </w:r>
            <w:proofErr w:type="spellEnd"/>
            <w:r w:rsidRPr="00A5319F">
              <w:rPr>
                <w:rFonts w:eastAsia="Arial Unicode MS"/>
                <w:color w:val="000000" w:themeColor="text1"/>
                <w:sz w:val="20"/>
                <w:szCs w:val="20"/>
                <w:shd w:val="clear" w:color="auto" w:fill="FFFFFF"/>
                <w:lang w:val="en-US"/>
              </w:rPr>
              <w:t xml:space="preserve"> în care se </w:t>
            </w:r>
            <w:proofErr w:type="spellStart"/>
            <w:r w:rsidRPr="00A5319F">
              <w:rPr>
                <w:rFonts w:eastAsia="Arial Unicode MS"/>
                <w:color w:val="000000" w:themeColor="text1"/>
                <w:sz w:val="20"/>
                <w:szCs w:val="20"/>
                <w:shd w:val="clear" w:color="auto" w:fill="FFFFFF"/>
                <w:lang w:val="en-US"/>
              </w:rPr>
              <w:t>va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w:t>
            </w:r>
            <w:proofErr w:type="spellEnd"/>
            <w:r w:rsidRPr="00A5319F">
              <w:rPr>
                <w:rFonts w:eastAsia="Arial Unicode MS"/>
                <w:color w:val="000000" w:themeColor="text1"/>
                <w:sz w:val="20"/>
                <w:szCs w:val="20"/>
                <w:shd w:val="clear" w:color="auto" w:fill="FFFFFF"/>
                <w:lang w:val="en-US"/>
              </w:rPr>
              <w:t xml:space="preserve"> CBAM, în special </w:t>
            </w:r>
            <w:proofErr w:type="spellStart"/>
            <w:r w:rsidRPr="00A5319F">
              <w:rPr>
                <w:rFonts w:eastAsia="Arial Unicode MS"/>
                <w:color w:val="000000" w:themeColor="text1"/>
                <w:sz w:val="20"/>
                <w:szCs w:val="20"/>
                <w:shd w:val="clear" w:color="auto" w:fill="FFFFFF"/>
                <w:lang w:val="en-US"/>
              </w:rPr>
              <w:t>rolul</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adoptarea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accelerată</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hidrogenului</w:t>
            </w:r>
            <w:proofErr w:type="spellEnd"/>
            <w:r w:rsidRPr="00A5319F">
              <w:rPr>
                <w:rFonts w:eastAsia="Arial Unicode MS"/>
                <w:color w:val="000000" w:themeColor="text1"/>
                <w:sz w:val="20"/>
                <w:szCs w:val="20"/>
                <w:shd w:val="clear" w:color="auto" w:fill="FFFFFF"/>
                <w:lang w:val="en-US"/>
              </w:rPr>
              <w:t xml:space="preserve">, precum și </w:t>
            </w:r>
            <w:proofErr w:type="spellStart"/>
            <w:r w:rsidRPr="00A5319F">
              <w:rPr>
                <w:rFonts w:eastAsia="Arial Unicode MS"/>
                <w:color w:val="000000" w:themeColor="text1"/>
                <w:sz w:val="20"/>
                <w:szCs w:val="20"/>
                <w:shd w:val="clear" w:color="auto" w:fill="FFFFFF"/>
                <w:lang w:val="en-US"/>
              </w:rPr>
              <w:t>evoluțiile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ceea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fluxurile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comerciale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emisiile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încorporate</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mărfurilor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produse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sectoarele</w:t>
            </w:r>
            <w:proofErr w:type="spellEnd"/>
            <w:r w:rsidRPr="00A5319F">
              <w:rPr>
                <w:rFonts w:eastAsia="Arial Unicode MS"/>
                <w:color w:val="000000" w:themeColor="text1"/>
                <w:sz w:val="20"/>
                <w:szCs w:val="20"/>
                <w:shd w:val="clear" w:color="auto" w:fill="FFFFFF"/>
                <w:lang w:val="en-US"/>
              </w:rPr>
              <w:t xml:space="preserve"> respective pe </w:t>
            </w:r>
            <w:proofErr w:type="spellStart"/>
            <w:r w:rsidRPr="00A5319F">
              <w:rPr>
                <w:rFonts w:eastAsia="Arial Unicode MS"/>
                <w:color w:val="000000" w:themeColor="text1"/>
                <w:sz w:val="20"/>
                <w:szCs w:val="20"/>
                <w:shd w:val="clear" w:color="auto" w:fill="FFFFFF"/>
                <w:lang w:val="en-US"/>
              </w:rPr>
              <w:t>piața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mondială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raportul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concluzionează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există un </w:t>
            </w:r>
            <w:proofErr w:type="spellStart"/>
            <w:r w:rsidRPr="00A5319F">
              <w:rPr>
                <w:rFonts w:eastAsia="Arial Unicode MS"/>
                <w:color w:val="000000" w:themeColor="text1"/>
                <w:sz w:val="20"/>
                <w:szCs w:val="20"/>
                <w:shd w:val="clear" w:color="auto" w:fill="FFFFFF"/>
                <w:lang w:val="en-US"/>
              </w:rPr>
              <w:t>risc</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carbon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mărfurile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 xml:space="preserve"> și destinate </w:t>
            </w:r>
            <w:proofErr w:type="spellStart"/>
            <w:r w:rsidRPr="00A5319F">
              <w:rPr>
                <w:rFonts w:eastAsia="Arial Unicode MS"/>
                <w:color w:val="000000" w:themeColor="text1"/>
                <w:sz w:val="20"/>
                <w:szCs w:val="20"/>
                <w:shd w:val="clear" w:color="auto" w:fill="FFFFFF"/>
                <w:lang w:val="en-US"/>
              </w:rPr>
              <w:t>exportului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țările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terțe</w:t>
            </w:r>
            <w:proofErr w:type="spellEnd"/>
            <w:r w:rsidRPr="00A5319F">
              <w:rPr>
                <w:rFonts w:eastAsia="Arial Unicode MS"/>
                <w:color w:val="000000" w:themeColor="text1"/>
                <w:sz w:val="20"/>
                <w:szCs w:val="20"/>
                <w:shd w:val="clear" w:color="auto" w:fill="FFFFFF"/>
                <w:lang w:val="en-US"/>
              </w:rPr>
              <w:t xml:space="preserve"> care nu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EU ETS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un </w:t>
            </w:r>
            <w:proofErr w:type="spellStart"/>
            <w:r w:rsidRPr="00A5319F">
              <w:rPr>
                <w:rFonts w:eastAsia="Arial Unicode MS"/>
                <w:color w:val="000000" w:themeColor="text1"/>
                <w:sz w:val="20"/>
                <w:szCs w:val="20"/>
                <w:shd w:val="clear" w:color="auto" w:fill="FFFFFF"/>
                <w:lang w:val="en-US"/>
              </w:rPr>
              <w:t>mecanism</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echivalent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stabilire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prețului</w:t>
            </w:r>
            <w:proofErr w:type="spellEnd"/>
            <w:r w:rsidRPr="00A5319F">
              <w:rPr>
                <w:rFonts w:eastAsia="Arial Unicode MS"/>
                <w:color w:val="000000" w:themeColor="text1"/>
                <w:sz w:val="20"/>
                <w:szCs w:val="20"/>
                <w:shd w:val="clear" w:color="auto" w:fill="FFFFFF"/>
                <w:lang w:val="en-US"/>
              </w:rPr>
              <w:t xml:space="preserve"> carbonului,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prezintă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după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caz</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propunere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legislativă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aborda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risc</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relocare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w:t>
            </w:r>
            <w:proofErr w:type="spellStart"/>
            <w:r w:rsidRPr="00A5319F">
              <w:rPr>
                <w:rFonts w:eastAsia="Arial Unicode MS"/>
                <w:color w:val="000000" w:themeColor="text1"/>
                <w:sz w:val="20"/>
                <w:szCs w:val="20"/>
                <w:shd w:val="clear" w:color="auto" w:fill="FFFFFF"/>
                <w:lang w:val="en-US"/>
              </w:rPr>
              <w:t>într</w:t>
            </w:r>
            <w:proofErr w:type="spellEnd"/>
            <w:r w:rsidRPr="00A5319F">
              <w:rPr>
                <w:rFonts w:eastAsia="Arial Unicode MS"/>
                <w:color w:val="000000" w:themeColor="text1"/>
                <w:sz w:val="20"/>
                <w:szCs w:val="20"/>
                <w:shd w:val="clear" w:color="auto" w:fill="FFFFFF"/>
                <w:lang w:val="en-US"/>
              </w:rPr>
              <w:t xml:space="preserve">-un mod care </w:t>
            </w:r>
            <w:proofErr w:type="spellStart"/>
            <w:r w:rsidRPr="00A5319F">
              <w:rPr>
                <w:rFonts w:eastAsia="Arial Unicode MS"/>
                <w:color w:val="000000" w:themeColor="text1"/>
                <w:sz w:val="20"/>
                <w:szCs w:val="20"/>
                <w:shd w:val="clear" w:color="auto" w:fill="FFFFFF"/>
                <w:lang w:val="en-US"/>
              </w:rPr>
              <w:t>respectă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normele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Organizației</w:t>
            </w:r>
            <w:proofErr w:type="spellEnd"/>
            <w:r w:rsidRPr="00A5319F">
              <w:rPr>
                <w:rFonts w:eastAsia="Arial Unicode MS"/>
                <w:color w:val="000000" w:themeColor="text1"/>
                <w:sz w:val="20"/>
                <w:szCs w:val="20"/>
                <w:shd w:val="clear" w:color="auto" w:fill="FFFFFF"/>
                <w:lang w:val="en-US"/>
              </w:rPr>
              <w:t xml:space="preserve"> Mondiale a </w:t>
            </w:r>
            <w:proofErr w:type="spellStart"/>
            <w:r w:rsidRPr="00A5319F">
              <w:rPr>
                <w:rFonts w:eastAsia="Arial Unicode MS"/>
                <w:color w:val="000000" w:themeColor="text1"/>
                <w:sz w:val="20"/>
                <w:szCs w:val="20"/>
                <w:shd w:val="clear" w:color="auto" w:fill="FFFFFF"/>
                <w:lang w:val="en-US"/>
              </w:rPr>
              <w:t>Comerțului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inclusiv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XX din </w:t>
            </w:r>
            <w:proofErr w:type="spellStart"/>
            <w:r w:rsidRPr="00A5319F">
              <w:rPr>
                <w:rFonts w:eastAsia="Arial Unicode MS"/>
                <w:color w:val="000000" w:themeColor="text1"/>
                <w:sz w:val="20"/>
                <w:szCs w:val="20"/>
                <w:shd w:val="clear" w:color="auto" w:fill="FFFFFF"/>
                <w:lang w:val="en-US"/>
              </w:rPr>
              <w:t>Acordul</w:t>
            </w:r>
            <w:proofErr w:type="spellEnd"/>
            <w:r w:rsidRPr="00A5319F">
              <w:rPr>
                <w:rFonts w:eastAsia="Arial Unicode MS"/>
                <w:color w:val="000000" w:themeColor="text1"/>
                <w:sz w:val="20"/>
                <w:szCs w:val="20"/>
                <w:shd w:val="clear" w:color="auto" w:fill="FFFFFF"/>
                <w:lang w:val="en-US"/>
              </w:rPr>
              <w:t xml:space="preserve"> General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Tarife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Comerț</w:t>
            </w:r>
            <w:proofErr w:type="spellEnd"/>
            <w:r w:rsidRPr="00A5319F">
              <w:rPr>
                <w:rFonts w:eastAsia="Arial Unicode MS"/>
                <w:color w:val="000000" w:themeColor="text1"/>
                <w:sz w:val="20"/>
                <w:szCs w:val="20"/>
                <w:shd w:val="clear" w:color="auto" w:fill="FFFFFF"/>
                <w:lang w:val="en-US"/>
              </w:rPr>
              <w:t xml:space="preserve"> din 1994, și </w:t>
            </w:r>
            <w:proofErr w:type="spellStart"/>
            <w:r w:rsidRPr="00A5319F">
              <w:rPr>
                <w:rFonts w:eastAsia="Arial Unicode MS"/>
                <w:color w:val="000000" w:themeColor="text1"/>
                <w:sz w:val="20"/>
                <w:szCs w:val="20"/>
                <w:shd w:val="clear" w:color="auto" w:fill="FFFFFF"/>
                <w:lang w:val="en-US"/>
              </w:rPr>
              <w:t>ține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seama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decarbonizarea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instalațiilor</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w:t>
            </w:r>
          </w:p>
          <w:p w14:paraId="3C8DFA9E" w14:textId="77777777" w:rsidR="00124364" w:rsidRDefault="00000000">
            <w:pPr>
              <w:pStyle w:val="ti-art"/>
              <w:shd w:val="clear" w:color="auto" w:fill="FFFFFF"/>
              <w:spacing w:before="0" w:beforeAutospacing="0" w:after="0" w:afterAutospacing="0"/>
              <w:rPr>
                <w:color w:val="4472C4" w:themeColor="accent1"/>
                <w:sz w:val="20"/>
                <w:szCs w:val="20"/>
              </w:rPr>
            </w:pPr>
            <w:hyperlink r:id="rId132" w:tooltip="32009L0029R(04): REPLACED" w:history="1">
              <w:r>
                <w:rPr>
                  <w:rStyle w:val="af3"/>
                  <w:rFonts w:eastAsia="Arial Unicode MS"/>
                  <w:b/>
                  <w:bCs/>
                  <w:color w:val="4472C4" w:themeColor="accent1"/>
                  <w:sz w:val="20"/>
                  <w:szCs w:val="20"/>
                </w:rPr>
                <w:t>▼C5</w:t>
              </w:r>
            </w:hyperlink>
          </w:p>
          <w:p w14:paraId="2DD44755" w14:textId="3BD1124C" w:rsidR="00124364" w:rsidRPr="00A5319F" w:rsidRDefault="00000000" w:rsidP="00A5319F">
            <w:pPr>
              <w:pStyle w:val="ti-art"/>
              <w:numPr>
                <w:ilvl w:val="0"/>
                <w:numId w:val="4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definirea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principiilor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stabilire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sector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subsector, </w:t>
            </w:r>
            <w:proofErr w:type="spellStart"/>
            <w:r w:rsidRPr="00A5319F">
              <w:rPr>
                <w:rFonts w:eastAsia="Arial Unicode MS"/>
                <w:color w:val="000000" w:themeColor="text1"/>
                <w:sz w:val="20"/>
                <w:szCs w:val="20"/>
                <w:shd w:val="clear" w:color="auto" w:fill="FFFFFF"/>
                <w:lang w:val="en-US"/>
              </w:rPr>
              <w:t>punctul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plecare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reprezintă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performanța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medie</w:t>
            </w:r>
            <w:proofErr w:type="spellEnd"/>
            <w:r w:rsidRPr="00A5319F">
              <w:rPr>
                <w:rFonts w:eastAsia="Arial Unicode MS"/>
                <w:color w:val="000000" w:themeColor="text1"/>
                <w:sz w:val="20"/>
                <w:szCs w:val="20"/>
                <w:shd w:val="clear" w:color="auto" w:fill="FFFFFF"/>
                <w:lang w:val="en-US"/>
              </w:rPr>
              <w:t xml:space="preserve"> a</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10</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eficiente </w:t>
            </w:r>
            <w:proofErr w:type="spellStart"/>
            <w:r w:rsidRPr="00A5319F">
              <w:rPr>
                <w:rFonts w:eastAsia="Arial Unicode MS"/>
                <w:color w:val="000000" w:themeColor="text1"/>
                <w:sz w:val="20"/>
                <w:szCs w:val="20"/>
                <w:shd w:val="clear" w:color="auto" w:fill="FFFFFF"/>
                <w:lang w:val="en-US"/>
              </w:rPr>
              <w:t>instalații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dintr</w:t>
            </w:r>
            <w:proofErr w:type="spellEnd"/>
            <w:r w:rsidRPr="00A5319F">
              <w:rPr>
                <w:rFonts w:eastAsia="Arial Unicode MS"/>
                <w:color w:val="000000" w:themeColor="text1"/>
                <w:sz w:val="20"/>
                <w:szCs w:val="20"/>
                <w:shd w:val="clear" w:color="auto" w:fill="FFFFFF"/>
                <w:lang w:val="en-US"/>
              </w:rPr>
              <w:t xml:space="preserve">-un sector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subsector </w:t>
            </w:r>
            <w:proofErr w:type="spellStart"/>
            <w:r w:rsidRPr="00A5319F">
              <w:rPr>
                <w:rFonts w:eastAsia="Arial Unicode MS"/>
                <w:color w:val="000000" w:themeColor="text1"/>
                <w:sz w:val="20"/>
                <w:szCs w:val="20"/>
                <w:shd w:val="clear" w:color="auto" w:fill="FFFFFF"/>
                <w:lang w:val="en-US"/>
              </w:rPr>
              <w:t>comunitar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2007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2008.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consultă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persoanele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interesate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inclusiv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sectoarele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subsectoarele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vizate</w:t>
            </w:r>
            <w:proofErr w:type="spellEnd"/>
            <w:r w:rsidRPr="00A5319F">
              <w:rPr>
                <w:rFonts w:eastAsia="Arial Unicode MS"/>
                <w:color w:val="000000" w:themeColor="text1"/>
                <w:sz w:val="20"/>
                <w:szCs w:val="20"/>
                <w:shd w:val="clear" w:color="auto" w:fill="FFFFFF"/>
                <w:lang w:val="en-US"/>
              </w:rPr>
              <w:t>.</w:t>
            </w:r>
          </w:p>
          <w:p w14:paraId="43C160BE" w14:textId="6B7BF3F4"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00A5319F" w:rsidRPr="00A5319F">
              <w:rPr>
                <w:rStyle w:val="apple-converted-space"/>
                <w:rFonts w:eastAsia="Arial Unicode MS"/>
                <w:color w:val="000000" w:themeColor="text1"/>
                <w:sz w:val="20"/>
                <w:szCs w:val="20"/>
                <w:shd w:val="clear" w:color="auto" w:fill="FFFFFF"/>
                <w:lang w:val="en-US"/>
              </w:rPr>
              <w:t xml:space="preserve"> </w:t>
            </w:r>
            <w:r w:rsidRPr="00A5319F">
              <w:rPr>
                <w:rStyle w:val="italics"/>
                <w:rFonts w:eastAsia="Arial Unicode MS"/>
                <w:i/>
                <w:iCs/>
                <w:color w:val="000000" w:themeColor="text1"/>
                <w:sz w:val="20"/>
                <w:szCs w:val="20"/>
                <w:lang w:val="en-US"/>
              </w:rPr>
              <w:t>ex ante</w:t>
            </w:r>
            <w:r w:rsidRPr="00A5319F">
              <w:rPr>
                <w:rFonts w:eastAsia="Arial Unicode MS"/>
                <w:color w:val="000000" w:themeColor="text1"/>
                <w:sz w:val="20"/>
                <w:szCs w:val="20"/>
                <w:shd w:val="clear" w:color="auto" w:fill="FFFFFF"/>
                <w:lang w:val="en-US"/>
              </w:rPr>
              <w:t>,</w:t>
            </w:r>
            <w:r w:rsidR="00A5319F" w:rsidRPr="00A5319F">
              <w:rPr>
                <w:rStyle w:val="apple-converted-space"/>
                <w:rFonts w:eastAsia="Arial Unicode MS"/>
                <w:color w:val="000000" w:themeColor="text1"/>
                <w:sz w:val="20"/>
                <w:szCs w:val="20"/>
                <w:shd w:val="clear" w:color="auto" w:fill="FFFFFF"/>
                <w:lang w:val="en-US"/>
              </w:rPr>
              <w:t xml:space="preserve"> </w:t>
            </w:r>
            <w:hyperlink r:id="rId133" w:tooltip="32018L0410: REPLACED" w:history="1">
              <w:r w:rsidRPr="00A5319F">
                <w:rPr>
                  <w:rStyle w:val="boldface"/>
                  <w:rFonts w:eastAsia="Arial Unicode MS"/>
                  <w:b/>
                  <w:bCs/>
                  <w:color w:val="000000" w:themeColor="text1"/>
                  <w:sz w:val="20"/>
                  <w:szCs w:val="20"/>
                  <w:lang w:val="en-US"/>
                </w:rPr>
                <w:t>►M9</w:t>
              </w:r>
            </w:hyperlink>
            <w:r w:rsidR="00A5319F" w:rsidRPr="00A5319F">
              <w:rPr>
                <w:rStyle w:val="apple-converted-space"/>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shd w:val="clear" w:color="auto" w:fill="FFFFFF"/>
                <w:lang w:val="en-US"/>
              </w:rPr>
              <w:t>actele</w:t>
            </w:r>
            <w:proofErr w:type="spellEnd"/>
            <w:r w:rsidR="00A5319F" w:rsidRPr="00A5319F">
              <w:rPr>
                <w:rStyle w:val="boldface"/>
                <w:rFonts w:eastAsia="Arial Unicode MS"/>
                <w:b/>
                <w:bCs/>
                <w:color w:val="000000" w:themeColor="text1"/>
                <w:sz w:val="20"/>
                <w:szCs w:val="20"/>
                <w:lang w:val="en-US"/>
              </w:rPr>
              <w:t xml:space="preserve"> </w:t>
            </w:r>
            <w:r w:rsidRPr="00A5319F">
              <w:rPr>
                <w:rStyle w:val="boldface"/>
                <w:rFonts w:eastAsia="Arial Unicode MS"/>
                <w:b/>
                <w:bCs/>
                <w:color w:val="000000" w:themeColor="text1"/>
                <w:sz w:val="20"/>
                <w:szCs w:val="20"/>
                <w:lang w:val="en-US"/>
              </w:rPr>
              <w:t>◄</w:t>
            </w:r>
            <w:r w:rsidR="00A5319F" w:rsidRPr="00A5319F">
              <w:rPr>
                <w:rStyle w:val="apple-converted-space"/>
                <w:rFonts w:eastAsia="Arial Unicode MS"/>
                <w:b/>
                <w:bCs/>
                <w:color w:val="000000" w:themeColor="text1"/>
                <w:sz w:val="20"/>
                <w:szCs w:val="20"/>
                <w:lang w:val="en-US"/>
              </w:rPr>
              <w:t xml:space="preserve"> </w:t>
            </w:r>
            <w:proofErr w:type="spellStart"/>
            <w:r w:rsidRPr="00A5319F">
              <w:rPr>
                <w:rFonts w:eastAsia="Arial Unicode MS"/>
                <w:color w:val="000000" w:themeColor="text1"/>
                <w:sz w:val="20"/>
                <w:szCs w:val="20"/>
                <w:shd w:val="clear" w:color="auto" w:fill="FFFFFF"/>
                <w:lang w:val="en-US"/>
              </w:rPr>
              <w:t>adoptate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articolelor</w:t>
            </w:r>
            <w:proofErr w:type="spellEnd"/>
            <w:r w:rsidRPr="00A5319F">
              <w:rPr>
                <w:rFonts w:eastAsia="Arial Unicode MS"/>
                <w:color w:val="000000" w:themeColor="text1"/>
                <w:sz w:val="20"/>
                <w:szCs w:val="20"/>
                <w:shd w:val="clear" w:color="auto" w:fill="FFFFFF"/>
                <w:lang w:val="en-US"/>
              </w:rPr>
              <w:t xml:space="preserve"> 14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15 </w:t>
            </w:r>
            <w:proofErr w:type="spellStart"/>
            <w:r w:rsidRPr="00A5319F">
              <w:rPr>
                <w:rFonts w:eastAsia="Arial Unicode MS"/>
                <w:color w:val="000000" w:themeColor="text1"/>
                <w:sz w:val="20"/>
                <w:szCs w:val="20"/>
                <w:shd w:val="clear" w:color="auto" w:fill="FFFFFF"/>
                <w:lang w:val="en-US"/>
              </w:rPr>
              <w:t>prevăd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norme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armonizate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monitorizare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raportare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verificare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rezultă</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procesul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producție</w:t>
            </w:r>
            <w:proofErr w:type="spellEnd"/>
            <w:r w:rsidRPr="00A5319F">
              <w:rPr>
                <w:rFonts w:eastAsia="Arial Unicode MS"/>
                <w:color w:val="000000" w:themeColor="text1"/>
                <w:sz w:val="20"/>
                <w:szCs w:val="20"/>
                <w:shd w:val="clear" w:color="auto" w:fill="FFFFFF"/>
                <w:lang w:val="en-US"/>
              </w:rPr>
              <w:t>.</w:t>
            </w:r>
          </w:p>
          <w:p w14:paraId="6CA94332"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34" w:tooltip="32018L0410: INSERTED" w:history="1">
              <w:r w:rsidRPr="00E34C2B">
                <w:rPr>
                  <w:rStyle w:val="af3"/>
                  <w:rFonts w:eastAsia="Arial Unicode MS"/>
                  <w:b/>
                  <w:bCs/>
                  <w:color w:val="4472C4" w:themeColor="accent1"/>
                  <w:sz w:val="20"/>
                  <w:szCs w:val="20"/>
                  <w:lang w:val="en-US"/>
                </w:rPr>
                <w:t>▼M9</w:t>
              </w:r>
            </w:hyperlink>
          </w:p>
          <w:p w14:paraId="3483BDC4" w14:textId="47703A43"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adoptă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punere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vederea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revizuite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alocarea</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Actele</w:t>
            </w:r>
            <w:proofErr w:type="spellEnd"/>
            <w:r w:rsidRPr="00A5319F">
              <w:rPr>
                <w:rFonts w:eastAsia="Arial Unicode MS"/>
                <w:color w:val="000000" w:themeColor="text1"/>
                <w:sz w:val="20"/>
                <w:szCs w:val="20"/>
                <w:shd w:val="clear" w:color="auto" w:fill="FFFFFF"/>
                <w:lang w:val="en-US"/>
              </w:rPr>
              <w:t xml:space="preserve"> respective sunt în conformitate cu </w:t>
            </w:r>
            <w:proofErr w:type="spellStart"/>
            <w:r w:rsidRPr="00A5319F">
              <w:rPr>
                <w:rFonts w:eastAsia="Arial Unicode MS"/>
                <w:color w:val="000000" w:themeColor="text1"/>
                <w:sz w:val="20"/>
                <w:szCs w:val="20"/>
                <w:shd w:val="clear" w:color="auto" w:fill="FFFFFF"/>
                <w:lang w:val="en-US"/>
              </w:rPr>
              <w:t>actele</w:t>
            </w:r>
            <w:proofErr w:type="spellEnd"/>
            <w:r w:rsidRPr="00A5319F">
              <w:rPr>
                <w:rFonts w:eastAsia="Arial Unicode MS"/>
                <w:color w:val="000000" w:themeColor="text1"/>
                <w:sz w:val="20"/>
                <w:szCs w:val="20"/>
                <w:shd w:val="clear" w:color="auto" w:fill="FFFFFF"/>
                <w:lang w:val="en-US"/>
              </w:rPr>
              <w:t xml:space="preserve"> delegate </w:t>
            </w:r>
            <w:proofErr w:type="spellStart"/>
            <w:r w:rsidRPr="00A5319F">
              <w:rPr>
                <w:rFonts w:eastAsia="Arial Unicode MS"/>
                <w:color w:val="000000" w:themeColor="text1"/>
                <w:sz w:val="20"/>
                <w:szCs w:val="20"/>
                <w:shd w:val="clear" w:color="auto" w:fill="FFFFFF"/>
                <w:lang w:val="en-US"/>
              </w:rPr>
              <w:t>adoptate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respectă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următoarele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condiții</w:t>
            </w:r>
            <w:proofErr w:type="spellEnd"/>
            <w:r w:rsidRPr="00A5319F">
              <w:rPr>
                <w:rFonts w:eastAsia="Arial Unicode MS"/>
                <w:color w:val="000000" w:themeColor="text1"/>
                <w:sz w:val="20"/>
                <w:szCs w:val="20"/>
                <w:shd w:val="clear" w:color="auto" w:fill="FFFFFF"/>
                <w:lang w:val="en-US"/>
              </w:rPr>
              <w:t>:</w:t>
            </w:r>
          </w:p>
          <w:p w14:paraId="3D13D18F" w14:textId="235C2CAB" w:rsidR="00124364" w:rsidRPr="00A5319F" w:rsidRDefault="00000000" w:rsidP="00A5319F">
            <w:pPr>
              <w:pStyle w:val="ti-art"/>
              <w:numPr>
                <w:ilvl w:val="0"/>
                <w:numId w:val="4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2021-2025,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stabilesc</w:t>
            </w:r>
            <w:proofErr w:type="spellEnd"/>
            <w:r w:rsidRPr="00A5319F">
              <w:rPr>
                <w:rFonts w:eastAsia="Arial Unicode MS"/>
                <w:color w:val="000000" w:themeColor="text1"/>
                <w:sz w:val="20"/>
                <w:szCs w:val="20"/>
                <w:shd w:val="clear" w:color="auto" w:fill="FFFFFF"/>
                <w:lang w:val="en-US"/>
              </w:rPr>
              <w:t xml:space="preserve"> pe </w:t>
            </w:r>
            <w:proofErr w:type="spellStart"/>
            <w:r w:rsidRPr="00A5319F">
              <w:rPr>
                <w:rFonts w:eastAsia="Arial Unicode MS"/>
                <w:color w:val="000000" w:themeColor="text1"/>
                <w:sz w:val="20"/>
                <w:szCs w:val="20"/>
                <w:shd w:val="clear" w:color="auto" w:fill="FFFFFF"/>
                <w:lang w:val="en-US"/>
              </w:rPr>
              <w:t>baza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informațiilor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transmise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11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anii</w:t>
            </w:r>
            <w:proofErr w:type="spellEnd"/>
            <w:r w:rsidRPr="00A5319F">
              <w:rPr>
                <w:rFonts w:eastAsia="Arial Unicode MS"/>
                <w:color w:val="000000" w:themeColor="text1"/>
                <w:sz w:val="20"/>
                <w:szCs w:val="20"/>
                <w:shd w:val="clear" w:color="auto" w:fill="FFFFFF"/>
                <w:lang w:val="en-US"/>
              </w:rPr>
              <w:t xml:space="preserve"> 2016 și 2017. </w:t>
            </w:r>
            <w:proofErr w:type="spellStart"/>
            <w:r w:rsidRPr="00A5319F">
              <w:rPr>
                <w:rFonts w:eastAsia="Arial Unicode MS"/>
                <w:color w:val="000000" w:themeColor="text1"/>
                <w:sz w:val="20"/>
                <w:szCs w:val="20"/>
                <w:shd w:val="clear" w:color="auto" w:fill="FFFFFF"/>
                <w:lang w:val="en-US"/>
              </w:rPr>
              <w:t>Comparând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respective cu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Decizia</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2011/278/UE a </w:t>
            </w:r>
            <w:proofErr w:type="spellStart"/>
            <w:r w:rsidRPr="00A5319F">
              <w:rPr>
                <w:rFonts w:eastAsia="Arial Unicode MS"/>
                <w:color w:val="000000" w:themeColor="text1"/>
                <w:sz w:val="20"/>
                <w:szCs w:val="20"/>
                <w:shd w:val="clear" w:color="auto" w:fill="FFFFFF"/>
                <w:lang w:val="en-US"/>
              </w:rPr>
              <w:t>Comisiei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w:t>
            </w:r>
            <w:hyperlink r:id="rId135" w:anchor="E0018" w:history="1">
              <w:r w:rsidRPr="00A5319F">
                <w:rPr>
                  <w:rStyle w:val="superscript"/>
                  <w:rFonts w:eastAsia="Arial Unicode MS"/>
                  <w:color w:val="000000" w:themeColor="text1"/>
                  <w:sz w:val="20"/>
                  <w:szCs w:val="20"/>
                  <w:vertAlign w:val="superscript"/>
                  <w:lang w:val="en-US"/>
                </w:rPr>
                <w:t>18</w:t>
              </w:r>
            </w:hyperlink>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cum a </w:t>
            </w:r>
            <w:proofErr w:type="spellStart"/>
            <w:r w:rsidRPr="00A5319F">
              <w:rPr>
                <w:rFonts w:eastAsia="Arial Unicode MS"/>
                <w:color w:val="000000" w:themeColor="text1"/>
                <w:sz w:val="20"/>
                <w:szCs w:val="20"/>
                <w:shd w:val="clear" w:color="auto" w:fill="FFFFFF"/>
                <w:lang w:val="en-US"/>
              </w:rPr>
              <w:t>fost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adoptată</w:t>
            </w:r>
            <w:proofErr w:type="spellEnd"/>
            <w:r w:rsidRPr="00A5319F">
              <w:rPr>
                <w:rFonts w:eastAsia="Arial Unicode MS"/>
                <w:color w:val="000000" w:themeColor="text1"/>
                <w:sz w:val="20"/>
                <w:szCs w:val="20"/>
                <w:shd w:val="clear" w:color="auto" w:fill="FFFFFF"/>
                <w:lang w:val="en-US"/>
              </w:rPr>
              <w:t xml:space="preserve"> la 27</w:t>
            </w:r>
            <w:r w:rsidR="00A5319F"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aprilie</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2011,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stabilește</w:t>
            </w:r>
            <w:proofErr w:type="spellEnd"/>
            <w:r w:rsidRPr="00A5319F">
              <w:rPr>
                <w:rFonts w:eastAsia="Arial Unicode MS"/>
                <w:color w:val="000000" w:themeColor="text1"/>
                <w:sz w:val="20"/>
                <w:szCs w:val="20"/>
                <w:shd w:val="clear" w:color="auto" w:fill="FFFFFF"/>
                <w:lang w:val="en-US"/>
              </w:rPr>
              <w:t xml:space="preserve"> rata </w:t>
            </w:r>
            <w:proofErr w:type="spellStart"/>
            <w:r w:rsidRPr="00A5319F">
              <w:rPr>
                <w:rFonts w:eastAsia="Arial Unicode MS"/>
                <w:color w:val="000000" w:themeColor="text1"/>
                <w:sz w:val="20"/>
                <w:szCs w:val="20"/>
                <w:shd w:val="clear" w:color="auto" w:fill="FFFFFF"/>
                <w:lang w:val="en-US"/>
              </w:rPr>
              <w:t>anuală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valoare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și o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aplicabile</w:t>
            </w:r>
            <w:proofErr w:type="spellEnd"/>
            <w:r w:rsidRPr="00A5319F">
              <w:rPr>
                <w:rFonts w:eastAsia="Arial Unicode MS"/>
                <w:color w:val="000000" w:themeColor="text1"/>
                <w:sz w:val="20"/>
                <w:szCs w:val="20"/>
                <w:shd w:val="clear" w:color="auto" w:fill="FFFFFF"/>
                <w:lang w:val="en-US"/>
              </w:rPr>
              <w:t xml:space="preserve"> în perioada 2013-2020 cu </w:t>
            </w:r>
            <w:proofErr w:type="spellStart"/>
            <w:r w:rsidRPr="00A5319F">
              <w:rPr>
                <w:rFonts w:eastAsia="Arial Unicode MS"/>
                <w:color w:val="000000" w:themeColor="text1"/>
                <w:sz w:val="20"/>
                <w:szCs w:val="20"/>
                <w:shd w:val="clear" w:color="auto" w:fill="FFFFFF"/>
                <w:lang w:val="en-US"/>
              </w:rPr>
              <w:t>privire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an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2008 și 2023,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stabili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2021-2025.</w:t>
            </w:r>
          </w:p>
          <w:p w14:paraId="3C5B2E1F" w14:textId="67DCE400" w:rsidR="00124364" w:rsidRPr="00A5319F" w:rsidRDefault="00000000" w:rsidP="00A5319F">
            <w:pPr>
              <w:pStyle w:val="ti-art"/>
              <w:numPr>
                <w:ilvl w:val="0"/>
                <w:numId w:val="4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lastRenderedPageBreak/>
              <w:t>Atunci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când</w:t>
            </w:r>
            <w:proofErr w:type="spellEnd"/>
            <w:r w:rsidRPr="00A5319F">
              <w:rPr>
                <w:rFonts w:eastAsia="Arial Unicode MS"/>
                <w:color w:val="000000" w:themeColor="text1"/>
                <w:sz w:val="20"/>
                <w:szCs w:val="20"/>
                <w:shd w:val="clear" w:color="auto" w:fill="FFFFFF"/>
                <w:lang w:val="en-US"/>
              </w:rPr>
              <w:t xml:space="preserve"> rata </w:t>
            </w:r>
            <w:proofErr w:type="spellStart"/>
            <w:r w:rsidRPr="00A5319F">
              <w:rPr>
                <w:rFonts w:eastAsia="Arial Unicode MS"/>
                <w:color w:val="000000" w:themeColor="text1"/>
                <w:sz w:val="20"/>
                <w:szCs w:val="20"/>
                <w:shd w:val="clear" w:color="auto" w:fill="FFFFFF"/>
                <w:lang w:val="en-US"/>
              </w:rPr>
              <w:t>anuală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depășește</w:t>
            </w:r>
            <w:proofErr w:type="spellEnd"/>
            <w:r w:rsidRPr="00A5319F">
              <w:rPr>
                <w:rFonts w:eastAsia="Arial Unicode MS"/>
                <w:color w:val="000000" w:themeColor="text1"/>
                <w:sz w:val="20"/>
                <w:szCs w:val="20"/>
                <w:shd w:val="clear" w:color="auto" w:fill="FFFFFF"/>
                <w:lang w:val="en-US"/>
              </w:rPr>
              <w:t xml:space="preserve"> 1,6</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sub 0,2</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2021-2025 sunt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2013-2020 </w:t>
            </w:r>
            <w:proofErr w:type="spellStart"/>
            <w:r w:rsidRPr="00A5319F">
              <w:rPr>
                <w:rFonts w:eastAsia="Arial Unicode MS"/>
                <w:color w:val="000000" w:themeColor="text1"/>
                <w:sz w:val="20"/>
                <w:szCs w:val="20"/>
                <w:shd w:val="clear" w:color="auto" w:fill="FFFFFF"/>
                <w:lang w:val="en-US"/>
              </w:rPr>
              <w:t>reduse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oricare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două</w:t>
            </w:r>
            <w:proofErr w:type="spellEnd"/>
            <w:r w:rsidRPr="00A5319F">
              <w:rPr>
                <w:rFonts w:eastAsia="Arial Unicode MS"/>
                <w:color w:val="000000" w:themeColor="text1"/>
                <w:sz w:val="20"/>
                <w:szCs w:val="20"/>
                <w:shd w:val="clear" w:color="auto" w:fill="FFFFFF"/>
                <w:lang w:val="en-US"/>
              </w:rPr>
              <w:t xml:space="preserve"> rate </w:t>
            </w:r>
            <w:proofErr w:type="spellStart"/>
            <w:r w:rsidRPr="00A5319F">
              <w:rPr>
                <w:rFonts w:eastAsia="Arial Unicode MS"/>
                <w:color w:val="000000" w:themeColor="text1"/>
                <w:sz w:val="20"/>
                <w:szCs w:val="20"/>
                <w:shd w:val="clear" w:color="auto" w:fill="FFFFFF"/>
                <w:lang w:val="en-US"/>
              </w:rPr>
              <w:t>procentuale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relevantă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privire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an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2008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2023.</w:t>
            </w:r>
          </w:p>
          <w:p w14:paraId="11052691"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36" w:tooltip="32023L0959: REPLACED" w:history="1">
              <w:r>
                <w:rPr>
                  <w:rStyle w:val="af3"/>
                  <w:rFonts w:eastAsia="Arial Unicode MS"/>
                  <w:b/>
                  <w:bCs/>
                  <w:color w:val="4472C4" w:themeColor="accent1"/>
                  <w:sz w:val="20"/>
                  <w:szCs w:val="20"/>
                </w:rPr>
                <w:t>▼M15</w:t>
              </w:r>
            </w:hyperlink>
          </w:p>
          <w:p w14:paraId="0DA55136" w14:textId="07BA17D2" w:rsidR="00124364" w:rsidRPr="00A5319F" w:rsidRDefault="00000000" w:rsidP="00A5319F">
            <w:pPr>
              <w:pStyle w:val="ti-art"/>
              <w:numPr>
                <w:ilvl w:val="0"/>
                <w:numId w:val="4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2026-2030,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determină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același</w:t>
            </w:r>
            <w:proofErr w:type="spellEnd"/>
            <w:r w:rsidRPr="00A5319F">
              <w:rPr>
                <w:rFonts w:eastAsia="Arial Unicode MS"/>
                <w:color w:val="000000" w:themeColor="text1"/>
                <w:sz w:val="20"/>
                <w:szCs w:val="20"/>
                <w:shd w:val="clear" w:color="auto" w:fill="FFFFFF"/>
                <w:lang w:val="en-US"/>
              </w:rPr>
              <w:t xml:space="preserve"> mod ca </w:t>
            </w:r>
            <w:proofErr w:type="spellStart"/>
            <w:r w:rsidRPr="00A5319F">
              <w:rPr>
                <w:rFonts w:eastAsia="Arial Unicode MS"/>
                <w:color w:val="000000" w:themeColor="text1"/>
                <w:sz w:val="20"/>
                <w:szCs w:val="20"/>
                <w:shd w:val="clear" w:color="auto" w:fill="FFFFFF"/>
                <w:lang w:val="en-US"/>
              </w:rPr>
              <w:t>cel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prevăzut</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literele</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(a) și (d)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ținând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seama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litera</w:t>
            </w:r>
            <w:proofErr w:type="spellEnd"/>
            <w:r w:rsidRPr="00A5319F">
              <w:rPr>
                <w:rFonts w:eastAsia="Arial Unicode MS"/>
                <w:color w:val="000000" w:themeColor="text1"/>
                <w:sz w:val="20"/>
                <w:szCs w:val="20"/>
                <w:shd w:val="clear" w:color="auto" w:fill="FFFFFF"/>
                <w:lang w:val="en-US"/>
              </w:rPr>
              <w:t xml:space="preserve"> (e)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pe </w:t>
            </w:r>
            <w:proofErr w:type="spellStart"/>
            <w:r w:rsidRPr="00A5319F">
              <w:rPr>
                <w:rFonts w:eastAsia="Arial Unicode MS"/>
                <w:color w:val="000000" w:themeColor="text1"/>
                <w:sz w:val="20"/>
                <w:szCs w:val="20"/>
                <w:shd w:val="clear" w:color="auto" w:fill="FFFFFF"/>
                <w:lang w:val="en-US"/>
              </w:rPr>
              <w:t>baza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informațiilor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transmise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11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anii</w:t>
            </w:r>
            <w:proofErr w:type="spellEnd"/>
            <w:r w:rsidRPr="00A5319F">
              <w:rPr>
                <w:rFonts w:eastAsia="Arial Unicode MS"/>
                <w:color w:val="000000" w:themeColor="text1"/>
                <w:sz w:val="20"/>
                <w:szCs w:val="20"/>
                <w:shd w:val="clear" w:color="auto" w:fill="FFFFFF"/>
                <w:lang w:val="en-US"/>
              </w:rPr>
              <w:t xml:space="preserve"> 2021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2022 și pe </w:t>
            </w:r>
            <w:proofErr w:type="spellStart"/>
            <w:r w:rsidRPr="00A5319F">
              <w:rPr>
                <w:rFonts w:eastAsia="Arial Unicode MS"/>
                <w:color w:val="000000" w:themeColor="text1"/>
                <w:sz w:val="20"/>
                <w:szCs w:val="20"/>
                <w:shd w:val="clear" w:color="auto" w:fill="FFFFFF"/>
                <w:lang w:val="en-US"/>
              </w:rPr>
              <w:t>baza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ratei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anuale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an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2008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2028.</w:t>
            </w:r>
          </w:p>
          <w:p w14:paraId="1A293180"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37" w:tooltip="32023L0959: INSERTED" w:history="1">
              <w:r>
                <w:rPr>
                  <w:rStyle w:val="af3"/>
                  <w:rFonts w:eastAsia="Arial Unicode MS"/>
                  <w:b/>
                  <w:bCs/>
                  <w:color w:val="4472C4" w:themeColor="accent1"/>
                  <w:sz w:val="20"/>
                  <w:szCs w:val="20"/>
                </w:rPr>
                <w:t>▼M15</w:t>
              </w:r>
            </w:hyperlink>
          </w:p>
          <w:p w14:paraId="395CCDC6" w14:textId="629490BD" w:rsidR="00124364" w:rsidRPr="00A5319F" w:rsidRDefault="00000000" w:rsidP="00A5319F">
            <w:pPr>
              <w:pStyle w:val="ti-art"/>
              <w:numPr>
                <w:ilvl w:val="0"/>
                <w:numId w:val="4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Atunci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când</w:t>
            </w:r>
            <w:proofErr w:type="spellEnd"/>
            <w:r w:rsidRPr="00A5319F">
              <w:rPr>
                <w:rFonts w:eastAsia="Arial Unicode MS"/>
                <w:color w:val="000000" w:themeColor="text1"/>
                <w:sz w:val="20"/>
                <w:szCs w:val="20"/>
                <w:shd w:val="clear" w:color="auto" w:fill="FFFFFF"/>
                <w:lang w:val="en-US"/>
              </w:rPr>
              <w:t xml:space="preserve"> rata </w:t>
            </w:r>
            <w:proofErr w:type="spellStart"/>
            <w:r w:rsidRPr="00A5319F">
              <w:rPr>
                <w:rFonts w:eastAsia="Arial Unicode MS"/>
                <w:color w:val="000000" w:themeColor="text1"/>
                <w:sz w:val="20"/>
                <w:szCs w:val="20"/>
                <w:shd w:val="clear" w:color="auto" w:fill="FFFFFF"/>
                <w:lang w:val="en-US"/>
              </w:rPr>
              <w:t>anuală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mare de 2,5</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mică</w:t>
            </w:r>
            <w:proofErr w:type="spellEnd"/>
            <w:r w:rsidRPr="00A5319F">
              <w:rPr>
                <w:rFonts w:eastAsia="Arial Unicode MS"/>
                <w:color w:val="000000" w:themeColor="text1"/>
                <w:sz w:val="20"/>
                <w:szCs w:val="20"/>
                <w:shd w:val="clear" w:color="auto" w:fill="FFFFFF"/>
                <w:lang w:val="en-US"/>
              </w:rPr>
              <w:t xml:space="preserve"> de 0,3</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2026-2030 sunt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2013-2020 </w:t>
            </w:r>
            <w:proofErr w:type="spellStart"/>
            <w:r w:rsidRPr="00A5319F">
              <w:rPr>
                <w:rFonts w:eastAsia="Arial Unicode MS"/>
                <w:color w:val="000000" w:themeColor="text1"/>
                <w:sz w:val="20"/>
                <w:szCs w:val="20"/>
                <w:shd w:val="clear" w:color="auto" w:fill="FFFFFF"/>
                <w:lang w:val="en-US"/>
              </w:rPr>
              <w:t>reduse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oricare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două</w:t>
            </w:r>
            <w:proofErr w:type="spellEnd"/>
            <w:r w:rsidRPr="00A5319F">
              <w:rPr>
                <w:rFonts w:eastAsia="Arial Unicode MS"/>
                <w:color w:val="000000" w:themeColor="text1"/>
                <w:sz w:val="20"/>
                <w:szCs w:val="20"/>
                <w:shd w:val="clear" w:color="auto" w:fill="FFFFFF"/>
                <w:lang w:val="en-US"/>
              </w:rPr>
              <w:t xml:space="preserve"> rate </w:t>
            </w:r>
            <w:proofErr w:type="spellStart"/>
            <w:r w:rsidRPr="00A5319F">
              <w:rPr>
                <w:rFonts w:eastAsia="Arial Unicode MS"/>
                <w:color w:val="000000" w:themeColor="text1"/>
                <w:sz w:val="20"/>
                <w:szCs w:val="20"/>
                <w:shd w:val="clear" w:color="auto" w:fill="FFFFFF"/>
                <w:lang w:val="en-US"/>
              </w:rPr>
              <w:t>procentuale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relevantă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privire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an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2008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2028.</w:t>
            </w:r>
          </w:p>
          <w:p w14:paraId="384EE957" w14:textId="77777777" w:rsidR="00124364" w:rsidRPr="00A5319F" w:rsidRDefault="00000000" w:rsidP="00A5319F">
            <w:pPr>
              <w:pStyle w:val="ti-art"/>
              <w:numPr>
                <w:ilvl w:val="0"/>
                <w:numId w:val="4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perioada 2026-2030, rata </w:t>
            </w:r>
            <w:proofErr w:type="spellStart"/>
            <w:r w:rsidRPr="00A5319F">
              <w:rPr>
                <w:rFonts w:eastAsia="Arial Unicode MS"/>
                <w:color w:val="000000" w:themeColor="text1"/>
                <w:sz w:val="20"/>
                <w:szCs w:val="20"/>
                <w:shd w:val="clear" w:color="auto" w:fill="FFFFFF"/>
                <w:lang w:val="en-US"/>
              </w:rPr>
              <w:t>anuală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valoarea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metalul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lichid</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afectată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modificarea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definițiilor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și ale </w:t>
            </w:r>
            <w:proofErr w:type="spellStart"/>
            <w:r w:rsidRPr="00A5319F">
              <w:rPr>
                <w:rFonts w:eastAsia="Arial Unicode MS"/>
                <w:color w:val="000000" w:themeColor="text1"/>
                <w:sz w:val="20"/>
                <w:szCs w:val="20"/>
                <w:shd w:val="clear" w:color="auto" w:fill="FFFFFF"/>
                <w:lang w:val="en-US"/>
              </w:rPr>
              <w:t>limitelor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schemei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aplicabile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Pr="00A5319F">
              <w:rPr>
                <w:rFonts w:eastAsia="Arial Unicode MS"/>
                <w:color w:val="000000" w:themeColor="text1"/>
                <w:sz w:val="20"/>
                <w:szCs w:val="20"/>
                <w:shd w:val="clear" w:color="auto" w:fill="FFFFFF"/>
                <w:lang w:val="en-US"/>
              </w:rPr>
              <w:t xml:space="preserve"> 1 al </w:t>
            </w:r>
            <w:proofErr w:type="spellStart"/>
            <w:r w:rsidRPr="00A5319F">
              <w:rPr>
                <w:rFonts w:eastAsia="Arial Unicode MS"/>
                <w:color w:val="000000" w:themeColor="text1"/>
                <w:sz w:val="20"/>
                <w:szCs w:val="20"/>
                <w:shd w:val="clear" w:color="auto" w:fill="FFFFFF"/>
                <w:lang w:val="en-US"/>
              </w:rPr>
              <w:t>optulea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w:t>
            </w:r>
          </w:p>
          <w:p w14:paraId="465A823A" w14:textId="77777777" w:rsidR="00124364" w:rsidRPr="00E34C2B" w:rsidRDefault="00000000">
            <w:pPr>
              <w:pStyle w:val="ti-art"/>
              <w:shd w:val="clear" w:color="auto" w:fill="FFFFFF"/>
              <w:spacing w:before="0" w:beforeAutospacing="0" w:after="0" w:afterAutospacing="0"/>
              <w:ind w:left="720"/>
              <w:rPr>
                <w:color w:val="4472C4" w:themeColor="accent1"/>
                <w:sz w:val="20"/>
                <w:szCs w:val="20"/>
                <w:lang w:val="en-US"/>
              </w:rPr>
            </w:pPr>
            <w:hyperlink r:id="rId138" w:tooltip="32023L0959: REPLACED" w:history="1">
              <w:r w:rsidRPr="00E34C2B">
                <w:rPr>
                  <w:rStyle w:val="af3"/>
                  <w:rFonts w:eastAsia="Arial Unicode MS"/>
                  <w:b/>
                  <w:bCs/>
                  <w:color w:val="4472C4" w:themeColor="accent1"/>
                  <w:sz w:val="20"/>
                  <w:szCs w:val="20"/>
                  <w:lang w:val="en-US"/>
                </w:rPr>
                <w:t>▼M15</w:t>
              </w:r>
            </w:hyperlink>
          </w:p>
          <w:p w14:paraId="1942B9D3"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derogare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compuși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aromatici</w:t>
            </w:r>
            <w:proofErr w:type="spellEnd"/>
            <w:r w:rsidRPr="00A5319F">
              <w:rPr>
                <w:rFonts w:eastAsia="Arial Unicode MS"/>
                <w:color w:val="000000" w:themeColor="text1"/>
                <w:sz w:val="20"/>
                <w:szCs w:val="20"/>
                <w:shd w:val="clear" w:color="auto" w:fill="FFFFFF"/>
                <w:lang w:val="en-US"/>
              </w:rPr>
              <w:t xml:space="preserve"> și gaze de </w:t>
            </w:r>
            <w:proofErr w:type="spellStart"/>
            <w:r w:rsidRPr="00A5319F">
              <w:rPr>
                <w:rFonts w:eastAsia="Arial Unicode MS"/>
                <w:color w:val="000000" w:themeColor="text1"/>
                <w:sz w:val="20"/>
                <w:szCs w:val="20"/>
                <w:shd w:val="clear" w:color="auto" w:fill="FFFFFF"/>
                <w:lang w:val="en-US"/>
              </w:rPr>
              <w:t>sinteză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respective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ajustează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aplicarea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aceluiași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procent</w:t>
            </w:r>
            <w:proofErr w:type="spellEnd"/>
            <w:r w:rsidRPr="00A5319F">
              <w:rPr>
                <w:rFonts w:eastAsia="Arial Unicode MS"/>
                <w:color w:val="000000" w:themeColor="text1"/>
                <w:sz w:val="20"/>
                <w:szCs w:val="20"/>
                <w:shd w:val="clear" w:color="auto" w:fill="FFFFFF"/>
                <w:lang w:val="en-US"/>
              </w:rPr>
              <w:t xml:space="preserve"> ca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rafinării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scopul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menținerii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condiții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concurență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echitabile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producătorii</w:t>
            </w:r>
            <w:proofErr w:type="spellEnd"/>
            <w:r w:rsidRPr="00A5319F">
              <w:rPr>
                <w:rFonts w:eastAsia="Arial Unicode MS"/>
                <w:color w:val="000000" w:themeColor="text1"/>
                <w:sz w:val="20"/>
                <w:szCs w:val="20"/>
                <w:shd w:val="clear" w:color="auto" w:fill="FFFFFF"/>
                <w:lang w:val="en-US"/>
              </w:rPr>
              <w:t xml:space="preserve"> produselor respective.</w:t>
            </w:r>
          </w:p>
          <w:p w14:paraId="2FDF8375"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39" w:tooltip="32018L0410: INSERTED" w:history="1">
              <w:r w:rsidRPr="00E34C2B">
                <w:rPr>
                  <w:rStyle w:val="af3"/>
                  <w:rFonts w:eastAsia="Arial Unicode MS"/>
                  <w:b/>
                  <w:bCs/>
                  <w:color w:val="4472C4" w:themeColor="accent1"/>
                  <w:sz w:val="20"/>
                  <w:szCs w:val="20"/>
                  <w:lang w:val="en-US"/>
                </w:rPr>
                <w:t>▼M9</w:t>
              </w:r>
            </w:hyperlink>
          </w:p>
          <w:p w14:paraId="2CC2F500"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adoptă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procedura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examinare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22a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(2).</w:t>
            </w:r>
          </w:p>
          <w:p w14:paraId="4E3DBE24" w14:textId="047EB240"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promova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recuperarea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eficientă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energiei </w:t>
            </w:r>
            <w:proofErr w:type="spellStart"/>
            <w:r>
              <w:rPr>
                <w:rFonts w:eastAsia="Arial Unicode MS"/>
                <w:color w:val="333333"/>
                <w:sz w:val="20"/>
                <w:szCs w:val="20"/>
                <w:shd w:val="clear" w:color="auto" w:fill="FFFFFF"/>
                <w:lang w:val="en-US"/>
              </w:rPr>
              <w:t>provenite</w:t>
            </w:r>
            <w:proofErr w:type="spellEnd"/>
            <w:r>
              <w:rPr>
                <w:rFonts w:eastAsia="Arial Unicode MS"/>
                <w:color w:val="333333"/>
                <w:sz w:val="20"/>
                <w:szCs w:val="20"/>
                <w:shd w:val="clear" w:color="auto" w:fill="FFFFFF"/>
                <w:lang w:val="en-US"/>
              </w:rPr>
              <w:t xml:space="preserve"> din gaze </w:t>
            </w:r>
            <w:proofErr w:type="spellStart"/>
            <w:r>
              <w:rPr>
                <w:rFonts w:eastAsia="Arial Unicode MS"/>
                <w:color w:val="333333"/>
                <w:sz w:val="20"/>
                <w:szCs w:val="20"/>
                <w:shd w:val="clear" w:color="auto" w:fill="FFFFFF"/>
                <w:lang w:val="en-US"/>
              </w:rPr>
              <w:t>reziduale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litera</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(b) de la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valoarea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referință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metal </w:t>
            </w:r>
            <w:proofErr w:type="spellStart"/>
            <w:r>
              <w:rPr>
                <w:rFonts w:eastAsia="Arial Unicode MS"/>
                <w:color w:val="333333"/>
                <w:sz w:val="20"/>
                <w:szCs w:val="20"/>
                <w:shd w:val="clear" w:color="auto" w:fill="FFFFFF"/>
                <w:lang w:val="en-US"/>
              </w:rPr>
              <w:t>lichid</w:t>
            </w:r>
            <w:proofErr w:type="spellEnd"/>
            <w:r>
              <w:rPr>
                <w:rFonts w:eastAsia="Arial Unicode MS"/>
                <w:color w:val="333333"/>
                <w:sz w:val="20"/>
                <w:szCs w:val="20"/>
                <w:shd w:val="clear" w:color="auto" w:fill="FFFFFF"/>
                <w:lang w:val="en-US"/>
              </w:rPr>
              <w:t xml:space="preserve">, care în cea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mare </w:t>
            </w:r>
            <w:proofErr w:type="spellStart"/>
            <w:r>
              <w:rPr>
                <w:rFonts w:eastAsia="Arial Unicode MS"/>
                <w:color w:val="333333"/>
                <w:sz w:val="20"/>
                <w:szCs w:val="20"/>
                <w:shd w:val="clear" w:color="auto" w:fill="FFFFFF"/>
                <w:lang w:val="en-US"/>
              </w:rPr>
              <w:t>parte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referă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gazele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reziduale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actualizează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cu o </w:t>
            </w:r>
            <w:proofErr w:type="spellStart"/>
            <w:r>
              <w:rPr>
                <w:rFonts w:eastAsia="Arial Unicode MS"/>
                <w:color w:val="333333"/>
                <w:sz w:val="20"/>
                <w:szCs w:val="20"/>
                <w:shd w:val="clear" w:color="auto" w:fill="FFFFFF"/>
                <w:lang w:val="en-US"/>
              </w:rPr>
              <w:t>rată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de 0,2</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w:t>
            </w:r>
          </w:p>
          <w:p w14:paraId="31B44D4F" w14:textId="77777777" w:rsidR="00124364" w:rsidRDefault="00000000">
            <w:pPr>
              <w:pStyle w:val="ti-art"/>
              <w:shd w:val="clear" w:color="auto" w:fill="FFFFFF"/>
              <w:spacing w:before="0" w:beforeAutospacing="0" w:after="0" w:afterAutospacing="0"/>
              <w:rPr>
                <w:rFonts w:ascii="Arial Unicode MS" w:eastAsia="Arial Unicode MS" w:hAnsi="Arial Unicode MS" w:cs="Arial Unicode MS"/>
                <w:b/>
                <w:bCs/>
                <w:color w:val="333333"/>
                <w:sz w:val="21"/>
                <w:szCs w:val="21"/>
                <w:shd w:val="clear" w:color="auto" w:fill="FFFFFF"/>
              </w:rPr>
            </w:pPr>
            <w:hyperlink r:id="rId140" w:tooltip="32023L0959: DELETED" w:history="1">
              <w:r>
                <w:rPr>
                  <w:rStyle w:val="af3"/>
                  <w:rFonts w:eastAsia="Arial Unicode MS"/>
                  <w:b/>
                  <w:bCs/>
                  <w:color w:val="4472C4" w:themeColor="accent1"/>
                  <w:sz w:val="20"/>
                  <w:szCs w:val="20"/>
                </w:rPr>
                <w:t>▼M15</w:t>
              </w:r>
            </w:hyperlink>
            <w:r>
              <w:rPr>
                <w:rFonts w:ascii="Arial Unicode MS" w:eastAsia="Arial Unicode MS" w:hAnsi="Arial Unicode MS" w:cs="Arial Unicode MS" w:hint="eastAsia"/>
                <w:b/>
                <w:bCs/>
                <w:color w:val="4472C4" w:themeColor="accent1"/>
                <w:sz w:val="21"/>
                <w:szCs w:val="21"/>
                <w:shd w:val="clear" w:color="auto" w:fill="FFFFFF"/>
              </w:rPr>
              <w:t> </w:t>
            </w:r>
            <w:r>
              <w:rPr>
                <w:rFonts w:ascii="Arial Unicode MS" w:eastAsia="Arial Unicode MS" w:hAnsi="Arial Unicode MS" w:cs="Arial Unicode MS" w:hint="eastAsia"/>
                <w:b/>
                <w:bCs/>
                <w:color w:val="333333"/>
                <w:sz w:val="21"/>
                <w:szCs w:val="21"/>
                <w:shd w:val="clear" w:color="auto" w:fill="FFFFFF"/>
              </w:rPr>
              <w:t>—————</w:t>
            </w:r>
          </w:p>
          <w:p w14:paraId="6D06AE8E" w14:textId="77777777" w:rsidR="00124364" w:rsidRDefault="00000000">
            <w:pPr>
              <w:pStyle w:val="ti-art"/>
              <w:shd w:val="clear" w:color="auto" w:fill="FFFFFF"/>
              <w:spacing w:before="0" w:beforeAutospacing="0" w:after="0" w:afterAutospacing="0"/>
              <w:rPr>
                <w:color w:val="4472C4" w:themeColor="accent1"/>
                <w:sz w:val="20"/>
                <w:szCs w:val="20"/>
              </w:rPr>
            </w:pPr>
            <w:hyperlink r:id="rId141" w:tooltip="32023L0959: REPLACED" w:history="1">
              <w:r>
                <w:rPr>
                  <w:rStyle w:val="af3"/>
                  <w:rFonts w:eastAsia="Arial Unicode MS"/>
                  <w:b/>
                  <w:bCs/>
                  <w:color w:val="4472C4" w:themeColor="accent1"/>
                  <w:sz w:val="20"/>
                  <w:szCs w:val="20"/>
                </w:rPr>
                <w:t>▼M15</w:t>
              </w:r>
            </w:hyperlink>
          </w:p>
          <w:p w14:paraId="34637C24" w14:textId="22C1F6FB" w:rsidR="00124364" w:rsidRPr="00A5319F" w:rsidRDefault="00000000" w:rsidP="00A5319F">
            <w:pPr>
              <w:pStyle w:val="ti-art"/>
              <w:numPr>
                <w:ilvl w:val="0"/>
                <w:numId w:val="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respecta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proporția</w:t>
            </w:r>
            <w:proofErr w:type="spellEnd"/>
            <w:r w:rsidRPr="00A5319F">
              <w:rPr>
                <w:rFonts w:eastAsia="Arial Unicode MS"/>
                <w:color w:val="000000" w:themeColor="text1"/>
                <w:sz w:val="20"/>
                <w:szCs w:val="20"/>
                <w:shd w:val="clear" w:color="auto" w:fill="FFFFFF"/>
                <w:lang w:val="en-US"/>
              </w:rPr>
              <w:t xml:space="preserve"> de certificate care </w:t>
            </w:r>
            <w:proofErr w:type="spellStart"/>
            <w:r w:rsidRPr="00A5319F">
              <w:rPr>
                <w:rFonts w:eastAsia="Arial Unicode MS"/>
                <w:color w:val="000000" w:themeColor="text1"/>
                <w:sz w:val="20"/>
                <w:szCs w:val="20"/>
                <w:shd w:val="clear" w:color="auto" w:fill="FFFFFF"/>
                <w:lang w:val="en-US"/>
              </w:rPr>
              <w:t>urmează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scoase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licitație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stabilită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10,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an în care </w:t>
            </w:r>
            <w:proofErr w:type="spellStart"/>
            <w:r w:rsidRPr="00A5319F">
              <w:rPr>
                <w:rFonts w:eastAsia="Arial Unicode MS"/>
                <w:color w:val="000000" w:themeColor="text1"/>
                <w:sz w:val="20"/>
                <w:szCs w:val="20"/>
                <w:shd w:val="clear" w:color="auto" w:fill="FFFFFF"/>
                <w:lang w:val="en-US"/>
              </w:rPr>
              <w:t>suma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alocărilor</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atinge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maxim care </w:t>
            </w:r>
            <w:proofErr w:type="spellStart"/>
            <w:r w:rsidRPr="00A5319F">
              <w:rPr>
                <w:rFonts w:eastAsia="Arial Unicode MS"/>
                <w:color w:val="000000" w:themeColor="text1"/>
                <w:sz w:val="20"/>
                <w:szCs w:val="20"/>
                <w:shd w:val="clear" w:color="auto" w:fill="FFFFFF"/>
                <w:lang w:val="en-US"/>
              </w:rPr>
              <w:t>respectă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proporția</w:t>
            </w:r>
            <w:proofErr w:type="spellEnd"/>
            <w:r w:rsidRPr="00A5319F">
              <w:rPr>
                <w:rFonts w:eastAsia="Arial Unicode MS"/>
                <w:color w:val="000000" w:themeColor="text1"/>
                <w:sz w:val="20"/>
                <w:szCs w:val="20"/>
                <w:shd w:val="clear" w:color="auto" w:fill="FFFFFF"/>
                <w:lang w:val="en-US"/>
              </w:rPr>
              <w:t xml:space="preserve"> de certificate care </w:t>
            </w:r>
            <w:proofErr w:type="spellStart"/>
            <w:r w:rsidRPr="00A5319F">
              <w:rPr>
                <w:rFonts w:eastAsia="Arial Unicode MS"/>
                <w:color w:val="000000" w:themeColor="text1"/>
                <w:sz w:val="20"/>
                <w:szCs w:val="20"/>
                <w:shd w:val="clear" w:color="auto" w:fill="FFFFFF"/>
                <w:lang w:val="en-US"/>
              </w:rPr>
              <w:t>urmează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scoase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licitație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rămase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până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scopul</w:t>
            </w:r>
            <w:proofErr w:type="spellEnd"/>
            <w:r w:rsidRPr="00A5319F">
              <w:rPr>
                <w:rFonts w:eastAsia="Arial Unicode MS"/>
                <w:color w:val="000000" w:themeColor="text1"/>
                <w:sz w:val="20"/>
                <w:szCs w:val="20"/>
                <w:shd w:val="clear" w:color="auto" w:fill="FFFFFF"/>
                <w:lang w:val="en-US"/>
              </w:rPr>
              <w:t xml:space="preserve"> de a </w:t>
            </w:r>
            <w:proofErr w:type="spellStart"/>
            <w:r w:rsidRPr="00A5319F">
              <w:rPr>
                <w:rFonts w:eastAsia="Arial Unicode MS"/>
                <w:color w:val="000000" w:themeColor="text1"/>
                <w:sz w:val="20"/>
                <w:szCs w:val="20"/>
                <w:shd w:val="clear" w:color="auto" w:fill="FFFFFF"/>
                <w:lang w:val="en-US"/>
              </w:rPr>
              <w:t>preveni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limita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alocărilor</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necesară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respecta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proporția</w:t>
            </w:r>
            <w:proofErr w:type="spellEnd"/>
            <w:r w:rsidRPr="00A5319F">
              <w:rPr>
                <w:rFonts w:eastAsia="Arial Unicode MS"/>
                <w:color w:val="000000" w:themeColor="text1"/>
                <w:sz w:val="20"/>
                <w:szCs w:val="20"/>
                <w:shd w:val="clear" w:color="auto" w:fill="FFFFFF"/>
                <w:lang w:val="en-US"/>
              </w:rPr>
              <w:t xml:space="preserve"> de certificate care </w:t>
            </w:r>
            <w:proofErr w:type="spellStart"/>
            <w:r w:rsidRPr="00A5319F">
              <w:rPr>
                <w:rFonts w:eastAsia="Arial Unicode MS"/>
                <w:color w:val="000000" w:themeColor="text1"/>
                <w:sz w:val="20"/>
                <w:szCs w:val="20"/>
                <w:shd w:val="clear" w:color="auto" w:fill="FFFFFF"/>
                <w:lang w:val="en-US"/>
              </w:rPr>
              <w:t>urmează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scoase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licitație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anii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următori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cu </w:t>
            </w:r>
            <w:proofErr w:type="spellStart"/>
            <w:r w:rsidRPr="00A5319F">
              <w:rPr>
                <w:rFonts w:eastAsia="Arial Unicode MS"/>
                <w:color w:val="000000" w:themeColor="text1"/>
                <w:sz w:val="20"/>
                <w:szCs w:val="20"/>
                <w:shd w:val="clear" w:color="auto" w:fill="FFFFFF"/>
                <w:lang w:val="en-US"/>
              </w:rPr>
              <w:t>toate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acestea</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atinge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maxim, </w:t>
            </w:r>
            <w:proofErr w:type="spellStart"/>
            <w:r w:rsidRPr="00A5319F">
              <w:rPr>
                <w:rFonts w:eastAsia="Arial Unicode MS"/>
                <w:color w:val="000000" w:themeColor="text1"/>
                <w:sz w:val="20"/>
                <w:szCs w:val="20"/>
                <w:shd w:val="clear" w:color="auto" w:fill="FFFFFF"/>
                <w:lang w:val="en-US"/>
              </w:rPr>
              <w:t>alocările</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ajustează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consecință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Orice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ajustare</w:t>
            </w:r>
            <w:proofErr w:type="spellEnd"/>
            <w:r w:rsidRPr="00A5319F">
              <w:rPr>
                <w:rFonts w:eastAsia="Arial Unicode MS"/>
                <w:color w:val="000000" w:themeColor="text1"/>
                <w:sz w:val="20"/>
                <w:szCs w:val="20"/>
                <w:shd w:val="clear" w:color="auto" w:fill="FFFFFF"/>
                <w:lang w:val="en-US"/>
              </w:rPr>
              <w:t xml:space="preserve"> se efectuează în mod uniform. Se </w:t>
            </w:r>
            <w:proofErr w:type="spellStart"/>
            <w:r w:rsidRPr="00A5319F">
              <w:rPr>
                <w:rFonts w:eastAsia="Arial Unicode MS"/>
                <w:color w:val="000000" w:themeColor="text1"/>
                <w:sz w:val="20"/>
                <w:szCs w:val="20"/>
                <w:shd w:val="clear" w:color="auto" w:fill="FFFFFF"/>
                <w:lang w:val="en-US"/>
              </w:rPr>
              <w:t>exceptează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însă</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ajustarea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instalațiile</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căror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niveluri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emisii</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sunt sub media </w:t>
            </w:r>
            <w:proofErr w:type="spellStart"/>
            <w:r w:rsidRPr="00A5319F">
              <w:rPr>
                <w:rFonts w:eastAsia="Arial Unicode MS"/>
                <w:color w:val="000000" w:themeColor="text1"/>
                <w:sz w:val="20"/>
                <w:szCs w:val="20"/>
                <w:shd w:val="clear" w:color="auto" w:fill="FFFFFF"/>
                <w:lang w:val="en-US"/>
              </w:rPr>
              <w:t>celor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eficiente 10 % </w:t>
            </w:r>
            <w:proofErr w:type="spellStart"/>
            <w:r w:rsidRPr="00A5319F">
              <w:rPr>
                <w:rFonts w:eastAsia="Arial Unicode MS"/>
                <w:color w:val="000000" w:themeColor="text1"/>
                <w:sz w:val="20"/>
                <w:szCs w:val="20"/>
                <w:shd w:val="clear" w:color="auto" w:fill="FFFFFF"/>
                <w:lang w:val="en-US"/>
              </w:rPr>
              <w:t>instalații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dintr</w:t>
            </w:r>
            <w:proofErr w:type="spellEnd"/>
            <w:r w:rsidRPr="00A5319F">
              <w:rPr>
                <w:rFonts w:eastAsia="Arial Unicode MS"/>
                <w:color w:val="000000" w:themeColor="text1"/>
                <w:sz w:val="20"/>
                <w:szCs w:val="20"/>
                <w:shd w:val="clear" w:color="auto" w:fill="FFFFFF"/>
                <w:lang w:val="en-US"/>
              </w:rPr>
              <w:t xml:space="preserve">-un sector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subsector din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valorile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relevante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w:t>
            </w:r>
            <w:proofErr w:type="spellEnd"/>
            <w:r w:rsidRPr="00A5319F">
              <w:rPr>
                <w:rFonts w:eastAsia="Arial Unicode MS"/>
                <w:color w:val="000000" w:themeColor="text1"/>
                <w:sz w:val="20"/>
                <w:szCs w:val="20"/>
                <w:shd w:val="clear" w:color="auto" w:fill="FFFFFF"/>
                <w:lang w:val="en-US"/>
              </w:rPr>
              <w:t xml:space="preserve">-un an în care se </w:t>
            </w:r>
            <w:proofErr w:type="spellStart"/>
            <w:r w:rsidRPr="00A5319F">
              <w:rPr>
                <w:rFonts w:eastAsia="Arial Unicode MS"/>
                <w:color w:val="000000" w:themeColor="text1"/>
                <w:sz w:val="20"/>
                <w:szCs w:val="20"/>
                <w:shd w:val="clear" w:color="auto" w:fill="FFFFFF"/>
                <w:lang w:val="en-US"/>
              </w:rPr>
              <w:t>aplică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ajustarea</w:t>
            </w:r>
            <w:proofErr w:type="spellEnd"/>
            <w:r w:rsidRPr="00A5319F">
              <w:rPr>
                <w:rFonts w:eastAsia="Arial Unicode MS"/>
                <w:color w:val="000000" w:themeColor="text1"/>
                <w:sz w:val="20"/>
                <w:szCs w:val="20"/>
                <w:shd w:val="clear" w:color="auto" w:fill="FFFFFF"/>
                <w:lang w:val="en-US"/>
              </w:rPr>
              <w:t>.</w:t>
            </w:r>
          </w:p>
          <w:p w14:paraId="679E42F9"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142" w:tooltip="32018L0410: INSERTED" w:history="1">
              <w:r>
                <w:rPr>
                  <w:rStyle w:val="af3"/>
                  <w:rFonts w:eastAsia="Arial Unicode MS"/>
                  <w:b/>
                  <w:bCs/>
                  <w:color w:val="4472C4" w:themeColor="accent1"/>
                  <w:sz w:val="20"/>
                  <w:szCs w:val="20"/>
                </w:rPr>
                <w:t>▼M9</w:t>
              </w:r>
            </w:hyperlink>
          </w:p>
          <w:p w14:paraId="3D7C38C1" w14:textId="552CE5E4" w:rsidR="00124364" w:rsidRPr="00A5319F" w:rsidRDefault="00000000" w:rsidP="00A5319F">
            <w:pPr>
              <w:pStyle w:val="ti-art"/>
              <w:numPr>
                <w:ilvl w:val="0"/>
                <w:numId w:val="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derogare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(5), un </w:t>
            </w:r>
            <w:proofErr w:type="spellStart"/>
            <w:r w:rsidRPr="00A5319F">
              <w:rPr>
                <w:rFonts w:eastAsia="Arial Unicode MS"/>
                <w:color w:val="000000" w:themeColor="text1"/>
                <w:sz w:val="20"/>
                <w:szCs w:val="20"/>
                <w:shd w:val="clear" w:color="auto" w:fill="FFFFFF"/>
                <w:lang w:val="en-US"/>
              </w:rPr>
              <w:t>cuantum</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suplimentar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până</w:t>
            </w:r>
            <w:proofErr w:type="spellEnd"/>
            <w:r w:rsidRPr="00A5319F">
              <w:rPr>
                <w:rFonts w:eastAsia="Arial Unicode MS"/>
                <w:color w:val="000000" w:themeColor="text1"/>
                <w:sz w:val="20"/>
                <w:szCs w:val="20"/>
                <w:shd w:val="clear" w:color="auto" w:fill="FFFFFF"/>
                <w:lang w:val="en-US"/>
              </w:rPr>
              <w:t xml:space="preserve"> la 3</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cantitatea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totală</w:t>
            </w:r>
            <w:proofErr w:type="spellEnd"/>
            <w:r w:rsidRPr="00A5319F">
              <w:rPr>
                <w:rFonts w:eastAsia="Arial Unicode MS"/>
                <w:color w:val="000000" w:themeColor="text1"/>
                <w:sz w:val="20"/>
                <w:szCs w:val="20"/>
                <w:shd w:val="clear" w:color="auto" w:fill="FFFFFF"/>
                <w:lang w:val="en-US"/>
              </w:rPr>
              <w:t xml:space="preserve"> de certificate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măsura</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crește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maxim </w:t>
            </w:r>
            <w:proofErr w:type="spellStart"/>
            <w:r w:rsidRPr="00A5319F">
              <w:rPr>
                <w:rFonts w:eastAsia="Arial Unicode MS"/>
                <w:color w:val="000000" w:themeColor="text1"/>
                <w:sz w:val="20"/>
                <w:szCs w:val="20"/>
                <w:shd w:val="clear" w:color="auto" w:fill="FFFFFF"/>
                <w:lang w:val="en-US"/>
              </w:rPr>
              <w:t>disponibil</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(5).</w:t>
            </w:r>
          </w:p>
          <w:p w14:paraId="619A05F9" w14:textId="1B02C40F" w:rsidR="00124364" w:rsidRPr="00A5319F" w:rsidRDefault="00000000" w:rsidP="00A5319F">
            <w:pPr>
              <w:pStyle w:val="ti-art"/>
              <w:numPr>
                <w:ilvl w:val="0"/>
                <w:numId w:val="5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lang w:val="en-US"/>
              </w:rPr>
              <w:t xml:space="preserve">În </w:t>
            </w:r>
            <w:proofErr w:type="spellStart"/>
            <w:r w:rsidRPr="00A5319F">
              <w:rPr>
                <w:rFonts w:eastAsia="Arial Unicode MS"/>
                <w:color w:val="000000" w:themeColor="text1"/>
                <w:sz w:val="20"/>
                <w:szCs w:val="20"/>
                <w:lang w:val="en-US"/>
              </w:rPr>
              <w:t>cazul</w:t>
            </w:r>
            <w:proofErr w:type="spellEnd"/>
            <w:r w:rsidRPr="00A5319F">
              <w:rPr>
                <w:rFonts w:eastAsia="Arial Unicode MS"/>
                <w:color w:val="000000" w:themeColor="text1"/>
                <w:sz w:val="20"/>
                <w:szCs w:val="20"/>
                <w:lang w:val="en-US"/>
              </w:rPr>
              <w:t xml:space="preserve"> în care </w:t>
            </w:r>
            <w:proofErr w:type="spellStart"/>
            <w:r w:rsidRPr="00A5319F">
              <w:rPr>
                <w:rFonts w:eastAsia="Arial Unicode MS"/>
                <w:color w:val="000000" w:themeColor="text1"/>
                <w:sz w:val="20"/>
                <w:szCs w:val="20"/>
                <w:lang w:val="en-US"/>
              </w:rPr>
              <w:t>este</w:t>
            </w:r>
            <w:proofErr w:type="spellEnd"/>
            <w:r w:rsidRPr="00A5319F">
              <w:rPr>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lang w:val="en-US"/>
              </w:rPr>
              <w:t>nevoie</w:t>
            </w:r>
            <w:proofErr w:type="spellEnd"/>
            <w:r w:rsidRPr="00A5319F">
              <w:rPr>
                <w:rFonts w:eastAsia="Arial Unicode MS"/>
                <w:color w:val="000000" w:themeColor="text1"/>
                <w:sz w:val="20"/>
                <w:szCs w:val="20"/>
                <w:lang w:val="en-US"/>
              </w:rPr>
              <w:t xml:space="preserve"> de </w:t>
            </w:r>
            <w:proofErr w:type="spellStart"/>
            <w:r w:rsidRPr="00A5319F">
              <w:rPr>
                <w:rFonts w:eastAsia="Arial Unicode MS"/>
                <w:color w:val="000000" w:themeColor="text1"/>
                <w:sz w:val="20"/>
                <w:szCs w:val="20"/>
                <w:lang w:val="en-US"/>
              </w:rPr>
              <w:t>mai</w:t>
            </w:r>
            <w:proofErr w:type="spellEnd"/>
            <w:r w:rsidRPr="00A5319F">
              <w:rPr>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lang w:val="en-US"/>
              </w:rPr>
              <w:t>puțin</w:t>
            </w:r>
            <w:proofErr w:type="spellEnd"/>
            <w:r w:rsidRPr="00A5319F">
              <w:rPr>
                <w:rFonts w:eastAsia="Arial Unicode MS"/>
                <w:color w:val="000000" w:themeColor="text1"/>
                <w:sz w:val="20"/>
                <w:szCs w:val="20"/>
                <w:lang w:val="en-US"/>
              </w:rPr>
              <w:t xml:space="preserve"> de 3</w:t>
            </w:r>
            <w:r w:rsidR="00A5319F" w:rsidRPr="00A5319F">
              <w:rPr>
                <w:rFonts w:eastAsia="Arial Unicode MS"/>
                <w:color w:val="000000" w:themeColor="text1"/>
                <w:sz w:val="20"/>
                <w:szCs w:val="20"/>
                <w:lang w:val="en-US"/>
              </w:rPr>
              <w:t xml:space="preserve"> </w:t>
            </w:r>
            <w:r w:rsidRPr="00A5319F">
              <w:rPr>
                <w:rFonts w:eastAsia="Arial Unicode MS"/>
                <w:color w:val="000000" w:themeColor="text1"/>
                <w:sz w:val="20"/>
                <w:szCs w:val="20"/>
                <w:lang w:val="en-US"/>
              </w:rPr>
              <w:t xml:space="preserve">% din </w:t>
            </w:r>
            <w:proofErr w:type="spellStart"/>
            <w:r w:rsidRPr="00A5319F">
              <w:rPr>
                <w:rFonts w:eastAsia="Arial Unicode MS"/>
                <w:color w:val="000000" w:themeColor="text1"/>
                <w:sz w:val="20"/>
                <w:szCs w:val="20"/>
                <w:lang w:val="en-US"/>
              </w:rPr>
              <w:t>cantitatea</w:t>
            </w:r>
            <w:proofErr w:type="spellEnd"/>
            <w:r w:rsidRPr="00A5319F">
              <w:rPr>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lang w:val="en-US"/>
              </w:rPr>
              <w:t>totală</w:t>
            </w:r>
            <w:proofErr w:type="spellEnd"/>
            <w:r w:rsidRPr="00A5319F">
              <w:rPr>
                <w:rFonts w:eastAsia="Arial Unicode MS"/>
                <w:color w:val="000000" w:themeColor="text1"/>
                <w:sz w:val="20"/>
                <w:szCs w:val="20"/>
                <w:lang w:val="en-US"/>
              </w:rPr>
              <w:t xml:space="preserve"> de certificate </w:t>
            </w:r>
            <w:proofErr w:type="spellStart"/>
            <w:r w:rsidRPr="00A5319F">
              <w:rPr>
                <w:rFonts w:eastAsia="Arial Unicode MS"/>
                <w:color w:val="000000" w:themeColor="text1"/>
                <w:sz w:val="20"/>
                <w:szCs w:val="20"/>
                <w:lang w:val="en-US"/>
              </w:rPr>
              <w:t>pentru</w:t>
            </w:r>
            <w:proofErr w:type="spellEnd"/>
            <w:r w:rsidRPr="00A5319F">
              <w:rPr>
                <w:rFonts w:eastAsia="Arial Unicode MS"/>
                <w:color w:val="000000" w:themeColor="text1"/>
                <w:sz w:val="20"/>
                <w:szCs w:val="20"/>
                <w:lang w:val="en-US"/>
              </w:rPr>
              <w:t xml:space="preserve"> a </w:t>
            </w:r>
            <w:proofErr w:type="spellStart"/>
            <w:r w:rsidRPr="00A5319F">
              <w:rPr>
                <w:rFonts w:eastAsia="Arial Unicode MS"/>
                <w:color w:val="000000" w:themeColor="text1"/>
                <w:sz w:val="20"/>
                <w:szCs w:val="20"/>
                <w:lang w:val="en-US"/>
              </w:rPr>
              <w:t>crește</w:t>
            </w:r>
            <w:proofErr w:type="spellEnd"/>
            <w:r w:rsidRPr="00A5319F">
              <w:rPr>
                <w:rFonts w:eastAsia="Arial Unicode MS"/>
                <w:color w:val="000000" w:themeColor="text1"/>
                <w:sz w:val="20"/>
                <w:szCs w:val="20"/>
                <w:lang w:val="en-US"/>
              </w:rPr>
              <w:t xml:space="preserve"> </w:t>
            </w:r>
            <w:proofErr w:type="spellStart"/>
            <w:r w:rsidRPr="00A5319F">
              <w:rPr>
                <w:rFonts w:eastAsia="Arial Unicode MS"/>
                <w:color w:val="000000" w:themeColor="text1"/>
                <w:sz w:val="20"/>
                <w:szCs w:val="20"/>
                <w:lang w:val="en-US"/>
              </w:rPr>
              <w:t>cuantumul</w:t>
            </w:r>
            <w:proofErr w:type="spellEnd"/>
            <w:r w:rsidRPr="00A5319F">
              <w:rPr>
                <w:rFonts w:eastAsia="Arial Unicode MS"/>
                <w:color w:val="000000" w:themeColor="text1"/>
                <w:sz w:val="20"/>
                <w:szCs w:val="20"/>
                <w:lang w:val="en-US"/>
              </w:rPr>
              <w:t xml:space="preserve"> maxim </w:t>
            </w:r>
            <w:proofErr w:type="spellStart"/>
            <w:r w:rsidRPr="00A5319F">
              <w:rPr>
                <w:rFonts w:eastAsia="Arial Unicode MS"/>
                <w:color w:val="000000" w:themeColor="text1"/>
                <w:sz w:val="20"/>
                <w:szCs w:val="20"/>
                <w:lang w:val="en-US"/>
              </w:rPr>
              <w:t>disponibil</w:t>
            </w:r>
            <w:proofErr w:type="spellEnd"/>
            <w:r w:rsidRPr="00A5319F">
              <w:rPr>
                <w:rFonts w:eastAsia="Arial Unicode MS"/>
                <w:color w:val="000000" w:themeColor="text1"/>
                <w:sz w:val="20"/>
                <w:szCs w:val="20"/>
                <w:lang w:val="en-US"/>
              </w:rPr>
              <w:t xml:space="preserve"> în conformitate cu </w:t>
            </w:r>
            <w:proofErr w:type="spellStart"/>
            <w:r w:rsidRPr="00A5319F">
              <w:rPr>
                <w:rFonts w:eastAsia="Arial Unicode MS"/>
                <w:color w:val="000000" w:themeColor="text1"/>
                <w:sz w:val="20"/>
                <w:szCs w:val="20"/>
                <w:lang w:val="en-US"/>
              </w:rPr>
              <w:t>alineatul</w:t>
            </w:r>
            <w:proofErr w:type="spellEnd"/>
            <w:r w:rsidR="00A5319F" w:rsidRPr="00A5319F">
              <w:rPr>
                <w:rFonts w:eastAsia="Arial Unicode MS"/>
                <w:color w:val="000000" w:themeColor="text1"/>
                <w:sz w:val="20"/>
                <w:szCs w:val="20"/>
                <w:lang w:val="en-US"/>
              </w:rPr>
              <w:t xml:space="preserve"> </w:t>
            </w:r>
            <w:r w:rsidRPr="00A5319F">
              <w:rPr>
                <w:rFonts w:eastAsia="Arial Unicode MS"/>
                <w:color w:val="000000" w:themeColor="text1"/>
                <w:sz w:val="20"/>
                <w:szCs w:val="20"/>
                <w:lang w:val="en-US"/>
              </w:rPr>
              <w:t>(5):</w:t>
            </w:r>
          </w:p>
          <w:p w14:paraId="6CE414B2" w14:textId="0FE31E29" w:rsidR="00124364" w:rsidRPr="00A5319F" w:rsidRDefault="00000000" w:rsidP="00A5319F">
            <w:pPr>
              <w:pStyle w:val="ti-art"/>
              <w:numPr>
                <w:ilvl w:val="0"/>
                <w:numId w:val="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un </w:t>
            </w:r>
            <w:proofErr w:type="spellStart"/>
            <w:r w:rsidRPr="00A5319F">
              <w:rPr>
                <w:rFonts w:eastAsia="Arial Unicode MS"/>
                <w:color w:val="000000" w:themeColor="text1"/>
                <w:sz w:val="20"/>
                <w:szCs w:val="20"/>
                <w:shd w:val="clear" w:color="auto" w:fill="FFFFFF"/>
                <w:lang w:val="en-US"/>
              </w:rPr>
              <w:t>număr</w:t>
            </w:r>
            <w:proofErr w:type="spellEnd"/>
            <w:r w:rsidRPr="00A5319F">
              <w:rPr>
                <w:rFonts w:eastAsia="Arial Unicode MS"/>
                <w:color w:val="000000" w:themeColor="text1"/>
                <w:sz w:val="20"/>
                <w:szCs w:val="20"/>
                <w:shd w:val="clear" w:color="auto" w:fill="FFFFFF"/>
                <w:lang w:val="en-US"/>
              </w:rPr>
              <w:t xml:space="preserve"> maxim de 50 de </w:t>
            </w:r>
            <w:proofErr w:type="spellStart"/>
            <w:r w:rsidRPr="00A5319F">
              <w:rPr>
                <w:rFonts w:eastAsia="Arial Unicode MS"/>
                <w:color w:val="000000" w:themeColor="text1"/>
                <w:sz w:val="20"/>
                <w:szCs w:val="20"/>
                <w:shd w:val="clear" w:color="auto" w:fill="FFFFFF"/>
                <w:lang w:val="en-US"/>
              </w:rPr>
              <w:t>milioane</w:t>
            </w:r>
            <w:proofErr w:type="spellEnd"/>
            <w:r w:rsidRPr="00A5319F">
              <w:rPr>
                <w:rFonts w:eastAsia="Arial Unicode MS"/>
                <w:color w:val="000000" w:themeColor="text1"/>
                <w:sz w:val="20"/>
                <w:szCs w:val="20"/>
                <w:shd w:val="clear" w:color="auto" w:fill="FFFFFF"/>
                <w:lang w:val="en-US"/>
              </w:rPr>
              <w:t xml:space="preserve"> de certificate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crește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de certificate </w:t>
            </w:r>
            <w:proofErr w:type="spellStart"/>
            <w:r w:rsidRPr="00A5319F">
              <w:rPr>
                <w:rFonts w:eastAsia="Arial Unicode MS"/>
                <w:color w:val="000000" w:themeColor="text1"/>
                <w:sz w:val="20"/>
                <w:szCs w:val="20"/>
                <w:shd w:val="clear" w:color="auto" w:fill="FFFFFF"/>
                <w:lang w:val="en-US"/>
              </w:rPr>
              <w:t>disponibile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sprijinirea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inovării</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10a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(8); și</w:t>
            </w:r>
          </w:p>
          <w:p w14:paraId="04FAD872" w14:textId="29F836C6" w:rsidR="00124364" w:rsidRPr="00A5319F" w:rsidRDefault="00000000" w:rsidP="00A5319F">
            <w:pPr>
              <w:pStyle w:val="ti-art"/>
              <w:numPr>
                <w:ilvl w:val="0"/>
                <w:numId w:val="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un </w:t>
            </w:r>
            <w:proofErr w:type="spellStart"/>
            <w:r w:rsidRPr="00A5319F">
              <w:rPr>
                <w:rFonts w:eastAsia="Arial Unicode MS"/>
                <w:color w:val="000000" w:themeColor="text1"/>
                <w:sz w:val="20"/>
                <w:szCs w:val="20"/>
                <w:shd w:val="clear" w:color="auto" w:fill="FFFFFF"/>
                <w:lang w:val="en-US"/>
              </w:rPr>
              <w:t>procent</w:t>
            </w:r>
            <w:proofErr w:type="spellEnd"/>
            <w:r w:rsidRPr="00A5319F">
              <w:rPr>
                <w:rFonts w:eastAsia="Arial Unicode MS"/>
                <w:color w:val="000000" w:themeColor="text1"/>
                <w:sz w:val="20"/>
                <w:szCs w:val="20"/>
                <w:shd w:val="clear" w:color="auto" w:fill="FFFFFF"/>
                <w:lang w:val="en-US"/>
              </w:rPr>
              <w:t xml:space="preserve"> maxim de 0,5</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cantitatea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totală</w:t>
            </w:r>
            <w:proofErr w:type="spellEnd"/>
            <w:r w:rsidRPr="00A5319F">
              <w:rPr>
                <w:rFonts w:eastAsia="Arial Unicode MS"/>
                <w:color w:val="000000" w:themeColor="text1"/>
                <w:sz w:val="20"/>
                <w:szCs w:val="20"/>
                <w:shd w:val="clear" w:color="auto" w:fill="FFFFFF"/>
                <w:lang w:val="en-US"/>
              </w:rPr>
              <w:t xml:space="preserve"> de certificate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crește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cuantumul</w:t>
            </w:r>
            <w:proofErr w:type="spellEnd"/>
            <w:r w:rsidRPr="00A5319F">
              <w:rPr>
                <w:rFonts w:eastAsia="Arial Unicode MS"/>
                <w:color w:val="000000" w:themeColor="text1"/>
                <w:sz w:val="20"/>
                <w:szCs w:val="20"/>
                <w:shd w:val="clear" w:color="auto" w:fill="FFFFFF"/>
                <w:lang w:val="en-US"/>
              </w:rPr>
              <w:t xml:space="preserve"> de certificate </w:t>
            </w:r>
            <w:proofErr w:type="spellStart"/>
            <w:r w:rsidRPr="00A5319F">
              <w:rPr>
                <w:rFonts w:eastAsia="Arial Unicode MS"/>
                <w:color w:val="000000" w:themeColor="text1"/>
                <w:sz w:val="20"/>
                <w:szCs w:val="20"/>
                <w:shd w:val="clear" w:color="auto" w:fill="FFFFFF"/>
                <w:lang w:val="en-US"/>
              </w:rPr>
              <w:t>disponibile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modernizarea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sistemelor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energetice</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anumitor</w:t>
            </w:r>
            <w:proofErr w:type="spellEnd"/>
            <w:r w:rsidRPr="00A5319F">
              <w:rPr>
                <w:rFonts w:eastAsia="Arial Unicode MS"/>
                <w:color w:val="000000" w:themeColor="text1"/>
                <w:sz w:val="20"/>
                <w:szCs w:val="20"/>
                <w:shd w:val="clear" w:color="auto" w:fill="FFFFFF"/>
                <w:lang w:val="en-US"/>
              </w:rPr>
              <w:t xml:space="preserve"> state </w:t>
            </w:r>
            <w:proofErr w:type="spellStart"/>
            <w:r w:rsidRPr="00A5319F">
              <w:rPr>
                <w:rFonts w:eastAsia="Arial Unicode MS"/>
                <w:color w:val="000000" w:themeColor="text1"/>
                <w:sz w:val="20"/>
                <w:szCs w:val="20"/>
                <w:shd w:val="clear" w:color="auto" w:fill="FFFFFF"/>
                <w:lang w:val="en-US"/>
              </w:rPr>
              <w:t>membre</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10d.</w:t>
            </w:r>
          </w:p>
          <w:p w14:paraId="264E308F" w14:textId="77777777" w:rsidR="00124364" w:rsidRDefault="00000000">
            <w:pPr>
              <w:pStyle w:val="ti-art"/>
              <w:shd w:val="clear" w:color="auto" w:fill="FFFFFF"/>
              <w:spacing w:before="0" w:beforeAutospacing="0" w:after="0" w:afterAutospacing="0"/>
              <w:rPr>
                <w:color w:val="4472C4" w:themeColor="accent1"/>
                <w:sz w:val="20"/>
                <w:szCs w:val="20"/>
              </w:rPr>
            </w:pPr>
            <w:hyperlink r:id="rId143" w:tooltip="32018L0410: REPLACED" w:history="1">
              <w:r>
                <w:rPr>
                  <w:rStyle w:val="af3"/>
                  <w:rFonts w:eastAsia="Arial Unicode MS"/>
                  <w:b/>
                  <w:bCs/>
                  <w:color w:val="4472C4" w:themeColor="accent1"/>
                  <w:sz w:val="20"/>
                  <w:szCs w:val="20"/>
                </w:rPr>
                <w:t>▼M9</w:t>
              </w:r>
            </w:hyperlink>
          </w:p>
          <w:p w14:paraId="20A998B2" w14:textId="7878B946" w:rsidR="00124364" w:rsidRDefault="00000000" w:rsidP="00A5319F">
            <w:pPr>
              <w:pStyle w:val="af8"/>
              <w:numPr>
                <w:ilvl w:val="0"/>
                <w:numId w:val="52"/>
              </w:numPr>
              <w:suppressAutoHyphens w:val="0"/>
              <w:autoSpaceDN/>
              <w:spacing w:after="0" w:line="240" w:lineRule="auto"/>
              <w:jc w:val="both"/>
              <w:textAlignment w:val="auto"/>
              <w:rPr>
                <w:rStyle w:val="boldface"/>
                <w:rFonts w:ascii="Times New Roman" w:hAnsi="Times New Roman"/>
                <w:sz w:val="20"/>
                <w:szCs w:val="20"/>
                <w:lang w:val="en-US"/>
              </w:rPr>
            </w:pPr>
            <w:hyperlink r:id="rId144" w:tooltip="32023L0959: REPLACED" w:history="1">
              <w:r>
                <w:rPr>
                  <w:rStyle w:val="boldface"/>
                  <w:rFonts w:ascii="Times New Roman" w:eastAsia="Arial Unicode MS" w:hAnsi="Times New Roman"/>
                  <w:b/>
                  <w:bCs/>
                  <w:color w:val="4472C4" w:themeColor="accent1"/>
                  <w:sz w:val="20"/>
                  <w:szCs w:val="20"/>
                </w:rPr>
                <w:t>►M15</w:t>
              </w:r>
            </w:hyperlink>
            <w:r w:rsidR="00A5319F">
              <w:rPr>
                <w:rStyle w:val="apple-converted-space"/>
                <w:rFonts w:ascii="Times New Roman" w:eastAsia="Arial Unicode MS" w:hAnsi="Times New Roman"/>
                <w:color w:val="4472C4" w:themeColor="accent1"/>
                <w:sz w:val="20"/>
                <w:szCs w:val="20"/>
              </w:rPr>
              <w:t xml:space="preserve"> </w:t>
            </w:r>
            <w:proofErr w:type="spellStart"/>
            <w:r>
              <w:rPr>
                <w:rFonts w:ascii="Times New Roman" w:eastAsia="Arial Unicode MS" w:hAnsi="Times New Roman"/>
                <w:color w:val="333333"/>
                <w:sz w:val="20"/>
                <w:szCs w:val="20"/>
              </w:rPr>
              <w:t>Statele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trebui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adopte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măsuri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financiare</w:t>
            </w:r>
            <w:proofErr w:type="spellEnd"/>
            <w:r>
              <w:rPr>
                <w:rFonts w:ascii="Times New Roman" w:eastAsia="Arial Unicode MS" w:hAnsi="Times New Roman"/>
                <w:color w:val="333333"/>
                <w:sz w:val="20"/>
                <w:szCs w:val="20"/>
              </w:rPr>
              <w:t xml:space="preserve"> în conformitate cu al </w:t>
            </w:r>
            <w:proofErr w:type="spellStart"/>
            <w:r>
              <w:rPr>
                <w:rFonts w:ascii="Times New Roman" w:eastAsia="Arial Unicode MS" w:hAnsi="Times New Roman"/>
                <w:color w:val="333333"/>
                <w:sz w:val="20"/>
                <w:szCs w:val="20"/>
              </w:rPr>
              <w:t>doilea</w:t>
            </w:r>
            <w:proofErr w:type="spellEnd"/>
            <w:r>
              <w:rPr>
                <w:rFonts w:ascii="Times New Roman" w:eastAsia="Arial Unicode MS" w:hAnsi="Times New Roman"/>
                <w:color w:val="333333"/>
                <w:sz w:val="20"/>
                <w:szCs w:val="20"/>
              </w:rPr>
              <w:t xml:space="preserve"> și al </w:t>
            </w:r>
            <w:proofErr w:type="spellStart"/>
            <w:r>
              <w:rPr>
                <w:rFonts w:ascii="Times New Roman" w:eastAsia="Arial Unicode MS" w:hAnsi="Times New Roman"/>
                <w:color w:val="333333"/>
                <w:sz w:val="20"/>
                <w:szCs w:val="20"/>
              </w:rPr>
              <w:t>patrulea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paragraf</w:t>
            </w:r>
            <w:proofErr w:type="spellEnd"/>
            <w:r>
              <w:rPr>
                <w:rFonts w:ascii="Times New Roman" w:eastAsia="Arial Unicode MS" w:hAnsi="Times New Roman"/>
                <w:color w:val="333333"/>
                <w:sz w:val="20"/>
                <w:szCs w:val="20"/>
              </w:rPr>
              <w:t xml:space="preserve"> de la </w:t>
            </w:r>
            <w:proofErr w:type="spellStart"/>
            <w:r>
              <w:rPr>
                <w:rFonts w:ascii="Times New Roman" w:eastAsia="Arial Unicode MS" w:hAnsi="Times New Roman"/>
                <w:color w:val="333333"/>
                <w:sz w:val="20"/>
                <w:szCs w:val="20"/>
              </w:rPr>
              <w:t>prezentul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alineat</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favoarea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sectoarelor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sau</w:t>
            </w:r>
            <w:proofErr w:type="spellEnd"/>
            <w:r>
              <w:rPr>
                <w:rFonts w:ascii="Times New Roman" w:eastAsia="Arial Unicode MS" w:hAnsi="Times New Roman"/>
                <w:color w:val="333333"/>
                <w:sz w:val="20"/>
                <w:szCs w:val="20"/>
              </w:rPr>
              <w:t xml:space="preserve"> a </w:t>
            </w:r>
            <w:proofErr w:type="spellStart"/>
            <w:r>
              <w:rPr>
                <w:rFonts w:ascii="Times New Roman" w:eastAsia="Arial Unicode MS" w:hAnsi="Times New Roman"/>
                <w:color w:val="333333"/>
                <w:sz w:val="20"/>
                <w:szCs w:val="20"/>
              </w:rPr>
              <w:t>subsectoarelor</w:t>
            </w:r>
            <w:proofErr w:type="spellEnd"/>
            <w:r>
              <w:rPr>
                <w:rFonts w:ascii="Times New Roman" w:eastAsia="Arial Unicode MS" w:hAnsi="Times New Roman"/>
                <w:color w:val="333333"/>
                <w:sz w:val="20"/>
                <w:szCs w:val="20"/>
              </w:rPr>
              <w:t xml:space="preserve"> care sunt </w:t>
            </w:r>
            <w:proofErr w:type="spellStart"/>
            <w:r>
              <w:rPr>
                <w:rFonts w:ascii="Times New Roman" w:eastAsia="Arial Unicode MS" w:hAnsi="Times New Roman"/>
                <w:color w:val="333333"/>
                <w:sz w:val="20"/>
                <w:szCs w:val="20"/>
              </w:rPr>
              <w:t>expuse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risc</w:t>
            </w:r>
            <w:proofErr w:type="spellEnd"/>
            <w:r>
              <w:rPr>
                <w:rFonts w:ascii="Times New Roman" w:eastAsia="Arial Unicode MS" w:hAnsi="Times New Roman"/>
                <w:color w:val="333333"/>
                <w:sz w:val="20"/>
                <w:szCs w:val="20"/>
              </w:rPr>
              <w:t xml:space="preserve"> real de </w:t>
            </w:r>
            <w:proofErr w:type="spellStart"/>
            <w:r>
              <w:rPr>
                <w:rFonts w:ascii="Times New Roman" w:eastAsia="Arial Unicode MS" w:hAnsi="Times New Roman"/>
                <w:color w:val="333333"/>
                <w:sz w:val="20"/>
                <w:szCs w:val="20"/>
              </w:rPr>
              <w:t>relocare</w:t>
            </w:r>
            <w:proofErr w:type="spellEnd"/>
            <w:r>
              <w:rPr>
                <w:rFonts w:ascii="Times New Roman" w:eastAsia="Arial Unicode MS" w:hAnsi="Times New Roman"/>
                <w:color w:val="333333"/>
                <w:sz w:val="20"/>
                <w:szCs w:val="20"/>
              </w:rPr>
              <w:t xml:space="preserve"> a </w:t>
            </w:r>
            <w:proofErr w:type="spellStart"/>
            <w:r>
              <w:rPr>
                <w:rFonts w:ascii="Times New Roman" w:eastAsia="Arial Unicode MS" w:hAnsi="Times New Roman"/>
                <w:color w:val="333333"/>
                <w:sz w:val="20"/>
                <w:szCs w:val="20"/>
              </w:rPr>
              <w:t>emisiilor</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dioxid</w:t>
            </w:r>
            <w:proofErr w:type="spellEnd"/>
            <w:r>
              <w:rPr>
                <w:rFonts w:ascii="Times New Roman" w:eastAsia="Arial Unicode MS" w:hAnsi="Times New Roman"/>
                <w:color w:val="333333"/>
                <w:sz w:val="20"/>
                <w:szCs w:val="20"/>
              </w:rPr>
              <w:t xml:space="preserve"> de carbon </w:t>
            </w:r>
            <w:r>
              <w:rPr>
                <w:rFonts w:ascii="Times New Roman" w:eastAsia="Arial Unicode MS" w:hAnsi="Times New Roman"/>
                <w:color w:val="333333"/>
                <w:sz w:val="20"/>
                <w:szCs w:val="20"/>
              </w:rPr>
              <w:lastRenderedPageBreak/>
              <w:t xml:space="preserve">din </w:t>
            </w:r>
            <w:proofErr w:type="spellStart"/>
            <w:r>
              <w:rPr>
                <w:rFonts w:ascii="Times New Roman" w:eastAsia="Arial Unicode MS" w:hAnsi="Times New Roman"/>
                <w:color w:val="333333"/>
                <w:sz w:val="20"/>
                <w:szCs w:val="20"/>
              </w:rPr>
              <w:t>cauza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costurilor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indirecte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semnificative</w:t>
            </w:r>
            <w:proofErr w:type="spellEnd"/>
            <w:r>
              <w:rPr>
                <w:rFonts w:ascii="Times New Roman" w:eastAsia="Arial Unicode MS" w:hAnsi="Times New Roman"/>
                <w:color w:val="333333"/>
                <w:sz w:val="20"/>
                <w:szCs w:val="20"/>
              </w:rPr>
              <w:t xml:space="preserve"> care sunt </w:t>
            </w:r>
            <w:proofErr w:type="spellStart"/>
            <w:r>
              <w:rPr>
                <w:rFonts w:ascii="Times New Roman" w:eastAsia="Arial Unicode MS" w:hAnsi="Times New Roman"/>
                <w:color w:val="333333"/>
                <w:sz w:val="20"/>
                <w:szCs w:val="20"/>
              </w:rPr>
              <w:t>suportate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efectiv</w:t>
            </w:r>
            <w:proofErr w:type="spellEnd"/>
            <w:r>
              <w:rPr>
                <w:rFonts w:ascii="Times New Roman" w:eastAsia="Arial Unicode MS" w:hAnsi="Times New Roman"/>
                <w:color w:val="333333"/>
                <w:sz w:val="20"/>
                <w:szCs w:val="20"/>
              </w:rPr>
              <w:t xml:space="preserve"> de pe </w:t>
            </w:r>
            <w:proofErr w:type="spellStart"/>
            <w:r>
              <w:rPr>
                <w:rFonts w:ascii="Times New Roman" w:eastAsia="Arial Unicode MS" w:hAnsi="Times New Roman"/>
                <w:color w:val="333333"/>
                <w:sz w:val="20"/>
                <w:szCs w:val="20"/>
              </w:rPr>
              <w:t>urma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costurilor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emisiilor</w:t>
            </w:r>
            <w:proofErr w:type="spellEnd"/>
            <w:r>
              <w:rPr>
                <w:rFonts w:ascii="Times New Roman" w:eastAsia="Arial Unicode MS" w:hAnsi="Times New Roman"/>
                <w:color w:val="333333"/>
                <w:sz w:val="20"/>
                <w:szCs w:val="20"/>
              </w:rPr>
              <w:t xml:space="preserve"> de gaze cu </w:t>
            </w:r>
            <w:proofErr w:type="spellStart"/>
            <w:r>
              <w:rPr>
                <w:rFonts w:ascii="Times New Roman" w:eastAsia="Arial Unicode MS" w:hAnsi="Times New Roman"/>
                <w:color w:val="333333"/>
                <w:sz w:val="20"/>
                <w:szCs w:val="20"/>
              </w:rPr>
              <w:t>efect</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seră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transferate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prețul</w:t>
            </w:r>
            <w:proofErr w:type="spellEnd"/>
            <w:r>
              <w:rPr>
                <w:rFonts w:ascii="Times New Roman" w:eastAsia="Arial Unicode MS" w:hAnsi="Times New Roman"/>
                <w:color w:val="333333"/>
                <w:sz w:val="20"/>
                <w:szCs w:val="20"/>
              </w:rPr>
              <w:t xml:space="preserve"> energiei </w:t>
            </w:r>
            <w:proofErr w:type="spellStart"/>
            <w:r>
              <w:rPr>
                <w:rFonts w:ascii="Times New Roman" w:eastAsia="Arial Unicode MS" w:hAnsi="Times New Roman"/>
                <w:color w:val="333333"/>
                <w:sz w:val="20"/>
                <w:szCs w:val="20"/>
              </w:rPr>
              <w:t>electrice</w:t>
            </w:r>
            <w:proofErr w:type="spellEnd"/>
            <w:r>
              <w:rPr>
                <w:rFonts w:ascii="Times New Roman" w:eastAsia="Arial Unicode MS" w:hAnsi="Times New Roman"/>
                <w:color w:val="333333"/>
                <w:sz w:val="20"/>
                <w:szCs w:val="20"/>
              </w:rPr>
              <w:t xml:space="preserve">, cu </w:t>
            </w:r>
            <w:proofErr w:type="spellStart"/>
            <w:r>
              <w:rPr>
                <w:rFonts w:ascii="Times New Roman" w:eastAsia="Arial Unicode MS" w:hAnsi="Times New Roman"/>
                <w:color w:val="333333"/>
                <w:sz w:val="20"/>
                <w:szCs w:val="20"/>
              </w:rPr>
              <w:t>condiția</w:t>
            </w:r>
            <w:proofErr w:type="spellEnd"/>
            <w:r>
              <w:rPr>
                <w:rFonts w:ascii="Times New Roman" w:eastAsia="Arial Unicode MS" w:hAnsi="Times New Roman"/>
                <w:color w:val="333333"/>
                <w:sz w:val="20"/>
                <w:szCs w:val="20"/>
              </w:rPr>
              <w:t xml:space="preserve"> ca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măsuri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financiare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fie în conformitate cu </w:t>
            </w:r>
            <w:proofErr w:type="spellStart"/>
            <w:r>
              <w:rPr>
                <w:rFonts w:ascii="Times New Roman" w:eastAsia="Arial Unicode MS" w:hAnsi="Times New Roman"/>
                <w:color w:val="333333"/>
                <w:sz w:val="20"/>
                <w:szCs w:val="20"/>
              </w:rPr>
              <w:t>normele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privind</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ajutorul</w:t>
            </w:r>
            <w:proofErr w:type="spellEnd"/>
            <w:r>
              <w:rPr>
                <w:rFonts w:ascii="Times New Roman" w:eastAsia="Arial Unicode MS" w:hAnsi="Times New Roman"/>
                <w:color w:val="333333"/>
                <w:sz w:val="20"/>
                <w:szCs w:val="20"/>
              </w:rPr>
              <w:t xml:space="preserve"> de stat, în special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nu </w:t>
            </w:r>
            <w:proofErr w:type="spellStart"/>
            <w:r>
              <w:rPr>
                <w:rFonts w:ascii="Times New Roman" w:eastAsia="Arial Unicode MS" w:hAnsi="Times New Roman"/>
                <w:color w:val="333333"/>
                <w:sz w:val="20"/>
                <w:szCs w:val="20"/>
              </w:rPr>
              <w:t>producă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denaturări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nejustificate</w:t>
            </w:r>
            <w:proofErr w:type="spellEnd"/>
            <w:r>
              <w:rPr>
                <w:rFonts w:ascii="Times New Roman" w:eastAsia="Arial Unicode MS" w:hAnsi="Times New Roman"/>
                <w:color w:val="333333"/>
                <w:sz w:val="20"/>
                <w:szCs w:val="20"/>
              </w:rPr>
              <w:t xml:space="preserve"> ale </w:t>
            </w:r>
            <w:proofErr w:type="spellStart"/>
            <w:r>
              <w:rPr>
                <w:rFonts w:ascii="Times New Roman" w:eastAsia="Arial Unicode MS" w:hAnsi="Times New Roman"/>
                <w:color w:val="333333"/>
                <w:sz w:val="20"/>
                <w:szCs w:val="20"/>
              </w:rPr>
              <w:t>concurenței</w:t>
            </w:r>
            <w:proofErr w:type="spellEnd"/>
            <w:r>
              <w:rPr>
                <w:rFonts w:ascii="Times New Roman" w:eastAsia="Arial Unicode MS" w:hAnsi="Times New Roman"/>
                <w:color w:val="333333"/>
                <w:sz w:val="20"/>
                <w:szCs w:val="20"/>
              </w:rPr>
              <w:t xml:space="preserve"> pe </w:t>
            </w:r>
            <w:proofErr w:type="spellStart"/>
            <w:r>
              <w:rPr>
                <w:rFonts w:ascii="Times New Roman" w:eastAsia="Arial Unicode MS" w:hAnsi="Times New Roman"/>
                <w:color w:val="333333"/>
                <w:sz w:val="20"/>
                <w:szCs w:val="20"/>
              </w:rPr>
              <w:t>piața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internă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Măsurile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financiare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adoptate</w:t>
            </w:r>
            <w:proofErr w:type="spellEnd"/>
            <w:r>
              <w:rPr>
                <w:rFonts w:ascii="Times New Roman" w:eastAsia="Arial Unicode MS" w:hAnsi="Times New Roman"/>
                <w:color w:val="333333"/>
                <w:sz w:val="20"/>
                <w:szCs w:val="20"/>
              </w:rPr>
              <w:t xml:space="preserve"> nu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compenseze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costurile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indirecte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acoperite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alocarea</w:t>
            </w:r>
            <w:proofErr w:type="spellEnd"/>
            <w:r>
              <w:rPr>
                <w:rFonts w:ascii="Times New Roman" w:eastAsia="Arial Unicode MS" w:hAnsi="Times New Roman"/>
                <w:color w:val="333333"/>
                <w:sz w:val="20"/>
                <w:szCs w:val="20"/>
              </w:rPr>
              <w:t xml:space="preserve"> de certificate cu </w:t>
            </w:r>
            <w:proofErr w:type="spellStart"/>
            <w:r>
              <w:rPr>
                <w:rFonts w:ascii="Times New Roman" w:eastAsia="Arial Unicode MS" w:hAnsi="Times New Roman"/>
                <w:color w:val="333333"/>
                <w:sz w:val="20"/>
                <w:szCs w:val="20"/>
              </w:rPr>
              <w:t>titlu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gratuit</w:t>
            </w:r>
            <w:proofErr w:type="spellEnd"/>
            <w:r>
              <w:rPr>
                <w:rFonts w:ascii="Times New Roman" w:eastAsia="Arial Unicode MS" w:hAnsi="Times New Roman"/>
                <w:color w:val="333333"/>
                <w:sz w:val="20"/>
                <w:szCs w:val="20"/>
              </w:rPr>
              <w:t xml:space="preserve"> în conformitate cu </w:t>
            </w:r>
            <w:proofErr w:type="spellStart"/>
            <w:r>
              <w:rPr>
                <w:rFonts w:ascii="Times New Roman" w:eastAsia="Arial Unicode MS" w:hAnsi="Times New Roman"/>
                <w:color w:val="333333"/>
                <w:sz w:val="20"/>
                <w:szCs w:val="20"/>
              </w:rPr>
              <w:t>valorile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referință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stabilite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temeiul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alineatului</w:t>
            </w:r>
            <w:proofErr w:type="spellEnd"/>
            <w:r w:rsidR="00A5319F">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(1) de la </w:t>
            </w:r>
            <w:proofErr w:type="spellStart"/>
            <w:r>
              <w:rPr>
                <w:rFonts w:ascii="Times New Roman" w:eastAsia="Arial Unicode MS" w:hAnsi="Times New Roman"/>
                <w:color w:val="333333"/>
                <w:sz w:val="20"/>
                <w:szCs w:val="20"/>
              </w:rPr>
              <w:t>prezentul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articol</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cazul</w:t>
            </w:r>
            <w:proofErr w:type="spellEnd"/>
            <w:r>
              <w:rPr>
                <w:rFonts w:ascii="Times New Roman" w:eastAsia="Arial Unicode MS" w:hAnsi="Times New Roman"/>
                <w:color w:val="333333"/>
                <w:sz w:val="20"/>
                <w:szCs w:val="20"/>
              </w:rPr>
              <w:t xml:space="preserve"> în care un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cheltuiește</w:t>
            </w:r>
            <w:proofErr w:type="spellEnd"/>
            <w:r>
              <w:rPr>
                <w:rFonts w:ascii="Times New Roman" w:eastAsia="Arial Unicode MS" w:hAnsi="Times New Roman"/>
                <w:color w:val="333333"/>
                <w:sz w:val="20"/>
                <w:szCs w:val="20"/>
              </w:rPr>
              <w:t xml:space="preserve"> un </w:t>
            </w:r>
            <w:proofErr w:type="spellStart"/>
            <w:r>
              <w:rPr>
                <w:rFonts w:ascii="Times New Roman" w:eastAsia="Arial Unicode MS" w:hAnsi="Times New Roman"/>
                <w:color w:val="333333"/>
                <w:sz w:val="20"/>
                <w:szCs w:val="20"/>
              </w:rPr>
              <w:t>cuantum</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mai</w:t>
            </w:r>
            <w:proofErr w:type="spellEnd"/>
            <w:r>
              <w:rPr>
                <w:rFonts w:ascii="Times New Roman" w:eastAsia="Arial Unicode MS" w:hAnsi="Times New Roman"/>
                <w:color w:val="333333"/>
                <w:sz w:val="20"/>
                <w:szCs w:val="20"/>
              </w:rPr>
              <w:t xml:space="preserve"> mare </w:t>
            </w:r>
            <w:proofErr w:type="spellStart"/>
            <w:r>
              <w:rPr>
                <w:rFonts w:ascii="Times New Roman" w:eastAsia="Arial Unicode MS" w:hAnsi="Times New Roman"/>
                <w:color w:val="333333"/>
                <w:sz w:val="20"/>
                <w:szCs w:val="20"/>
              </w:rPr>
              <w:t>decât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echivalentul</w:t>
            </w:r>
            <w:proofErr w:type="spellEnd"/>
            <w:r>
              <w:rPr>
                <w:rFonts w:ascii="Times New Roman" w:eastAsia="Arial Unicode MS" w:hAnsi="Times New Roman"/>
                <w:color w:val="333333"/>
                <w:sz w:val="20"/>
                <w:szCs w:val="20"/>
              </w:rPr>
              <w:t xml:space="preserve"> a</w:t>
            </w:r>
            <w:r w:rsidR="00A5319F">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25</w:t>
            </w:r>
            <w:r w:rsidR="00A5319F">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 din </w:t>
            </w:r>
            <w:proofErr w:type="spellStart"/>
            <w:r>
              <w:rPr>
                <w:rFonts w:ascii="Times New Roman" w:eastAsia="Arial Unicode MS" w:hAnsi="Times New Roman"/>
                <w:color w:val="333333"/>
                <w:sz w:val="20"/>
                <w:szCs w:val="20"/>
              </w:rPr>
              <w:t>veniturile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obținute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urma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licitării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certificatelor</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emisii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menționate</w:t>
            </w:r>
            <w:proofErr w:type="spellEnd"/>
            <w:r>
              <w:rPr>
                <w:rFonts w:ascii="Times New Roman" w:eastAsia="Arial Unicode MS" w:hAnsi="Times New Roman"/>
                <w:color w:val="333333"/>
                <w:sz w:val="20"/>
                <w:szCs w:val="20"/>
              </w:rPr>
              <w:t xml:space="preserve"> la </w:t>
            </w:r>
            <w:proofErr w:type="spellStart"/>
            <w:r>
              <w:rPr>
                <w:rFonts w:ascii="Times New Roman" w:eastAsia="Arial Unicode MS" w:hAnsi="Times New Roman"/>
                <w:color w:val="333333"/>
                <w:sz w:val="20"/>
                <w:szCs w:val="20"/>
              </w:rPr>
              <w:t>articolul</w:t>
            </w:r>
            <w:proofErr w:type="spellEnd"/>
            <w:r w:rsidR="00A5319F">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10 </w:t>
            </w:r>
            <w:proofErr w:type="spellStart"/>
            <w:r>
              <w:rPr>
                <w:rFonts w:ascii="Times New Roman" w:eastAsia="Arial Unicode MS" w:hAnsi="Times New Roman"/>
                <w:color w:val="333333"/>
                <w:sz w:val="20"/>
                <w:szCs w:val="20"/>
              </w:rPr>
              <w:t>alineatul</w:t>
            </w:r>
            <w:proofErr w:type="spellEnd"/>
            <w:r w:rsidR="00A5319F">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(3) </w:t>
            </w:r>
            <w:proofErr w:type="spellStart"/>
            <w:r>
              <w:rPr>
                <w:rFonts w:ascii="Times New Roman" w:eastAsia="Arial Unicode MS" w:hAnsi="Times New Roman"/>
                <w:color w:val="333333"/>
                <w:sz w:val="20"/>
                <w:szCs w:val="20"/>
              </w:rPr>
              <w:t>pentru</w:t>
            </w:r>
            <w:proofErr w:type="spellEnd"/>
            <w:r>
              <w:rPr>
                <w:rFonts w:ascii="Times New Roman" w:eastAsia="Arial Unicode MS" w:hAnsi="Times New Roman"/>
                <w:color w:val="333333"/>
                <w:sz w:val="20"/>
                <w:szCs w:val="20"/>
              </w:rPr>
              <w:t xml:space="preserve"> anul în care au </w:t>
            </w:r>
            <w:proofErr w:type="spellStart"/>
            <w:r>
              <w:rPr>
                <w:rFonts w:ascii="Times New Roman" w:eastAsia="Arial Unicode MS" w:hAnsi="Times New Roman"/>
                <w:color w:val="333333"/>
                <w:sz w:val="20"/>
                <w:szCs w:val="20"/>
              </w:rPr>
              <w:t>fost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suportate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costurile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indirecte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acesta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precizează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motivele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depășirii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cuantumului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respectiv</w:t>
            </w:r>
            <w:proofErr w:type="spellEnd"/>
            <w:r>
              <w:rPr>
                <w:rFonts w:ascii="Times New Roman" w:eastAsia="Arial Unicode MS" w:hAnsi="Times New Roman"/>
                <w:color w:val="333333"/>
                <w:sz w:val="20"/>
                <w:szCs w:val="20"/>
              </w:rPr>
              <w:t>.</w:t>
            </w:r>
            <w:r w:rsidR="00A5319F">
              <w:rPr>
                <w:rStyle w:val="boldface"/>
                <w:rFonts w:ascii="Times New Roman" w:eastAsia="Arial Unicode MS" w:hAnsi="Times New Roman"/>
                <w:b/>
                <w:bCs/>
                <w:color w:val="333333"/>
                <w:sz w:val="20"/>
                <w:szCs w:val="20"/>
              </w:rPr>
              <w:t xml:space="preserve"> </w:t>
            </w:r>
            <w:r>
              <w:rPr>
                <w:rStyle w:val="boldface"/>
                <w:rFonts w:ascii="Times New Roman" w:eastAsia="Arial Unicode MS" w:hAnsi="Times New Roman"/>
                <w:b/>
                <w:bCs/>
                <w:color w:val="333333"/>
                <w:sz w:val="20"/>
                <w:szCs w:val="20"/>
              </w:rPr>
              <w:t>◄</w:t>
            </w:r>
          </w:p>
          <w:p w14:paraId="2553A7BA" w14:textId="68AD10DB" w:rsidR="00124364" w:rsidRPr="00A5319F" w:rsidRDefault="00000000" w:rsidP="00A5319F">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A5319F">
              <w:rPr>
                <w:rFonts w:ascii="Times New Roman" w:eastAsia="Arial Unicode MS" w:hAnsi="Times New Roman"/>
                <w:color w:val="000000" w:themeColor="text1"/>
                <w:sz w:val="20"/>
                <w:szCs w:val="20"/>
                <w:shd w:val="clear" w:color="auto" w:fill="FFFFFF"/>
              </w:rPr>
              <w:t>Statele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membre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urmăresc</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asemenea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să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utilizeze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cel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mult</w:t>
            </w:r>
            <w:proofErr w:type="spellEnd"/>
            <w:r w:rsidRPr="00A5319F">
              <w:rPr>
                <w:rFonts w:ascii="Times New Roman" w:eastAsia="Arial Unicode MS" w:hAnsi="Times New Roman"/>
                <w:color w:val="000000" w:themeColor="text1"/>
                <w:sz w:val="20"/>
                <w:szCs w:val="20"/>
                <w:shd w:val="clear" w:color="auto" w:fill="FFFFFF"/>
              </w:rPr>
              <w:t xml:space="preserve"> 25</w:t>
            </w:r>
            <w:r w:rsidR="00A5319F" w:rsidRPr="00A5319F">
              <w:rPr>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 xml:space="preserve">% din </w:t>
            </w:r>
            <w:proofErr w:type="spellStart"/>
            <w:r w:rsidRPr="00A5319F">
              <w:rPr>
                <w:rFonts w:ascii="Times New Roman" w:eastAsia="Arial Unicode MS" w:hAnsi="Times New Roman"/>
                <w:color w:val="000000" w:themeColor="text1"/>
                <w:sz w:val="20"/>
                <w:szCs w:val="20"/>
                <w:shd w:val="clear" w:color="auto" w:fill="FFFFFF"/>
              </w:rPr>
              <w:t>veniturile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obținute</w:t>
            </w:r>
            <w:proofErr w:type="spellEnd"/>
            <w:r w:rsidRPr="00A5319F">
              <w:rPr>
                <w:rFonts w:ascii="Times New Roman" w:eastAsia="Arial Unicode MS" w:hAnsi="Times New Roman"/>
                <w:color w:val="000000" w:themeColor="text1"/>
                <w:sz w:val="20"/>
                <w:szCs w:val="20"/>
                <w:shd w:val="clear" w:color="auto" w:fill="FFFFFF"/>
              </w:rPr>
              <w:t xml:space="preserve"> în </w:t>
            </w:r>
            <w:proofErr w:type="spellStart"/>
            <w:r w:rsidRPr="00A5319F">
              <w:rPr>
                <w:rFonts w:ascii="Times New Roman" w:eastAsia="Arial Unicode MS" w:hAnsi="Times New Roman"/>
                <w:color w:val="000000" w:themeColor="text1"/>
                <w:sz w:val="20"/>
                <w:szCs w:val="20"/>
                <w:shd w:val="clear" w:color="auto" w:fill="FFFFFF"/>
              </w:rPr>
              <w:t>urma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scoaterii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certificatelor</w:t>
            </w:r>
            <w:proofErr w:type="spellEnd"/>
            <w:r w:rsidRPr="00A5319F">
              <w:rPr>
                <w:rFonts w:ascii="Times New Roman" w:eastAsia="Arial Unicode MS" w:hAnsi="Times New Roman"/>
                <w:color w:val="000000" w:themeColor="text1"/>
                <w:sz w:val="20"/>
                <w:szCs w:val="20"/>
                <w:shd w:val="clear" w:color="auto" w:fill="FFFFFF"/>
              </w:rPr>
              <w:t xml:space="preserve"> la </w:t>
            </w:r>
            <w:proofErr w:type="spellStart"/>
            <w:r w:rsidRPr="00A5319F">
              <w:rPr>
                <w:rFonts w:ascii="Times New Roman" w:eastAsia="Arial Unicode MS" w:hAnsi="Times New Roman"/>
                <w:color w:val="000000" w:themeColor="text1"/>
                <w:sz w:val="20"/>
                <w:szCs w:val="20"/>
                <w:shd w:val="clear" w:color="auto" w:fill="FFFFFF"/>
              </w:rPr>
              <w:t>licitație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pentru</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măsurile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financiare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menționate</w:t>
            </w:r>
            <w:proofErr w:type="spellEnd"/>
            <w:r w:rsidRPr="00A5319F">
              <w:rPr>
                <w:rFonts w:ascii="Times New Roman" w:eastAsia="Arial Unicode MS" w:hAnsi="Times New Roman"/>
                <w:color w:val="000000" w:themeColor="text1"/>
                <w:sz w:val="20"/>
                <w:szCs w:val="20"/>
                <w:shd w:val="clear" w:color="auto" w:fill="FFFFFF"/>
              </w:rPr>
              <w:t xml:space="preserve"> la </w:t>
            </w:r>
            <w:proofErr w:type="spellStart"/>
            <w:r w:rsidRPr="00A5319F">
              <w:rPr>
                <w:rFonts w:ascii="Times New Roman" w:eastAsia="Arial Unicode MS" w:hAnsi="Times New Roman"/>
                <w:color w:val="000000" w:themeColor="text1"/>
                <w:sz w:val="20"/>
                <w:szCs w:val="20"/>
                <w:shd w:val="clear" w:color="auto" w:fill="FFFFFF"/>
              </w:rPr>
              <w:t>primul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paragraf</w:t>
            </w:r>
            <w:proofErr w:type="spellEnd"/>
            <w:r w:rsidRPr="00A5319F">
              <w:rPr>
                <w:rFonts w:ascii="Times New Roman" w:eastAsia="Arial Unicode MS" w:hAnsi="Times New Roman"/>
                <w:color w:val="000000" w:themeColor="text1"/>
                <w:sz w:val="20"/>
                <w:szCs w:val="20"/>
                <w:shd w:val="clear" w:color="auto" w:fill="FFFFFF"/>
              </w:rPr>
              <w:t xml:space="preserve">. În termen de </w:t>
            </w:r>
            <w:proofErr w:type="spellStart"/>
            <w:r w:rsidRPr="00A5319F">
              <w:rPr>
                <w:rFonts w:ascii="Times New Roman" w:eastAsia="Arial Unicode MS" w:hAnsi="Times New Roman"/>
                <w:color w:val="000000" w:themeColor="text1"/>
                <w:sz w:val="20"/>
                <w:szCs w:val="20"/>
                <w:shd w:val="clear" w:color="auto" w:fill="FFFFFF"/>
              </w:rPr>
              <w:t>trei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luni</w:t>
            </w:r>
            <w:proofErr w:type="spellEnd"/>
            <w:r w:rsidRPr="00A5319F">
              <w:rPr>
                <w:rFonts w:ascii="Times New Roman" w:eastAsia="Arial Unicode MS" w:hAnsi="Times New Roman"/>
                <w:color w:val="000000" w:themeColor="text1"/>
                <w:sz w:val="20"/>
                <w:szCs w:val="20"/>
                <w:shd w:val="clear" w:color="auto" w:fill="FFFFFF"/>
              </w:rPr>
              <w:t xml:space="preserve"> de la </w:t>
            </w:r>
            <w:proofErr w:type="spellStart"/>
            <w:r w:rsidRPr="00A5319F">
              <w:rPr>
                <w:rFonts w:ascii="Times New Roman" w:eastAsia="Arial Unicode MS" w:hAnsi="Times New Roman"/>
                <w:color w:val="000000" w:themeColor="text1"/>
                <w:sz w:val="20"/>
                <w:szCs w:val="20"/>
                <w:shd w:val="clear" w:color="auto" w:fill="FFFFFF"/>
              </w:rPr>
              <w:t>sfârșitul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fiecărui</w:t>
            </w:r>
            <w:proofErr w:type="spellEnd"/>
            <w:r w:rsidRPr="00A5319F">
              <w:rPr>
                <w:rFonts w:ascii="Times New Roman" w:eastAsia="Arial Unicode MS" w:hAnsi="Times New Roman"/>
                <w:color w:val="000000" w:themeColor="text1"/>
                <w:sz w:val="20"/>
                <w:szCs w:val="20"/>
                <w:shd w:val="clear" w:color="auto" w:fill="FFFFFF"/>
              </w:rPr>
              <w:t xml:space="preserve"> an, </w:t>
            </w:r>
            <w:proofErr w:type="spellStart"/>
            <w:r w:rsidRPr="00A5319F">
              <w:rPr>
                <w:rFonts w:ascii="Times New Roman" w:eastAsia="Arial Unicode MS" w:hAnsi="Times New Roman"/>
                <w:color w:val="000000" w:themeColor="text1"/>
                <w:sz w:val="20"/>
                <w:szCs w:val="20"/>
                <w:shd w:val="clear" w:color="auto" w:fill="FFFFFF"/>
              </w:rPr>
              <w:t>statele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membre</w:t>
            </w:r>
            <w:proofErr w:type="spellEnd"/>
            <w:r w:rsidRPr="00A5319F">
              <w:rPr>
                <w:rFonts w:ascii="Times New Roman" w:eastAsia="Arial Unicode MS" w:hAnsi="Times New Roman"/>
                <w:color w:val="000000" w:themeColor="text1"/>
                <w:sz w:val="20"/>
                <w:szCs w:val="20"/>
                <w:shd w:val="clear" w:color="auto" w:fill="FFFFFF"/>
              </w:rPr>
              <w:t xml:space="preserve"> în care sunt în </w:t>
            </w:r>
            <w:proofErr w:type="spellStart"/>
            <w:r w:rsidRPr="00A5319F">
              <w:rPr>
                <w:rFonts w:ascii="Times New Roman" w:eastAsia="Arial Unicode MS" w:hAnsi="Times New Roman"/>
                <w:color w:val="000000" w:themeColor="text1"/>
                <w:sz w:val="20"/>
                <w:szCs w:val="20"/>
                <w:shd w:val="clear" w:color="auto" w:fill="FFFFFF"/>
              </w:rPr>
              <w:t>vigoare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astfel</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măsuri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financiare</w:t>
            </w:r>
            <w:proofErr w:type="spellEnd"/>
            <w:r w:rsidRPr="00A5319F">
              <w:rPr>
                <w:rFonts w:ascii="Times New Roman" w:eastAsia="Arial Unicode MS" w:hAnsi="Times New Roman"/>
                <w:color w:val="000000" w:themeColor="text1"/>
                <w:sz w:val="20"/>
                <w:szCs w:val="20"/>
                <w:shd w:val="clear" w:color="auto" w:fill="FFFFFF"/>
              </w:rPr>
              <w:t xml:space="preserve"> pun la </w:t>
            </w:r>
            <w:proofErr w:type="spellStart"/>
            <w:r w:rsidRPr="00A5319F">
              <w:rPr>
                <w:rFonts w:ascii="Times New Roman" w:eastAsia="Arial Unicode MS" w:hAnsi="Times New Roman"/>
                <w:color w:val="000000" w:themeColor="text1"/>
                <w:sz w:val="20"/>
                <w:szCs w:val="20"/>
                <w:shd w:val="clear" w:color="auto" w:fill="FFFFFF"/>
              </w:rPr>
              <w:t>dispoziția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publicului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într</w:t>
            </w:r>
            <w:proofErr w:type="spellEnd"/>
            <w:r w:rsidRPr="00A5319F">
              <w:rPr>
                <w:rFonts w:ascii="Times New Roman" w:eastAsia="Arial Unicode MS" w:hAnsi="Times New Roman"/>
                <w:color w:val="000000" w:themeColor="text1"/>
                <w:sz w:val="20"/>
                <w:szCs w:val="20"/>
                <w:shd w:val="clear" w:color="auto" w:fill="FFFFFF"/>
              </w:rPr>
              <w:t xml:space="preserve">-un format </w:t>
            </w:r>
            <w:proofErr w:type="spellStart"/>
            <w:r w:rsidRPr="00A5319F">
              <w:rPr>
                <w:rFonts w:ascii="Times New Roman" w:eastAsia="Arial Unicode MS" w:hAnsi="Times New Roman"/>
                <w:color w:val="000000" w:themeColor="text1"/>
                <w:sz w:val="20"/>
                <w:szCs w:val="20"/>
                <w:shd w:val="clear" w:color="auto" w:fill="FFFFFF"/>
              </w:rPr>
              <w:t>ușor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accesibil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cuantumul</w:t>
            </w:r>
            <w:proofErr w:type="spellEnd"/>
            <w:r w:rsidRPr="00A5319F">
              <w:rPr>
                <w:rFonts w:ascii="Times New Roman" w:eastAsia="Arial Unicode MS" w:hAnsi="Times New Roman"/>
                <w:color w:val="000000" w:themeColor="text1"/>
                <w:sz w:val="20"/>
                <w:szCs w:val="20"/>
                <w:shd w:val="clear" w:color="auto" w:fill="FFFFFF"/>
              </w:rPr>
              <w:t xml:space="preserve"> total al </w:t>
            </w:r>
            <w:proofErr w:type="spellStart"/>
            <w:r w:rsidRPr="00A5319F">
              <w:rPr>
                <w:rFonts w:ascii="Times New Roman" w:eastAsia="Arial Unicode MS" w:hAnsi="Times New Roman"/>
                <w:color w:val="000000" w:themeColor="text1"/>
                <w:sz w:val="20"/>
                <w:szCs w:val="20"/>
                <w:shd w:val="clear" w:color="auto" w:fill="FFFFFF"/>
              </w:rPr>
              <w:t>compensației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prevăzute</w:t>
            </w:r>
            <w:proofErr w:type="spellEnd"/>
            <w:r w:rsidRPr="00A5319F">
              <w:rPr>
                <w:rFonts w:ascii="Times New Roman" w:eastAsia="Arial Unicode MS" w:hAnsi="Times New Roman"/>
                <w:color w:val="000000" w:themeColor="text1"/>
                <w:sz w:val="20"/>
                <w:szCs w:val="20"/>
                <w:shd w:val="clear" w:color="auto" w:fill="FFFFFF"/>
              </w:rPr>
              <w:t xml:space="preserve"> pe </w:t>
            </w:r>
            <w:proofErr w:type="spellStart"/>
            <w:r w:rsidRPr="00A5319F">
              <w:rPr>
                <w:rFonts w:ascii="Times New Roman" w:eastAsia="Arial Unicode MS" w:hAnsi="Times New Roman"/>
                <w:color w:val="000000" w:themeColor="text1"/>
                <w:sz w:val="20"/>
                <w:szCs w:val="20"/>
                <w:shd w:val="clear" w:color="auto" w:fill="FFFFFF"/>
              </w:rPr>
              <w:t>sectoare</w:t>
            </w:r>
            <w:proofErr w:type="spellEnd"/>
            <w:r w:rsidRPr="00A5319F">
              <w:rPr>
                <w:rFonts w:ascii="Times New Roman" w:eastAsia="Arial Unicode MS" w:hAnsi="Times New Roman"/>
                <w:color w:val="000000" w:themeColor="text1"/>
                <w:sz w:val="20"/>
                <w:szCs w:val="20"/>
                <w:shd w:val="clear" w:color="auto" w:fill="FFFFFF"/>
              </w:rPr>
              <w:t xml:space="preserve"> și </w:t>
            </w:r>
            <w:proofErr w:type="spellStart"/>
            <w:r w:rsidRPr="00A5319F">
              <w:rPr>
                <w:rFonts w:ascii="Times New Roman" w:eastAsia="Arial Unicode MS" w:hAnsi="Times New Roman"/>
                <w:color w:val="000000" w:themeColor="text1"/>
                <w:sz w:val="20"/>
                <w:szCs w:val="20"/>
                <w:shd w:val="clear" w:color="auto" w:fill="FFFFFF"/>
              </w:rPr>
              <w:t>subsectoare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beneficiare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Începând</w:t>
            </w:r>
            <w:proofErr w:type="spellEnd"/>
            <w:r w:rsidRPr="00A5319F">
              <w:rPr>
                <w:rFonts w:ascii="Times New Roman" w:eastAsia="Arial Unicode MS" w:hAnsi="Times New Roman"/>
                <w:color w:val="000000" w:themeColor="text1"/>
                <w:sz w:val="20"/>
                <w:szCs w:val="20"/>
                <w:shd w:val="clear" w:color="auto" w:fill="FFFFFF"/>
              </w:rPr>
              <w:t xml:space="preserve"> cu 2018, în </w:t>
            </w:r>
            <w:proofErr w:type="spellStart"/>
            <w:r w:rsidRPr="00A5319F">
              <w:rPr>
                <w:rFonts w:ascii="Times New Roman" w:eastAsia="Arial Unicode MS" w:hAnsi="Times New Roman"/>
                <w:color w:val="000000" w:themeColor="text1"/>
                <w:sz w:val="20"/>
                <w:szCs w:val="20"/>
                <w:shd w:val="clear" w:color="auto" w:fill="FFFFFF"/>
              </w:rPr>
              <w:t>orice</w:t>
            </w:r>
            <w:proofErr w:type="spellEnd"/>
            <w:r w:rsidRPr="00A5319F">
              <w:rPr>
                <w:rFonts w:ascii="Times New Roman" w:eastAsia="Arial Unicode MS" w:hAnsi="Times New Roman"/>
                <w:color w:val="000000" w:themeColor="text1"/>
                <w:sz w:val="20"/>
                <w:szCs w:val="20"/>
                <w:shd w:val="clear" w:color="auto" w:fill="FFFFFF"/>
              </w:rPr>
              <w:t xml:space="preserve"> an în care </w:t>
            </w:r>
            <w:proofErr w:type="spellStart"/>
            <w:r w:rsidRPr="00A5319F">
              <w:rPr>
                <w:rFonts w:ascii="Times New Roman" w:eastAsia="Arial Unicode MS" w:hAnsi="Times New Roman"/>
                <w:color w:val="000000" w:themeColor="text1"/>
                <w:sz w:val="20"/>
                <w:szCs w:val="20"/>
                <w:shd w:val="clear" w:color="auto" w:fill="FFFFFF"/>
              </w:rPr>
              <w:t>utilizează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mai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mult</w:t>
            </w:r>
            <w:proofErr w:type="spellEnd"/>
            <w:r w:rsidRPr="00A5319F">
              <w:rPr>
                <w:rFonts w:ascii="Times New Roman" w:eastAsia="Arial Unicode MS" w:hAnsi="Times New Roman"/>
                <w:color w:val="000000" w:themeColor="text1"/>
                <w:sz w:val="20"/>
                <w:szCs w:val="20"/>
                <w:shd w:val="clear" w:color="auto" w:fill="FFFFFF"/>
              </w:rPr>
              <w:t xml:space="preserve"> de 25</w:t>
            </w:r>
            <w:r w:rsidR="00A5319F" w:rsidRPr="00A5319F">
              <w:rPr>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 xml:space="preserve">% din </w:t>
            </w:r>
            <w:proofErr w:type="spellStart"/>
            <w:r w:rsidRPr="00A5319F">
              <w:rPr>
                <w:rFonts w:ascii="Times New Roman" w:eastAsia="Arial Unicode MS" w:hAnsi="Times New Roman"/>
                <w:color w:val="000000" w:themeColor="text1"/>
                <w:sz w:val="20"/>
                <w:szCs w:val="20"/>
                <w:shd w:val="clear" w:color="auto" w:fill="FFFFFF"/>
              </w:rPr>
              <w:t>veniturile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obținute</w:t>
            </w:r>
            <w:proofErr w:type="spellEnd"/>
            <w:r w:rsidRPr="00A5319F">
              <w:rPr>
                <w:rFonts w:ascii="Times New Roman" w:eastAsia="Arial Unicode MS" w:hAnsi="Times New Roman"/>
                <w:color w:val="000000" w:themeColor="text1"/>
                <w:sz w:val="20"/>
                <w:szCs w:val="20"/>
                <w:shd w:val="clear" w:color="auto" w:fill="FFFFFF"/>
              </w:rPr>
              <w:t xml:space="preserve"> în </w:t>
            </w:r>
            <w:proofErr w:type="spellStart"/>
            <w:r w:rsidRPr="00A5319F">
              <w:rPr>
                <w:rFonts w:ascii="Times New Roman" w:eastAsia="Arial Unicode MS" w:hAnsi="Times New Roman"/>
                <w:color w:val="000000" w:themeColor="text1"/>
                <w:sz w:val="20"/>
                <w:szCs w:val="20"/>
                <w:shd w:val="clear" w:color="auto" w:fill="FFFFFF"/>
              </w:rPr>
              <w:t>urma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scoaterii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unor</w:t>
            </w:r>
            <w:proofErr w:type="spellEnd"/>
            <w:r w:rsidRPr="00A5319F">
              <w:rPr>
                <w:rFonts w:ascii="Times New Roman" w:eastAsia="Arial Unicode MS" w:hAnsi="Times New Roman"/>
                <w:color w:val="000000" w:themeColor="text1"/>
                <w:sz w:val="20"/>
                <w:szCs w:val="20"/>
                <w:shd w:val="clear" w:color="auto" w:fill="FFFFFF"/>
              </w:rPr>
              <w:t xml:space="preserve"> certificate la </w:t>
            </w:r>
            <w:proofErr w:type="spellStart"/>
            <w:r w:rsidRPr="00A5319F">
              <w:rPr>
                <w:rFonts w:ascii="Times New Roman" w:eastAsia="Arial Unicode MS" w:hAnsi="Times New Roman"/>
                <w:color w:val="000000" w:themeColor="text1"/>
                <w:sz w:val="20"/>
                <w:szCs w:val="20"/>
                <w:shd w:val="clear" w:color="auto" w:fill="FFFFFF"/>
              </w:rPr>
              <w:t>licitație</w:t>
            </w:r>
            <w:proofErr w:type="spellEnd"/>
            <w:r w:rsidRPr="00A5319F">
              <w:rPr>
                <w:rFonts w:ascii="Times New Roman" w:eastAsia="Arial Unicode MS" w:hAnsi="Times New Roman"/>
                <w:color w:val="000000" w:themeColor="text1"/>
                <w:sz w:val="20"/>
                <w:szCs w:val="20"/>
                <w:shd w:val="clear" w:color="auto" w:fill="FFFFFF"/>
              </w:rPr>
              <w:t xml:space="preserve"> în </w:t>
            </w:r>
            <w:proofErr w:type="spellStart"/>
            <w:r w:rsidRPr="00A5319F">
              <w:rPr>
                <w:rFonts w:ascii="Times New Roman" w:eastAsia="Arial Unicode MS" w:hAnsi="Times New Roman"/>
                <w:color w:val="000000" w:themeColor="text1"/>
                <w:sz w:val="20"/>
                <w:szCs w:val="20"/>
                <w:shd w:val="clear" w:color="auto" w:fill="FFFFFF"/>
              </w:rPr>
              <w:t>astfel</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scopuri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statele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membre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publică</w:t>
            </w:r>
            <w:proofErr w:type="spellEnd"/>
            <w:r w:rsidRPr="00A5319F">
              <w:rPr>
                <w:rFonts w:ascii="Times New Roman" w:eastAsia="Arial Unicode MS" w:hAnsi="Times New Roman"/>
                <w:color w:val="000000" w:themeColor="text1"/>
                <w:sz w:val="20"/>
                <w:szCs w:val="20"/>
                <w:shd w:val="clear" w:color="auto" w:fill="FFFFFF"/>
              </w:rPr>
              <w:t xml:space="preserve"> un </w:t>
            </w:r>
            <w:proofErr w:type="spellStart"/>
            <w:r w:rsidRPr="00A5319F">
              <w:rPr>
                <w:rFonts w:ascii="Times New Roman" w:eastAsia="Arial Unicode MS" w:hAnsi="Times New Roman"/>
                <w:color w:val="000000" w:themeColor="text1"/>
                <w:sz w:val="20"/>
                <w:szCs w:val="20"/>
                <w:shd w:val="clear" w:color="auto" w:fill="FFFFFF"/>
              </w:rPr>
              <w:t>raport</w:t>
            </w:r>
            <w:proofErr w:type="spellEnd"/>
            <w:r w:rsidRPr="00A5319F">
              <w:rPr>
                <w:rFonts w:ascii="Times New Roman" w:eastAsia="Arial Unicode MS" w:hAnsi="Times New Roman"/>
                <w:color w:val="000000" w:themeColor="text1"/>
                <w:sz w:val="20"/>
                <w:szCs w:val="20"/>
                <w:shd w:val="clear" w:color="auto" w:fill="FFFFFF"/>
              </w:rPr>
              <w:t xml:space="preserve"> în care se </w:t>
            </w:r>
            <w:proofErr w:type="spellStart"/>
            <w:r w:rsidRPr="00A5319F">
              <w:rPr>
                <w:rFonts w:ascii="Times New Roman" w:eastAsia="Arial Unicode MS" w:hAnsi="Times New Roman"/>
                <w:color w:val="000000" w:themeColor="text1"/>
                <w:sz w:val="20"/>
                <w:szCs w:val="20"/>
                <w:shd w:val="clear" w:color="auto" w:fill="FFFFFF"/>
              </w:rPr>
              <w:t>precizează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motivele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depășirii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cuantumului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respectiv</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Raportul</w:t>
            </w:r>
            <w:proofErr w:type="spellEnd"/>
            <w:r w:rsidRPr="00A5319F">
              <w:rPr>
                <w:rFonts w:ascii="Times New Roman" w:eastAsia="Arial Unicode MS" w:hAnsi="Times New Roman"/>
                <w:color w:val="000000" w:themeColor="text1"/>
                <w:sz w:val="20"/>
                <w:szCs w:val="20"/>
                <w:shd w:val="clear" w:color="auto" w:fill="FFFFFF"/>
              </w:rPr>
              <w:t xml:space="preserve"> include </w:t>
            </w:r>
            <w:proofErr w:type="spellStart"/>
            <w:r w:rsidRPr="00A5319F">
              <w:rPr>
                <w:rFonts w:ascii="Times New Roman" w:eastAsia="Arial Unicode MS" w:hAnsi="Times New Roman"/>
                <w:color w:val="000000" w:themeColor="text1"/>
                <w:sz w:val="20"/>
                <w:szCs w:val="20"/>
                <w:shd w:val="clear" w:color="auto" w:fill="FFFFFF"/>
              </w:rPr>
              <w:t>informații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relevante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privind</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prețurile</w:t>
            </w:r>
            <w:proofErr w:type="spellEnd"/>
            <w:r w:rsidRPr="00A5319F">
              <w:rPr>
                <w:rFonts w:ascii="Times New Roman" w:eastAsia="Arial Unicode MS" w:hAnsi="Times New Roman"/>
                <w:color w:val="000000" w:themeColor="text1"/>
                <w:sz w:val="20"/>
                <w:szCs w:val="20"/>
                <w:shd w:val="clear" w:color="auto" w:fill="FFFFFF"/>
              </w:rPr>
              <w:t xml:space="preserve"> energiei </w:t>
            </w:r>
            <w:proofErr w:type="spellStart"/>
            <w:r w:rsidRPr="00A5319F">
              <w:rPr>
                <w:rFonts w:ascii="Times New Roman" w:eastAsia="Arial Unicode MS" w:hAnsi="Times New Roman"/>
                <w:color w:val="000000" w:themeColor="text1"/>
                <w:sz w:val="20"/>
                <w:szCs w:val="20"/>
                <w:shd w:val="clear" w:color="auto" w:fill="FFFFFF"/>
              </w:rPr>
              <w:t>electrice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pentru</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marii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consumatori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industriali</w:t>
            </w:r>
            <w:proofErr w:type="spellEnd"/>
            <w:r w:rsidRPr="00A5319F">
              <w:rPr>
                <w:rFonts w:ascii="Times New Roman" w:eastAsia="Arial Unicode MS" w:hAnsi="Times New Roman"/>
                <w:color w:val="000000" w:themeColor="text1"/>
                <w:sz w:val="20"/>
                <w:szCs w:val="20"/>
                <w:shd w:val="clear" w:color="auto" w:fill="FFFFFF"/>
              </w:rPr>
              <w:t xml:space="preserve"> care </w:t>
            </w:r>
            <w:proofErr w:type="spellStart"/>
            <w:r w:rsidRPr="00A5319F">
              <w:rPr>
                <w:rFonts w:ascii="Times New Roman" w:eastAsia="Arial Unicode MS" w:hAnsi="Times New Roman"/>
                <w:color w:val="000000" w:themeColor="text1"/>
                <w:sz w:val="20"/>
                <w:szCs w:val="20"/>
                <w:shd w:val="clear" w:color="auto" w:fill="FFFFFF"/>
              </w:rPr>
              <w:t>beneficiază</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astfel</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măsuri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financiare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fără</w:t>
            </w:r>
            <w:proofErr w:type="spellEnd"/>
            <w:r w:rsidRPr="00A5319F">
              <w:rPr>
                <w:rFonts w:ascii="Times New Roman" w:eastAsia="Arial Unicode MS" w:hAnsi="Times New Roman"/>
                <w:color w:val="000000" w:themeColor="text1"/>
                <w:sz w:val="20"/>
                <w:szCs w:val="20"/>
                <w:shd w:val="clear" w:color="auto" w:fill="FFFFFF"/>
              </w:rPr>
              <w:t xml:space="preserve"> </w:t>
            </w:r>
            <w:proofErr w:type="gramStart"/>
            <w:r w:rsidRPr="00A5319F">
              <w:rPr>
                <w:rFonts w:ascii="Times New Roman" w:eastAsia="Arial Unicode MS" w:hAnsi="Times New Roman"/>
                <w:color w:val="000000" w:themeColor="text1"/>
                <w:sz w:val="20"/>
                <w:szCs w:val="20"/>
                <w:shd w:val="clear" w:color="auto" w:fill="FFFFFF"/>
              </w:rPr>
              <w:t>a</w:t>
            </w:r>
            <w:proofErr w:type="gram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aduce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atingere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cerințelor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privind</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protecția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informațiilor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confidențiale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Raportul</w:t>
            </w:r>
            <w:proofErr w:type="spellEnd"/>
            <w:r w:rsidRPr="00A5319F">
              <w:rPr>
                <w:rFonts w:ascii="Times New Roman" w:eastAsia="Arial Unicode MS" w:hAnsi="Times New Roman"/>
                <w:color w:val="000000" w:themeColor="text1"/>
                <w:sz w:val="20"/>
                <w:szCs w:val="20"/>
                <w:shd w:val="clear" w:color="auto" w:fill="FFFFFF"/>
              </w:rPr>
              <w:t xml:space="preserve"> include, de </w:t>
            </w:r>
            <w:proofErr w:type="spellStart"/>
            <w:r w:rsidRPr="00A5319F">
              <w:rPr>
                <w:rFonts w:ascii="Times New Roman" w:eastAsia="Arial Unicode MS" w:hAnsi="Times New Roman"/>
                <w:color w:val="000000" w:themeColor="text1"/>
                <w:sz w:val="20"/>
                <w:szCs w:val="20"/>
                <w:shd w:val="clear" w:color="auto" w:fill="FFFFFF"/>
              </w:rPr>
              <w:t>asemenea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informații</w:t>
            </w:r>
            <w:proofErr w:type="spellEnd"/>
            <w:r w:rsidRPr="00A5319F">
              <w:rPr>
                <w:rFonts w:ascii="Times New Roman" w:eastAsia="Arial Unicode MS" w:hAnsi="Times New Roman"/>
                <w:color w:val="000000" w:themeColor="text1"/>
                <w:sz w:val="20"/>
                <w:szCs w:val="20"/>
                <w:shd w:val="clear" w:color="auto" w:fill="FFFFFF"/>
              </w:rPr>
              <w:t xml:space="preserve"> care </w:t>
            </w:r>
            <w:proofErr w:type="spellStart"/>
            <w:r w:rsidRPr="00A5319F">
              <w:rPr>
                <w:rFonts w:ascii="Times New Roman" w:eastAsia="Arial Unicode MS" w:hAnsi="Times New Roman"/>
                <w:color w:val="000000" w:themeColor="text1"/>
                <w:sz w:val="20"/>
                <w:szCs w:val="20"/>
                <w:shd w:val="clear" w:color="auto" w:fill="FFFFFF"/>
              </w:rPr>
              <w:t>să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arate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dacă</w:t>
            </w:r>
            <w:proofErr w:type="spellEnd"/>
            <w:r w:rsidRPr="00A5319F">
              <w:rPr>
                <w:rFonts w:ascii="Times New Roman" w:eastAsia="Arial Unicode MS" w:hAnsi="Times New Roman"/>
                <w:color w:val="000000" w:themeColor="text1"/>
                <w:sz w:val="20"/>
                <w:szCs w:val="20"/>
                <w:shd w:val="clear" w:color="auto" w:fill="FFFFFF"/>
              </w:rPr>
              <w:t xml:space="preserve"> s-a </w:t>
            </w:r>
            <w:proofErr w:type="spellStart"/>
            <w:r w:rsidRPr="00A5319F">
              <w:rPr>
                <w:rFonts w:ascii="Times New Roman" w:eastAsia="Arial Unicode MS" w:hAnsi="Times New Roman"/>
                <w:color w:val="000000" w:themeColor="text1"/>
                <w:sz w:val="20"/>
                <w:szCs w:val="20"/>
                <w:shd w:val="clear" w:color="auto" w:fill="FFFFFF"/>
              </w:rPr>
              <w:t>ținut</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cont</w:t>
            </w:r>
            <w:proofErr w:type="spellEnd"/>
            <w:r w:rsidRPr="00A5319F">
              <w:rPr>
                <w:rFonts w:ascii="Times New Roman" w:eastAsia="Arial Unicode MS" w:hAnsi="Times New Roman"/>
                <w:color w:val="000000" w:themeColor="text1"/>
                <w:sz w:val="20"/>
                <w:szCs w:val="20"/>
                <w:shd w:val="clear" w:color="auto" w:fill="FFFFFF"/>
              </w:rPr>
              <w:t xml:space="preserve"> în mod </w:t>
            </w:r>
            <w:proofErr w:type="spellStart"/>
            <w:r w:rsidRPr="00A5319F">
              <w:rPr>
                <w:rFonts w:ascii="Times New Roman" w:eastAsia="Arial Unicode MS" w:hAnsi="Times New Roman"/>
                <w:color w:val="000000" w:themeColor="text1"/>
                <w:sz w:val="20"/>
                <w:szCs w:val="20"/>
                <w:shd w:val="clear" w:color="auto" w:fill="FFFFFF"/>
              </w:rPr>
              <w:t>corespunzător</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alte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măsuri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pentru</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reducerea</w:t>
            </w:r>
            <w:proofErr w:type="spellEnd"/>
            <w:r w:rsidRPr="00A5319F">
              <w:rPr>
                <w:rFonts w:ascii="Times New Roman" w:eastAsia="Arial Unicode MS" w:hAnsi="Times New Roman"/>
                <w:color w:val="000000" w:themeColor="text1"/>
                <w:sz w:val="20"/>
                <w:szCs w:val="20"/>
                <w:shd w:val="clear" w:color="auto" w:fill="FFFFFF"/>
              </w:rPr>
              <w:t xml:space="preserve"> în mod </w:t>
            </w:r>
            <w:proofErr w:type="spellStart"/>
            <w:r w:rsidRPr="00A5319F">
              <w:rPr>
                <w:rFonts w:ascii="Times New Roman" w:eastAsia="Arial Unicode MS" w:hAnsi="Times New Roman"/>
                <w:color w:val="000000" w:themeColor="text1"/>
                <w:sz w:val="20"/>
                <w:szCs w:val="20"/>
                <w:shd w:val="clear" w:color="auto" w:fill="FFFFFF"/>
              </w:rPr>
              <w:t>durabil</w:t>
            </w:r>
            <w:proofErr w:type="spellEnd"/>
            <w:r w:rsidRPr="00A5319F">
              <w:rPr>
                <w:rFonts w:ascii="Times New Roman" w:eastAsia="Arial Unicode MS" w:hAnsi="Times New Roman"/>
                <w:color w:val="000000" w:themeColor="text1"/>
                <w:sz w:val="20"/>
                <w:szCs w:val="20"/>
                <w:shd w:val="clear" w:color="auto" w:fill="FFFFFF"/>
              </w:rPr>
              <w:t xml:space="preserve"> a </w:t>
            </w:r>
            <w:proofErr w:type="spellStart"/>
            <w:r w:rsidRPr="00A5319F">
              <w:rPr>
                <w:rFonts w:ascii="Times New Roman" w:eastAsia="Arial Unicode MS" w:hAnsi="Times New Roman"/>
                <w:color w:val="000000" w:themeColor="text1"/>
                <w:sz w:val="20"/>
                <w:szCs w:val="20"/>
                <w:shd w:val="clear" w:color="auto" w:fill="FFFFFF"/>
              </w:rPr>
              <w:t>costurilor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emisiilor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indirecte</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dioxid</w:t>
            </w:r>
            <w:proofErr w:type="spellEnd"/>
            <w:r w:rsidRPr="00A5319F">
              <w:rPr>
                <w:rFonts w:ascii="Times New Roman" w:eastAsia="Arial Unicode MS" w:hAnsi="Times New Roman"/>
                <w:color w:val="000000" w:themeColor="text1"/>
                <w:sz w:val="20"/>
                <w:szCs w:val="20"/>
                <w:shd w:val="clear" w:color="auto" w:fill="FFFFFF"/>
              </w:rPr>
              <w:t xml:space="preserve"> de carbon pe termen </w:t>
            </w:r>
            <w:proofErr w:type="spellStart"/>
            <w:r w:rsidRPr="00A5319F">
              <w:rPr>
                <w:rFonts w:ascii="Times New Roman" w:eastAsia="Arial Unicode MS" w:hAnsi="Times New Roman"/>
                <w:color w:val="000000" w:themeColor="text1"/>
                <w:sz w:val="20"/>
                <w:szCs w:val="20"/>
                <w:shd w:val="clear" w:color="auto" w:fill="FFFFFF"/>
              </w:rPr>
              <w:t>mediu</w:t>
            </w:r>
            <w:proofErr w:type="spellEnd"/>
            <w:r w:rsidRPr="00A5319F">
              <w:rPr>
                <w:rFonts w:ascii="Times New Roman" w:eastAsia="Arial Unicode MS" w:hAnsi="Times New Roman"/>
                <w:color w:val="000000" w:themeColor="text1"/>
                <w:sz w:val="20"/>
                <w:szCs w:val="20"/>
                <w:shd w:val="clear" w:color="auto" w:fill="FFFFFF"/>
              </w:rPr>
              <w:t xml:space="preserve"> și lung.</w:t>
            </w:r>
          </w:p>
          <w:p w14:paraId="155653DA" w14:textId="77777777" w:rsidR="00124364" w:rsidRPr="00A5319F" w:rsidRDefault="00000000" w:rsidP="00A5319F">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A5319F">
              <w:rPr>
                <w:rFonts w:ascii="Times New Roman" w:eastAsia="Arial Unicode MS" w:hAnsi="Times New Roman"/>
                <w:color w:val="000000" w:themeColor="text1"/>
                <w:sz w:val="20"/>
                <w:szCs w:val="20"/>
                <w:shd w:val="clear" w:color="auto" w:fill="FFFFFF"/>
              </w:rPr>
              <w:t>Comisia</w:t>
            </w:r>
            <w:proofErr w:type="spellEnd"/>
            <w:r w:rsidRPr="00A5319F">
              <w:rPr>
                <w:rFonts w:ascii="Times New Roman" w:eastAsia="Arial Unicode MS" w:hAnsi="Times New Roman"/>
                <w:color w:val="000000" w:themeColor="text1"/>
                <w:sz w:val="20"/>
                <w:szCs w:val="20"/>
                <w:shd w:val="clear" w:color="auto" w:fill="FFFFFF"/>
              </w:rPr>
              <w:t xml:space="preserve"> include în </w:t>
            </w:r>
            <w:proofErr w:type="spellStart"/>
            <w:r w:rsidRPr="00A5319F">
              <w:rPr>
                <w:rFonts w:ascii="Times New Roman" w:eastAsia="Arial Unicode MS" w:hAnsi="Times New Roman"/>
                <w:color w:val="000000" w:themeColor="text1"/>
                <w:sz w:val="20"/>
                <w:szCs w:val="20"/>
                <w:shd w:val="clear" w:color="auto" w:fill="FFFFFF"/>
              </w:rPr>
              <w:t>raportul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prevăzut</w:t>
            </w:r>
            <w:proofErr w:type="spellEnd"/>
            <w:r w:rsidRPr="00A5319F">
              <w:rPr>
                <w:rFonts w:ascii="Times New Roman" w:eastAsia="Arial Unicode MS" w:hAnsi="Times New Roman"/>
                <w:color w:val="000000" w:themeColor="text1"/>
                <w:sz w:val="20"/>
                <w:szCs w:val="20"/>
                <w:shd w:val="clear" w:color="auto" w:fill="FFFFFF"/>
              </w:rPr>
              <w:t xml:space="preserve"> la </w:t>
            </w:r>
            <w:proofErr w:type="spellStart"/>
            <w:r w:rsidRPr="00A5319F">
              <w:rPr>
                <w:rFonts w:ascii="Times New Roman" w:eastAsia="Arial Unicode MS" w:hAnsi="Times New Roman"/>
                <w:color w:val="000000" w:themeColor="text1"/>
                <w:sz w:val="20"/>
                <w:szCs w:val="20"/>
                <w:shd w:val="clear" w:color="auto" w:fill="FFFFFF"/>
              </w:rPr>
              <w:t>articolul</w:t>
            </w:r>
            <w:proofErr w:type="spellEnd"/>
            <w:r w:rsidRPr="00A5319F">
              <w:rPr>
                <w:rFonts w:ascii="Times New Roman" w:eastAsia="Arial Unicode MS" w:hAnsi="Times New Roman"/>
                <w:color w:val="000000" w:themeColor="text1"/>
                <w:sz w:val="20"/>
                <w:szCs w:val="20"/>
                <w:shd w:val="clear" w:color="auto" w:fill="FFFFFF"/>
              </w:rPr>
              <w:t xml:space="preserve"> 10 </w:t>
            </w:r>
            <w:proofErr w:type="spellStart"/>
            <w:r w:rsidRPr="00A5319F">
              <w:rPr>
                <w:rFonts w:ascii="Times New Roman" w:eastAsia="Arial Unicode MS" w:hAnsi="Times New Roman"/>
                <w:color w:val="000000" w:themeColor="text1"/>
                <w:sz w:val="20"/>
                <w:szCs w:val="20"/>
                <w:shd w:val="clear" w:color="auto" w:fill="FFFFFF"/>
              </w:rPr>
              <w:t>alineatul</w:t>
            </w:r>
            <w:proofErr w:type="spellEnd"/>
            <w:r w:rsidRPr="00A5319F">
              <w:rPr>
                <w:rFonts w:ascii="Times New Roman" w:eastAsia="Arial Unicode MS" w:hAnsi="Times New Roman"/>
                <w:color w:val="000000" w:themeColor="text1"/>
                <w:sz w:val="20"/>
                <w:szCs w:val="20"/>
                <w:shd w:val="clear" w:color="auto" w:fill="FFFFFF"/>
              </w:rPr>
              <w:t xml:space="preserve"> (5), </w:t>
            </w:r>
            <w:proofErr w:type="spellStart"/>
            <w:r w:rsidRPr="00A5319F">
              <w:rPr>
                <w:rFonts w:ascii="Times New Roman" w:eastAsia="Arial Unicode MS" w:hAnsi="Times New Roman"/>
                <w:color w:val="000000" w:themeColor="text1"/>
                <w:sz w:val="20"/>
                <w:szCs w:val="20"/>
                <w:shd w:val="clear" w:color="auto" w:fill="FFFFFF"/>
              </w:rPr>
              <w:t>între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altele</w:t>
            </w:r>
            <w:proofErr w:type="spellEnd"/>
            <w:r w:rsidRPr="00A5319F">
              <w:rPr>
                <w:rFonts w:ascii="Times New Roman" w:eastAsia="Arial Unicode MS" w:hAnsi="Times New Roman"/>
                <w:color w:val="000000" w:themeColor="text1"/>
                <w:sz w:val="20"/>
                <w:szCs w:val="20"/>
                <w:shd w:val="clear" w:color="auto" w:fill="FFFFFF"/>
              </w:rPr>
              <w:t xml:space="preserve">, o </w:t>
            </w:r>
            <w:proofErr w:type="spellStart"/>
            <w:r w:rsidRPr="00A5319F">
              <w:rPr>
                <w:rFonts w:ascii="Times New Roman" w:eastAsia="Arial Unicode MS" w:hAnsi="Times New Roman"/>
                <w:color w:val="000000" w:themeColor="text1"/>
                <w:sz w:val="20"/>
                <w:szCs w:val="20"/>
                <w:shd w:val="clear" w:color="auto" w:fill="FFFFFF"/>
              </w:rPr>
              <w:t>evaluare</w:t>
            </w:r>
            <w:proofErr w:type="spellEnd"/>
            <w:r w:rsidRPr="00A5319F">
              <w:rPr>
                <w:rFonts w:ascii="Times New Roman" w:eastAsia="Arial Unicode MS" w:hAnsi="Times New Roman"/>
                <w:color w:val="000000" w:themeColor="text1"/>
                <w:sz w:val="20"/>
                <w:szCs w:val="20"/>
                <w:shd w:val="clear" w:color="auto" w:fill="FFFFFF"/>
              </w:rPr>
              <w:t xml:space="preserve"> </w:t>
            </w:r>
            <w:proofErr w:type="gramStart"/>
            <w:r w:rsidRPr="00A5319F">
              <w:rPr>
                <w:rFonts w:ascii="Times New Roman" w:eastAsia="Arial Unicode MS" w:hAnsi="Times New Roman"/>
                <w:color w:val="000000" w:themeColor="text1"/>
                <w:sz w:val="20"/>
                <w:szCs w:val="20"/>
                <w:shd w:val="clear" w:color="auto" w:fill="FFFFFF"/>
              </w:rPr>
              <w:t>a</w:t>
            </w:r>
            <w:proofErr w:type="gram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efectelor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unor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astfel</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măsuri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financiare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asupra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pieței</w:t>
            </w:r>
            <w:proofErr w:type="spellEnd"/>
            <w:r w:rsidRPr="00A5319F">
              <w:rPr>
                <w:rFonts w:ascii="Times New Roman" w:eastAsia="Arial Unicode MS" w:hAnsi="Times New Roman"/>
                <w:color w:val="000000" w:themeColor="text1"/>
                <w:sz w:val="20"/>
                <w:szCs w:val="20"/>
                <w:shd w:val="clear" w:color="auto" w:fill="FFFFFF"/>
              </w:rPr>
              <w:t xml:space="preserve"> interne și, </w:t>
            </w:r>
            <w:proofErr w:type="spellStart"/>
            <w:r w:rsidRPr="00A5319F">
              <w:rPr>
                <w:rFonts w:ascii="Times New Roman" w:eastAsia="Arial Unicode MS" w:hAnsi="Times New Roman"/>
                <w:color w:val="000000" w:themeColor="text1"/>
                <w:sz w:val="20"/>
                <w:szCs w:val="20"/>
                <w:shd w:val="clear" w:color="auto" w:fill="FFFFFF"/>
              </w:rPr>
              <w:t>după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caz</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recomandă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toate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măsurile</w:t>
            </w:r>
            <w:proofErr w:type="spellEnd"/>
            <w:r w:rsidRPr="00A5319F">
              <w:rPr>
                <w:rFonts w:ascii="Times New Roman" w:eastAsia="Arial Unicode MS" w:hAnsi="Times New Roman"/>
                <w:color w:val="000000" w:themeColor="text1"/>
                <w:sz w:val="20"/>
                <w:szCs w:val="20"/>
                <w:shd w:val="clear" w:color="auto" w:fill="FFFFFF"/>
              </w:rPr>
              <w:t xml:space="preserve"> care </w:t>
            </w:r>
            <w:proofErr w:type="spellStart"/>
            <w:r w:rsidRPr="00A5319F">
              <w:rPr>
                <w:rFonts w:ascii="Times New Roman" w:eastAsia="Arial Unicode MS" w:hAnsi="Times New Roman"/>
                <w:color w:val="000000" w:themeColor="text1"/>
                <w:sz w:val="20"/>
                <w:szCs w:val="20"/>
                <w:shd w:val="clear" w:color="auto" w:fill="FFFFFF"/>
              </w:rPr>
              <w:t>ar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putea</w:t>
            </w:r>
            <w:proofErr w:type="spellEnd"/>
            <w:r w:rsidRPr="00A5319F">
              <w:rPr>
                <w:rFonts w:ascii="Times New Roman" w:eastAsia="Arial Unicode MS" w:hAnsi="Times New Roman"/>
                <w:color w:val="000000" w:themeColor="text1"/>
                <w:sz w:val="20"/>
                <w:szCs w:val="20"/>
                <w:shd w:val="clear" w:color="auto" w:fill="FFFFFF"/>
              </w:rPr>
              <w:t xml:space="preserve"> fi </w:t>
            </w:r>
            <w:proofErr w:type="spellStart"/>
            <w:r w:rsidRPr="00A5319F">
              <w:rPr>
                <w:rFonts w:ascii="Times New Roman" w:eastAsia="Arial Unicode MS" w:hAnsi="Times New Roman"/>
                <w:color w:val="000000" w:themeColor="text1"/>
                <w:sz w:val="20"/>
                <w:szCs w:val="20"/>
                <w:shd w:val="clear" w:color="auto" w:fill="FFFFFF"/>
              </w:rPr>
              <w:t>necesare</w:t>
            </w:r>
            <w:proofErr w:type="spellEnd"/>
            <w:r w:rsidRPr="00A5319F">
              <w:rPr>
                <w:rFonts w:ascii="Times New Roman" w:eastAsia="Arial Unicode MS" w:hAnsi="Times New Roman"/>
                <w:color w:val="000000" w:themeColor="text1"/>
                <w:sz w:val="20"/>
                <w:szCs w:val="20"/>
                <w:shd w:val="clear" w:color="auto" w:fill="FFFFFF"/>
              </w:rPr>
              <w:t xml:space="preserve"> în </w:t>
            </w:r>
            <w:proofErr w:type="spellStart"/>
            <w:r w:rsidRPr="00A5319F">
              <w:rPr>
                <w:rFonts w:ascii="Times New Roman" w:eastAsia="Arial Unicode MS" w:hAnsi="Times New Roman"/>
                <w:color w:val="000000" w:themeColor="text1"/>
                <w:sz w:val="20"/>
                <w:szCs w:val="20"/>
                <w:shd w:val="clear" w:color="auto" w:fill="FFFFFF"/>
              </w:rPr>
              <w:t>temeiul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evaluării</w:t>
            </w:r>
            <w:proofErr w:type="spellEnd"/>
            <w:r w:rsidRPr="00A5319F">
              <w:rPr>
                <w:rFonts w:ascii="Times New Roman" w:eastAsia="Arial Unicode MS" w:hAnsi="Times New Roman"/>
                <w:color w:val="000000" w:themeColor="text1"/>
                <w:sz w:val="20"/>
                <w:szCs w:val="20"/>
                <w:shd w:val="clear" w:color="auto" w:fill="FFFFFF"/>
              </w:rPr>
              <w:t xml:space="preserve"> respective.</w:t>
            </w:r>
          </w:p>
          <w:p w14:paraId="2BDB9E66" w14:textId="1CBF3A3C" w:rsidR="00124364" w:rsidRPr="00A5319F" w:rsidRDefault="00000000" w:rsidP="00A5319F">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A5319F">
              <w:rPr>
                <w:rFonts w:ascii="Times New Roman" w:eastAsia="Arial Unicode MS" w:hAnsi="Times New Roman"/>
                <w:color w:val="000000" w:themeColor="text1"/>
                <w:sz w:val="20"/>
                <w:szCs w:val="20"/>
                <w:shd w:val="clear" w:color="auto" w:fill="FFFFFF"/>
              </w:rPr>
              <w:t>Măsurile</w:t>
            </w:r>
            <w:proofErr w:type="spellEnd"/>
            <w:r w:rsidRPr="00A5319F">
              <w:rPr>
                <w:rFonts w:ascii="Times New Roman" w:eastAsia="Arial Unicode MS" w:hAnsi="Times New Roman"/>
                <w:color w:val="000000" w:themeColor="text1"/>
                <w:sz w:val="20"/>
                <w:szCs w:val="20"/>
                <w:shd w:val="clear" w:color="auto" w:fill="FFFFFF"/>
              </w:rPr>
              <w:t xml:space="preserve"> respective </w:t>
            </w:r>
            <w:proofErr w:type="spellStart"/>
            <w:r w:rsidRPr="00A5319F">
              <w:rPr>
                <w:rFonts w:ascii="Times New Roman" w:eastAsia="Arial Unicode MS" w:hAnsi="Times New Roman"/>
                <w:color w:val="000000" w:themeColor="text1"/>
                <w:sz w:val="20"/>
                <w:szCs w:val="20"/>
                <w:shd w:val="clear" w:color="auto" w:fill="FFFFFF"/>
              </w:rPr>
              <w:t>trebuie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să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asigure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că</w:t>
            </w:r>
            <w:proofErr w:type="spellEnd"/>
            <w:r w:rsidRPr="00A5319F">
              <w:rPr>
                <w:rFonts w:ascii="Times New Roman" w:eastAsia="Arial Unicode MS" w:hAnsi="Times New Roman"/>
                <w:color w:val="000000" w:themeColor="text1"/>
                <w:sz w:val="20"/>
                <w:szCs w:val="20"/>
                <w:shd w:val="clear" w:color="auto" w:fill="FFFFFF"/>
              </w:rPr>
              <w:t xml:space="preserve"> există o </w:t>
            </w:r>
            <w:proofErr w:type="spellStart"/>
            <w:r w:rsidRPr="00A5319F">
              <w:rPr>
                <w:rFonts w:ascii="Times New Roman" w:eastAsia="Arial Unicode MS" w:hAnsi="Times New Roman"/>
                <w:color w:val="000000" w:themeColor="text1"/>
                <w:sz w:val="20"/>
                <w:szCs w:val="20"/>
                <w:shd w:val="clear" w:color="auto" w:fill="FFFFFF"/>
              </w:rPr>
              <w:t>protecție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adecvată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împotriva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riscului</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relocare</w:t>
            </w:r>
            <w:proofErr w:type="spellEnd"/>
            <w:r w:rsidRPr="00A5319F">
              <w:rPr>
                <w:rFonts w:ascii="Times New Roman" w:eastAsia="Arial Unicode MS" w:hAnsi="Times New Roman"/>
                <w:color w:val="000000" w:themeColor="text1"/>
                <w:sz w:val="20"/>
                <w:szCs w:val="20"/>
                <w:shd w:val="clear" w:color="auto" w:fill="FFFFFF"/>
              </w:rPr>
              <w:t xml:space="preserve"> </w:t>
            </w:r>
            <w:proofErr w:type="gramStart"/>
            <w:r w:rsidRPr="00A5319F">
              <w:rPr>
                <w:rFonts w:ascii="Times New Roman" w:eastAsia="Arial Unicode MS" w:hAnsi="Times New Roman"/>
                <w:color w:val="000000" w:themeColor="text1"/>
                <w:sz w:val="20"/>
                <w:szCs w:val="20"/>
                <w:shd w:val="clear" w:color="auto" w:fill="FFFFFF"/>
              </w:rPr>
              <w:t>a</w:t>
            </w:r>
            <w:proofErr w:type="gram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emisiilor</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dioxid</w:t>
            </w:r>
            <w:proofErr w:type="spellEnd"/>
            <w:r w:rsidRPr="00A5319F">
              <w:rPr>
                <w:rFonts w:ascii="Times New Roman" w:eastAsia="Arial Unicode MS" w:hAnsi="Times New Roman"/>
                <w:color w:val="000000" w:themeColor="text1"/>
                <w:sz w:val="20"/>
                <w:szCs w:val="20"/>
                <w:shd w:val="clear" w:color="auto" w:fill="FFFFFF"/>
              </w:rPr>
              <w:t xml:space="preserve"> de carbon pe </w:t>
            </w:r>
            <w:proofErr w:type="spellStart"/>
            <w:r w:rsidRPr="00A5319F">
              <w:rPr>
                <w:rFonts w:ascii="Times New Roman" w:eastAsia="Arial Unicode MS" w:hAnsi="Times New Roman"/>
                <w:color w:val="000000" w:themeColor="text1"/>
                <w:sz w:val="20"/>
                <w:szCs w:val="20"/>
                <w:shd w:val="clear" w:color="auto" w:fill="FFFFFF"/>
              </w:rPr>
              <w:t>baza</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unor</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valori</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referință</w:t>
            </w:r>
            <w:proofErr w:type="spellEnd"/>
            <w:r w:rsidRPr="00A5319F">
              <w:rPr>
                <w:rFonts w:ascii="Times New Roman" w:eastAsia="Arial Unicode MS" w:hAnsi="Times New Roman"/>
                <w:color w:val="000000" w:themeColor="text1"/>
                <w:sz w:val="20"/>
                <w:szCs w:val="20"/>
                <w:shd w:val="clear" w:color="auto" w:fill="FFFFFF"/>
              </w:rPr>
              <w:t xml:space="preserve"> ex ante </w:t>
            </w:r>
            <w:proofErr w:type="spellStart"/>
            <w:r w:rsidRPr="00A5319F">
              <w:rPr>
                <w:rFonts w:ascii="Times New Roman" w:eastAsia="Arial Unicode MS" w:hAnsi="Times New Roman"/>
                <w:color w:val="000000" w:themeColor="text1"/>
                <w:sz w:val="20"/>
                <w:szCs w:val="20"/>
                <w:shd w:val="clear" w:color="auto" w:fill="FFFFFF"/>
              </w:rPr>
              <w:t>pentru</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emisiile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indirecte</w:t>
            </w:r>
            <w:proofErr w:type="spellEnd"/>
            <w:r w:rsidRPr="00A5319F">
              <w:rPr>
                <w:rFonts w:ascii="Times New Roman" w:eastAsia="Arial Unicode MS" w:hAnsi="Times New Roman"/>
                <w:color w:val="000000" w:themeColor="text1"/>
                <w:sz w:val="20"/>
                <w:szCs w:val="20"/>
                <w:shd w:val="clear" w:color="auto" w:fill="FFFFFF"/>
              </w:rPr>
              <w:t xml:space="preserve"> de CO</w:t>
            </w:r>
            <w:r w:rsidRPr="00A5319F">
              <w:rPr>
                <w:rStyle w:val="subscript"/>
                <w:rFonts w:ascii="Times New Roman" w:eastAsia="Arial Unicode MS" w:hAnsi="Times New Roman"/>
                <w:color w:val="000000" w:themeColor="text1"/>
                <w:sz w:val="20"/>
                <w:szCs w:val="20"/>
                <w:vertAlign w:val="subscript"/>
              </w:rPr>
              <w:t>2</w:t>
            </w:r>
            <w:r w:rsidR="00A5319F" w:rsidRPr="00A5319F">
              <w:rPr>
                <w:rStyle w:val="apple-converted-space"/>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 xml:space="preserve">pe </w:t>
            </w:r>
            <w:proofErr w:type="spellStart"/>
            <w:r w:rsidRPr="00A5319F">
              <w:rPr>
                <w:rFonts w:ascii="Times New Roman" w:eastAsia="Arial Unicode MS" w:hAnsi="Times New Roman"/>
                <w:color w:val="000000" w:themeColor="text1"/>
                <w:sz w:val="20"/>
                <w:szCs w:val="20"/>
                <w:shd w:val="clear" w:color="auto" w:fill="FFFFFF"/>
              </w:rPr>
              <w:t>unitatea</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producție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Valorile</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referință</w:t>
            </w:r>
            <w:proofErr w:type="spellEnd"/>
            <w:r w:rsidR="00A5319F" w:rsidRPr="00A5319F">
              <w:rPr>
                <w:rStyle w:val="apple-converted-space"/>
                <w:rFonts w:ascii="Times New Roman" w:eastAsia="Arial Unicode MS" w:hAnsi="Times New Roman"/>
                <w:color w:val="000000" w:themeColor="text1"/>
                <w:sz w:val="20"/>
                <w:szCs w:val="20"/>
                <w:shd w:val="clear" w:color="auto" w:fill="FFFFFF"/>
              </w:rPr>
              <w:t xml:space="preserve"> </w:t>
            </w:r>
            <w:r w:rsidRPr="00A5319F">
              <w:rPr>
                <w:rStyle w:val="italics"/>
                <w:rFonts w:ascii="Times New Roman" w:eastAsia="Arial Unicode MS" w:hAnsi="Times New Roman"/>
                <w:i/>
                <w:iCs/>
                <w:color w:val="000000" w:themeColor="text1"/>
                <w:sz w:val="20"/>
                <w:szCs w:val="20"/>
              </w:rPr>
              <w:t>ex ante</w:t>
            </w:r>
            <w:r w:rsidR="00A5319F" w:rsidRPr="00A5319F">
              <w:rPr>
                <w:rStyle w:val="apple-converted-space"/>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 xml:space="preserve">respective se </w:t>
            </w:r>
            <w:proofErr w:type="spellStart"/>
            <w:r w:rsidRPr="00A5319F">
              <w:rPr>
                <w:rFonts w:ascii="Times New Roman" w:eastAsia="Arial Unicode MS" w:hAnsi="Times New Roman"/>
                <w:color w:val="000000" w:themeColor="text1"/>
                <w:sz w:val="20"/>
                <w:szCs w:val="20"/>
                <w:shd w:val="clear" w:color="auto" w:fill="FFFFFF"/>
              </w:rPr>
              <w:t>calculează</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pentru</w:t>
            </w:r>
            <w:proofErr w:type="spellEnd"/>
            <w:r w:rsidRPr="00A5319F">
              <w:rPr>
                <w:rFonts w:ascii="Times New Roman" w:eastAsia="Arial Unicode MS" w:hAnsi="Times New Roman"/>
                <w:color w:val="000000" w:themeColor="text1"/>
                <w:sz w:val="20"/>
                <w:szCs w:val="20"/>
                <w:shd w:val="clear" w:color="auto" w:fill="FFFFFF"/>
              </w:rPr>
              <w:t xml:space="preserve"> un sector </w:t>
            </w:r>
            <w:proofErr w:type="spellStart"/>
            <w:r w:rsidRPr="00A5319F">
              <w:rPr>
                <w:rFonts w:ascii="Times New Roman" w:eastAsia="Arial Unicode MS" w:hAnsi="Times New Roman"/>
                <w:color w:val="000000" w:themeColor="text1"/>
                <w:sz w:val="20"/>
                <w:szCs w:val="20"/>
                <w:shd w:val="clear" w:color="auto" w:fill="FFFFFF"/>
              </w:rPr>
              <w:lastRenderedPageBreak/>
              <w:t>sau</w:t>
            </w:r>
            <w:proofErr w:type="spellEnd"/>
            <w:r w:rsidRPr="00A5319F">
              <w:rPr>
                <w:rFonts w:ascii="Times New Roman" w:eastAsia="Arial Unicode MS" w:hAnsi="Times New Roman"/>
                <w:color w:val="000000" w:themeColor="text1"/>
                <w:sz w:val="20"/>
                <w:szCs w:val="20"/>
                <w:shd w:val="clear" w:color="auto" w:fill="FFFFFF"/>
              </w:rPr>
              <w:t xml:space="preserve"> subsector </w:t>
            </w:r>
            <w:proofErr w:type="spellStart"/>
            <w:r w:rsidRPr="00A5319F">
              <w:rPr>
                <w:rFonts w:ascii="Times New Roman" w:eastAsia="Arial Unicode MS" w:hAnsi="Times New Roman"/>
                <w:color w:val="000000" w:themeColor="text1"/>
                <w:sz w:val="20"/>
                <w:szCs w:val="20"/>
                <w:shd w:val="clear" w:color="auto" w:fill="FFFFFF"/>
              </w:rPr>
              <w:t>dat</w:t>
            </w:r>
            <w:proofErr w:type="spellEnd"/>
            <w:r w:rsidRPr="00A5319F">
              <w:rPr>
                <w:rFonts w:ascii="Times New Roman" w:eastAsia="Arial Unicode MS" w:hAnsi="Times New Roman"/>
                <w:color w:val="000000" w:themeColor="text1"/>
                <w:sz w:val="20"/>
                <w:szCs w:val="20"/>
                <w:shd w:val="clear" w:color="auto" w:fill="FFFFFF"/>
              </w:rPr>
              <w:t xml:space="preserve"> ca </w:t>
            </w:r>
            <w:proofErr w:type="spellStart"/>
            <w:r w:rsidRPr="00A5319F">
              <w:rPr>
                <w:rFonts w:ascii="Times New Roman" w:eastAsia="Arial Unicode MS" w:hAnsi="Times New Roman"/>
                <w:color w:val="000000" w:themeColor="text1"/>
                <w:sz w:val="20"/>
                <w:szCs w:val="20"/>
                <w:shd w:val="clear" w:color="auto" w:fill="FFFFFF"/>
              </w:rPr>
              <w:t>produsul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dintre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consumul</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energie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electrică</w:t>
            </w:r>
            <w:proofErr w:type="spellEnd"/>
            <w:r w:rsidRPr="00A5319F">
              <w:rPr>
                <w:rFonts w:ascii="Times New Roman" w:eastAsia="Arial Unicode MS" w:hAnsi="Times New Roman"/>
                <w:color w:val="000000" w:themeColor="text1"/>
                <w:sz w:val="20"/>
                <w:szCs w:val="20"/>
                <w:shd w:val="clear" w:color="auto" w:fill="FFFFFF"/>
              </w:rPr>
              <w:t xml:space="preserve"> pe </w:t>
            </w:r>
            <w:proofErr w:type="spellStart"/>
            <w:r w:rsidRPr="00A5319F">
              <w:rPr>
                <w:rFonts w:ascii="Times New Roman" w:eastAsia="Arial Unicode MS" w:hAnsi="Times New Roman"/>
                <w:color w:val="000000" w:themeColor="text1"/>
                <w:sz w:val="20"/>
                <w:szCs w:val="20"/>
                <w:shd w:val="clear" w:color="auto" w:fill="FFFFFF"/>
              </w:rPr>
              <w:t>unitatea</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producție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corespunzătoare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celei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mai</w:t>
            </w:r>
            <w:proofErr w:type="spellEnd"/>
            <w:r w:rsidRPr="00A5319F">
              <w:rPr>
                <w:rFonts w:ascii="Times New Roman" w:eastAsia="Arial Unicode MS" w:hAnsi="Times New Roman"/>
                <w:color w:val="000000" w:themeColor="text1"/>
                <w:sz w:val="20"/>
                <w:szCs w:val="20"/>
                <w:shd w:val="clear" w:color="auto" w:fill="FFFFFF"/>
              </w:rPr>
              <w:t xml:space="preserve"> eficiente </w:t>
            </w:r>
            <w:proofErr w:type="spellStart"/>
            <w:r w:rsidRPr="00A5319F">
              <w:rPr>
                <w:rFonts w:ascii="Times New Roman" w:eastAsia="Arial Unicode MS" w:hAnsi="Times New Roman"/>
                <w:color w:val="000000" w:themeColor="text1"/>
                <w:sz w:val="20"/>
                <w:szCs w:val="20"/>
                <w:shd w:val="clear" w:color="auto" w:fill="FFFFFF"/>
              </w:rPr>
              <w:t>tehnologii</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disponibile</w:t>
            </w:r>
            <w:proofErr w:type="spellEnd"/>
            <w:r w:rsidRPr="00A5319F">
              <w:rPr>
                <w:rFonts w:ascii="Times New Roman" w:eastAsia="Arial Unicode MS" w:hAnsi="Times New Roman"/>
                <w:color w:val="000000" w:themeColor="text1"/>
                <w:sz w:val="20"/>
                <w:szCs w:val="20"/>
                <w:shd w:val="clear" w:color="auto" w:fill="FFFFFF"/>
              </w:rPr>
              <w:t xml:space="preserve"> și </w:t>
            </w:r>
            <w:proofErr w:type="spellStart"/>
            <w:r w:rsidRPr="00A5319F">
              <w:rPr>
                <w:rFonts w:ascii="Times New Roman" w:eastAsia="Arial Unicode MS" w:hAnsi="Times New Roman"/>
                <w:color w:val="000000" w:themeColor="text1"/>
                <w:sz w:val="20"/>
                <w:szCs w:val="20"/>
                <w:shd w:val="clear" w:color="auto" w:fill="FFFFFF"/>
              </w:rPr>
              <w:t>emisiile</w:t>
            </w:r>
            <w:proofErr w:type="spellEnd"/>
            <w:r w:rsidRPr="00A5319F">
              <w:rPr>
                <w:rFonts w:ascii="Times New Roman" w:eastAsia="Arial Unicode MS" w:hAnsi="Times New Roman"/>
                <w:color w:val="000000" w:themeColor="text1"/>
                <w:sz w:val="20"/>
                <w:szCs w:val="20"/>
                <w:shd w:val="clear" w:color="auto" w:fill="FFFFFF"/>
              </w:rPr>
              <w:t xml:space="preserve"> de CO</w:t>
            </w:r>
            <w:r w:rsidRPr="00A5319F">
              <w:rPr>
                <w:rStyle w:val="subscript"/>
                <w:rFonts w:ascii="Times New Roman" w:eastAsia="Arial Unicode MS" w:hAnsi="Times New Roman"/>
                <w:color w:val="000000" w:themeColor="text1"/>
                <w:sz w:val="20"/>
                <w:szCs w:val="20"/>
                <w:vertAlign w:val="subscript"/>
              </w:rPr>
              <w:t>2</w:t>
            </w:r>
            <w:r w:rsidR="00A5319F" w:rsidRPr="00A5319F">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aferente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mixului</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producție</w:t>
            </w:r>
            <w:proofErr w:type="spellEnd"/>
            <w:r w:rsidRPr="00A5319F">
              <w:rPr>
                <w:rFonts w:ascii="Times New Roman" w:eastAsia="Arial Unicode MS" w:hAnsi="Times New Roman"/>
                <w:color w:val="000000" w:themeColor="text1"/>
                <w:sz w:val="20"/>
                <w:szCs w:val="20"/>
                <w:shd w:val="clear" w:color="auto" w:fill="FFFFFF"/>
              </w:rPr>
              <w:t xml:space="preserve"> de </w:t>
            </w:r>
            <w:proofErr w:type="spellStart"/>
            <w:r w:rsidRPr="00A5319F">
              <w:rPr>
                <w:rFonts w:ascii="Times New Roman" w:eastAsia="Arial Unicode MS" w:hAnsi="Times New Roman"/>
                <w:color w:val="000000" w:themeColor="text1"/>
                <w:sz w:val="20"/>
                <w:szCs w:val="20"/>
                <w:shd w:val="clear" w:color="auto" w:fill="FFFFFF"/>
              </w:rPr>
              <w:t>energie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electrică</w:t>
            </w:r>
            <w:proofErr w:type="spellEnd"/>
            <w:r w:rsidRPr="00A5319F">
              <w:rPr>
                <w:rFonts w:ascii="Times New Roman" w:eastAsia="Arial Unicode MS" w:hAnsi="Times New Roman"/>
                <w:color w:val="000000" w:themeColor="text1"/>
                <w:sz w:val="20"/>
                <w:szCs w:val="20"/>
                <w:shd w:val="clear" w:color="auto" w:fill="FFFFFF"/>
              </w:rPr>
              <w:t xml:space="preserve"> relevant la </w:t>
            </w:r>
            <w:proofErr w:type="spellStart"/>
            <w:r w:rsidRPr="00A5319F">
              <w:rPr>
                <w:rFonts w:ascii="Times New Roman" w:eastAsia="Arial Unicode MS" w:hAnsi="Times New Roman"/>
                <w:color w:val="000000" w:themeColor="text1"/>
                <w:sz w:val="20"/>
                <w:szCs w:val="20"/>
                <w:shd w:val="clear" w:color="auto" w:fill="FFFFFF"/>
              </w:rPr>
              <w:t>nivel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european</w:t>
            </w:r>
            <w:proofErr w:type="spellEnd"/>
            <w:r w:rsidRPr="00A5319F">
              <w:rPr>
                <w:rFonts w:ascii="Times New Roman" w:eastAsia="Arial Unicode MS" w:hAnsi="Times New Roman"/>
                <w:color w:val="000000" w:themeColor="text1"/>
                <w:sz w:val="20"/>
                <w:szCs w:val="20"/>
                <w:shd w:val="clear" w:color="auto" w:fill="FFFFFF"/>
              </w:rPr>
              <w:t>.</w:t>
            </w:r>
          </w:p>
          <w:p w14:paraId="23587E7B"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145" w:tooltip="32009L0029R(04): REPLACED" w:history="1">
              <w:r>
                <w:rPr>
                  <w:rStyle w:val="af3"/>
                  <w:rFonts w:ascii="Times New Roman" w:eastAsia="Arial Unicode MS" w:hAnsi="Times New Roman"/>
                  <w:b/>
                  <w:bCs/>
                  <w:color w:val="4472C4" w:themeColor="accent1"/>
                  <w:sz w:val="20"/>
                  <w:szCs w:val="20"/>
                </w:rPr>
                <w:t>▼C5</w:t>
              </w:r>
            </w:hyperlink>
          </w:p>
          <w:p w14:paraId="14F8FCD8" w14:textId="0B6580E3" w:rsidR="00124364" w:rsidRDefault="00000000" w:rsidP="00A5319F">
            <w:pPr>
              <w:pStyle w:val="af8"/>
              <w:numPr>
                <w:ilvl w:val="0"/>
                <w:numId w:val="53"/>
              </w:numPr>
              <w:suppressAutoHyphens w:val="0"/>
              <w:autoSpaceDN/>
              <w:spacing w:after="0" w:line="240" w:lineRule="auto"/>
              <w:jc w:val="both"/>
              <w:textAlignment w:val="auto"/>
              <w:rPr>
                <w:rStyle w:val="boldface"/>
                <w:rFonts w:ascii="Times New Roman" w:hAnsi="Times New Roman"/>
                <w:sz w:val="20"/>
                <w:szCs w:val="20"/>
                <w:lang w:val="en-US"/>
              </w:rPr>
            </w:pPr>
            <w:hyperlink r:id="rId146" w:tooltip="32018L0410: REPLACED" w:history="1">
              <w:r>
                <w:rPr>
                  <w:rStyle w:val="boldface"/>
                  <w:rFonts w:ascii="Times New Roman" w:eastAsia="Arial Unicode MS" w:hAnsi="Times New Roman"/>
                  <w:b/>
                  <w:bCs/>
                  <w:color w:val="4472C4" w:themeColor="accent1"/>
                  <w:sz w:val="20"/>
                  <w:szCs w:val="20"/>
                </w:rPr>
                <w:t>►M9</w:t>
              </w:r>
            </w:hyperlink>
            <w:r w:rsidR="00A5319F">
              <w:rPr>
                <w:rStyle w:val="apple-converted-space"/>
                <w:rFonts w:ascii="Times New Roman" w:eastAsia="Arial Unicode MS" w:hAnsi="Times New Roman"/>
                <w:color w:val="4472C4" w:themeColor="accent1"/>
                <w:sz w:val="20"/>
                <w:szCs w:val="20"/>
              </w:rPr>
              <w:t xml:space="preserve"> </w:t>
            </w:r>
            <w:proofErr w:type="spellStart"/>
            <w:r w:rsidRPr="00A5319F">
              <w:rPr>
                <w:rFonts w:ascii="Times New Roman" w:eastAsia="Arial Unicode MS" w:hAnsi="Times New Roman"/>
                <w:color w:val="000000" w:themeColor="text1"/>
                <w:sz w:val="20"/>
                <w:szCs w:val="20"/>
              </w:rPr>
              <w:t>Certificatele</w:t>
            </w:r>
            <w:proofErr w:type="spellEnd"/>
            <w:r w:rsidRPr="00A5319F">
              <w:rPr>
                <w:rFonts w:ascii="Times New Roman" w:eastAsia="Arial Unicode MS" w:hAnsi="Times New Roman"/>
                <w:color w:val="000000" w:themeColor="text1"/>
                <w:sz w:val="20"/>
                <w:szCs w:val="20"/>
              </w:rPr>
              <w:t xml:space="preserve"> din </w:t>
            </w:r>
            <w:proofErr w:type="spellStart"/>
            <w:r w:rsidRPr="00A5319F">
              <w:rPr>
                <w:rFonts w:ascii="Times New Roman" w:eastAsia="Arial Unicode MS" w:hAnsi="Times New Roman"/>
                <w:color w:val="000000" w:themeColor="text1"/>
                <w:sz w:val="20"/>
                <w:szCs w:val="20"/>
              </w:rPr>
              <w:t>cuantumul</w:t>
            </w:r>
            <w:proofErr w:type="spellEnd"/>
            <w:r w:rsidRPr="00A5319F">
              <w:rPr>
                <w:rFonts w:ascii="Times New Roman" w:eastAsia="Arial Unicode MS" w:hAnsi="Times New Roman"/>
                <w:color w:val="000000" w:themeColor="text1"/>
                <w:sz w:val="20"/>
                <w:szCs w:val="20"/>
              </w:rPr>
              <w:t xml:space="preserve"> maxim </w:t>
            </w:r>
            <w:proofErr w:type="spellStart"/>
            <w:r w:rsidRPr="00A5319F">
              <w:rPr>
                <w:rFonts w:ascii="Times New Roman" w:eastAsia="Arial Unicode MS" w:hAnsi="Times New Roman"/>
                <w:color w:val="000000" w:themeColor="text1"/>
                <w:sz w:val="20"/>
                <w:szCs w:val="20"/>
              </w:rPr>
              <w:t>menționat</w:t>
            </w:r>
            <w:proofErr w:type="spellEnd"/>
            <w:r w:rsidRPr="00A5319F">
              <w:rPr>
                <w:rFonts w:ascii="Times New Roman" w:eastAsia="Arial Unicode MS" w:hAnsi="Times New Roman"/>
                <w:color w:val="000000" w:themeColor="text1"/>
                <w:sz w:val="20"/>
                <w:szCs w:val="20"/>
              </w:rPr>
              <w:t xml:space="preserve"> la </w:t>
            </w:r>
            <w:proofErr w:type="spellStart"/>
            <w:r w:rsidRPr="00A5319F">
              <w:rPr>
                <w:rFonts w:ascii="Times New Roman" w:eastAsia="Arial Unicode MS" w:hAnsi="Times New Roman"/>
                <w:color w:val="000000" w:themeColor="text1"/>
                <w:sz w:val="20"/>
                <w:szCs w:val="20"/>
              </w:rPr>
              <w:t>alineatul</w:t>
            </w:r>
            <w:proofErr w:type="spellEnd"/>
            <w:r w:rsidRPr="00A5319F">
              <w:rPr>
                <w:rFonts w:ascii="Times New Roman" w:eastAsia="Arial Unicode MS" w:hAnsi="Times New Roman"/>
                <w:color w:val="000000" w:themeColor="text1"/>
                <w:sz w:val="20"/>
                <w:szCs w:val="20"/>
              </w:rPr>
              <w:t xml:space="preserve"> (5) de la </w:t>
            </w:r>
            <w:proofErr w:type="spellStart"/>
            <w:r w:rsidRPr="00A5319F">
              <w:rPr>
                <w:rFonts w:ascii="Times New Roman" w:eastAsia="Arial Unicode MS" w:hAnsi="Times New Roman"/>
                <w:color w:val="000000" w:themeColor="text1"/>
                <w:sz w:val="20"/>
                <w:szCs w:val="20"/>
              </w:rPr>
              <w:t>prezentul</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articol</w:t>
            </w:r>
            <w:proofErr w:type="spellEnd"/>
            <w:r w:rsidRPr="00A5319F">
              <w:rPr>
                <w:rFonts w:ascii="Times New Roman" w:eastAsia="Arial Unicode MS" w:hAnsi="Times New Roman"/>
                <w:color w:val="000000" w:themeColor="text1"/>
                <w:sz w:val="20"/>
                <w:szCs w:val="20"/>
              </w:rPr>
              <w:t xml:space="preserve"> care nu au </w:t>
            </w:r>
            <w:proofErr w:type="spellStart"/>
            <w:r w:rsidRPr="00A5319F">
              <w:rPr>
                <w:rFonts w:ascii="Times New Roman" w:eastAsia="Arial Unicode MS" w:hAnsi="Times New Roman"/>
                <w:color w:val="000000" w:themeColor="text1"/>
                <w:sz w:val="20"/>
                <w:szCs w:val="20"/>
              </w:rPr>
              <w:t>fost</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alocate</w:t>
            </w:r>
            <w:proofErr w:type="spellEnd"/>
            <w:r w:rsidRPr="00A5319F">
              <w:rPr>
                <w:rFonts w:ascii="Times New Roman" w:eastAsia="Arial Unicode MS" w:hAnsi="Times New Roman"/>
                <w:color w:val="000000" w:themeColor="text1"/>
                <w:sz w:val="20"/>
                <w:szCs w:val="20"/>
              </w:rPr>
              <w:t xml:space="preserve"> cu </w:t>
            </w:r>
            <w:proofErr w:type="spellStart"/>
            <w:r w:rsidRPr="00A5319F">
              <w:rPr>
                <w:rFonts w:ascii="Times New Roman" w:eastAsia="Arial Unicode MS" w:hAnsi="Times New Roman"/>
                <w:color w:val="000000" w:themeColor="text1"/>
                <w:sz w:val="20"/>
                <w:szCs w:val="20"/>
              </w:rPr>
              <w:t>titlu</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gratuit</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până</w:t>
            </w:r>
            <w:proofErr w:type="spellEnd"/>
            <w:r w:rsidRPr="00A5319F">
              <w:rPr>
                <w:rFonts w:ascii="Times New Roman" w:eastAsia="Arial Unicode MS" w:hAnsi="Times New Roman"/>
                <w:color w:val="000000" w:themeColor="text1"/>
                <w:sz w:val="20"/>
                <w:szCs w:val="20"/>
              </w:rPr>
              <w:t xml:space="preserve"> în 2020 se </w:t>
            </w:r>
            <w:proofErr w:type="spellStart"/>
            <w:r w:rsidRPr="00A5319F">
              <w:rPr>
                <w:rFonts w:ascii="Times New Roman" w:eastAsia="Arial Unicode MS" w:hAnsi="Times New Roman"/>
                <w:color w:val="000000" w:themeColor="text1"/>
                <w:sz w:val="20"/>
                <w:szCs w:val="20"/>
              </w:rPr>
              <w:t>rezervă</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pentru</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instalațiile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nou-intrate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împreună</w:t>
            </w:r>
            <w:proofErr w:type="spellEnd"/>
            <w:r w:rsidRPr="00A5319F">
              <w:rPr>
                <w:rFonts w:ascii="Times New Roman" w:eastAsia="Arial Unicode MS" w:hAnsi="Times New Roman"/>
                <w:color w:val="000000" w:themeColor="text1"/>
                <w:sz w:val="20"/>
                <w:szCs w:val="20"/>
              </w:rPr>
              <w:t xml:space="preserve"> cu 200 de </w:t>
            </w:r>
            <w:proofErr w:type="spellStart"/>
            <w:r w:rsidRPr="00A5319F">
              <w:rPr>
                <w:rFonts w:ascii="Times New Roman" w:eastAsia="Arial Unicode MS" w:hAnsi="Times New Roman"/>
                <w:color w:val="000000" w:themeColor="text1"/>
                <w:sz w:val="20"/>
                <w:szCs w:val="20"/>
              </w:rPr>
              <w:t>milioane</w:t>
            </w:r>
            <w:proofErr w:type="spellEnd"/>
            <w:r w:rsidRPr="00A5319F">
              <w:rPr>
                <w:rFonts w:ascii="Times New Roman" w:eastAsia="Arial Unicode MS" w:hAnsi="Times New Roman"/>
                <w:color w:val="000000" w:themeColor="text1"/>
                <w:sz w:val="20"/>
                <w:szCs w:val="20"/>
              </w:rPr>
              <w:t xml:space="preserve"> de certificate </w:t>
            </w:r>
            <w:proofErr w:type="spellStart"/>
            <w:r w:rsidRPr="00A5319F">
              <w:rPr>
                <w:rFonts w:ascii="Times New Roman" w:eastAsia="Arial Unicode MS" w:hAnsi="Times New Roman"/>
                <w:color w:val="000000" w:themeColor="text1"/>
                <w:sz w:val="20"/>
                <w:szCs w:val="20"/>
              </w:rPr>
              <w:t>plasate</w:t>
            </w:r>
            <w:proofErr w:type="spellEnd"/>
            <w:r w:rsidRPr="00A5319F">
              <w:rPr>
                <w:rFonts w:ascii="Times New Roman" w:eastAsia="Arial Unicode MS" w:hAnsi="Times New Roman"/>
                <w:color w:val="000000" w:themeColor="text1"/>
                <w:sz w:val="20"/>
                <w:szCs w:val="20"/>
              </w:rPr>
              <w:t xml:space="preserve"> în </w:t>
            </w:r>
            <w:proofErr w:type="spellStart"/>
            <w:r w:rsidRPr="00A5319F">
              <w:rPr>
                <w:rFonts w:ascii="Times New Roman" w:eastAsia="Arial Unicode MS" w:hAnsi="Times New Roman"/>
                <w:color w:val="000000" w:themeColor="text1"/>
                <w:sz w:val="20"/>
                <w:szCs w:val="20"/>
              </w:rPr>
              <w:t>rezerva</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pentru</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stabilitatea</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pieței</w:t>
            </w:r>
            <w:proofErr w:type="spellEnd"/>
            <w:r w:rsidRPr="00A5319F">
              <w:rPr>
                <w:rFonts w:ascii="Times New Roman" w:eastAsia="Arial Unicode MS" w:hAnsi="Times New Roman"/>
                <w:color w:val="000000" w:themeColor="text1"/>
                <w:sz w:val="20"/>
                <w:szCs w:val="20"/>
              </w:rPr>
              <w:t xml:space="preserve">, în </w:t>
            </w:r>
            <w:proofErr w:type="spellStart"/>
            <w:r w:rsidRPr="00A5319F">
              <w:rPr>
                <w:rFonts w:ascii="Times New Roman" w:eastAsia="Arial Unicode MS" w:hAnsi="Times New Roman"/>
                <w:color w:val="000000" w:themeColor="text1"/>
                <w:sz w:val="20"/>
                <w:szCs w:val="20"/>
              </w:rPr>
              <w:t>temeiul</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articolului</w:t>
            </w:r>
            <w:proofErr w:type="spellEnd"/>
            <w:r w:rsidRPr="00A5319F">
              <w:rPr>
                <w:rFonts w:ascii="Times New Roman" w:eastAsia="Arial Unicode MS" w:hAnsi="Times New Roman"/>
                <w:color w:val="000000" w:themeColor="text1"/>
                <w:sz w:val="20"/>
                <w:szCs w:val="20"/>
              </w:rPr>
              <w:t xml:space="preserve"> 1 </w:t>
            </w:r>
            <w:proofErr w:type="spellStart"/>
            <w:r w:rsidRPr="00A5319F">
              <w:rPr>
                <w:rFonts w:ascii="Times New Roman" w:eastAsia="Arial Unicode MS" w:hAnsi="Times New Roman"/>
                <w:color w:val="000000" w:themeColor="text1"/>
                <w:sz w:val="20"/>
                <w:szCs w:val="20"/>
              </w:rPr>
              <w:t>alineatul</w:t>
            </w:r>
            <w:proofErr w:type="spellEnd"/>
            <w:r w:rsidRPr="00A5319F">
              <w:rPr>
                <w:rFonts w:ascii="Times New Roman" w:eastAsia="Arial Unicode MS" w:hAnsi="Times New Roman"/>
                <w:color w:val="000000" w:themeColor="text1"/>
                <w:sz w:val="20"/>
                <w:szCs w:val="20"/>
              </w:rPr>
              <w:t xml:space="preserve"> (3) din </w:t>
            </w:r>
            <w:proofErr w:type="spellStart"/>
            <w:r w:rsidRPr="00A5319F">
              <w:rPr>
                <w:rFonts w:ascii="Times New Roman" w:eastAsia="Arial Unicode MS" w:hAnsi="Times New Roman"/>
                <w:color w:val="000000" w:themeColor="text1"/>
                <w:sz w:val="20"/>
                <w:szCs w:val="20"/>
              </w:rPr>
              <w:t>Decizia</w:t>
            </w:r>
            <w:proofErr w:type="spellEnd"/>
            <w:r w:rsidRPr="00A5319F">
              <w:rPr>
                <w:rFonts w:ascii="Times New Roman" w:eastAsia="Arial Unicode MS" w:hAnsi="Times New Roman"/>
                <w:color w:val="000000" w:themeColor="text1"/>
                <w:sz w:val="20"/>
                <w:szCs w:val="20"/>
              </w:rPr>
              <w:t xml:space="preserve"> (UE) 2015/1814. </w:t>
            </w:r>
            <w:proofErr w:type="spellStart"/>
            <w:r w:rsidRPr="00A5319F">
              <w:rPr>
                <w:rFonts w:ascii="Times New Roman" w:eastAsia="Arial Unicode MS" w:hAnsi="Times New Roman"/>
                <w:color w:val="000000" w:themeColor="text1"/>
                <w:sz w:val="20"/>
                <w:szCs w:val="20"/>
              </w:rPr>
              <w:t>Dintre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certificatele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rezervate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până</w:t>
            </w:r>
            <w:proofErr w:type="spellEnd"/>
            <w:r w:rsidRPr="00A5319F">
              <w:rPr>
                <w:rFonts w:ascii="Times New Roman" w:eastAsia="Arial Unicode MS" w:hAnsi="Times New Roman"/>
                <w:color w:val="000000" w:themeColor="text1"/>
                <w:sz w:val="20"/>
                <w:szCs w:val="20"/>
              </w:rPr>
              <w:t xml:space="preserve"> la 200 de </w:t>
            </w:r>
            <w:proofErr w:type="spellStart"/>
            <w:r w:rsidRPr="00A5319F">
              <w:rPr>
                <w:rFonts w:ascii="Times New Roman" w:eastAsia="Arial Unicode MS" w:hAnsi="Times New Roman"/>
                <w:color w:val="000000" w:themeColor="text1"/>
                <w:sz w:val="20"/>
                <w:szCs w:val="20"/>
              </w:rPr>
              <w:t>milioane</w:t>
            </w:r>
            <w:proofErr w:type="spellEnd"/>
            <w:r w:rsidRPr="00A5319F">
              <w:rPr>
                <w:rFonts w:ascii="Times New Roman" w:eastAsia="Arial Unicode MS" w:hAnsi="Times New Roman"/>
                <w:color w:val="000000" w:themeColor="text1"/>
                <w:sz w:val="20"/>
                <w:szCs w:val="20"/>
              </w:rPr>
              <w:t xml:space="preserve"> se </w:t>
            </w:r>
            <w:proofErr w:type="spellStart"/>
            <w:r w:rsidRPr="00A5319F">
              <w:rPr>
                <w:rFonts w:ascii="Times New Roman" w:eastAsia="Arial Unicode MS" w:hAnsi="Times New Roman"/>
                <w:color w:val="000000" w:themeColor="text1"/>
                <w:sz w:val="20"/>
                <w:szCs w:val="20"/>
              </w:rPr>
              <w:t>returnează</w:t>
            </w:r>
            <w:proofErr w:type="spellEnd"/>
            <w:r w:rsidRPr="00A5319F">
              <w:rPr>
                <w:rFonts w:ascii="Times New Roman" w:eastAsia="Arial Unicode MS" w:hAnsi="Times New Roman"/>
                <w:color w:val="000000" w:themeColor="text1"/>
                <w:sz w:val="20"/>
                <w:szCs w:val="20"/>
              </w:rPr>
              <w:t xml:space="preserve"> în </w:t>
            </w:r>
            <w:proofErr w:type="spellStart"/>
            <w:r w:rsidRPr="00A5319F">
              <w:rPr>
                <w:rFonts w:ascii="Times New Roman" w:eastAsia="Arial Unicode MS" w:hAnsi="Times New Roman"/>
                <w:color w:val="000000" w:themeColor="text1"/>
                <w:sz w:val="20"/>
                <w:szCs w:val="20"/>
              </w:rPr>
              <w:t>rezerva</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pentru</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stabilitatea</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pieței</w:t>
            </w:r>
            <w:proofErr w:type="spellEnd"/>
            <w:r w:rsidRPr="00A5319F">
              <w:rPr>
                <w:rFonts w:ascii="Times New Roman" w:eastAsia="Arial Unicode MS" w:hAnsi="Times New Roman"/>
                <w:color w:val="000000" w:themeColor="text1"/>
                <w:sz w:val="20"/>
                <w:szCs w:val="20"/>
              </w:rPr>
              <w:t xml:space="preserve"> la </w:t>
            </w:r>
            <w:proofErr w:type="spellStart"/>
            <w:r w:rsidRPr="00A5319F">
              <w:rPr>
                <w:rFonts w:ascii="Times New Roman" w:eastAsia="Arial Unicode MS" w:hAnsi="Times New Roman"/>
                <w:color w:val="000000" w:themeColor="text1"/>
                <w:sz w:val="20"/>
                <w:szCs w:val="20"/>
              </w:rPr>
              <w:t>sfârșitul</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perioadei</w:t>
            </w:r>
            <w:proofErr w:type="spellEnd"/>
            <w:r w:rsidRPr="00A5319F">
              <w:rPr>
                <w:rFonts w:ascii="Times New Roman" w:eastAsia="Arial Unicode MS" w:hAnsi="Times New Roman"/>
                <w:color w:val="000000" w:themeColor="text1"/>
                <w:sz w:val="20"/>
                <w:szCs w:val="20"/>
              </w:rPr>
              <w:t xml:space="preserve"> 2021-2030, </w:t>
            </w:r>
            <w:proofErr w:type="spellStart"/>
            <w:r w:rsidRPr="00A5319F">
              <w:rPr>
                <w:rFonts w:ascii="Times New Roman" w:eastAsia="Arial Unicode MS" w:hAnsi="Times New Roman"/>
                <w:color w:val="000000" w:themeColor="text1"/>
                <w:sz w:val="20"/>
                <w:szCs w:val="20"/>
              </w:rPr>
              <w:t>dacă</w:t>
            </w:r>
            <w:proofErr w:type="spellEnd"/>
            <w:r w:rsidRPr="00A5319F">
              <w:rPr>
                <w:rFonts w:ascii="Times New Roman" w:eastAsia="Arial Unicode MS" w:hAnsi="Times New Roman"/>
                <w:color w:val="000000" w:themeColor="text1"/>
                <w:sz w:val="20"/>
                <w:szCs w:val="20"/>
              </w:rPr>
              <w:t xml:space="preserve"> nu au </w:t>
            </w:r>
            <w:proofErr w:type="spellStart"/>
            <w:r w:rsidRPr="00A5319F">
              <w:rPr>
                <w:rFonts w:ascii="Times New Roman" w:eastAsia="Arial Unicode MS" w:hAnsi="Times New Roman"/>
                <w:color w:val="000000" w:themeColor="text1"/>
                <w:sz w:val="20"/>
                <w:szCs w:val="20"/>
              </w:rPr>
              <w:t>fost</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alocate</w:t>
            </w:r>
            <w:proofErr w:type="spellEnd"/>
            <w:r w:rsidRPr="00A5319F">
              <w:rPr>
                <w:rFonts w:ascii="Times New Roman" w:eastAsia="Arial Unicode MS" w:hAnsi="Times New Roman"/>
                <w:color w:val="000000" w:themeColor="text1"/>
                <w:sz w:val="20"/>
                <w:szCs w:val="20"/>
              </w:rPr>
              <w:t xml:space="preserve"> </w:t>
            </w:r>
            <w:proofErr w:type="spellStart"/>
            <w:r w:rsidRPr="00A5319F">
              <w:rPr>
                <w:rFonts w:ascii="Times New Roman" w:eastAsia="Arial Unicode MS" w:hAnsi="Times New Roman"/>
                <w:color w:val="000000" w:themeColor="text1"/>
                <w:sz w:val="20"/>
                <w:szCs w:val="20"/>
              </w:rPr>
              <w:t>pentru</w:t>
            </w:r>
            <w:proofErr w:type="spellEnd"/>
            <w:r w:rsidRPr="00A5319F">
              <w:rPr>
                <w:rFonts w:ascii="Times New Roman" w:eastAsia="Arial Unicode MS" w:hAnsi="Times New Roman"/>
                <w:color w:val="000000" w:themeColor="text1"/>
                <w:sz w:val="20"/>
                <w:szCs w:val="20"/>
              </w:rPr>
              <w:t xml:space="preserve"> perioada </w:t>
            </w:r>
            <w:proofErr w:type="spellStart"/>
            <w:r w:rsidRPr="00A5319F">
              <w:rPr>
                <w:rFonts w:ascii="Times New Roman" w:eastAsia="Arial Unicode MS" w:hAnsi="Times New Roman"/>
                <w:color w:val="000000" w:themeColor="text1"/>
                <w:sz w:val="20"/>
                <w:szCs w:val="20"/>
              </w:rPr>
              <w:t>respectivă</w:t>
            </w:r>
            <w:proofErr w:type="spellEnd"/>
            <w:r>
              <w:rPr>
                <w:rFonts w:ascii="Times New Roman" w:eastAsia="Arial Unicode MS" w:hAnsi="Times New Roman"/>
                <w:color w:val="333333"/>
                <w:sz w:val="20"/>
                <w:szCs w:val="20"/>
              </w:rPr>
              <w:t>.</w:t>
            </w:r>
            <w:r w:rsidR="00A5319F">
              <w:rPr>
                <w:rStyle w:val="boldface"/>
                <w:rFonts w:ascii="Times New Roman" w:eastAsia="Arial Unicode MS" w:hAnsi="Times New Roman"/>
                <w:b/>
                <w:bCs/>
                <w:color w:val="333333"/>
                <w:sz w:val="20"/>
                <w:szCs w:val="20"/>
              </w:rPr>
              <w:t xml:space="preserve"> </w:t>
            </w:r>
            <w:r>
              <w:rPr>
                <w:rStyle w:val="boldface"/>
                <w:rFonts w:ascii="Times New Roman" w:eastAsia="Arial Unicode MS" w:hAnsi="Times New Roman"/>
                <w:b/>
                <w:bCs/>
                <w:color w:val="333333"/>
                <w:sz w:val="20"/>
                <w:szCs w:val="20"/>
              </w:rPr>
              <w:t>◄</w:t>
            </w:r>
          </w:p>
          <w:p w14:paraId="2F089AE0"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147" w:tooltip="32023L0959: REPLACED" w:history="1">
              <w:r>
                <w:rPr>
                  <w:rStyle w:val="af3"/>
                  <w:rFonts w:ascii="Times New Roman" w:eastAsia="Arial Unicode MS" w:hAnsi="Times New Roman"/>
                  <w:b/>
                  <w:bCs/>
                  <w:color w:val="4472C4" w:themeColor="accent1"/>
                  <w:sz w:val="20"/>
                  <w:szCs w:val="20"/>
                </w:rPr>
                <w:t>▼M15</w:t>
              </w:r>
            </w:hyperlink>
          </w:p>
          <w:p w14:paraId="782A43E3" w14:textId="79A8F469" w:rsidR="00124364" w:rsidRPr="00A5319F" w:rsidRDefault="00000000" w:rsidP="00A5319F">
            <w:p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5319F">
              <w:rPr>
                <w:rFonts w:ascii="Times New Roman" w:eastAsia="Arial Unicode MS" w:hAnsi="Times New Roman"/>
                <w:color w:val="000000" w:themeColor="text1"/>
                <w:sz w:val="20"/>
                <w:szCs w:val="20"/>
                <w:shd w:val="clear" w:color="auto" w:fill="FFFFFF"/>
              </w:rPr>
              <w:t>Începând</w:t>
            </w:r>
            <w:proofErr w:type="spellEnd"/>
            <w:r w:rsidRPr="00A5319F">
              <w:rPr>
                <w:rFonts w:ascii="Times New Roman" w:eastAsia="Arial Unicode MS" w:hAnsi="Times New Roman"/>
                <w:color w:val="000000" w:themeColor="text1"/>
                <w:sz w:val="20"/>
                <w:szCs w:val="20"/>
                <w:shd w:val="clear" w:color="auto" w:fill="FFFFFF"/>
              </w:rPr>
              <w:t xml:space="preserve"> cu 2021, </w:t>
            </w:r>
            <w:proofErr w:type="spellStart"/>
            <w:r w:rsidRPr="00A5319F">
              <w:rPr>
                <w:rFonts w:ascii="Times New Roman" w:eastAsia="Arial Unicode MS" w:hAnsi="Times New Roman"/>
                <w:color w:val="000000" w:themeColor="text1"/>
                <w:sz w:val="20"/>
                <w:szCs w:val="20"/>
                <w:shd w:val="clear" w:color="auto" w:fill="FFFFFF"/>
              </w:rPr>
              <w:t>certificatele</w:t>
            </w:r>
            <w:proofErr w:type="spellEnd"/>
            <w:r w:rsidRPr="00A5319F">
              <w:rPr>
                <w:rFonts w:ascii="Times New Roman" w:eastAsia="Arial Unicode MS" w:hAnsi="Times New Roman"/>
                <w:color w:val="000000" w:themeColor="text1"/>
                <w:sz w:val="20"/>
                <w:szCs w:val="20"/>
                <w:shd w:val="clear" w:color="auto" w:fill="FFFFFF"/>
              </w:rPr>
              <w:t xml:space="preserve"> care, în </w:t>
            </w:r>
            <w:proofErr w:type="spellStart"/>
            <w:r w:rsidRPr="00A5319F">
              <w:rPr>
                <w:rFonts w:ascii="Times New Roman" w:eastAsia="Arial Unicode MS" w:hAnsi="Times New Roman"/>
                <w:color w:val="000000" w:themeColor="text1"/>
                <w:sz w:val="20"/>
                <w:szCs w:val="20"/>
                <w:shd w:val="clear" w:color="auto" w:fill="FFFFFF"/>
              </w:rPr>
              <w:t>temeiul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alineatelor</w:t>
            </w:r>
            <w:proofErr w:type="spellEnd"/>
            <w:r w:rsidR="00A5319F" w:rsidRPr="00A5319F">
              <w:rPr>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(19), (20) și</w:t>
            </w:r>
            <w:r w:rsidR="00A5319F" w:rsidRPr="00A5319F">
              <w:rPr>
                <w:rFonts w:ascii="Times New Roman" w:eastAsia="Arial Unicode MS" w:hAnsi="Times New Roman"/>
                <w:color w:val="000000" w:themeColor="text1"/>
                <w:sz w:val="20"/>
                <w:szCs w:val="20"/>
                <w:shd w:val="clear" w:color="auto" w:fill="FFFFFF"/>
              </w:rPr>
              <w:t xml:space="preserve"> </w:t>
            </w:r>
            <w:r w:rsidRPr="00A5319F">
              <w:rPr>
                <w:rFonts w:ascii="Times New Roman" w:eastAsia="Arial Unicode MS" w:hAnsi="Times New Roman"/>
                <w:color w:val="000000" w:themeColor="text1"/>
                <w:sz w:val="20"/>
                <w:szCs w:val="20"/>
                <w:shd w:val="clear" w:color="auto" w:fill="FFFFFF"/>
              </w:rPr>
              <w:t xml:space="preserve">(22), nu sunt </w:t>
            </w:r>
            <w:proofErr w:type="spellStart"/>
            <w:r w:rsidRPr="00A5319F">
              <w:rPr>
                <w:rFonts w:ascii="Times New Roman" w:eastAsia="Arial Unicode MS" w:hAnsi="Times New Roman"/>
                <w:color w:val="000000" w:themeColor="text1"/>
                <w:sz w:val="20"/>
                <w:szCs w:val="20"/>
                <w:shd w:val="clear" w:color="auto" w:fill="FFFFFF"/>
              </w:rPr>
              <w:t>alocate</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instalațiilor</w:t>
            </w:r>
            <w:proofErr w:type="spellEnd"/>
            <w:r w:rsidRPr="00A5319F">
              <w:rPr>
                <w:rFonts w:ascii="Times New Roman" w:eastAsia="Arial Unicode MS" w:hAnsi="Times New Roman"/>
                <w:color w:val="000000" w:themeColor="text1"/>
                <w:sz w:val="20"/>
                <w:szCs w:val="20"/>
                <w:shd w:val="clear" w:color="auto" w:fill="FFFFFF"/>
              </w:rPr>
              <w:t xml:space="preserve"> se </w:t>
            </w:r>
            <w:proofErr w:type="spellStart"/>
            <w:r w:rsidRPr="00A5319F">
              <w:rPr>
                <w:rFonts w:ascii="Times New Roman" w:eastAsia="Arial Unicode MS" w:hAnsi="Times New Roman"/>
                <w:color w:val="000000" w:themeColor="text1"/>
                <w:sz w:val="20"/>
                <w:szCs w:val="20"/>
                <w:shd w:val="clear" w:color="auto" w:fill="FFFFFF"/>
              </w:rPr>
              <w:t>adaugă</w:t>
            </w:r>
            <w:proofErr w:type="spellEnd"/>
            <w:r w:rsidRPr="00A5319F">
              <w:rPr>
                <w:rFonts w:ascii="Times New Roman" w:eastAsia="Arial Unicode MS" w:hAnsi="Times New Roman"/>
                <w:color w:val="000000" w:themeColor="text1"/>
                <w:sz w:val="20"/>
                <w:szCs w:val="20"/>
                <w:shd w:val="clear" w:color="auto" w:fill="FFFFFF"/>
              </w:rPr>
              <w:t xml:space="preserve"> la </w:t>
            </w:r>
            <w:proofErr w:type="spellStart"/>
            <w:r w:rsidRPr="00A5319F">
              <w:rPr>
                <w:rFonts w:ascii="Times New Roman" w:eastAsia="Arial Unicode MS" w:hAnsi="Times New Roman"/>
                <w:color w:val="000000" w:themeColor="text1"/>
                <w:sz w:val="20"/>
                <w:szCs w:val="20"/>
                <w:shd w:val="clear" w:color="auto" w:fill="FFFFFF"/>
              </w:rPr>
              <w:t>volumul</w:t>
            </w:r>
            <w:proofErr w:type="spellEnd"/>
            <w:r w:rsidRPr="00A5319F">
              <w:rPr>
                <w:rFonts w:ascii="Times New Roman" w:eastAsia="Arial Unicode MS" w:hAnsi="Times New Roman"/>
                <w:color w:val="000000" w:themeColor="text1"/>
                <w:sz w:val="20"/>
                <w:szCs w:val="20"/>
                <w:shd w:val="clear" w:color="auto" w:fill="FFFFFF"/>
              </w:rPr>
              <w:t xml:space="preserve"> de certificate </w:t>
            </w:r>
            <w:proofErr w:type="spellStart"/>
            <w:r w:rsidRPr="00A5319F">
              <w:rPr>
                <w:rFonts w:ascii="Times New Roman" w:eastAsia="Arial Unicode MS" w:hAnsi="Times New Roman"/>
                <w:color w:val="000000" w:themeColor="text1"/>
                <w:sz w:val="20"/>
                <w:szCs w:val="20"/>
                <w:shd w:val="clear" w:color="auto" w:fill="FFFFFF"/>
              </w:rPr>
              <w:t>rezervate</w:t>
            </w:r>
            <w:proofErr w:type="spellEnd"/>
            <w:r w:rsidRPr="00A5319F">
              <w:rPr>
                <w:rFonts w:ascii="Times New Roman" w:eastAsia="Arial Unicode MS" w:hAnsi="Times New Roman"/>
                <w:color w:val="000000" w:themeColor="text1"/>
                <w:sz w:val="20"/>
                <w:szCs w:val="20"/>
                <w:shd w:val="clear" w:color="auto" w:fill="FFFFFF"/>
              </w:rPr>
              <w:t xml:space="preserve"> în conformitate cu </w:t>
            </w:r>
            <w:proofErr w:type="spellStart"/>
            <w:r w:rsidRPr="00A5319F">
              <w:rPr>
                <w:rFonts w:ascii="Times New Roman" w:eastAsia="Arial Unicode MS" w:hAnsi="Times New Roman"/>
                <w:color w:val="000000" w:themeColor="text1"/>
                <w:sz w:val="20"/>
                <w:szCs w:val="20"/>
                <w:shd w:val="clear" w:color="auto" w:fill="FFFFFF"/>
              </w:rPr>
              <w:t>primul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paragraf</w:t>
            </w:r>
            <w:proofErr w:type="spellEnd"/>
            <w:r w:rsidRPr="00A5319F">
              <w:rPr>
                <w:rFonts w:ascii="Times New Roman" w:eastAsia="Arial Unicode MS" w:hAnsi="Times New Roman"/>
                <w:color w:val="000000" w:themeColor="text1"/>
                <w:sz w:val="20"/>
                <w:szCs w:val="20"/>
                <w:shd w:val="clear" w:color="auto" w:fill="FFFFFF"/>
              </w:rPr>
              <w:t xml:space="preserve"> prima </w:t>
            </w:r>
            <w:proofErr w:type="spellStart"/>
            <w:r w:rsidRPr="00A5319F">
              <w:rPr>
                <w:rFonts w:ascii="Times New Roman" w:eastAsia="Arial Unicode MS" w:hAnsi="Times New Roman"/>
                <w:color w:val="000000" w:themeColor="text1"/>
                <w:sz w:val="20"/>
                <w:szCs w:val="20"/>
                <w:shd w:val="clear" w:color="auto" w:fill="FFFFFF"/>
              </w:rPr>
              <w:t>teză</w:t>
            </w:r>
            <w:proofErr w:type="spellEnd"/>
            <w:r w:rsidRPr="00A5319F">
              <w:rPr>
                <w:rFonts w:ascii="Times New Roman" w:eastAsia="Arial Unicode MS" w:hAnsi="Times New Roman"/>
                <w:color w:val="000000" w:themeColor="text1"/>
                <w:sz w:val="20"/>
                <w:szCs w:val="20"/>
                <w:shd w:val="clear" w:color="auto" w:fill="FFFFFF"/>
              </w:rPr>
              <w:t xml:space="preserve"> de la </w:t>
            </w:r>
            <w:proofErr w:type="spellStart"/>
            <w:r w:rsidRPr="00A5319F">
              <w:rPr>
                <w:rFonts w:ascii="Times New Roman" w:eastAsia="Arial Unicode MS" w:hAnsi="Times New Roman"/>
                <w:color w:val="000000" w:themeColor="text1"/>
                <w:sz w:val="20"/>
                <w:szCs w:val="20"/>
                <w:shd w:val="clear" w:color="auto" w:fill="FFFFFF"/>
              </w:rPr>
              <w:t>prezentul</w:t>
            </w:r>
            <w:proofErr w:type="spellEnd"/>
            <w:r w:rsidRPr="00A5319F">
              <w:rPr>
                <w:rFonts w:ascii="Times New Roman" w:eastAsia="Arial Unicode MS" w:hAnsi="Times New Roman"/>
                <w:color w:val="000000" w:themeColor="text1"/>
                <w:sz w:val="20"/>
                <w:szCs w:val="20"/>
                <w:shd w:val="clear" w:color="auto" w:fill="FFFFFF"/>
              </w:rPr>
              <w:t xml:space="preserve"> </w:t>
            </w:r>
            <w:proofErr w:type="spellStart"/>
            <w:r w:rsidRPr="00A5319F">
              <w:rPr>
                <w:rFonts w:ascii="Times New Roman" w:eastAsia="Arial Unicode MS" w:hAnsi="Times New Roman"/>
                <w:color w:val="000000" w:themeColor="text1"/>
                <w:sz w:val="20"/>
                <w:szCs w:val="20"/>
                <w:shd w:val="clear" w:color="auto" w:fill="FFFFFF"/>
              </w:rPr>
              <w:t>alineat</w:t>
            </w:r>
            <w:proofErr w:type="spellEnd"/>
            <w:r w:rsidRPr="00A5319F">
              <w:rPr>
                <w:rFonts w:ascii="Times New Roman" w:eastAsia="Arial Unicode MS" w:hAnsi="Times New Roman"/>
                <w:color w:val="000000" w:themeColor="text1"/>
                <w:sz w:val="20"/>
                <w:szCs w:val="20"/>
                <w:shd w:val="clear" w:color="auto" w:fill="FFFFFF"/>
              </w:rPr>
              <w:t>.</w:t>
            </w:r>
          </w:p>
          <w:p w14:paraId="087B445E" w14:textId="77777777" w:rsidR="00124364" w:rsidRPr="00B9573B" w:rsidRDefault="00000000">
            <w:pPr>
              <w:pStyle w:val="ti-art"/>
              <w:shd w:val="clear" w:color="auto" w:fill="FFFFFF"/>
              <w:spacing w:before="0" w:beforeAutospacing="0" w:after="0" w:afterAutospacing="0"/>
              <w:rPr>
                <w:color w:val="4472C4" w:themeColor="accent1"/>
                <w:sz w:val="20"/>
                <w:szCs w:val="20"/>
                <w:lang w:val="en-US"/>
              </w:rPr>
            </w:pPr>
            <w:hyperlink r:id="rId148" w:tooltip="32009L0029R(04): REPLACED" w:history="1">
              <w:r w:rsidRPr="00B9573B">
                <w:rPr>
                  <w:rStyle w:val="af3"/>
                  <w:rFonts w:eastAsia="Arial Unicode MS"/>
                  <w:b/>
                  <w:bCs/>
                  <w:color w:val="4472C4" w:themeColor="accent1"/>
                  <w:sz w:val="20"/>
                  <w:szCs w:val="20"/>
                  <w:lang w:val="en-US"/>
                </w:rPr>
                <w:t>▼C5</w:t>
              </w:r>
            </w:hyperlink>
          </w:p>
          <w:p w14:paraId="7BFA8903" w14:textId="04D3D861"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Cantitățile</w:t>
            </w:r>
            <w:proofErr w:type="spellEnd"/>
            <w:r w:rsidRPr="00A5319F">
              <w:rPr>
                <w:rFonts w:eastAsia="Arial Unicode MS"/>
                <w:color w:val="000000" w:themeColor="text1"/>
                <w:sz w:val="20"/>
                <w:szCs w:val="20"/>
                <w:shd w:val="clear" w:color="auto" w:fill="FFFFFF"/>
                <w:lang w:val="en-US"/>
              </w:rPr>
              <w:t xml:space="preserve"> de certificate </w:t>
            </w:r>
            <w:proofErr w:type="spellStart"/>
            <w:r w:rsidRPr="00A5319F">
              <w:rPr>
                <w:rFonts w:eastAsia="Arial Unicode MS"/>
                <w:color w:val="000000" w:themeColor="text1"/>
                <w:sz w:val="20"/>
                <w:szCs w:val="20"/>
                <w:shd w:val="clear" w:color="auto" w:fill="FFFFFF"/>
                <w:lang w:val="en-US"/>
              </w:rPr>
              <w:t>alocate</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ajustează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factorul</w:t>
            </w:r>
            <w:proofErr w:type="spellEnd"/>
            <w:r w:rsidRPr="00A5319F">
              <w:rPr>
                <w:rFonts w:eastAsia="Arial Unicode MS"/>
                <w:color w:val="000000" w:themeColor="text1"/>
                <w:sz w:val="20"/>
                <w:szCs w:val="20"/>
                <w:shd w:val="clear" w:color="auto" w:fill="FFFFFF"/>
                <w:lang w:val="en-US"/>
              </w:rPr>
              <w:t xml:space="preserve"> linear </w:t>
            </w:r>
            <w:proofErr w:type="spellStart"/>
            <w:r w:rsidRPr="00A5319F">
              <w:rPr>
                <w:rFonts w:eastAsia="Arial Unicode MS"/>
                <w:color w:val="000000" w:themeColor="text1"/>
                <w:sz w:val="20"/>
                <w:szCs w:val="20"/>
                <w:shd w:val="clear" w:color="auto" w:fill="FFFFFF"/>
                <w:lang w:val="en-US"/>
              </w:rPr>
              <w:t>menționat</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9.</w:t>
            </w:r>
          </w:p>
          <w:p w14:paraId="55672123"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Sunt </w:t>
            </w:r>
            <w:proofErr w:type="spellStart"/>
            <w:r w:rsidRPr="00A5319F">
              <w:rPr>
                <w:rFonts w:eastAsia="Arial Unicode MS"/>
                <w:color w:val="000000" w:themeColor="text1"/>
                <w:sz w:val="20"/>
                <w:szCs w:val="20"/>
                <w:shd w:val="clear" w:color="auto" w:fill="FFFFFF"/>
                <w:lang w:val="en-US"/>
              </w:rPr>
              <w:t>interzise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alocările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instalațiilor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intrate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producerea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energie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electrică</w:t>
            </w:r>
            <w:proofErr w:type="spellEnd"/>
            <w:r w:rsidRPr="00A5319F">
              <w:rPr>
                <w:rFonts w:eastAsia="Arial Unicode MS"/>
                <w:color w:val="000000" w:themeColor="text1"/>
                <w:sz w:val="20"/>
                <w:szCs w:val="20"/>
                <w:shd w:val="clear" w:color="auto" w:fill="FFFFFF"/>
                <w:lang w:val="en-US"/>
              </w:rPr>
              <w:t>.</w:t>
            </w:r>
          </w:p>
          <w:p w14:paraId="706F2EE1" w14:textId="560F95AE" w:rsidR="00124364" w:rsidRDefault="00000000">
            <w:pPr>
              <w:pStyle w:val="ti-art"/>
              <w:shd w:val="clear" w:color="auto" w:fill="FFFFFF"/>
              <w:spacing w:before="0" w:beforeAutospacing="0" w:after="0" w:afterAutospacing="0"/>
              <w:rPr>
                <w:rFonts w:eastAsia="Arial Unicode MS"/>
                <w:b/>
                <w:bCs/>
                <w:color w:val="333333"/>
                <w:sz w:val="20"/>
                <w:szCs w:val="20"/>
                <w:shd w:val="clear" w:color="auto" w:fill="FFFFFF"/>
              </w:rPr>
            </w:pPr>
            <w:hyperlink r:id="rId149" w:tooltip="32018L0410: DELETED" w:history="1">
              <w:r>
                <w:rPr>
                  <w:rStyle w:val="af3"/>
                  <w:rFonts w:eastAsia="Arial Unicode MS"/>
                  <w:b/>
                  <w:bCs/>
                  <w:color w:val="4472C4" w:themeColor="accent1"/>
                  <w:sz w:val="20"/>
                  <w:szCs w:val="20"/>
                </w:rPr>
                <w:t>▼M9</w:t>
              </w:r>
            </w:hyperlink>
            <w:r w:rsidR="00A5319F">
              <w:rPr>
                <w:rFonts w:eastAsia="Arial Unicode MS"/>
                <w:b/>
                <w:bCs/>
                <w:color w:val="333333"/>
                <w:sz w:val="20"/>
                <w:szCs w:val="20"/>
                <w:shd w:val="clear" w:color="auto" w:fill="FFFFFF"/>
                <w:lang w:val="ro-RO"/>
              </w:rPr>
              <w:t xml:space="preserve"> </w:t>
            </w:r>
            <w:r>
              <w:rPr>
                <w:rFonts w:eastAsia="Arial Unicode MS"/>
                <w:b/>
                <w:bCs/>
                <w:color w:val="333333"/>
                <w:sz w:val="20"/>
                <w:szCs w:val="20"/>
                <w:shd w:val="clear" w:color="auto" w:fill="FFFFFF"/>
              </w:rPr>
              <w:t>—————</w:t>
            </w:r>
          </w:p>
          <w:p w14:paraId="74664E8B" w14:textId="77777777" w:rsidR="00124364" w:rsidRDefault="00000000">
            <w:pPr>
              <w:pStyle w:val="ti-art"/>
              <w:shd w:val="clear" w:color="auto" w:fill="FFFFFF"/>
              <w:spacing w:before="0" w:beforeAutospacing="0" w:after="0" w:afterAutospacing="0"/>
              <w:rPr>
                <w:color w:val="4472C4" w:themeColor="accent1"/>
                <w:sz w:val="20"/>
                <w:szCs w:val="20"/>
              </w:rPr>
            </w:pPr>
            <w:hyperlink r:id="rId150" w:tooltip="32023L0959: REPLACED" w:history="1">
              <w:r>
                <w:rPr>
                  <w:rStyle w:val="af3"/>
                  <w:rFonts w:eastAsia="Arial Unicode MS"/>
                  <w:b/>
                  <w:bCs/>
                  <w:color w:val="4472C4" w:themeColor="accent1"/>
                  <w:sz w:val="20"/>
                  <w:szCs w:val="20"/>
                </w:rPr>
                <w:t>▼M15</w:t>
              </w:r>
            </w:hyperlink>
          </w:p>
          <w:p w14:paraId="13E01E6A" w14:textId="4D6A2F8D" w:rsidR="00124364" w:rsidRPr="00A5319F" w:rsidRDefault="00000000" w:rsidP="00A5319F">
            <w:pPr>
              <w:pStyle w:val="ti-art"/>
              <w:numPr>
                <w:ilvl w:val="0"/>
                <w:numId w:val="5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345 de </w:t>
            </w:r>
            <w:proofErr w:type="spellStart"/>
            <w:r w:rsidRPr="00A5319F">
              <w:rPr>
                <w:rFonts w:eastAsia="Arial Unicode MS"/>
                <w:color w:val="000000" w:themeColor="text1"/>
                <w:sz w:val="20"/>
                <w:szCs w:val="20"/>
                <w:shd w:val="clear" w:color="auto" w:fill="FFFFFF"/>
                <w:lang w:val="en-US"/>
              </w:rPr>
              <w:t>milioane</w:t>
            </w:r>
            <w:proofErr w:type="spellEnd"/>
            <w:r w:rsidRPr="00A5319F">
              <w:rPr>
                <w:rFonts w:eastAsia="Arial Unicode MS"/>
                <w:color w:val="000000" w:themeColor="text1"/>
                <w:sz w:val="20"/>
                <w:szCs w:val="20"/>
                <w:shd w:val="clear" w:color="auto" w:fill="FFFFFF"/>
                <w:lang w:val="en-US"/>
              </w:rPr>
              <w:t xml:space="preserve"> de certificate din </w:t>
            </w:r>
            <w:proofErr w:type="spellStart"/>
            <w:r w:rsidRPr="00A5319F">
              <w:rPr>
                <w:rFonts w:eastAsia="Arial Unicode MS"/>
                <w:color w:val="000000" w:themeColor="text1"/>
                <w:sz w:val="20"/>
                <w:szCs w:val="20"/>
                <w:shd w:val="clear" w:color="auto" w:fill="FFFFFF"/>
                <w:lang w:val="en-US"/>
              </w:rPr>
              <w:t>cantitatea</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putea</w:t>
            </w:r>
            <w:proofErr w:type="spellEnd"/>
            <w:r w:rsidRPr="00A5319F">
              <w:rPr>
                <w:rFonts w:eastAsia="Arial Unicode MS"/>
                <w:color w:val="000000" w:themeColor="text1"/>
                <w:sz w:val="20"/>
                <w:szCs w:val="20"/>
                <w:shd w:val="clear" w:color="auto" w:fill="FFFFFF"/>
                <w:lang w:val="en-US"/>
              </w:rPr>
              <w:t xml:space="preserve"> fi </w:t>
            </w:r>
            <w:proofErr w:type="spellStart"/>
            <w:r w:rsidRPr="00A5319F">
              <w:rPr>
                <w:rFonts w:eastAsia="Arial Unicode MS"/>
                <w:color w:val="000000" w:themeColor="text1"/>
                <w:sz w:val="20"/>
                <w:szCs w:val="20"/>
                <w:shd w:val="clear" w:color="auto" w:fill="FFFFFF"/>
                <w:lang w:val="en-US"/>
              </w:rPr>
              <w:t>altfel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alocată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prezentului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și</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80 de </w:t>
            </w:r>
            <w:proofErr w:type="spellStart"/>
            <w:r w:rsidRPr="00A5319F">
              <w:rPr>
                <w:rFonts w:eastAsia="Arial Unicode MS"/>
                <w:color w:val="000000" w:themeColor="text1"/>
                <w:sz w:val="20"/>
                <w:szCs w:val="20"/>
                <w:shd w:val="clear" w:color="auto" w:fill="FFFFFF"/>
                <w:lang w:val="en-US"/>
              </w:rPr>
              <w:t>milioane</w:t>
            </w:r>
            <w:proofErr w:type="spellEnd"/>
            <w:r w:rsidRPr="00A5319F">
              <w:rPr>
                <w:rFonts w:eastAsia="Arial Unicode MS"/>
                <w:color w:val="000000" w:themeColor="text1"/>
                <w:sz w:val="20"/>
                <w:szCs w:val="20"/>
                <w:shd w:val="clear" w:color="auto" w:fill="FFFFFF"/>
                <w:lang w:val="en-US"/>
              </w:rPr>
              <w:t xml:space="preserve"> de certificate din </w:t>
            </w:r>
            <w:proofErr w:type="spellStart"/>
            <w:r w:rsidRPr="00A5319F">
              <w:rPr>
                <w:rFonts w:eastAsia="Arial Unicode MS"/>
                <w:color w:val="000000" w:themeColor="text1"/>
                <w:sz w:val="20"/>
                <w:szCs w:val="20"/>
                <w:shd w:val="clear" w:color="auto" w:fill="FFFFFF"/>
                <w:lang w:val="en-US"/>
              </w:rPr>
              <w:t>cantitatea</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putea</w:t>
            </w:r>
            <w:proofErr w:type="spellEnd"/>
            <w:r w:rsidRPr="00A5319F">
              <w:rPr>
                <w:rFonts w:eastAsia="Arial Unicode MS"/>
                <w:color w:val="000000" w:themeColor="text1"/>
                <w:sz w:val="20"/>
                <w:szCs w:val="20"/>
                <w:shd w:val="clear" w:color="auto" w:fill="FFFFFF"/>
                <w:lang w:val="en-US"/>
              </w:rPr>
              <w:t xml:space="preserve"> fi </w:t>
            </w:r>
            <w:proofErr w:type="spellStart"/>
            <w:r w:rsidRPr="00A5319F">
              <w:rPr>
                <w:rFonts w:eastAsia="Arial Unicode MS"/>
                <w:color w:val="000000" w:themeColor="text1"/>
                <w:sz w:val="20"/>
                <w:szCs w:val="20"/>
                <w:shd w:val="clear" w:color="auto" w:fill="FFFFFF"/>
                <w:lang w:val="en-US"/>
              </w:rPr>
              <w:t>altfel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alocată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10, precum și </w:t>
            </w: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rezultă</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reducerea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alocării</w:t>
            </w:r>
            <w:proofErr w:type="spellEnd"/>
            <w:r w:rsidRPr="00A5319F">
              <w:rPr>
                <w:rFonts w:eastAsia="Arial Unicode MS"/>
                <w:color w:val="000000" w:themeColor="text1"/>
                <w:sz w:val="20"/>
                <w:szCs w:val="20"/>
                <w:shd w:val="clear" w:color="auto" w:fill="FFFFFF"/>
                <w:lang w:val="en-US"/>
              </w:rPr>
              <w:t xml:space="preserve"> de certificate cu </w:t>
            </w:r>
            <w:proofErr w:type="spellStart"/>
            <w:r w:rsidRPr="00A5319F">
              <w:rPr>
                <w:rFonts w:eastAsia="Arial Unicode MS"/>
                <w:color w:val="000000" w:themeColor="text1"/>
                <w:sz w:val="20"/>
                <w:szCs w:val="20"/>
                <w:shd w:val="clear" w:color="auto" w:fill="FFFFFF"/>
                <w:lang w:val="en-US"/>
              </w:rPr>
              <w:t>titlu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gratuit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alineatul</w:t>
            </w:r>
            <w:proofErr w:type="spellEnd"/>
            <w:r w:rsidRPr="00A5319F">
              <w:rPr>
                <w:rFonts w:eastAsia="Arial Unicode MS"/>
                <w:color w:val="000000" w:themeColor="text1"/>
                <w:sz w:val="20"/>
                <w:szCs w:val="20"/>
                <w:shd w:val="clear" w:color="auto" w:fill="FFFFFF"/>
                <w:lang w:val="en-US"/>
              </w:rPr>
              <w:t xml:space="preserve"> (1a)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se pun la </w:t>
            </w:r>
            <w:proofErr w:type="spellStart"/>
            <w:r w:rsidRPr="00A5319F">
              <w:rPr>
                <w:rFonts w:eastAsia="Arial Unicode MS"/>
                <w:color w:val="000000" w:themeColor="text1"/>
                <w:sz w:val="20"/>
                <w:szCs w:val="20"/>
                <w:shd w:val="clear" w:color="auto" w:fill="FFFFFF"/>
                <w:lang w:val="en-US"/>
              </w:rPr>
              <w:t>dispoziția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unui</w:t>
            </w:r>
            <w:proofErr w:type="spellEnd"/>
            <w:r w:rsidRPr="00A5319F">
              <w:rPr>
                <w:rFonts w:eastAsia="Arial Unicode MS"/>
                <w:color w:val="000000" w:themeColor="text1"/>
                <w:sz w:val="20"/>
                <w:szCs w:val="20"/>
                <w:shd w:val="clear" w:color="auto" w:fill="FFFFFF"/>
                <w:lang w:val="en-US"/>
              </w:rPr>
              <w:t xml:space="preserve"> fond (</w:t>
            </w:r>
            <w:proofErr w:type="spellStart"/>
            <w:r w:rsidRPr="00A5319F">
              <w:rPr>
                <w:rFonts w:eastAsia="Arial Unicode MS"/>
                <w:color w:val="000000" w:themeColor="text1"/>
                <w:sz w:val="20"/>
                <w:szCs w:val="20"/>
                <w:shd w:val="clear" w:color="auto" w:fill="FFFFFF"/>
                <w:lang w:val="en-US"/>
              </w:rPr>
              <w:t>denumit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continuare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scopul</w:t>
            </w:r>
            <w:proofErr w:type="spellEnd"/>
            <w:r w:rsidRPr="00A5319F">
              <w:rPr>
                <w:rFonts w:eastAsia="Arial Unicode MS"/>
                <w:color w:val="000000" w:themeColor="text1"/>
                <w:sz w:val="20"/>
                <w:szCs w:val="20"/>
                <w:shd w:val="clear" w:color="auto" w:fill="FFFFFF"/>
                <w:lang w:val="en-US"/>
              </w:rPr>
              <w:t xml:space="preserve"> de a </w:t>
            </w:r>
            <w:proofErr w:type="spellStart"/>
            <w:r w:rsidRPr="00A5319F">
              <w:rPr>
                <w:rFonts w:eastAsia="Arial Unicode MS"/>
                <w:color w:val="000000" w:themeColor="text1"/>
                <w:sz w:val="20"/>
                <w:szCs w:val="20"/>
                <w:shd w:val="clear" w:color="auto" w:fill="FFFFFF"/>
                <w:lang w:val="en-US"/>
              </w:rPr>
              <w:t>sprijini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inovarea</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domeniul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tehnicii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proceselor</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tehnologiilor</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emisii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reduse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și cu zero </w:t>
            </w:r>
            <w:proofErr w:type="spellStart"/>
            <w:r w:rsidRPr="00A5319F">
              <w:rPr>
                <w:rFonts w:eastAsia="Arial Unicode MS"/>
                <w:color w:val="000000" w:themeColor="text1"/>
                <w:sz w:val="20"/>
                <w:szCs w:val="20"/>
                <w:shd w:val="clear" w:color="auto" w:fill="FFFFFF"/>
                <w:lang w:val="en-US"/>
              </w:rPr>
              <w:t>emisii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dioxid</w:t>
            </w:r>
            <w:proofErr w:type="spellEnd"/>
            <w:r w:rsidRPr="00A5319F">
              <w:rPr>
                <w:rFonts w:eastAsia="Arial Unicode MS"/>
                <w:color w:val="000000" w:themeColor="text1"/>
                <w:sz w:val="20"/>
                <w:szCs w:val="20"/>
                <w:shd w:val="clear" w:color="auto" w:fill="FFFFFF"/>
                <w:lang w:val="en-US"/>
              </w:rPr>
              <w:t xml:space="preserve"> de carbon care </w:t>
            </w:r>
            <w:proofErr w:type="spellStart"/>
            <w:r w:rsidRPr="00A5319F">
              <w:rPr>
                <w:rFonts w:eastAsia="Arial Unicode MS"/>
                <w:color w:val="000000" w:themeColor="text1"/>
                <w:sz w:val="20"/>
                <w:szCs w:val="20"/>
                <w:shd w:val="clear" w:color="auto" w:fill="FFFFFF"/>
                <w:lang w:val="en-US"/>
              </w:rPr>
              <w:t>contribuie</w:t>
            </w:r>
            <w:proofErr w:type="spellEnd"/>
            <w:r w:rsidRPr="00A5319F">
              <w:rPr>
                <w:rFonts w:eastAsia="Arial Unicode MS"/>
                <w:color w:val="000000" w:themeColor="text1"/>
                <w:sz w:val="20"/>
                <w:szCs w:val="20"/>
                <w:shd w:val="clear" w:color="auto" w:fill="FFFFFF"/>
                <w:lang w:val="en-US"/>
              </w:rPr>
              <w:t xml:space="preserve"> în mod </w:t>
            </w:r>
            <w:proofErr w:type="spellStart"/>
            <w:r w:rsidRPr="00A5319F">
              <w:rPr>
                <w:rFonts w:eastAsia="Arial Unicode MS"/>
                <w:color w:val="000000" w:themeColor="text1"/>
                <w:sz w:val="20"/>
                <w:szCs w:val="20"/>
                <w:shd w:val="clear" w:color="auto" w:fill="FFFFFF"/>
                <w:lang w:val="en-US"/>
              </w:rPr>
              <w:t>semnificativ</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decarbonizarea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sectoarelor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reglementate</w:t>
            </w:r>
            <w:proofErr w:type="spellEnd"/>
            <w:r w:rsidRPr="00A5319F">
              <w:rPr>
                <w:rFonts w:eastAsia="Arial Unicode MS"/>
                <w:color w:val="000000" w:themeColor="text1"/>
                <w:sz w:val="20"/>
                <w:szCs w:val="20"/>
                <w:shd w:val="clear" w:color="auto" w:fill="FFFFFF"/>
                <w:lang w:val="en-US"/>
              </w:rPr>
              <w:t xml:space="preserve"> de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contribuie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obiectivele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la zero a </w:t>
            </w:r>
            <w:proofErr w:type="spellStart"/>
            <w:r w:rsidRPr="00A5319F">
              <w:rPr>
                <w:rFonts w:eastAsia="Arial Unicode MS"/>
                <w:color w:val="000000" w:themeColor="text1"/>
                <w:sz w:val="20"/>
                <w:szCs w:val="20"/>
                <w:shd w:val="clear" w:color="auto" w:fill="FFFFFF"/>
                <w:lang w:val="en-US"/>
              </w:rPr>
              <w:t>poluării</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privind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circularitatea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inclusiv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proiectele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vizează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extinderea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tehnici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procese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tehnologii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vederea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introducerii</w:t>
            </w:r>
            <w:proofErr w:type="spellEnd"/>
            <w:r w:rsidRPr="00A5319F">
              <w:rPr>
                <w:rFonts w:eastAsia="Arial Unicode MS"/>
                <w:color w:val="000000" w:themeColor="text1"/>
                <w:sz w:val="20"/>
                <w:szCs w:val="20"/>
                <w:shd w:val="clear" w:color="auto" w:fill="FFFFFF"/>
                <w:lang w:val="en-US"/>
              </w:rPr>
              <w:t xml:space="preserve"> lor pe </w:t>
            </w:r>
            <w:proofErr w:type="spellStart"/>
            <w:r w:rsidRPr="00A5319F">
              <w:rPr>
                <w:rFonts w:eastAsia="Arial Unicode MS"/>
                <w:color w:val="000000" w:themeColor="text1"/>
                <w:sz w:val="20"/>
                <w:szCs w:val="20"/>
                <w:shd w:val="clear" w:color="auto" w:fill="FFFFFF"/>
                <w:lang w:val="en-US"/>
              </w:rPr>
              <w:t>scară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largă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întreaga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proiecte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trebuie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lastRenderedPageBreak/>
              <w:t>aibă</w:t>
            </w:r>
            <w:proofErr w:type="spellEnd"/>
            <w:r w:rsidRPr="00A5319F">
              <w:rPr>
                <w:rFonts w:eastAsia="Arial Unicode MS"/>
                <w:color w:val="000000" w:themeColor="text1"/>
                <w:sz w:val="20"/>
                <w:szCs w:val="20"/>
                <w:shd w:val="clear" w:color="auto" w:fill="FFFFFF"/>
                <w:lang w:val="en-US"/>
              </w:rPr>
              <w:t xml:space="preserve"> un </w:t>
            </w:r>
            <w:proofErr w:type="spellStart"/>
            <w:r w:rsidRPr="00A5319F">
              <w:rPr>
                <w:rFonts w:eastAsia="Arial Unicode MS"/>
                <w:color w:val="000000" w:themeColor="text1"/>
                <w:sz w:val="20"/>
                <w:szCs w:val="20"/>
                <w:shd w:val="clear" w:color="auto" w:fill="FFFFFF"/>
                <w:lang w:val="en-US"/>
              </w:rPr>
              <w:t>potențial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semnificativ</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reducere</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emisiilor</w:t>
            </w:r>
            <w:proofErr w:type="spellEnd"/>
            <w:r w:rsidRPr="00A5319F">
              <w:rPr>
                <w:rFonts w:eastAsia="Arial Unicode MS"/>
                <w:color w:val="000000" w:themeColor="text1"/>
                <w:sz w:val="20"/>
                <w:szCs w:val="20"/>
                <w:shd w:val="clear" w:color="auto" w:fill="FFFFFF"/>
                <w:lang w:val="en-US"/>
              </w:rPr>
              <w:t xml:space="preserve"> de gaze cu </w:t>
            </w:r>
            <w:proofErr w:type="spellStart"/>
            <w:r w:rsidRPr="00A5319F">
              <w:rPr>
                <w:rFonts w:eastAsia="Arial Unicode MS"/>
                <w:color w:val="000000" w:themeColor="text1"/>
                <w:sz w:val="20"/>
                <w:szCs w:val="20"/>
                <w:shd w:val="clear" w:color="auto" w:fill="FFFFFF"/>
                <w:lang w:val="en-US"/>
              </w:rPr>
              <w:t>efect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seră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contribuie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economisirea</w:t>
            </w:r>
            <w:proofErr w:type="spellEnd"/>
            <w:r w:rsidRPr="00A5319F">
              <w:rPr>
                <w:rFonts w:eastAsia="Arial Unicode MS"/>
                <w:color w:val="000000" w:themeColor="text1"/>
                <w:sz w:val="20"/>
                <w:szCs w:val="20"/>
                <w:shd w:val="clear" w:color="auto" w:fill="FFFFFF"/>
                <w:lang w:val="en-US"/>
              </w:rPr>
              <w:t xml:space="preserve"> energiei și a </w:t>
            </w:r>
            <w:proofErr w:type="spellStart"/>
            <w:r w:rsidRPr="00A5319F">
              <w:rPr>
                <w:rFonts w:eastAsia="Arial Unicode MS"/>
                <w:color w:val="000000" w:themeColor="text1"/>
                <w:sz w:val="20"/>
                <w:szCs w:val="20"/>
                <w:shd w:val="clear" w:color="auto" w:fill="FFFFFF"/>
                <w:lang w:val="en-US"/>
              </w:rPr>
              <w:t>resurselor</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obiectivele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Uniunii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materie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climă</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energie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2030.</w:t>
            </w:r>
          </w:p>
          <w:p w14:paraId="17FB7BFC"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încarcă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avans</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licitații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aferente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se </w:t>
            </w:r>
            <w:proofErr w:type="spellStart"/>
            <w:r w:rsidRPr="00A5319F">
              <w:rPr>
                <w:rFonts w:eastAsia="Arial Unicode MS"/>
                <w:color w:val="000000" w:themeColor="text1"/>
                <w:sz w:val="20"/>
                <w:szCs w:val="20"/>
                <w:shd w:val="clear" w:color="auto" w:fill="FFFFFF"/>
                <w:lang w:val="en-US"/>
              </w:rPr>
              <w:t>asigura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disponibilă</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cantitate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adecvată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resurse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stimula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inclusiv</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extindere</w:t>
            </w:r>
            <w:proofErr w:type="spellEnd"/>
            <w:r w:rsidRPr="00A5319F">
              <w:rPr>
                <w:rFonts w:eastAsia="Arial Unicode MS"/>
                <w:color w:val="000000" w:themeColor="text1"/>
                <w:sz w:val="20"/>
                <w:szCs w:val="20"/>
                <w:shd w:val="clear" w:color="auto" w:fill="FFFFFF"/>
                <w:lang w:val="en-US"/>
              </w:rPr>
              <w:t>.</w:t>
            </w:r>
          </w:p>
          <w:p w14:paraId="25D04438"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Certificatele</w:t>
            </w:r>
            <w:proofErr w:type="spellEnd"/>
            <w:r w:rsidRPr="00A5319F">
              <w:rPr>
                <w:rFonts w:eastAsia="Arial Unicode MS"/>
                <w:color w:val="000000" w:themeColor="text1"/>
                <w:sz w:val="20"/>
                <w:szCs w:val="20"/>
                <w:shd w:val="clear" w:color="auto" w:fill="FFFFFF"/>
                <w:lang w:val="en-US"/>
              </w:rPr>
              <w:t xml:space="preserve"> care nu sunt </w:t>
            </w:r>
            <w:proofErr w:type="spellStart"/>
            <w:r w:rsidRPr="00A5319F">
              <w:rPr>
                <w:rFonts w:eastAsia="Arial Unicode MS"/>
                <w:color w:val="000000" w:themeColor="text1"/>
                <w:sz w:val="20"/>
                <w:szCs w:val="20"/>
                <w:shd w:val="clear" w:color="auto" w:fill="FFFFFF"/>
                <w:lang w:val="en-US"/>
              </w:rPr>
              <w:t>emise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operatorilor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aeronave</w:t>
            </w:r>
            <w:proofErr w:type="spellEnd"/>
            <w:r w:rsidRPr="00A5319F">
              <w:rPr>
                <w:rFonts w:eastAsia="Arial Unicode MS"/>
                <w:color w:val="000000" w:themeColor="text1"/>
                <w:sz w:val="20"/>
                <w:szCs w:val="20"/>
                <w:shd w:val="clear" w:color="auto" w:fill="FFFFFF"/>
                <w:lang w:val="en-US"/>
              </w:rPr>
              <w:t xml:space="preserve"> ca </w:t>
            </w:r>
            <w:proofErr w:type="spellStart"/>
            <w:r w:rsidRPr="00A5319F">
              <w:rPr>
                <w:rFonts w:eastAsia="Arial Unicode MS"/>
                <w:color w:val="000000" w:themeColor="text1"/>
                <w:sz w:val="20"/>
                <w:szCs w:val="20"/>
                <w:shd w:val="clear" w:color="auto" w:fill="FFFFFF"/>
                <w:lang w:val="en-US"/>
              </w:rPr>
              <w:t>urmare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încetării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activității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acestora</w:t>
            </w:r>
            <w:proofErr w:type="spellEnd"/>
            <w:r w:rsidRPr="00A5319F">
              <w:rPr>
                <w:rFonts w:eastAsia="Arial Unicode MS"/>
                <w:color w:val="000000" w:themeColor="text1"/>
                <w:sz w:val="20"/>
                <w:szCs w:val="20"/>
                <w:shd w:val="clear" w:color="auto" w:fill="FFFFFF"/>
                <w:lang w:val="en-US"/>
              </w:rPr>
              <w:t xml:space="preserve"> și care nu sunt </w:t>
            </w:r>
            <w:proofErr w:type="spellStart"/>
            <w:r w:rsidRPr="00A5319F">
              <w:rPr>
                <w:rFonts w:eastAsia="Arial Unicode MS"/>
                <w:color w:val="000000" w:themeColor="text1"/>
                <w:sz w:val="20"/>
                <w:szCs w:val="20"/>
                <w:shd w:val="clear" w:color="auto" w:fill="FFFFFF"/>
                <w:lang w:val="en-US"/>
              </w:rPr>
              <w:t>necesare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gramStart"/>
            <w:r w:rsidRPr="00A5319F">
              <w:rPr>
                <w:rFonts w:eastAsia="Arial Unicode MS"/>
                <w:color w:val="000000" w:themeColor="text1"/>
                <w:sz w:val="20"/>
                <w:szCs w:val="20"/>
                <w:shd w:val="clear" w:color="auto" w:fill="FFFFFF"/>
                <w:lang w:val="en-US"/>
              </w:rPr>
              <w:t>a</w:t>
            </w:r>
            <w:proofErr w:type="gram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acoperi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orice</w:t>
            </w:r>
            <w:proofErr w:type="spellEnd"/>
            <w:r w:rsidRPr="00A5319F">
              <w:rPr>
                <w:rFonts w:eastAsia="Arial Unicode MS"/>
                <w:color w:val="000000" w:themeColor="text1"/>
                <w:sz w:val="20"/>
                <w:szCs w:val="20"/>
                <w:shd w:val="clear" w:color="auto" w:fill="FFFFFF"/>
                <w:lang w:val="en-US"/>
              </w:rPr>
              <w:t xml:space="preserve"> deficit de </w:t>
            </w:r>
            <w:proofErr w:type="spellStart"/>
            <w:r w:rsidRPr="00A5319F">
              <w:rPr>
                <w:rFonts w:eastAsia="Arial Unicode MS"/>
                <w:color w:val="000000" w:themeColor="text1"/>
                <w:sz w:val="20"/>
                <w:szCs w:val="20"/>
                <w:shd w:val="clear" w:color="auto" w:fill="FFFFFF"/>
                <w:lang w:val="en-US"/>
              </w:rPr>
              <w:t>restituire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operatorii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respectivi</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asemenea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sprijinirea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cum se </w:t>
            </w:r>
            <w:proofErr w:type="spellStart"/>
            <w:r w:rsidRPr="00A5319F">
              <w:rPr>
                <w:rFonts w:eastAsia="Arial Unicode MS"/>
                <w:color w:val="000000" w:themeColor="text1"/>
                <w:sz w:val="20"/>
                <w:szCs w:val="20"/>
                <w:shd w:val="clear" w:color="auto" w:fill="FFFFFF"/>
                <w:lang w:val="en-US"/>
              </w:rPr>
              <w:t>menționează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primul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w:t>
            </w:r>
          </w:p>
          <w:p w14:paraId="41D5F1BC" w14:textId="08B22E1E"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În plus, 5</w:t>
            </w:r>
            <w:r w:rsidR="00A5319F">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milioane</w:t>
            </w:r>
            <w:proofErr w:type="spellEnd"/>
            <w:r>
              <w:rPr>
                <w:rFonts w:eastAsia="Arial Unicode MS"/>
                <w:color w:val="333333"/>
                <w:sz w:val="20"/>
                <w:szCs w:val="20"/>
                <w:shd w:val="clear" w:color="auto" w:fill="FFFFFF"/>
                <w:lang w:val="en-US"/>
              </w:rPr>
              <w:t xml:space="preserve"> de certificate din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3c </w:t>
            </w:r>
            <w:proofErr w:type="spellStart"/>
            <w:r>
              <w:rPr>
                <w:rFonts w:eastAsia="Arial Unicode MS"/>
                <w:color w:val="333333"/>
                <w:sz w:val="20"/>
                <w:szCs w:val="20"/>
                <w:shd w:val="clear" w:color="auto" w:fill="FFFFFF"/>
                <w:lang w:val="en-US"/>
              </w:rPr>
              <w:t>alineatele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(5) și</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(7), </w:t>
            </w:r>
            <w:proofErr w:type="spellStart"/>
            <w:r>
              <w:rPr>
                <w:rFonts w:eastAsia="Arial Unicode MS"/>
                <w:color w:val="333333"/>
                <w:sz w:val="20"/>
                <w:szCs w:val="20"/>
                <w:shd w:val="clear" w:color="auto" w:fill="FFFFFF"/>
                <w:lang w:val="en-US"/>
              </w:rPr>
              <w:t>referitoare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alocările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aviație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2026, sunt </w:t>
            </w:r>
            <w:proofErr w:type="spellStart"/>
            <w:r>
              <w:rPr>
                <w:rFonts w:eastAsia="Arial Unicode MS"/>
                <w:color w:val="333333"/>
                <w:sz w:val="20"/>
                <w:szCs w:val="20"/>
                <w:shd w:val="clear" w:color="auto" w:fill="FFFFFF"/>
                <w:lang w:val="en-US"/>
              </w:rPr>
              <w:t>puse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dispoziție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se </w:t>
            </w:r>
            <w:proofErr w:type="spellStart"/>
            <w:r>
              <w:rPr>
                <w:rFonts w:eastAsia="Arial Unicode MS"/>
                <w:color w:val="333333"/>
                <w:sz w:val="20"/>
                <w:szCs w:val="20"/>
                <w:shd w:val="clear" w:color="auto" w:fill="FFFFFF"/>
                <w:lang w:val="en-US"/>
              </w:rPr>
              <w:t>menționează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w:t>
            </w:r>
          </w:p>
          <w:p w14:paraId="47A78786" w14:textId="4C78BE5A"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În plus, 50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de </w:t>
            </w:r>
            <w:proofErr w:type="spellStart"/>
            <w:r>
              <w:rPr>
                <w:rFonts w:eastAsia="Arial Unicode MS"/>
                <w:color w:val="333333"/>
                <w:sz w:val="20"/>
                <w:szCs w:val="20"/>
                <w:shd w:val="clear" w:color="auto" w:fill="FFFFFF"/>
                <w:lang w:val="en-US"/>
              </w:rPr>
              <w:t>milioane</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nealocate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rezerva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pieței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completează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eventualele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rămase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cele</w:t>
            </w:r>
            <w:proofErr w:type="spellEnd"/>
            <w:r>
              <w:rPr>
                <w:rFonts w:eastAsia="Arial Unicode MS"/>
                <w:color w:val="333333"/>
                <w:sz w:val="20"/>
                <w:szCs w:val="20"/>
                <w:shd w:val="clear" w:color="auto" w:fill="FFFFFF"/>
                <w:lang w:val="en-US"/>
              </w:rPr>
              <w:t xml:space="preserve"> 300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de </w:t>
            </w:r>
            <w:proofErr w:type="spellStart"/>
            <w:r>
              <w:rPr>
                <w:rFonts w:eastAsia="Arial Unicode MS"/>
                <w:color w:val="333333"/>
                <w:sz w:val="20"/>
                <w:szCs w:val="20"/>
                <w:shd w:val="clear" w:color="auto" w:fill="FFFFFF"/>
                <w:lang w:val="en-US"/>
              </w:rPr>
              <w:t>milioane</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disponibile</w:t>
            </w:r>
            <w:proofErr w:type="spellEnd"/>
            <w:r>
              <w:rPr>
                <w:rFonts w:eastAsia="Arial Unicode MS"/>
                <w:color w:val="333333"/>
                <w:sz w:val="20"/>
                <w:szCs w:val="20"/>
                <w:shd w:val="clear" w:color="auto" w:fill="FFFFFF"/>
                <w:lang w:val="en-US"/>
              </w:rPr>
              <w:t xml:space="preserve"> în perioada 2013-2020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Deciziei</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2010/670/UE</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w:t>
            </w:r>
            <w:hyperlink r:id="rId151" w:anchor="E0020" w:history="1">
              <w:r w:rsidR="00A5319F">
                <w:rPr>
                  <w:rStyle w:val="apple-converted-space"/>
                  <w:rFonts w:eastAsia="Arial Unicode MS"/>
                  <w:color w:val="800080"/>
                  <w:sz w:val="20"/>
                  <w:szCs w:val="20"/>
                  <w:lang w:val="en-US"/>
                </w:rPr>
                <w:t xml:space="preserve"> </w:t>
              </w:r>
              <w:r>
                <w:rPr>
                  <w:rStyle w:val="superscript"/>
                  <w:rFonts w:eastAsia="Arial Unicode MS"/>
                  <w:color w:val="4472C4" w:themeColor="accent1"/>
                  <w:sz w:val="20"/>
                  <w:szCs w:val="20"/>
                  <w:vertAlign w:val="superscript"/>
                  <w:lang w:val="en-US"/>
                </w:rPr>
                <w:t>19</w:t>
              </w:r>
            </w:hyperlink>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Comisiei</w:t>
            </w:r>
            <w:proofErr w:type="spellEnd"/>
            <w:r>
              <w:rPr>
                <w:rFonts w:eastAsia="Arial Unicode MS"/>
                <w:color w:val="333333"/>
                <w:sz w:val="20"/>
                <w:szCs w:val="20"/>
                <w:shd w:val="clear" w:color="auto" w:fill="FFFFFF"/>
                <w:lang w:val="en-US"/>
              </w:rPr>
              <w:t xml:space="preserve"> și se </w:t>
            </w:r>
            <w:proofErr w:type="spellStart"/>
            <w:r>
              <w:rPr>
                <w:rFonts w:eastAsia="Arial Unicode MS"/>
                <w:color w:val="333333"/>
                <w:sz w:val="20"/>
                <w:szCs w:val="20"/>
                <w:shd w:val="clear" w:color="auto" w:fill="FFFFFF"/>
                <w:lang w:val="en-US"/>
              </w:rPr>
              <w:t>utilizează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timp</w:t>
            </w:r>
            <w:proofErr w:type="spellEnd"/>
            <w:r>
              <w:rPr>
                <w:rFonts w:eastAsia="Arial Unicode MS"/>
                <w:color w:val="333333"/>
                <w:sz w:val="20"/>
                <w:szCs w:val="20"/>
                <w:shd w:val="clear" w:color="auto" w:fill="FFFFFF"/>
                <w:lang w:val="en-US"/>
              </w:rPr>
              <w:t xml:space="preserve"> util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se </w:t>
            </w:r>
            <w:proofErr w:type="spellStart"/>
            <w:r>
              <w:rPr>
                <w:rFonts w:eastAsia="Arial Unicode MS"/>
                <w:color w:val="333333"/>
                <w:sz w:val="20"/>
                <w:szCs w:val="20"/>
                <w:shd w:val="clear" w:color="auto" w:fill="FFFFFF"/>
                <w:lang w:val="en-US"/>
              </w:rPr>
              <w:t>menționează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w:t>
            </w:r>
          </w:p>
          <w:p w14:paraId="0106EB70" w14:textId="261AF98B" w:rsidR="00124364" w:rsidRDefault="00000000" w:rsidP="00A5319F">
            <w:pPr>
              <w:pStyle w:val="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US"/>
              </w:rPr>
            </w:pP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enumerate în </w:t>
            </w:r>
            <w:proofErr w:type="spellStart"/>
            <w:r>
              <w:rPr>
                <w:rFonts w:eastAsia="Arial Unicode MS"/>
                <w:color w:val="333333"/>
                <w:sz w:val="20"/>
                <w:szCs w:val="20"/>
                <w:shd w:val="clear" w:color="auto" w:fill="FFFFFF"/>
                <w:lang w:val="en-US"/>
              </w:rPr>
              <w:t>anexele</w:t>
            </w:r>
            <w:proofErr w:type="spellEnd"/>
            <w:r>
              <w:rPr>
                <w:rFonts w:eastAsia="Arial Unicode MS"/>
                <w:color w:val="333333"/>
                <w:sz w:val="20"/>
                <w:szCs w:val="20"/>
                <w:shd w:val="clear" w:color="auto" w:fill="FFFFFF"/>
                <w:lang w:val="en-US"/>
              </w:rPr>
              <w:t xml:space="preserve"> I și III, precum și </w:t>
            </w:r>
            <w:proofErr w:type="spellStart"/>
            <w:r>
              <w:rPr>
                <w:rFonts w:eastAsia="Arial Unicode MS"/>
                <w:color w:val="333333"/>
                <w:sz w:val="20"/>
                <w:szCs w:val="20"/>
                <w:shd w:val="clear" w:color="auto" w:fill="FFFFFF"/>
                <w:lang w:val="en-US"/>
              </w:rPr>
              <w:t>produsele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procesele</w:t>
            </w:r>
            <w:proofErr w:type="spellEnd"/>
            <w:r>
              <w:rPr>
                <w:rFonts w:eastAsia="Arial Unicode MS"/>
                <w:color w:val="333333"/>
                <w:sz w:val="20"/>
                <w:szCs w:val="20"/>
                <w:shd w:val="clear" w:color="auto" w:fill="FFFFFF"/>
                <w:lang w:val="en-US"/>
              </w:rPr>
              <w:t xml:space="preserve"> care le </w:t>
            </w:r>
            <w:proofErr w:type="spellStart"/>
            <w:r>
              <w:rPr>
                <w:rFonts w:eastAsia="Arial Unicode MS"/>
                <w:color w:val="333333"/>
                <w:sz w:val="20"/>
                <w:szCs w:val="20"/>
                <w:shd w:val="clear" w:color="auto" w:fill="FFFFFF"/>
                <w:lang w:val="en-US"/>
              </w:rPr>
              <w:t>înlocuiesc</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cele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consum</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intens</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w:t>
            </w:r>
            <w:proofErr w:type="spellStart"/>
            <w:r>
              <w:rPr>
                <w:rFonts w:eastAsia="Arial Unicode MS"/>
                <w:color w:val="333333"/>
                <w:sz w:val="20"/>
                <w:szCs w:val="20"/>
                <w:shd w:val="clear" w:color="auto" w:fill="FFFFFF"/>
                <w:lang w:val="en-US"/>
              </w:rPr>
              <w:t>produse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enumerate în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inovatoare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stocare</w:t>
            </w:r>
            <w:proofErr w:type="spellEnd"/>
            <w:r>
              <w:rPr>
                <w:rFonts w:eastAsia="Arial Unicode MS"/>
                <w:color w:val="333333"/>
                <w:sz w:val="20"/>
                <w:szCs w:val="20"/>
                <w:shd w:val="clear" w:color="auto" w:fill="FFFFFF"/>
                <w:lang w:val="en-US"/>
              </w:rPr>
              <w:t xml:space="preserve"> a energiei din surse </w:t>
            </w:r>
            <w:proofErr w:type="spellStart"/>
            <w:r>
              <w:rPr>
                <w:rFonts w:eastAsia="Arial Unicode MS"/>
                <w:color w:val="333333"/>
                <w:sz w:val="20"/>
                <w:szCs w:val="20"/>
                <w:shd w:val="clear" w:color="auto" w:fill="FFFFFF"/>
                <w:lang w:val="en-US"/>
              </w:rPr>
              <w:t>regenerabile</w:t>
            </w:r>
            <w:proofErr w:type="spellEnd"/>
            <w:r>
              <w:rPr>
                <w:rFonts w:eastAsia="Arial Unicode MS"/>
                <w:color w:val="333333"/>
                <w:sz w:val="20"/>
                <w:szCs w:val="20"/>
                <w:shd w:val="clear" w:color="auto" w:fill="FFFFFF"/>
                <w:lang w:val="en-US"/>
              </w:rPr>
              <w:t xml:space="preserve"> și de </w:t>
            </w:r>
            <w:proofErr w:type="spellStart"/>
            <w:r>
              <w:rPr>
                <w:rFonts w:eastAsia="Arial Unicode MS"/>
                <w:color w:val="333333"/>
                <w:sz w:val="20"/>
                <w:szCs w:val="20"/>
                <w:shd w:val="clear" w:color="auto" w:fill="FFFFFF"/>
                <w:lang w:val="en-US"/>
              </w:rPr>
              <w:t>stocare</w:t>
            </w:r>
            <w:proofErr w:type="spellEnd"/>
            <w:r>
              <w:rPr>
                <w:rFonts w:eastAsia="Arial Unicode MS"/>
                <w:color w:val="333333"/>
                <w:sz w:val="20"/>
                <w:szCs w:val="20"/>
                <w:shd w:val="clear" w:color="auto" w:fill="FFFFFF"/>
                <w:lang w:val="en-US"/>
              </w:rPr>
              <w:t xml:space="preserve"> a energiei și </w:t>
            </w:r>
            <w:proofErr w:type="spellStart"/>
            <w:r>
              <w:rPr>
                <w:rFonts w:eastAsia="Arial Unicode MS"/>
                <w:color w:val="333333"/>
                <w:sz w:val="20"/>
                <w:szCs w:val="20"/>
                <w:shd w:val="clear" w:color="auto" w:fill="FFFFFF"/>
                <w:lang w:val="en-US"/>
              </w:rPr>
              <w:t>captarea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utilizarea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dioxidului</w:t>
            </w:r>
            <w:proofErr w:type="spellEnd"/>
            <w:r>
              <w:rPr>
                <w:rFonts w:eastAsia="Arial Unicode MS"/>
                <w:color w:val="333333"/>
                <w:sz w:val="20"/>
                <w:szCs w:val="20"/>
                <w:shd w:val="clear" w:color="auto" w:fill="FFFFFF"/>
                <w:lang w:val="en-US"/>
              </w:rPr>
              <w:t xml:space="preserve"> de carbon în </w:t>
            </w:r>
            <w:proofErr w:type="spellStart"/>
            <w:r>
              <w:rPr>
                <w:rFonts w:eastAsia="Arial Unicode MS"/>
                <w:color w:val="333333"/>
                <w:sz w:val="20"/>
                <w:szCs w:val="20"/>
                <w:shd w:val="clear" w:color="auto" w:fill="FFFFFF"/>
                <w:lang w:val="en-US"/>
              </w:rPr>
              <w:t>condiții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siguranță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denumite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continuare</w:t>
            </w:r>
            <w:proofErr w:type="spellEnd"/>
            <w:r>
              <w:rPr>
                <w:rFonts w:eastAsia="Arial Unicode MS"/>
                <w:color w:val="333333"/>
                <w:sz w:val="20"/>
                <w:szCs w:val="20"/>
                <w:shd w:val="clear" w:color="auto" w:fill="FFFFFF"/>
                <w:lang w:val="en-US"/>
              </w:rPr>
              <w:t xml:space="preserve"> „CUC”), care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substanțial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atenuarea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schimbărilor</w:t>
            </w:r>
            <w:proofErr w:type="spellEnd"/>
            <w:r>
              <w:rPr>
                <w:rFonts w:eastAsia="Arial Unicode MS"/>
                <w:color w:val="333333"/>
                <w:sz w:val="20"/>
                <w:szCs w:val="20"/>
                <w:shd w:val="clear" w:color="auto" w:fill="FFFFFF"/>
                <w:lang w:val="en-US"/>
              </w:rPr>
              <w:t xml:space="preserve"> climatice, în special la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inevitabile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proces</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stimularea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elaborării</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funcționării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care au ca scop </w:t>
            </w:r>
            <w:proofErr w:type="spellStart"/>
            <w:r>
              <w:rPr>
                <w:rFonts w:eastAsia="Arial Unicode MS"/>
                <w:color w:val="333333"/>
                <w:sz w:val="20"/>
                <w:szCs w:val="20"/>
                <w:shd w:val="clear" w:color="auto" w:fill="FFFFFF"/>
                <w:lang w:val="en-US"/>
              </w:rPr>
              <w:t>captarea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transportul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stocarea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geologică</w:t>
            </w:r>
            <w:proofErr w:type="spellEnd"/>
            <w:r>
              <w:rPr>
                <w:rFonts w:eastAsia="Arial Unicode MS"/>
                <w:color w:val="333333"/>
                <w:sz w:val="20"/>
                <w:szCs w:val="20"/>
                <w:shd w:val="clear" w:color="auto" w:fill="FFFFFF"/>
                <w:lang w:val="en-US"/>
              </w:rPr>
              <w:t xml:space="preserve"> a CO</w:t>
            </w:r>
            <w:r>
              <w:rPr>
                <w:rStyle w:val="subscript"/>
                <w:rFonts w:eastAsia="Arial Unicode MS"/>
                <w:color w:val="333333"/>
                <w:sz w:val="20"/>
                <w:szCs w:val="20"/>
                <w:vertAlign w:val="subscript"/>
                <w:lang w:val="en-US"/>
              </w:rPr>
              <w:t>2</w:t>
            </w:r>
            <w:r>
              <w:rPr>
                <w:rFonts w:eastAsia="Arial Unicode MS"/>
                <w:color w:val="333333"/>
                <w:sz w:val="20"/>
                <w:szCs w:val="20"/>
                <w:shd w:val="clear" w:color="auto" w:fill="FFFFFF"/>
                <w:lang w:val="en-US"/>
              </w:rPr>
              <w:t>(</w:t>
            </w:r>
            <w:proofErr w:type="spellStart"/>
            <w:r>
              <w:rPr>
                <w:rFonts w:eastAsia="Arial Unicode MS"/>
                <w:color w:val="333333"/>
                <w:sz w:val="20"/>
                <w:szCs w:val="20"/>
                <w:shd w:val="clear" w:color="auto" w:fill="FFFFFF"/>
                <w:lang w:val="en-US"/>
              </w:rPr>
              <w:t>denumite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continuare</w:t>
            </w:r>
            <w:proofErr w:type="spellEnd"/>
            <w:r>
              <w:rPr>
                <w:rFonts w:eastAsia="Arial Unicode MS"/>
                <w:color w:val="333333"/>
                <w:sz w:val="20"/>
                <w:szCs w:val="20"/>
                <w:shd w:val="clear" w:color="auto" w:fill="FFFFFF"/>
                <w:lang w:val="en-US"/>
              </w:rPr>
              <w:t xml:space="preserve"> „CSC”) în </w:t>
            </w:r>
            <w:proofErr w:type="spellStart"/>
            <w:r>
              <w:rPr>
                <w:rFonts w:eastAsia="Arial Unicode MS"/>
                <w:color w:val="333333"/>
                <w:sz w:val="20"/>
                <w:szCs w:val="20"/>
                <w:shd w:val="clear" w:color="auto" w:fill="FFFFFF"/>
                <w:lang w:val="en-US"/>
              </w:rPr>
              <w:t>condiții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siguranță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mediu</w:t>
            </w:r>
            <w:proofErr w:type="spellEnd"/>
            <w:r>
              <w:rPr>
                <w:rFonts w:eastAsia="Arial Unicode MS"/>
                <w:color w:val="333333"/>
                <w:sz w:val="20"/>
                <w:szCs w:val="20"/>
                <w:shd w:val="clear" w:color="auto" w:fill="FFFFFF"/>
                <w:lang w:val="en-US"/>
              </w:rPr>
              <w:t xml:space="preserve">, în special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inevitabile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proceselor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industriale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captarea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directă</w:t>
            </w:r>
            <w:proofErr w:type="spellEnd"/>
            <w:r>
              <w:rPr>
                <w:rFonts w:eastAsia="Arial Unicode MS"/>
                <w:color w:val="333333"/>
                <w:sz w:val="20"/>
                <w:szCs w:val="20"/>
                <w:shd w:val="clear" w:color="auto" w:fill="FFFFFF"/>
                <w:lang w:val="en-US"/>
              </w:rPr>
              <w:t xml:space="preserve"> a CO</w:t>
            </w:r>
            <w:r>
              <w:rPr>
                <w:rStyle w:val="subscript"/>
                <w:rFonts w:eastAsia="Arial Unicode MS"/>
                <w:color w:val="333333"/>
                <w:sz w:val="20"/>
                <w:szCs w:val="20"/>
                <w:vertAlign w:val="subscript"/>
                <w:lang w:val="en-US"/>
              </w:rPr>
              <w:t>2</w:t>
            </w:r>
            <w:r w:rsidR="00A5319F">
              <w:rPr>
                <w:rStyle w:val="apple-converted-space"/>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din </w:t>
            </w:r>
            <w:proofErr w:type="spellStart"/>
            <w:r>
              <w:rPr>
                <w:rFonts w:eastAsia="Arial Unicode MS"/>
                <w:color w:val="333333"/>
                <w:sz w:val="20"/>
                <w:szCs w:val="20"/>
                <w:shd w:val="clear" w:color="auto" w:fill="FFFFFF"/>
                <w:lang w:val="en-US"/>
              </w:rPr>
              <w:t>atmosferă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stocare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sigură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durabilă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permanentă</w:t>
            </w:r>
            <w:proofErr w:type="spellEnd"/>
            <w:r>
              <w:rPr>
                <w:rFonts w:eastAsia="Arial Unicode MS"/>
                <w:color w:val="333333"/>
                <w:sz w:val="20"/>
                <w:szCs w:val="20"/>
                <w:shd w:val="clear" w:color="auto" w:fill="FFFFFF"/>
                <w:lang w:val="en-US"/>
              </w:rPr>
              <w:t xml:space="preserve"> (DACS), în </w:t>
            </w:r>
            <w:proofErr w:type="spellStart"/>
            <w:r>
              <w:rPr>
                <w:rFonts w:eastAsia="Arial Unicode MS"/>
                <w:color w:val="333333"/>
                <w:sz w:val="20"/>
                <w:szCs w:val="20"/>
                <w:shd w:val="clear" w:color="auto" w:fill="FFFFFF"/>
                <w:lang w:val="en-US"/>
              </w:rPr>
              <w:t>puncte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echilibrate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geografic</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asemenea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infrastructuri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inovatoare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revoluționare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producția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combustibili</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reduse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și cu zero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decarbonizarea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sectorului</w:t>
            </w:r>
            <w:proofErr w:type="spellEnd"/>
            <w:r>
              <w:rPr>
                <w:rFonts w:eastAsia="Arial Unicode MS"/>
                <w:color w:val="333333"/>
                <w:sz w:val="20"/>
                <w:szCs w:val="20"/>
                <w:shd w:val="clear" w:color="auto" w:fill="FFFFFF"/>
                <w:lang w:val="en-US"/>
              </w:rPr>
              <w:t xml:space="preserve"> maritim, </w:t>
            </w:r>
            <w:proofErr w:type="spellStart"/>
            <w:r>
              <w:rPr>
                <w:rFonts w:eastAsia="Arial Unicode MS"/>
                <w:color w:val="333333"/>
                <w:sz w:val="20"/>
                <w:szCs w:val="20"/>
                <w:shd w:val="clear" w:color="auto" w:fill="FFFFFF"/>
                <w:lang w:val="en-US"/>
              </w:rPr>
              <w:t>aviației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transportului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feroviar</w:t>
            </w:r>
            <w:proofErr w:type="spellEnd"/>
            <w:r>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lastRenderedPageBreak/>
              <w:t xml:space="preserve">și </w:t>
            </w:r>
            <w:proofErr w:type="spellStart"/>
            <w:r>
              <w:rPr>
                <w:rFonts w:eastAsia="Arial Unicode MS"/>
                <w:color w:val="333333"/>
                <w:sz w:val="20"/>
                <w:szCs w:val="20"/>
                <w:shd w:val="clear" w:color="auto" w:fill="FFFFFF"/>
                <w:lang w:val="en-US"/>
              </w:rPr>
              <w:t>transportului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rutier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forme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colective</w:t>
            </w:r>
            <w:proofErr w:type="spellEnd"/>
            <w:r>
              <w:rPr>
                <w:rFonts w:eastAsia="Arial Unicode MS"/>
                <w:color w:val="333333"/>
                <w:sz w:val="20"/>
                <w:szCs w:val="20"/>
                <w:shd w:val="clear" w:color="auto" w:fill="FFFFFF"/>
                <w:lang w:val="en-US"/>
              </w:rPr>
              <w:t xml:space="preserve"> de transport, cum </w:t>
            </w:r>
            <w:proofErr w:type="spellStart"/>
            <w:r>
              <w:rPr>
                <w:rFonts w:eastAsia="Arial Unicode MS"/>
                <w:color w:val="333333"/>
                <w:sz w:val="20"/>
                <w:szCs w:val="20"/>
                <w:shd w:val="clear" w:color="auto" w:fill="FFFFFF"/>
                <w:lang w:val="en-US"/>
              </w:rPr>
              <w:t>ar</w:t>
            </w:r>
            <w:proofErr w:type="spellEnd"/>
            <w:r>
              <w:rPr>
                <w:rFonts w:eastAsia="Arial Unicode MS"/>
                <w:color w:val="333333"/>
                <w:sz w:val="20"/>
                <w:szCs w:val="20"/>
                <w:shd w:val="clear" w:color="auto" w:fill="FFFFFF"/>
                <w:lang w:val="en-US"/>
              </w:rPr>
              <w:t xml:space="preserve"> fi </w:t>
            </w:r>
            <w:proofErr w:type="spellStart"/>
            <w:r>
              <w:rPr>
                <w:rFonts w:eastAsia="Arial Unicode MS"/>
                <w:color w:val="333333"/>
                <w:sz w:val="20"/>
                <w:szCs w:val="20"/>
                <w:shd w:val="clear" w:color="auto" w:fill="FFFFFF"/>
                <w:lang w:val="en-US"/>
              </w:rPr>
              <w:t>serviciile</w:t>
            </w:r>
            <w:proofErr w:type="spellEnd"/>
            <w:r>
              <w:rPr>
                <w:rFonts w:eastAsia="Arial Unicode MS"/>
                <w:color w:val="333333"/>
                <w:sz w:val="20"/>
                <w:szCs w:val="20"/>
                <w:shd w:val="clear" w:color="auto" w:fill="FFFFFF"/>
                <w:lang w:val="en-US"/>
              </w:rPr>
              <w:t xml:space="preserve"> de transport public și de transport cu </w:t>
            </w:r>
            <w:proofErr w:type="spellStart"/>
            <w:r>
              <w:rPr>
                <w:rFonts w:eastAsia="Arial Unicode MS"/>
                <w:color w:val="333333"/>
                <w:sz w:val="20"/>
                <w:szCs w:val="20"/>
                <w:shd w:val="clear" w:color="auto" w:fill="FFFFFF"/>
                <w:lang w:val="en-US"/>
              </w:rPr>
              <w:t>autocarul</w:t>
            </w:r>
            <w:proofErr w:type="spellEnd"/>
            <w:r>
              <w:rPr>
                <w:rFonts w:ascii="Arial Unicode MS" w:eastAsia="Arial Unicode MS" w:hAnsi="Arial Unicode MS" w:cs="Arial Unicode MS" w:hint="eastAsia"/>
                <w:color w:val="333333"/>
                <w:sz w:val="21"/>
                <w:szCs w:val="21"/>
                <w:shd w:val="clear" w:color="auto" w:fill="FFFFFF"/>
                <w:lang w:val="en-US"/>
              </w:rPr>
              <w:t>.</w:t>
            </w:r>
          </w:p>
          <w:p w14:paraId="0182CD4E"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De </w:t>
            </w:r>
            <w:proofErr w:type="spellStart"/>
            <w:r>
              <w:rPr>
                <w:rFonts w:eastAsia="Arial Unicode MS"/>
                <w:color w:val="333333"/>
                <w:sz w:val="20"/>
                <w:szCs w:val="20"/>
                <w:shd w:val="clear" w:color="auto" w:fill="FFFFFF"/>
                <w:lang w:val="en-US"/>
              </w:rPr>
              <w:t>asemenea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sectorul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aviației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electrificarea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măsurile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impactului</w:t>
            </w:r>
            <w:proofErr w:type="spellEnd"/>
            <w:r>
              <w:rPr>
                <w:rFonts w:eastAsia="Arial Unicode MS"/>
                <w:color w:val="333333"/>
                <w:sz w:val="20"/>
                <w:szCs w:val="20"/>
                <w:shd w:val="clear" w:color="auto" w:fill="FFFFFF"/>
                <w:lang w:val="en-US"/>
              </w:rPr>
              <w:t xml:space="preserve"> global al </w:t>
            </w:r>
            <w:proofErr w:type="spellStart"/>
            <w:r>
              <w:rPr>
                <w:rFonts w:eastAsia="Arial Unicode MS"/>
                <w:color w:val="333333"/>
                <w:sz w:val="20"/>
                <w:szCs w:val="20"/>
                <w:shd w:val="clear" w:color="auto" w:fill="FFFFFF"/>
                <w:lang w:val="en-US"/>
              </w:rPr>
              <w:t>aviației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asupra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climei</w:t>
            </w:r>
            <w:proofErr w:type="spellEnd"/>
            <w:r>
              <w:rPr>
                <w:rFonts w:eastAsia="Arial Unicode MS"/>
                <w:color w:val="333333"/>
                <w:sz w:val="20"/>
                <w:szCs w:val="20"/>
                <w:shd w:val="clear" w:color="auto" w:fill="FFFFFF"/>
                <w:lang w:val="en-US"/>
              </w:rPr>
              <w:t>.</w:t>
            </w:r>
          </w:p>
          <w:p w14:paraId="120AE3DC" w14:textId="60F11A66"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acordă</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atenție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deosebită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vizate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2023/956 în </w:t>
            </w:r>
            <w:proofErr w:type="spellStart"/>
            <w:r>
              <w:rPr>
                <w:rFonts w:eastAsia="Arial Unicode MS"/>
                <w:color w:val="333333"/>
                <w:sz w:val="20"/>
                <w:szCs w:val="20"/>
                <w:shd w:val="clear" w:color="auto" w:fill="FFFFFF"/>
                <w:lang w:val="en-US"/>
              </w:rPr>
              <w:t>vederea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sprijinirii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inovării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domeniul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tehnologiilor</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reduse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al CUC, al CSC, al energiei din surse </w:t>
            </w:r>
            <w:proofErr w:type="spellStart"/>
            <w:r>
              <w:rPr>
                <w:rFonts w:eastAsia="Arial Unicode MS"/>
                <w:color w:val="333333"/>
                <w:sz w:val="20"/>
                <w:szCs w:val="20"/>
                <w:shd w:val="clear" w:color="auto" w:fill="FFFFFF"/>
                <w:lang w:val="en-US"/>
              </w:rPr>
              <w:t>regenerabile</w:t>
            </w:r>
            <w:proofErr w:type="spellEnd"/>
            <w:r>
              <w:rPr>
                <w:rFonts w:eastAsia="Arial Unicode MS"/>
                <w:color w:val="333333"/>
                <w:sz w:val="20"/>
                <w:szCs w:val="20"/>
                <w:shd w:val="clear" w:color="auto" w:fill="FFFFFF"/>
                <w:lang w:val="en-US"/>
              </w:rPr>
              <w:t xml:space="preserve"> și al </w:t>
            </w:r>
            <w:proofErr w:type="spellStart"/>
            <w:r>
              <w:rPr>
                <w:rFonts w:eastAsia="Arial Unicode MS"/>
                <w:color w:val="333333"/>
                <w:sz w:val="20"/>
                <w:szCs w:val="20"/>
                <w:shd w:val="clear" w:color="auto" w:fill="FFFFFF"/>
                <w:lang w:val="en-US"/>
              </w:rPr>
              <w:t>stocării</w:t>
            </w:r>
            <w:proofErr w:type="spellEnd"/>
            <w:r>
              <w:rPr>
                <w:rFonts w:eastAsia="Arial Unicode MS"/>
                <w:color w:val="333333"/>
                <w:sz w:val="20"/>
                <w:szCs w:val="20"/>
                <w:shd w:val="clear" w:color="auto" w:fill="FFFFFF"/>
                <w:lang w:val="en-US"/>
              </w:rPr>
              <w:t xml:space="preserve"> energiei,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mod care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atenuarea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schimbărilor</w:t>
            </w:r>
            <w:proofErr w:type="spellEnd"/>
            <w:r>
              <w:rPr>
                <w:rFonts w:eastAsia="Arial Unicode MS"/>
                <w:color w:val="333333"/>
                <w:sz w:val="20"/>
                <w:szCs w:val="20"/>
                <w:shd w:val="clear" w:color="auto" w:fill="FFFFFF"/>
                <w:lang w:val="en-US"/>
              </w:rPr>
              <w:t xml:space="preserve"> climatice, cu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de a </w:t>
            </w:r>
            <w:proofErr w:type="spellStart"/>
            <w:r>
              <w:rPr>
                <w:rFonts w:eastAsia="Arial Unicode MS"/>
                <w:color w:val="333333"/>
                <w:sz w:val="20"/>
                <w:szCs w:val="20"/>
                <w:shd w:val="clear" w:color="auto" w:fill="FFFFFF"/>
                <w:lang w:val="en-US"/>
              </w:rPr>
              <w:t>acorda</w:t>
            </w:r>
            <w:proofErr w:type="spellEnd"/>
            <w:r>
              <w:rPr>
                <w:rFonts w:eastAsia="Arial Unicode MS"/>
                <w:color w:val="333333"/>
                <w:sz w:val="20"/>
                <w:szCs w:val="20"/>
                <w:shd w:val="clear" w:color="auto" w:fill="FFFFFF"/>
                <w:lang w:val="en-US"/>
              </w:rPr>
              <w:t xml:space="preserve">, în perioada 2021-2030,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respective o </w:t>
            </w:r>
            <w:proofErr w:type="spellStart"/>
            <w:r>
              <w:rPr>
                <w:rFonts w:eastAsia="Arial Unicode MS"/>
                <w:color w:val="333333"/>
                <w:sz w:val="20"/>
                <w:szCs w:val="20"/>
                <w:shd w:val="clear" w:color="auto" w:fill="FFFFFF"/>
                <w:lang w:val="en-US"/>
              </w:rPr>
              <w:t>cotă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semnificativă</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valoarea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echivalentă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(1a) al </w:t>
            </w:r>
            <w:proofErr w:type="spellStart"/>
            <w:r>
              <w:rPr>
                <w:rFonts w:eastAsia="Arial Unicode MS"/>
                <w:color w:val="333333"/>
                <w:sz w:val="20"/>
                <w:szCs w:val="20"/>
                <w:shd w:val="clear" w:color="auto" w:fill="FFFFFF"/>
                <w:lang w:val="en-US"/>
              </w:rPr>
              <w:t>patrulea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În plus,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lansa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înainte</w:t>
            </w:r>
            <w:proofErr w:type="spellEnd"/>
            <w:r>
              <w:rPr>
                <w:rFonts w:eastAsia="Arial Unicode MS"/>
                <w:color w:val="333333"/>
                <w:sz w:val="20"/>
                <w:szCs w:val="20"/>
                <w:shd w:val="clear" w:color="auto" w:fill="FFFFFF"/>
                <w:lang w:val="en-US"/>
              </w:rPr>
              <w:t xml:space="preserve"> de</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2027 </w:t>
            </w:r>
            <w:proofErr w:type="spellStart"/>
            <w:r>
              <w:rPr>
                <w:rFonts w:eastAsia="Arial Unicode MS"/>
                <w:color w:val="333333"/>
                <w:sz w:val="20"/>
                <w:szCs w:val="20"/>
                <w:shd w:val="clear" w:color="auto" w:fill="FFFFFF"/>
                <w:lang w:val="en-US"/>
              </w:rPr>
              <w:t>cereri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adresate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vizate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w:t>
            </w:r>
          </w:p>
          <w:p w14:paraId="46D42894"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asemenea</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atenție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deosebită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decarbonizarea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sectorului</w:t>
            </w:r>
            <w:proofErr w:type="spellEnd"/>
            <w:r>
              <w:rPr>
                <w:rFonts w:eastAsia="Arial Unicode MS"/>
                <w:color w:val="333333"/>
                <w:sz w:val="20"/>
                <w:szCs w:val="20"/>
                <w:shd w:val="clear" w:color="auto" w:fill="FFFFFF"/>
                <w:lang w:val="en-US"/>
              </w:rPr>
              <w:t xml:space="preserve"> maritim și include </w:t>
            </w:r>
            <w:proofErr w:type="spellStart"/>
            <w:r>
              <w:rPr>
                <w:rFonts w:eastAsia="Arial Unicode MS"/>
                <w:color w:val="333333"/>
                <w:sz w:val="20"/>
                <w:szCs w:val="20"/>
                <w:shd w:val="clear" w:color="auto" w:fill="FFFFFF"/>
                <w:lang w:val="en-US"/>
              </w:rPr>
              <w:t>subiecte</w:t>
            </w:r>
            <w:proofErr w:type="spellEnd"/>
            <w:r>
              <w:rPr>
                <w:rFonts w:eastAsia="Arial Unicode MS"/>
                <w:color w:val="333333"/>
                <w:sz w:val="20"/>
                <w:szCs w:val="20"/>
                <w:shd w:val="clear" w:color="auto" w:fill="FFFFFF"/>
                <w:lang w:val="en-US"/>
              </w:rPr>
              <w:t xml:space="preserve"> dedicate </w:t>
            </w:r>
            <w:proofErr w:type="spellStart"/>
            <w:r>
              <w:rPr>
                <w:rFonts w:eastAsia="Arial Unicode MS"/>
                <w:color w:val="333333"/>
                <w:sz w:val="20"/>
                <w:szCs w:val="20"/>
                <w:shd w:val="clear" w:color="auto" w:fill="FFFFFF"/>
                <w:lang w:val="en-US"/>
              </w:rPr>
              <w:t>acestui</w:t>
            </w:r>
            <w:proofErr w:type="spellEnd"/>
            <w:r>
              <w:rPr>
                <w:rFonts w:eastAsia="Arial Unicode MS"/>
                <w:color w:val="333333"/>
                <w:sz w:val="20"/>
                <w:szCs w:val="20"/>
                <w:shd w:val="clear" w:color="auto" w:fill="FFFFFF"/>
                <w:lang w:val="en-US"/>
              </w:rPr>
              <w:t xml:space="preserve"> scop în </w:t>
            </w: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electrificarea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transportului</w:t>
            </w:r>
            <w:proofErr w:type="spellEnd"/>
            <w:r>
              <w:rPr>
                <w:rFonts w:eastAsia="Arial Unicode MS"/>
                <w:color w:val="333333"/>
                <w:sz w:val="20"/>
                <w:szCs w:val="20"/>
                <w:shd w:val="clear" w:color="auto" w:fill="FFFFFF"/>
                <w:lang w:val="en-US"/>
              </w:rPr>
              <w:t xml:space="preserve"> maritim și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abordarea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tuturor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efectelor</w:t>
            </w:r>
            <w:proofErr w:type="spellEnd"/>
            <w:r>
              <w:rPr>
                <w:rFonts w:eastAsia="Arial Unicode MS"/>
                <w:color w:val="333333"/>
                <w:sz w:val="20"/>
                <w:szCs w:val="20"/>
                <w:shd w:val="clear" w:color="auto" w:fill="FFFFFF"/>
                <w:lang w:val="en-US"/>
              </w:rPr>
              <w:t xml:space="preserve"> sale </w:t>
            </w:r>
            <w:proofErr w:type="spellStart"/>
            <w:r>
              <w:rPr>
                <w:rFonts w:eastAsia="Arial Unicode MS"/>
                <w:color w:val="333333"/>
                <w:sz w:val="20"/>
                <w:szCs w:val="20"/>
                <w:shd w:val="clear" w:color="auto" w:fill="FFFFFF"/>
                <w:lang w:val="en-US"/>
              </w:rPr>
              <w:t>asupra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negru</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fum</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cereri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totodată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seama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criteriile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selectarea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în special de </w:t>
            </w:r>
            <w:proofErr w:type="spellStart"/>
            <w:r>
              <w:rPr>
                <w:rFonts w:eastAsia="Arial Unicode MS"/>
                <w:color w:val="333333"/>
                <w:sz w:val="20"/>
                <w:szCs w:val="20"/>
                <w:shd w:val="clear" w:color="auto" w:fill="FFFFFF"/>
                <w:lang w:val="en-US"/>
              </w:rPr>
              <w:t>potențialul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și al </w:t>
            </w:r>
            <w:proofErr w:type="spellStart"/>
            <w:r>
              <w:rPr>
                <w:rFonts w:eastAsia="Arial Unicode MS"/>
                <w:color w:val="333333"/>
                <w:sz w:val="20"/>
                <w:szCs w:val="20"/>
                <w:shd w:val="clear" w:color="auto" w:fill="FFFFFF"/>
                <w:lang w:val="en-US"/>
              </w:rPr>
              <w:t>investițiilor</w:t>
            </w:r>
            <w:proofErr w:type="spellEnd"/>
            <w:r>
              <w:rPr>
                <w:rFonts w:eastAsia="Arial Unicode MS"/>
                <w:color w:val="333333"/>
                <w:sz w:val="20"/>
                <w:szCs w:val="20"/>
                <w:shd w:val="clear" w:color="auto" w:fill="FFFFFF"/>
                <w:lang w:val="en-US"/>
              </w:rPr>
              <w:t xml:space="preserve"> de a </w:t>
            </w:r>
            <w:proofErr w:type="spellStart"/>
            <w:r>
              <w:rPr>
                <w:rFonts w:eastAsia="Arial Unicode MS"/>
                <w:color w:val="333333"/>
                <w:sz w:val="20"/>
                <w:szCs w:val="20"/>
                <w:shd w:val="clear" w:color="auto" w:fill="FFFFFF"/>
                <w:lang w:val="en-US"/>
              </w:rPr>
              <w:t>spori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protecția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biodiversității</w:t>
            </w:r>
            <w:proofErr w:type="spellEnd"/>
            <w:r>
              <w:rPr>
                <w:rFonts w:eastAsia="Arial Unicode MS"/>
                <w:color w:val="333333"/>
                <w:sz w:val="20"/>
                <w:szCs w:val="20"/>
                <w:shd w:val="clear" w:color="auto" w:fill="FFFFFF"/>
                <w:lang w:val="en-US"/>
              </w:rPr>
              <w:t xml:space="preserve"> și de a reduce </w:t>
            </w:r>
            <w:proofErr w:type="spellStart"/>
            <w:r>
              <w:rPr>
                <w:rFonts w:eastAsia="Arial Unicode MS"/>
                <w:color w:val="333333"/>
                <w:sz w:val="20"/>
                <w:szCs w:val="20"/>
                <w:shd w:val="clear" w:color="auto" w:fill="FFFFFF"/>
                <w:lang w:val="en-US"/>
              </w:rPr>
              <w:t>poluarea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fonică</w:t>
            </w:r>
            <w:proofErr w:type="spellEnd"/>
            <w:r>
              <w:rPr>
                <w:rFonts w:eastAsia="Arial Unicode MS"/>
                <w:color w:val="333333"/>
                <w:sz w:val="20"/>
                <w:szCs w:val="20"/>
                <w:shd w:val="clear" w:color="auto" w:fill="FFFFFF"/>
                <w:lang w:val="en-US"/>
              </w:rPr>
              <w:t xml:space="preserve"> și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apei</w:t>
            </w:r>
            <w:proofErr w:type="spellEnd"/>
            <w:r>
              <w:rPr>
                <w:rFonts w:eastAsia="Arial Unicode MS"/>
                <w:color w:val="333333"/>
                <w:sz w:val="20"/>
                <w:szCs w:val="20"/>
                <w:shd w:val="clear" w:color="auto" w:fill="FFFFFF"/>
                <w:lang w:val="en-US"/>
              </w:rPr>
              <w:t>.</w:t>
            </w:r>
          </w:p>
          <w:p w14:paraId="5425830E" w14:textId="30E6FD7F"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(8a),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concurențiale</w:t>
            </w:r>
            <w:proofErr w:type="spellEnd"/>
            <w:r>
              <w:rPr>
                <w:rFonts w:eastAsia="Arial Unicode MS"/>
                <w:color w:val="333333"/>
                <w:sz w:val="20"/>
                <w:szCs w:val="20"/>
                <w:shd w:val="clear" w:color="auto" w:fill="FFFFFF"/>
                <w:lang w:val="en-US"/>
              </w:rPr>
              <w:t xml:space="preserve">, cum </w:t>
            </w:r>
            <w:proofErr w:type="spellStart"/>
            <w:r>
              <w:rPr>
                <w:rFonts w:eastAsia="Arial Unicode MS"/>
                <w:color w:val="333333"/>
                <w:sz w:val="20"/>
                <w:szCs w:val="20"/>
                <w:shd w:val="clear" w:color="auto" w:fill="FFFFFF"/>
                <w:lang w:val="en-US"/>
              </w:rPr>
              <w:t>ar</w:t>
            </w:r>
            <w:proofErr w:type="spellEnd"/>
            <w:r>
              <w:rPr>
                <w:rFonts w:eastAsia="Arial Unicode MS"/>
                <w:color w:val="333333"/>
                <w:sz w:val="20"/>
                <w:szCs w:val="20"/>
                <w:shd w:val="clear" w:color="auto" w:fill="FFFFFF"/>
                <w:lang w:val="en-US"/>
              </w:rPr>
              <w:t xml:space="preserve"> fi </w:t>
            </w:r>
            <w:proofErr w:type="spellStart"/>
            <w:r>
              <w:rPr>
                <w:rFonts w:eastAsia="Arial Unicode MS"/>
                <w:color w:val="333333"/>
                <w:sz w:val="20"/>
                <w:szCs w:val="20"/>
                <w:shd w:val="clear" w:color="auto" w:fill="FFFFFF"/>
                <w:lang w:val="en-US"/>
              </w:rPr>
              <w:t>CfD</w:t>
            </w:r>
            <w:proofErr w:type="spellEnd"/>
            <w:r>
              <w:rPr>
                <w:rFonts w:eastAsia="Arial Unicode MS"/>
                <w:color w:val="333333"/>
                <w:sz w:val="20"/>
                <w:szCs w:val="20"/>
                <w:shd w:val="clear" w:color="auto" w:fill="FFFFFF"/>
                <w:lang w:val="en-US"/>
              </w:rPr>
              <w:t xml:space="preserve">-urile, </w:t>
            </w:r>
            <w:proofErr w:type="spellStart"/>
            <w:r>
              <w:rPr>
                <w:rFonts w:eastAsia="Arial Unicode MS"/>
                <w:color w:val="333333"/>
                <w:sz w:val="20"/>
                <w:szCs w:val="20"/>
                <w:shd w:val="clear" w:color="auto" w:fill="FFFFFF"/>
                <w:lang w:val="en-US"/>
              </w:rPr>
              <w:t>CCfD</w:t>
            </w:r>
            <w:proofErr w:type="spellEnd"/>
            <w:r>
              <w:rPr>
                <w:rFonts w:eastAsia="Arial Unicode MS"/>
                <w:color w:val="333333"/>
                <w:sz w:val="20"/>
                <w:szCs w:val="20"/>
                <w:shd w:val="clear" w:color="auto" w:fill="FFFFFF"/>
                <w:lang w:val="en-US"/>
              </w:rPr>
              <w:t xml:space="preserve">-urile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contractele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primă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fixă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sprijini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decarbonizare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prețul</w:t>
            </w:r>
            <w:proofErr w:type="spellEnd"/>
            <w:r>
              <w:rPr>
                <w:rFonts w:eastAsia="Arial Unicode MS"/>
                <w:color w:val="333333"/>
                <w:sz w:val="20"/>
                <w:szCs w:val="20"/>
                <w:shd w:val="clear" w:color="auto" w:fill="FFFFFF"/>
                <w:lang w:val="en-US"/>
              </w:rPr>
              <w:t xml:space="preserve"> carbonului </w:t>
            </w:r>
            <w:proofErr w:type="spellStart"/>
            <w:r>
              <w:rPr>
                <w:rFonts w:eastAsia="Arial Unicode MS"/>
                <w:color w:val="333333"/>
                <w:sz w:val="20"/>
                <w:szCs w:val="20"/>
                <w:shd w:val="clear" w:color="auto" w:fill="FFFFFF"/>
                <w:lang w:val="en-US"/>
              </w:rPr>
              <w:t>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nu fie un </w:t>
            </w:r>
            <w:proofErr w:type="spellStart"/>
            <w:r>
              <w:rPr>
                <w:rFonts w:eastAsia="Arial Unicode MS"/>
                <w:color w:val="333333"/>
                <w:sz w:val="20"/>
                <w:szCs w:val="20"/>
                <w:shd w:val="clear" w:color="auto" w:fill="FFFFFF"/>
                <w:lang w:val="en-US"/>
              </w:rPr>
              <w:t>stimulent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suficient</w:t>
            </w:r>
            <w:proofErr w:type="spellEnd"/>
            <w:r>
              <w:rPr>
                <w:rFonts w:eastAsia="Arial Unicode MS"/>
                <w:color w:val="333333"/>
                <w:sz w:val="20"/>
                <w:szCs w:val="20"/>
                <w:shd w:val="clear" w:color="auto" w:fill="FFFFFF"/>
                <w:lang w:val="en-US"/>
              </w:rPr>
              <w:t>.</w:t>
            </w:r>
          </w:p>
          <w:p w14:paraId="3E2184AE"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identifică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sinergii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Orizont</w:t>
            </w:r>
            <w:proofErr w:type="spellEnd"/>
            <w:r>
              <w:rPr>
                <w:rFonts w:eastAsia="Arial Unicode MS"/>
                <w:color w:val="333333"/>
                <w:sz w:val="20"/>
                <w:szCs w:val="20"/>
                <w:shd w:val="clear" w:color="auto" w:fill="FFFFFF"/>
                <w:lang w:val="en-US"/>
              </w:rPr>
              <w:t xml:space="preserve"> Europa, în special în </w:t>
            </w:r>
            <w:proofErr w:type="spellStart"/>
            <w:r>
              <w:rPr>
                <w:rFonts w:eastAsia="Arial Unicode MS"/>
                <w:color w:val="333333"/>
                <w:sz w:val="20"/>
                <w:szCs w:val="20"/>
                <w:shd w:val="clear" w:color="auto" w:fill="FFFFFF"/>
                <w:lang w:val="en-US"/>
              </w:rPr>
              <w:t>ceea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privește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parteneriatele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europene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identifică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sinergii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alte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programe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w:t>
            </w:r>
          </w:p>
          <w:p w14:paraId="26EBE3D3"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Sunt </w:t>
            </w:r>
            <w:proofErr w:type="spellStart"/>
            <w:r>
              <w:rPr>
                <w:rFonts w:eastAsia="Arial Unicode MS"/>
                <w:color w:val="333333"/>
                <w:sz w:val="20"/>
                <w:szCs w:val="20"/>
                <w:shd w:val="clear" w:color="auto" w:fill="FFFFFF"/>
                <w:lang w:val="en-US"/>
              </w:rPr>
              <w:t>eligibile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vizează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teritoriul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tuturor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dimensiuni</w:t>
            </w:r>
            <w:proofErr w:type="spellEnd"/>
            <w:r>
              <w:rPr>
                <w:rFonts w:eastAsia="Arial Unicode MS"/>
                <w:color w:val="333333"/>
                <w:sz w:val="20"/>
                <w:szCs w:val="20"/>
                <w:shd w:val="clear" w:color="auto" w:fill="FFFFFF"/>
                <w:lang w:val="en-US"/>
              </w:rPr>
              <w:t xml:space="preserve"> și de </w:t>
            </w:r>
            <w:proofErr w:type="spellStart"/>
            <w:r>
              <w:rPr>
                <w:rFonts w:eastAsia="Arial Unicode MS"/>
                <w:color w:val="333333"/>
                <w:sz w:val="20"/>
                <w:szCs w:val="20"/>
                <w:shd w:val="clear" w:color="auto" w:fill="FFFFFF"/>
                <w:lang w:val="en-US"/>
              </w:rPr>
              <w:t>dimensiuni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activitățile</w:t>
            </w:r>
            <w:proofErr w:type="spellEnd"/>
            <w:r>
              <w:rPr>
                <w:rFonts w:eastAsia="Arial Unicode MS"/>
                <w:color w:val="333333"/>
                <w:sz w:val="20"/>
                <w:szCs w:val="20"/>
                <w:shd w:val="clear" w:color="auto" w:fill="FFFFFF"/>
                <w:lang w:val="en-US"/>
              </w:rPr>
              <w:t xml:space="preserve"> maritime,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cu o </w:t>
            </w:r>
            <w:proofErr w:type="spellStart"/>
            <w:r>
              <w:rPr>
                <w:rFonts w:eastAsia="Arial Unicode MS"/>
                <w:color w:val="333333"/>
                <w:sz w:val="20"/>
                <w:szCs w:val="20"/>
                <w:shd w:val="clear" w:color="auto" w:fill="FFFFFF"/>
                <w:lang w:val="en-US"/>
              </w:rPr>
              <w:t>valoare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adăugată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clară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Tehnologiile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beneficiază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w:t>
            </w:r>
            <w:proofErr w:type="spellStart"/>
            <w:r>
              <w:rPr>
                <w:rFonts w:eastAsia="Arial Unicode MS"/>
                <w:color w:val="333333"/>
                <w:sz w:val="20"/>
                <w:szCs w:val="20"/>
                <w:shd w:val="clear" w:color="auto" w:fill="FFFFFF"/>
                <w:lang w:val="en-US"/>
              </w:rPr>
              <w:t>inovatoare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nu fie </w:t>
            </w:r>
            <w:proofErr w:type="spellStart"/>
            <w:r>
              <w:rPr>
                <w:rFonts w:eastAsia="Arial Unicode MS"/>
                <w:color w:val="333333"/>
                <w:sz w:val="20"/>
                <w:szCs w:val="20"/>
                <w:shd w:val="clear" w:color="auto" w:fill="FFFFFF"/>
                <w:lang w:val="en-US"/>
              </w:rPr>
              <w:t>încă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viabile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punct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vedere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comercial</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absența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reprezinte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soluții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revoluționare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w:t>
            </w:r>
            <w:proofErr w:type="spellStart"/>
            <w:r>
              <w:rPr>
                <w:rFonts w:eastAsia="Arial Unicode MS"/>
                <w:color w:val="333333"/>
                <w:sz w:val="20"/>
                <w:szCs w:val="20"/>
                <w:shd w:val="clear" w:color="auto" w:fill="FFFFFF"/>
                <w:lang w:val="en-US"/>
              </w:rPr>
              <w:t>suficient</w:t>
            </w:r>
            <w:proofErr w:type="spellEnd"/>
            <w:r>
              <w:rPr>
                <w:rFonts w:eastAsia="Arial Unicode MS"/>
                <w:color w:val="333333"/>
                <w:sz w:val="20"/>
                <w:szCs w:val="20"/>
                <w:shd w:val="clear" w:color="auto" w:fill="FFFFFF"/>
                <w:lang w:val="en-US"/>
              </w:rPr>
              <w:t xml:space="preserve"> de mature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putea</w:t>
            </w:r>
            <w:proofErr w:type="spellEnd"/>
            <w:r>
              <w:rPr>
                <w:rFonts w:eastAsia="Arial Unicode MS"/>
                <w:color w:val="333333"/>
                <w:sz w:val="20"/>
                <w:szCs w:val="20"/>
                <w:shd w:val="clear" w:color="auto" w:fill="FFFFFF"/>
                <w:lang w:val="en-US"/>
              </w:rPr>
              <w:t xml:space="preserve"> fi </w:t>
            </w:r>
            <w:proofErr w:type="spellStart"/>
            <w:r>
              <w:rPr>
                <w:rFonts w:eastAsia="Arial Unicode MS"/>
                <w:color w:val="333333"/>
                <w:sz w:val="20"/>
                <w:szCs w:val="20"/>
                <w:shd w:val="clear" w:color="auto" w:fill="FFFFFF"/>
                <w:lang w:val="en-US"/>
              </w:rPr>
              <w:t>puse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scară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precomercială</w:t>
            </w:r>
            <w:proofErr w:type="spellEnd"/>
            <w:r>
              <w:rPr>
                <w:rFonts w:eastAsia="Arial Unicode MS"/>
                <w:color w:val="333333"/>
                <w:sz w:val="20"/>
                <w:szCs w:val="20"/>
                <w:shd w:val="clear" w:color="auto" w:fill="FFFFFF"/>
                <w:lang w:val="en-US"/>
              </w:rPr>
              <w:t>.</w:t>
            </w:r>
          </w:p>
          <w:p w14:paraId="428FDC9C" w14:textId="21217DEF"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lastRenderedPageBreak/>
              <w:t>Comisia</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destinate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licitează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principiile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modalitățile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10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(4)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obținute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urma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constituie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externe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Euratom)</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2018/1046 al </w:t>
            </w:r>
            <w:proofErr w:type="spellStart"/>
            <w:r>
              <w:rPr>
                <w:rFonts w:eastAsia="Arial Unicode MS"/>
                <w:color w:val="333333"/>
                <w:sz w:val="20"/>
                <w:szCs w:val="20"/>
                <w:shd w:val="clear" w:color="auto" w:fill="FFFFFF"/>
                <w:lang w:val="en-US"/>
              </w:rPr>
              <w:t>Parlamentului</w:t>
            </w:r>
            <w:proofErr w:type="spellEnd"/>
            <w:r>
              <w:rPr>
                <w:rFonts w:eastAsia="Arial Unicode MS"/>
                <w:color w:val="333333"/>
                <w:sz w:val="20"/>
                <w:szCs w:val="20"/>
                <w:shd w:val="clear" w:color="auto" w:fill="FFFFFF"/>
                <w:lang w:val="en-US"/>
              </w:rPr>
              <w:t xml:space="preserve"> European și al </w:t>
            </w:r>
            <w:proofErr w:type="spellStart"/>
            <w:r>
              <w:rPr>
                <w:rFonts w:eastAsia="Arial Unicode MS"/>
                <w:color w:val="333333"/>
                <w:sz w:val="20"/>
                <w:szCs w:val="20"/>
                <w:shd w:val="clear" w:color="auto" w:fill="FFFFFF"/>
                <w:lang w:val="en-US"/>
              </w:rPr>
              <w:t>Consiliului</w:t>
            </w:r>
            <w:proofErr w:type="spellEnd"/>
            <w:r>
              <w:rPr>
                <w:rFonts w:eastAsia="Arial Unicode MS"/>
                <w:color w:val="333333"/>
                <w:sz w:val="20"/>
                <w:szCs w:val="20"/>
                <w:shd w:val="clear" w:color="auto" w:fill="FFFFFF"/>
                <w:lang w:val="en-US"/>
              </w:rPr>
              <w:t>(</w:t>
            </w:r>
            <w:hyperlink r:id="rId152" w:anchor="E0021" w:history="1">
              <w:r>
                <w:rPr>
                  <w:rStyle w:val="superscript"/>
                  <w:rFonts w:eastAsia="Arial Unicode MS"/>
                  <w:color w:val="4472C4" w:themeColor="accent1"/>
                  <w:sz w:val="20"/>
                  <w:szCs w:val="20"/>
                  <w:vertAlign w:val="superscript"/>
                  <w:lang w:val="en-US"/>
                </w:rPr>
                <w:t>20</w:t>
              </w:r>
            </w:hyperlink>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Angajamentele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bugetare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acțiuni</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depășesc</w:t>
            </w:r>
            <w:proofErr w:type="spellEnd"/>
            <w:r>
              <w:rPr>
                <w:rFonts w:eastAsia="Arial Unicode MS"/>
                <w:color w:val="333333"/>
                <w:sz w:val="20"/>
                <w:szCs w:val="20"/>
                <w:shd w:val="clear" w:color="auto" w:fill="FFFFFF"/>
                <w:lang w:val="en-US"/>
              </w:rPr>
              <w:t xml:space="preserve"> un </w:t>
            </w:r>
            <w:proofErr w:type="spellStart"/>
            <w:r>
              <w:rPr>
                <w:rFonts w:eastAsia="Arial Unicode MS"/>
                <w:color w:val="333333"/>
                <w:sz w:val="20"/>
                <w:szCs w:val="20"/>
                <w:shd w:val="clear" w:color="auto" w:fill="FFFFFF"/>
                <w:lang w:val="en-US"/>
              </w:rPr>
              <w:t>exercițiu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w:t>
            </w:r>
            <w:proofErr w:type="spellEnd"/>
            <w:r>
              <w:rPr>
                <w:rFonts w:eastAsia="Arial Unicode MS"/>
                <w:color w:val="333333"/>
                <w:sz w:val="20"/>
                <w:szCs w:val="20"/>
                <w:shd w:val="clear" w:color="auto" w:fill="FFFFFF"/>
                <w:lang w:val="en-US"/>
              </w:rPr>
              <w:t xml:space="preserve"> pot fi defalcate în </w:t>
            </w:r>
            <w:proofErr w:type="spellStart"/>
            <w:r>
              <w:rPr>
                <w:rFonts w:eastAsia="Arial Unicode MS"/>
                <w:color w:val="333333"/>
                <w:sz w:val="20"/>
                <w:szCs w:val="20"/>
                <w:shd w:val="clear" w:color="auto" w:fill="FFFFFF"/>
                <w:lang w:val="en-US"/>
              </w:rPr>
              <w:t>tranșe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parcursul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exerciții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financiare</w:t>
            </w:r>
            <w:proofErr w:type="spellEnd"/>
            <w:r>
              <w:rPr>
                <w:rFonts w:eastAsia="Arial Unicode MS"/>
                <w:color w:val="333333"/>
                <w:sz w:val="20"/>
                <w:szCs w:val="20"/>
                <w:shd w:val="clear" w:color="auto" w:fill="FFFFFF"/>
                <w:lang w:val="en-US"/>
              </w:rPr>
              <w:t>.</w:t>
            </w:r>
          </w:p>
          <w:p w14:paraId="240F270A"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oferă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cerere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asistență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cu o </w:t>
            </w:r>
            <w:proofErr w:type="spellStart"/>
            <w:r>
              <w:rPr>
                <w:rFonts w:eastAsia="Arial Unicode MS"/>
                <w:color w:val="333333"/>
                <w:sz w:val="20"/>
                <w:szCs w:val="20"/>
                <w:shd w:val="clear" w:color="auto" w:fill="FFFFFF"/>
                <w:lang w:val="en-US"/>
              </w:rPr>
              <w:t>participare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redusă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derulate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creșterii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capacităților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solicitante</w:t>
            </w:r>
            <w:proofErr w:type="spellEnd"/>
            <w:r>
              <w:rPr>
                <w:rFonts w:eastAsia="Arial Unicode MS"/>
                <w:color w:val="333333"/>
                <w:sz w:val="20"/>
                <w:szCs w:val="20"/>
                <w:shd w:val="clear" w:color="auto" w:fill="FFFFFF"/>
                <w:lang w:val="en-US"/>
              </w:rPr>
              <w:t xml:space="preserve"> de a </w:t>
            </w:r>
            <w:proofErr w:type="spellStart"/>
            <w:r>
              <w:rPr>
                <w:rFonts w:eastAsia="Arial Unicode MS"/>
                <w:color w:val="333333"/>
                <w:sz w:val="20"/>
                <w:szCs w:val="20"/>
                <w:shd w:val="clear" w:color="auto" w:fill="FFFFFF"/>
                <w:lang w:val="en-US"/>
              </w:rPr>
              <w:t>sprijini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eforturile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inițiatorilor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de pe </w:t>
            </w:r>
            <w:proofErr w:type="spellStart"/>
            <w:r>
              <w:rPr>
                <w:rFonts w:eastAsia="Arial Unicode MS"/>
                <w:color w:val="333333"/>
                <w:sz w:val="20"/>
                <w:szCs w:val="20"/>
                <w:shd w:val="clear" w:color="auto" w:fill="FFFFFF"/>
                <w:lang w:val="en-US"/>
              </w:rPr>
              <w:t>teritoriile</w:t>
            </w:r>
            <w:proofErr w:type="spellEnd"/>
            <w:r>
              <w:rPr>
                <w:rFonts w:eastAsia="Arial Unicode MS"/>
                <w:color w:val="333333"/>
                <w:sz w:val="20"/>
                <w:szCs w:val="20"/>
                <w:shd w:val="clear" w:color="auto" w:fill="FFFFFF"/>
                <w:lang w:val="en-US"/>
              </w:rPr>
              <w:t xml:space="preserve"> lor de a </w:t>
            </w:r>
            <w:proofErr w:type="spellStart"/>
            <w:r>
              <w:rPr>
                <w:rFonts w:eastAsia="Arial Unicode MS"/>
                <w:color w:val="333333"/>
                <w:sz w:val="20"/>
                <w:szCs w:val="20"/>
                <w:shd w:val="clear" w:color="auto" w:fill="FFFFFF"/>
                <w:lang w:val="en-US"/>
              </w:rPr>
              <w:t>depune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cereri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finanțare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îmbunătățirii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geografice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efective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și al </w:t>
            </w:r>
            <w:proofErr w:type="spellStart"/>
            <w:r>
              <w:rPr>
                <w:rFonts w:eastAsia="Arial Unicode MS"/>
                <w:color w:val="333333"/>
                <w:sz w:val="20"/>
                <w:szCs w:val="20"/>
                <w:shd w:val="clear" w:color="auto" w:fill="FFFFFF"/>
                <w:lang w:val="en-US"/>
              </w:rPr>
              <w:t>creșterii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generale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depuse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urmărește</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acoperire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geografică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eficientă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bazată</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calitate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ceea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privește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finanțarea</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toată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amplă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progreselor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acțiuni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ulterioare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adecvate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această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privință</w:t>
            </w:r>
            <w:proofErr w:type="spellEnd"/>
            <w:r>
              <w:rPr>
                <w:rFonts w:eastAsia="Arial Unicode MS"/>
                <w:color w:val="333333"/>
                <w:sz w:val="20"/>
                <w:szCs w:val="20"/>
                <w:shd w:val="clear" w:color="auto" w:fill="FFFFFF"/>
                <w:lang w:val="en-US"/>
              </w:rPr>
              <w:t>.</w:t>
            </w:r>
          </w:p>
          <w:p w14:paraId="7459605B"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Sub </w:t>
            </w:r>
            <w:proofErr w:type="spellStart"/>
            <w:r>
              <w:rPr>
                <w:rFonts w:eastAsia="Arial Unicode MS"/>
                <w:color w:val="333333"/>
                <w:sz w:val="20"/>
                <w:szCs w:val="20"/>
                <w:shd w:val="clear" w:color="auto" w:fill="FFFFFF"/>
                <w:lang w:val="en-US"/>
              </w:rPr>
              <w:t>rezerva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solicitanților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închiderea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cererii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privire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finanțare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de pe </w:t>
            </w:r>
            <w:proofErr w:type="spellStart"/>
            <w:r>
              <w:rPr>
                <w:rFonts w:eastAsia="Arial Unicode MS"/>
                <w:color w:val="333333"/>
                <w:sz w:val="20"/>
                <w:szCs w:val="20"/>
                <w:shd w:val="clear" w:color="auto" w:fill="FFFFFF"/>
                <w:lang w:val="en-US"/>
              </w:rPr>
              <w:t>teritoriile</w:t>
            </w:r>
            <w:proofErr w:type="spellEnd"/>
            <w:r>
              <w:rPr>
                <w:rFonts w:eastAsia="Arial Unicode MS"/>
                <w:color w:val="333333"/>
                <w:sz w:val="20"/>
                <w:szCs w:val="20"/>
                <w:shd w:val="clear" w:color="auto" w:fill="FFFFFF"/>
                <w:lang w:val="en-US"/>
              </w:rPr>
              <w:t xml:space="preserve"> lor și le </w:t>
            </w:r>
            <w:proofErr w:type="spellStart"/>
            <w:r>
              <w:rPr>
                <w:rFonts w:eastAsia="Arial Unicode MS"/>
                <w:color w:val="333333"/>
                <w:sz w:val="20"/>
                <w:szCs w:val="20"/>
                <w:shd w:val="clear" w:color="auto" w:fill="FFFFFF"/>
                <w:lang w:val="en-US"/>
              </w:rPr>
              <w:t>furnizează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acestora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detaliate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privire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cauză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facilita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coordonarea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sprijinului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În plus,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privire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lista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preselectate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înainte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acordarea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sprijinului</w:t>
            </w:r>
            <w:proofErr w:type="spellEnd"/>
            <w:r>
              <w:rPr>
                <w:rFonts w:eastAsia="Arial Unicode MS"/>
                <w:color w:val="333333"/>
                <w:sz w:val="20"/>
                <w:szCs w:val="20"/>
                <w:shd w:val="clear" w:color="auto" w:fill="FFFFFF"/>
                <w:lang w:val="en-US"/>
              </w:rPr>
              <w:t>.</w:t>
            </w:r>
          </w:p>
          <w:p w14:paraId="23D265F7" w14:textId="79F05BB1"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selectează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printr</w:t>
            </w:r>
            <w:proofErr w:type="spellEnd"/>
            <w:r>
              <w:rPr>
                <w:rFonts w:eastAsia="Arial Unicode MS"/>
                <w:color w:val="333333"/>
                <w:sz w:val="20"/>
                <w:szCs w:val="20"/>
                <w:shd w:val="clear" w:color="auto" w:fill="FFFFFF"/>
                <w:lang w:val="en-US"/>
              </w:rPr>
              <w:t xml:space="preserve">-o </w:t>
            </w:r>
            <w:proofErr w:type="spellStart"/>
            <w:r>
              <w:rPr>
                <w:rFonts w:eastAsia="Arial Unicode MS"/>
                <w:color w:val="333333"/>
                <w:sz w:val="20"/>
                <w:szCs w:val="20"/>
                <w:shd w:val="clear" w:color="auto" w:fill="FFFFFF"/>
                <w:lang w:val="en-US"/>
              </w:rPr>
              <w:t>procedură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selecție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transparentă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mod </w:t>
            </w:r>
            <w:proofErr w:type="spellStart"/>
            <w:r>
              <w:rPr>
                <w:rFonts w:eastAsia="Arial Unicode MS"/>
                <w:color w:val="333333"/>
                <w:sz w:val="20"/>
                <w:szCs w:val="20"/>
                <w:shd w:val="clear" w:color="auto" w:fill="FFFFFF"/>
                <w:lang w:val="en-US"/>
              </w:rPr>
              <w:t>neutru</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punct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vedere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tehnologic</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obiectivele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sunt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și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criterii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transparente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obiective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ținând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seama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măsura</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aduc</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contribuție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semnificativă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obiectivele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materie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energie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contribuind</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același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timp</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obiectivele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la zero a </w:t>
            </w:r>
            <w:proofErr w:type="spellStart"/>
            <w:r>
              <w:rPr>
                <w:rFonts w:eastAsia="Arial Unicode MS"/>
                <w:color w:val="333333"/>
                <w:sz w:val="20"/>
                <w:szCs w:val="20"/>
                <w:shd w:val="clear" w:color="auto" w:fill="FFFFFF"/>
                <w:lang w:val="en-US"/>
              </w:rPr>
              <w:t>poluării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circularitatea</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măsura</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w:t>
            </w:r>
            <w:proofErr w:type="spellEnd"/>
            <w:r>
              <w:rPr>
                <w:rFonts w:eastAsia="Arial Unicode MS"/>
                <w:color w:val="333333"/>
                <w:sz w:val="20"/>
                <w:szCs w:val="20"/>
                <w:shd w:val="clear" w:color="auto" w:fill="FFFFFF"/>
                <w:lang w:val="en-US"/>
              </w:rPr>
              <w:t xml:space="preserve"> sub </w:t>
            </w:r>
            <w:proofErr w:type="spellStart"/>
            <w:r>
              <w:rPr>
                <w:rFonts w:eastAsia="Arial Unicode MS"/>
                <w:color w:val="333333"/>
                <w:sz w:val="20"/>
                <w:szCs w:val="20"/>
                <w:shd w:val="clear" w:color="auto" w:fill="FFFFFF"/>
                <w:lang w:val="en-US"/>
              </w:rPr>
              <w:t>valorile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referință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aibă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potențialul</w:t>
            </w:r>
            <w:proofErr w:type="spellEnd"/>
            <w:r>
              <w:rPr>
                <w:rFonts w:eastAsia="Arial Unicode MS"/>
                <w:color w:val="333333"/>
                <w:sz w:val="20"/>
                <w:szCs w:val="20"/>
                <w:shd w:val="clear" w:color="auto" w:fill="FFFFFF"/>
                <w:lang w:val="en-US"/>
              </w:rPr>
              <w:t xml:space="preserve"> de a fi </w:t>
            </w:r>
            <w:proofErr w:type="spellStart"/>
            <w:r>
              <w:rPr>
                <w:rFonts w:eastAsia="Arial Unicode MS"/>
                <w:color w:val="333333"/>
                <w:sz w:val="20"/>
                <w:szCs w:val="20"/>
                <w:shd w:val="clear" w:color="auto" w:fill="FFFFFF"/>
                <w:lang w:val="en-US"/>
              </w:rPr>
              <w:t>aplicate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scară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largă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de a </w:t>
            </w:r>
            <w:proofErr w:type="spellStart"/>
            <w:r>
              <w:rPr>
                <w:rFonts w:eastAsia="Arial Unicode MS"/>
                <w:color w:val="333333"/>
                <w:sz w:val="20"/>
                <w:szCs w:val="20"/>
                <w:shd w:val="clear" w:color="auto" w:fill="FFFFFF"/>
                <w:lang w:val="en-US"/>
              </w:rPr>
              <w:t>diminua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semnificativ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costurile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tranziției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economie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neutră</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punct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vedere</w:t>
            </w:r>
            <w:proofErr w:type="spellEnd"/>
            <w:r>
              <w:rPr>
                <w:rFonts w:eastAsia="Arial Unicode MS"/>
                <w:color w:val="333333"/>
                <w:sz w:val="20"/>
                <w:szCs w:val="20"/>
                <w:shd w:val="clear" w:color="auto" w:fill="FFFFFF"/>
                <w:lang w:val="en-US"/>
              </w:rPr>
              <w:t xml:space="preserve"> climatic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cauză</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acordă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prioritate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tehnologiilor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proceselor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inovatoare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abordează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efecte</w:t>
            </w:r>
            <w:proofErr w:type="spellEnd"/>
            <w:r>
              <w:rPr>
                <w:rFonts w:eastAsia="Arial Unicode MS"/>
                <w:color w:val="333333"/>
                <w:sz w:val="20"/>
                <w:szCs w:val="20"/>
                <w:shd w:val="clear" w:color="auto" w:fill="FFFFFF"/>
                <w:lang w:val="en-US"/>
              </w:rPr>
              <w:t xml:space="preserve"> multiple </w:t>
            </w:r>
            <w:proofErr w:type="spellStart"/>
            <w:r>
              <w:rPr>
                <w:rFonts w:eastAsia="Arial Unicode MS"/>
                <w:color w:val="333333"/>
                <w:sz w:val="20"/>
                <w:szCs w:val="20"/>
                <w:shd w:val="clear" w:color="auto" w:fill="FFFFFF"/>
                <w:lang w:val="en-US"/>
              </w:rPr>
              <w:t>asupra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implică</w:t>
            </w:r>
            <w:proofErr w:type="spellEnd"/>
            <w:r>
              <w:rPr>
                <w:rFonts w:eastAsia="Arial Unicode MS"/>
                <w:color w:val="333333"/>
                <w:sz w:val="20"/>
                <w:szCs w:val="20"/>
                <w:shd w:val="clear" w:color="auto" w:fill="FFFFFF"/>
                <w:lang w:val="en-US"/>
              </w:rPr>
              <w:t xml:space="preserve"> CUC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asigure</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lastRenderedPageBreak/>
              <w:t>reducere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netă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evitarea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stocarea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permanentă</w:t>
            </w:r>
            <w:proofErr w:type="spellEnd"/>
            <w:r>
              <w:rPr>
                <w:rFonts w:eastAsia="Arial Unicode MS"/>
                <w:color w:val="333333"/>
                <w:sz w:val="20"/>
                <w:szCs w:val="20"/>
                <w:shd w:val="clear" w:color="auto" w:fill="FFFFFF"/>
                <w:lang w:val="en-US"/>
              </w:rPr>
              <w:t xml:space="preserve"> a CO</w:t>
            </w:r>
            <w:r>
              <w:rPr>
                <w:rStyle w:val="subscript"/>
                <w:rFonts w:eastAsia="Arial Unicode MS"/>
                <w:color w:val="333333"/>
                <w:sz w:val="20"/>
                <w:szCs w:val="20"/>
                <w:vertAlign w:val="subscript"/>
                <w:lang w:val="en-US"/>
              </w:rPr>
              <w:t>2</w:t>
            </w:r>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granturilor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cereri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se pot </w:t>
            </w:r>
            <w:proofErr w:type="spellStart"/>
            <w:r>
              <w:rPr>
                <w:rFonts w:eastAsia="Arial Unicode MS"/>
                <w:color w:val="333333"/>
                <w:sz w:val="20"/>
                <w:szCs w:val="20"/>
                <w:shd w:val="clear" w:color="auto" w:fill="FFFFFF"/>
                <w:lang w:val="en-US"/>
              </w:rPr>
              <w:t>sprijini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60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costurile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din care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40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nu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depindă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evitarea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verificată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 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condiția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atingerii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jaloane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prestabilite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ținându</w:t>
            </w:r>
            <w:proofErr w:type="spellEnd"/>
            <w:r>
              <w:rPr>
                <w:rFonts w:eastAsia="Arial Unicode MS"/>
                <w:color w:val="333333"/>
                <w:sz w:val="20"/>
                <w:szCs w:val="20"/>
                <w:shd w:val="clear" w:color="auto" w:fill="FFFFFF"/>
                <w:lang w:val="en-US"/>
              </w:rPr>
              <w:t xml:space="preserve">-se </w:t>
            </w:r>
            <w:proofErr w:type="spellStart"/>
            <w:r>
              <w:rPr>
                <w:rFonts w:eastAsia="Arial Unicode MS"/>
                <w:color w:val="333333"/>
                <w:sz w:val="20"/>
                <w:szCs w:val="20"/>
                <w:shd w:val="clear" w:color="auto" w:fill="FFFFFF"/>
                <w:lang w:val="en-US"/>
              </w:rPr>
              <w:t>seama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tehnologia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proceduri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licitare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concurențială</w:t>
            </w:r>
            <w:proofErr w:type="spellEnd"/>
            <w:r>
              <w:rPr>
                <w:rFonts w:eastAsia="Arial Unicode MS"/>
                <w:color w:val="333333"/>
                <w:sz w:val="20"/>
                <w:szCs w:val="20"/>
                <w:shd w:val="clear" w:color="auto" w:fill="FFFFFF"/>
                <w:lang w:val="en-US"/>
              </w:rPr>
              <w:t xml:space="preserve"> și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asistenței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tehnice</w:t>
            </w:r>
            <w:proofErr w:type="spellEnd"/>
            <w:r>
              <w:rPr>
                <w:rFonts w:eastAsia="Arial Unicode MS"/>
                <w:color w:val="333333"/>
                <w:sz w:val="20"/>
                <w:szCs w:val="20"/>
                <w:shd w:val="clear" w:color="auto" w:fill="FFFFFF"/>
                <w:lang w:val="en-US"/>
              </w:rPr>
              <w:t xml:space="preserve">, pot fi </w:t>
            </w:r>
            <w:proofErr w:type="spellStart"/>
            <w:r>
              <w:rPr>
                <w:rFonts w:eastAsia="Arial Unicode MS"/>
                <w:color w:val="333333"/>
                <w:sz w:val="20"/>
                <w:szCs w:val="20"/>
                <w:shd w:val="clear" w:color="auto" w:fill="FFFFFF"/>
                <w:lang w:val="en-US"/>
              </w:rPr>
              <w:t>sprijinite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100</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costurile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Potențialul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oferit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combinate,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zonele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învecinate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luat</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considerare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criteriile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selectarea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w:t>
            </w:r>
          </w:p>
          <w:p w14:paraId="599E8594"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Proiectele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finanțate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pună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dispoziție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cunoștințele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precum și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cercetătorii</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Uniune</w:t>
            </w:r>
            <w:proofErr w:type="spellEnd"/>
            <w:r>
              <w:rPr>
                <w:rFonts w:eastAsia="Arial Unicode MS"/>
                <w:color w:val="333333"/>
                <w:sz w:val="20"/>
                <w:szCs w:val="20"/>
                <w:shd w:val="clear" w:color="auto" w:fill="FFFFFF"/>
                <w:lang w:val="en-US"/>
              </w:rPr>
              <w:t xml:space="preserve"> care au un </w:t>
            </w:r>
            <w:proofErr w:type="spellStart"/>
            <w:r>
              <w:rPr>
                <w:rFonts w:eastAsia="Arial Unicode MS"/>
                <w:color w:val="333333"/>
                <w:sz w:val="20"/>
                <w:szCs w:val="20"/>
                <w:shd w:val="clear" w:color="auto" w:fill="FFFFFF"/>
                <w:lang w:val="en-US"/>
              </w:rPr>
              <w:t>interes</w:t>
            </w:r>
            <w:proofErr w:type="spellEnd"/>
            <w:r>
              <w:rPr>
                <w:rFonts w:eastAsia="Arial Unicode MS"/>
                <w:color w:val="333333"/>
                <w:sz w:val="20"/>
                <w:szCs w:val="20"/>
                <w:shd w:val="clear" w:color="auto" w:fill="FFFFFF"/>
                <w:lang w:val="en-US"/>
              </w:rPr>
              <w:t xml:space="preserve"> legitim. </w:t>
            </w:r>
            <w:proofErr w:type="spellStart"/>
            <w:r>
              <w:rPr>
                <w:rFonts w:eastAsia="Arial Unicode MS"/>
                <w:color w:val="333333"/>
                <w:sz w:val="20"/>
                <w:szCs w:val="20"/>
                <w:shd w:val="clear" w:color="auto" w:fill="FFFFFF"/>
                <w:lang w:val="en-US"/>
              </w:rPr>
              <w:t>Condițiile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schimbul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cunoștințe</w:t>
            </w:r>
            <w:proofErr w:type="spellEnd"/>
            <w:r>
              <w:rPr>
                <w:rFonts w:eastAsia="Arial Unicode MS"/>
                <w:color w:val="333333"/>
                <w:sz w:val="20"/>
                <w:szCs w:val="20"/>
                <w:shd w:val="clear" w:color="auto" w:fill="FFFFFF"/>
                <w:lang w:val="en-US"/>
              </w:rPr>
              <w:t xml:space="preserve"> sunt definite de </w:t>
            </w:r>
            <w:proofErr w:type="spellStart"/>
            <w:r>
              <w:rPr>
                <w:rFonts w:eastAsia="Arial Unicode MS"/>
                <w:color w:val="333333"/>
                <w:sz w:val="20"/>
                <w:szCs w:val="20"/>
                <w:shd w:val="clear" w:color="auto" w:fill="FFFFFF"/>
                <w:lang w:val="en-US"/>
              </w:rPr>
              <w:t>Comisie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w:t>
            </w:r>
          </w:p>
          <w:p w14:paraId="3177583B" w14:textId="77777777"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deschise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transparente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pregătirea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cererilor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depune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eforturile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se </w:t>
            </w:r>
            <w:proofErr w:type="spellStart"/>
            <w:r>
              <w:rPr>
                <w:rFonts w:eastAsia="Arial Unicode MS"/>
                <w:color w:val="333333"/>
                <w:sz w:val="20"/>
                <w:szCs w:val="20"/>
                <w:shd w:val="clear" w:color="auto" w:fill="FFFFFF"/>
                <w:lang w:val="en-US"/>
              </w:rPr>
              <w:t>asigura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cuprinse</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corespunzător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se </w:t>
            </w:r>
            <w:proofErr w:type="spellStart"/>
            <w:r>
              <w:rPr>
                <w:rFonts w:eastAsia="Arial Unicode MS"/>
                <w:color w:val="333333"/>
                <w:sz w:val="20"/>
                <w:szCs w:val="20"/>
                <w:shd w:val="clear" w:color="auto" w:fill="FFFFFF"/>
                <w:lang w:val="en-US"/>
              </w:rPr>
              <w:t>asigura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cererile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propuneri</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comunicate</w:t>
            </w:r>
            <w:proofErr w:type="spellEnd"/>
            <w:r>
              <w:rPr>
                <w:rFonts w:eastAsia="Arial Unicode MS"/>
                <w:color w:val="333333"/>
                <w:sz w:val="20"/>
                <w:szCs w:val="20"/>
                <w:shd w:val="clear" w:color="auto" w:fill="FFFFFF"/>
                <w:lang w:val="en-US"/>
              </w:rPr>
              <w:t xml:space="preserve"> pe o </w:t>
            </w:r>
            <w:proofErr w:type="spellStart"/>
            <w:r>
              <w:rPr>
                <w:rFonts w:eastAsia="Arial Unicode MS"/>
                <w:color w:val="333333"/>
                <w:sz w:val="20"/>
                <w:szCs w:val="20"/>
                <w:shd w:val="clear" w:color="auto" w:fill="FFFFFF"/>
                <w:lang w:val="en-US"/>
              </w:rPr>
              <w:t>scară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cât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largă</w:t>
            </w:r>
            <w:proofErr w:type="spellEnd"/>
            <w:r>
              <w:rPr>
                <w:rFonts w:eastAsia="Arial Unicode MS"/>
                <w:color w:val="333333"/>
                <w:sz w:val="20"/>
                <w:szCs w:val="20"/>
                <w:shd w:val="clear" w:color="auto" w:fill="FFFFFF"/>
                <w:lang w:val="en-US"/>
              </w:rPr>
              <w:t xml:space="preserve">, în special </w:t>
            </w:r>
            <w:proofErr w:type="spellStart"/>
            <w:r>
              <w:rPr>
                <w:rFonts w:eastAsia="Arial Unicode MS"/>
                <w:color w:val="333333"/>
                <w:sz w:val="20"/>
                <w:szCs w:val="20"/>
                <w:shd w:val="clear" w:color="auto" w:fill="FFFFFF"/>
                <w:lang w:val="en-US"/>
              </w:rPr>
              <w:t>întreprinderilor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mijlocii</w:t>
            </w:r>
            <w:proofErr w:type="spellEnd"/>
            <w:r>
              <w:rPr>
                <w:rFonts w:eastAsia="Arial Unicode MS"/>
                <w:color w:val="333333"/>
                <w:sz w:val="20"/>
                <w:szCs w:val="20"/>
                <w:shd w:val="clear" w:color="auto" w:fill="FFFFFF"/>
                <w:lang w:val="en-US"/>
              </w:rPr>
              <w:t>.</w:t>
            </w:r>
          </w:p>
          <w:p w14:paraId="4A80A4A0" w14:textId="16863025"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împuternicită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acte</w:t>
            </w:r>
            <w:proofErr w:type="spellEnd"/>
            <w:r>
              <w:rPr>
                <w:rFonts w:eastAsia="Arial Unicode MS"/>
                <w:color w:val="333333"/>
                <w:sz w:val="20"/>
                <w:szCs w:val="20"/>
                <w:shd w:val="clear" w:color="auto" w:fill="FFFFFF"/>
                <w:lang w:val="en-US"/>
              </w:rPr>
              <w:t xml:space="preserve"> delegate în conformitate cu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23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completa</w:t>
            </w:r>
            <w:proofErr w:type="spellEnd"/>
            <w:r>
              <w:rPr>
                <w:rFonts w:eastAsia="Arial Unicode MS"/>
                <w:color w:val="333333"/>
                <w:sz w:val="20"/>
                <w:szCs w:val="20"/>
                <w:shd w:val="clear" w:color="auto" w:fill="FFFFFF"/>
                <w:lang w:val="en-US"/>
              </w:rPr>
              <w:t xml:space="preserve">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privința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normelor</w:t>
            </w:r>
            <w:proofErr w:type="spellEnd"/>
            <w:r>
              <w:rPr>
                <w:rFonts w:eastAsia="Arial Unicode MS"/>
                <w:color w:val="333333"/>
                <w:sz w:val="20"/>
                <w:szCs w:val="20"/>
                <w:shd w:val="clear" w:color="auto" w:fill="FFFFFF"/>
                <w:lang w:val="en-US"/>
              </w:rPr>
              <w:t xml:space="preserve"> legate de </w:t>
            </w:r>
            <w:proofErr w:type="spellStart"/>
            <w:r>
              <w:rPr>
                <w:rFonts w:eastAsia="Arial Unicode MS"/>
                <w:color w:val="333333"/>
                <w:sz w:val="20"/>
                <w:szCs w:val="20"/>
                <w:shd w:val="clear" w:color="auto" w:fill="FFFFFF"/>
                <w:lang w:val="en-US"/>
              </w:rPr>
              <w:t>funcționarea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procedura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criteriile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selecție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eligibile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cerințele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tehnologice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diferitele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tipuri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w:t>
            </w:r>
          </w:p>
          <w:p w14:paraId="44387C1F" w14:textId="3F1847D6"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mecanismul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nu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niciun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proiect</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depășește</w:t>
            </w:r>
            <w:proofErr w:type="spellEnd"/>
            <w:r>
              <w:rPr>
                <w:rFonts w:eastAsia="Arial Unicode MS"/>
                <w:color w:val="333333"/>
                <w:sz w:val="20"/>
                <w:szCs w:val="20"/>
                <w:shd w:val="clear" w:color="auto" w:fill="FFFFFF"/>
                <w:lang w:val="en-US"/>
              </w:rPr>
              <w:t xml:space="preserve"> 15</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totalul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disponibile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acest</w:t>
            </w:r>
            <w:proofErr w:type="spellEnd"/>
            <w:r>
              <w:rPr>
                <w:rFonts w:eastAsia="Arial Unicode MS"/>
                <w:color w:val="333333"/>
                <w:sz w:val="20"/>
                <w:szCs w:val="20"/>
                <w:shd w:val="clear" w:color="auto" w:fill="FFFFFF"/>
                <w:lang w:val="en-US"/>
              </w:rPr>
              <w:t xml:space="preserve"> scop. </w:t>
            </w:r>
            <w:proofErr w:type="spellStart"/>
            <w:r>
              <w:rPr>
                <w:rFonts w:eastAsia="Arial Unicode MS"/>
                <w:color w:val="333333"/>
                <w:sz w:val="20"/>
                <w:szCs w:val="20"/>
                <w:shd w:val="clear" w:color="auto" w:fill="FFFFFF"/>
                <w:lang w:val="en-US"/>
              </w:rPr>
              <w:t>Respectivele</w:t>
            </w:r>
            <w:proofErr w:type="spellEnd"/>
            <w:r>
              <w:rPr>
                <w:rFonts w:eastAsia="Arial Unicode MS"/>
                <w:color w:val="333333"/>
                <w:sz w:val="20"/>
                <w:szCs w:val="20"/>
                <w:shd w:val="clear" w:color="auto" w:fill="FFFFFF"/>
                <w:lang w:val="en-US"/>
              </w:rPr>
              <w:t xml:space="preserve"> certificate se </w:t>
            </w:r>
            <w:proofErr w:type="spellStart"/>
            <w:r>
              <w:rPr>
                <w:rFonts w:eastAsia="Arial Unicode MS"/>
                <w:color w:val="333333"/>
                <w:sz w:val="20"/>
                <w:szCs w:val="20"/>
                <w:shd w:val="clear" w:color="auto" w:fill="FFFFFF"/>
                <w:lang w:val="en-US"/>
              </w:rPr>
              <w:t>iau</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considerare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(7).</w:t>
            </w:r>
          </w:p>
          <w:p w14:paraId="45FE7D9D" w14:textId="6C2F4CAB"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31</w:t>
            </w:r>
            <w:r w:rsidR="00A5319F">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decembrie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2023 și, ulterior, în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an,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prezintă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Comitetului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schimbările</w:t>
            </w:r>
            <w:proofErr w:type="spellEnd"/>
            <w:r>
              <w:rPr>
                <w:rFonts w:eastAsia="Arial Unicode MS"/>
                <w:color w:val="333333"/>
                <w:sz w:val="20"/>
                <w:szCs w:val="20"/>
                <w:shd w:val="clear" w:color="auto" w:fill="FFFFFF"/>
                <w:lang w:val="en-US"/>
              </w:rPr>
              <w:t xml:space="preserve"> climatice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22a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un </w:t>
            </w:r>
            <w:proofErr w:type="spellStart"/>
            <w:r>
              <w:rPr>
                <w:rFonts w:eastAsia="Arial Unicode MS"/>
                <w:color w:val="333333"/>
                <w:sz w:val="20"/>
                <w:szCs w:val="20"/>
                <w:shd w:val="clear" w:color="auto" w:fill="FFFFFF"/>
                <w:lang w:val="en-US"/>
              </w:rPr>
              <w:t>raport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punerea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furnizând</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analiză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finanțate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sectoare</w:t>
            </w:r>
            <w:proofErr w:type="spellEnd"/>
            <w:r>
              <w:rPr>
                <w:rFonts w:eastAsia="Arial Unicode MS"/>
                <w:color w:val="333333"/>
                <w:sz w:val="20"/>
                <w:szCs w:val="20"/>
                <w:shd w:val="clear" w:color="auto" w:fill="FFFFFF"/>
                <w:lang w:val="en-US"/>
              </w:rPr>
              <w:t xml:space="preserve"> și pe state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precum și </w:t>
            </w:r>
            <w:proofErr w:type="spellStart"/>
            <w:r>
              <w:rPr>
                <w:rFonts w:eastAsia="Arial Unicode MS"/>
                <w:color w:val="333333"/>
                <w:sz w:val="20"/>
                <w:szCs w:val="20"/>
                <w:shd w:val="clear" w:color="auto" w:fill="FFFFFF"/>
                <w:lang w:val="en-US"/>
              </w:rPr>
              <w:t>contribuția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preconizată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proiectelor</w:t>
            </w:r>
            <w:proofErr w:type="spellEnd"/>
            <w:r>
              <w:rPr>
                <w:rFonts w:eastAsia="Arial Unicode MS"/>
                <w:color w:val="333333"/>
                <w:sz w:val="20"/>
                <w:szCs w:val="20"/>
                <w:shd w:val="clear" w:color="auto" w:fill="FFFFFF"/>
                <w:lang w:val="en-US"/>
              </w:rPr>
              <w:t xml:space="preserve"> respective la </w:t>
            </w:r>
            <w:proofErr w:type="spellStart"/>
            <w:r>
              <w:rPr>
                <w:rFonts w:eastAsia="Arial Unicode MS"/>
                <w:color w:val="333333"/>
                <w:sz w:val="20"/>
                <w:szCs w:val="20"/>
                <w:shd w:val="clear" w:color="auto" w:fill="FFFFFF"/>
                <w:lang w:val="en-US"/>
              </w:rPr>
              <w:t>îndeplinirea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obiectivului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neutralitate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climatică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Uniune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se </w:t>
            </w:r>
            <w:proofErr w:type="spellStart"/>
            <w:r>
              <w:rPr>
                <w:rFonts w:eastAsia="Arial Unicode MS"/>
                <w:color w:val="333333"/>
                <w:sz w:val="20"/>
                <w:szCs w:val="20"/>
                <w:shd w:val="clear" w:color="auto" w:fill="FFFFFF"/>
                <w:lang w:val="en-US"/>
              </w:rPr>
              <w:t>prevede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2021/1119.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prezintă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raportul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Parlamentului</w:t>
            </w:r>
            <w:proofErr w:type="spellEnd"/>
            <w:r>
              <w:rPr>
                <w:rFonts w:eastAsia="Arial Unicode MS"/>
                <w:color w:val="333333"/>
                <w:sz w:val="20"/>
                <w:szCs w:val="20"/>
                <w:shd w:val="clear" w:color="auto" w:fill="FFFFFF"/>
                <w:lang w:val="en-US"/>
              </w:rPr>
              <w:t xml:space="preserve"> European și </w:t>
            </w:r>
            <w:proofErr w:type="spellStart"/>
            <w:r>
              <w:rPr>
                <w:rFonts w:eastAsia="Arial Unicode MS"/>
                <w:color w:val="333333"/>
                <w:sz w:val="20"/>
                <w:szCs w:val="20"/>
                <w:shd w:val="clear" w:color="auto" w:fill="FFFFFF"/>
                <w:lang w:val="en-US"/>
              </w:rPr>
              <w:t>Consiliului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îl</w:t>
            </w:r>
            <w:proofErr w:type="spellEnd"/>
            <w:r>
              <w:rPr>
                <w:rFonts w:eastAsia="Arial Unicode MS"/>
                <w:color w:val="333333"/>
                <w:sz w:val="20"/>
                <w:szCs w:val="20"/>
                <w:shd w:val="clear" w:color="auto" w:fill="FFFFFF"/>
                <w:lang w:val="en-US"/>
              </w:rPr>
              <w:t xml:space="preserve"> face public.</w:t>
            </w:r>
          </w:p>
          <w:p w14:paraId="4F25CD65" w14:textId="77777777" w:rsidR="00124364" w:rsidRDefault="00000000">
            <w:pPr>
              <w:pStyle w:val="ti-art"/>
              <w:shd w:val="clear" w:color="auto" w:fill="FFFFFF"/>
              <w:spacing w:before="0" w:beforeAutospacing="0" w:after="0" w:afterAutospacing="0"/>
              <w:rPr>
                <w:color w:val="4472C4" w:themeColor="accent1"/>
                <w:sz w:val="20"/>
                <w:szCs w:val="20"/>
              </w:rPr>
            </w:pPr>
            <w:hyperlink r:id="rId153" w:tooltip="32023L0959: INSERTED" w:history="1">
              <w:r>
                <w:rPr>
                  <w:rStyle w:val="af3"/>
                  <w:rFonts w:eastAsia="Arial Unicode MS"/>
                  <w:b/>
                  <w:bCs/>
                  <w:color w:val="4472C4" w:themeColor="accent1"/>
                  <w:sz w:val="20"/>
                  <w:szCs w:val="20"/>
                </w:rPr>
                <w:t>▼M15</w:t>
              </w:r>
            </w:hyperlink>
          </w:p>
          <w:p w14:paraId="784581F7" w14:textId="12EBC98B" w:rsidR="00124364" w:rsidRDefault="00000000" w:rsidP="00A5319F">
            <w:pPr>
              <w:pStyle w:val="ti-art"/>
              <w:numPr>
                <w:ilvl w:val="0"/>
                <w:numId w:val="55"/>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CfD</w:t>
            </w:r>
            <w:proofErr w:type="spellEnd"/>
            <w:r>
              <w:rPr>
                <w:rFonts w:eastAsia="Arial Unicode MS"/>
                <w:color w:val="333333"/>
                <w:sz w:val="20"/>
                <w:szCs w:val="20"/>
                <w:shd w:val="clear" w:color="auto" w:fill="FFFFFF"/>
                <w:lang w:val="en-US"/>
              </w:rPr>
              <w:t xml:space="preserve">-urile și </w:t>
            </w:r>
            <w:proofErr w:type="spellStart"/>
            <w:r>
              <w:rPr>
                <w:rFonts w:eastAsia="Arial Unicode MS"/>
                <w:color w:val="333333"/>
                <w:sz w:val="20"/>
                <w:szCs w:val="20"/>
                <w:shd w:val="clear" w:color="auto" w:fill="FFFFFF"/>
                <w:lang w:val="en-US"/>
              </w:rPr>
              <w:t>CCfD</w:t>
            </w:r>
            <w:proofErr w:type="spellEnd"/>
            <w:r>
              <w:rPr>
                <w:rFonts w:eastAsia="Arial Unicode MS"/>
                <w:color w:val="333333"/>
                <w:sz w:val="20"/>
                <w:szCs w:val="20"/>
                <w:shd w:val="clear" w:color="auto" w:fill="FFFFFF"/>
                <w:lang w:val="en-US"/>
              </w:rPr>
              <w:t xml:space="preserve">-urile </w:t>
            </w:r>
            <w:proofErr w:type="spellStart"/>
            <w:r>
              <w:rPr>
                <w:rFonts w:eastAsia="Arial Unicode MS"/>
                <w:color w:val="333333"/>
                <w:sz w:val="20"/>
                <w:szCs w:val="20"/>
                <w:shd w:val="clear" w:color="auto" w:fill="FFFFFF"/>
                <w:lang w:val="en-US"/>
              </w:rPr>
              <w:t>atribuite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încheierea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mecanism</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concurențială</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acoperire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adecvată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angajamentele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lastRenderedPageBreak/>
              <w:t>bugetare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rezultă</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obținute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licitarea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disponibile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Fondul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angajamentele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bugetare</w:t>
            </w:r>
            <w:proofErr w:type="spellEnd"/>
            <w:r>
              <w:rPr>
                <w:rFonts w:eastAsia="Arial Unicode MS"/>
                <w:color w:val="333333"/>
                <w:sz w:val="20"/>
                <w:szCs w:val="20"/>
                <w:shd w:val="clear" w:color="auto" w:fill="FFFFFF"/>
                <w:lang w:val="en-US"/>
              </w:rPr>
              <w:t xml:space="preserve"> respective pot fi defalcate în </w:t>
            </w:r>
            <w:proofErr w:type="spellStart"/>
            <w:r>
              <w:rPr>
                <w:rFonts w:eastAsia="Arial Unicode MS"/>
                <w:color w:val="333333"/>
                <w:sz w:val="20"/>
                <w:szCs w:val="20"/>
                <w:shd w:val="clear" w:color="auto" w:fill="FFFFFF"/>
                <w:lang w:val="en-US"/>
              </w:rPr>
              <w:t>tranșe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parcursul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exerciții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primele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două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runde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mecanismului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concurențială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acoperirea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datoriei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aferente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CfD-urilor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CCfD-urilor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asigurată</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deplin</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creditele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rezultă</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obținute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licitarea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inovare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alineatului</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(8).</w:t>
            </w:r>
          </w:p>
          <w:p w14:paraId="1D97DE9D"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Pe </w:t>
            </w:r>
            <w:proofErr w:type="spellStart"/>
            <w:r w:rsidRPr="00A5319F">
              <w:rPr>
                <w:rFonts w:eastAsia="Arial Unicode MS"/>
                <w:color w:val="000000" w:themeColor="text1"/>
                <w:sz w:val="20"/>
                <w:szCs w:val="20"/>
                <w:shd w:val="clear" w:color="auto" w:fill="FFFFFF"/>
                <w:lang w:val="en-US"/>
              </w:rPr>
              <w:t>baza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evaluări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calitative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cantitative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riscurilor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financiare</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decurg</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punerea</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aplicare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CfD-urilor</w:t>
            </w:r>
            <w:proofErr w:type="spellEnd"/>
            <w:r w:rsidRPr="00A5319F">
              <w:rPr>
                <w:rFonts w:eastAsia="Arial Unicode MS"/>
                <w:color w:val="000000" w:themeColor="text1"/>
                <w:sz w:val="20"/>
                <w:szCs w:val="20"/>
                <w:shd w:val="clear" w:color="auto" w:fill="FFFFFF"/>
                <w:lang w:val="en-US"/>
              </w:rPr>
              <w:t xml:space="preserve"> și a </w:t>
            </w:r>
            <w:proofErr w:type="spellStart"/>
            <w:r w:rsidRPr="00A5319F">
              <w:rPr>
                <w:rFonts w:eastAsia="Arial Unicode MS"/>
                <w:color w:val="000000" w:themeColor="text1"/>
                <w:sz w:val="20"/>
                <w:szCs w:val="20"/>
                <w:shd w:val="clear" w:color="auto" w:fill="FFFFFF"/>
                <w:lang w:val="en-US"/>
              </w:rPr>
              <w:t>CCfD-urilor</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urmează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efectuată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după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încheierea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primelor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două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runde</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mecanismului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licitație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concurențială</w:t>
            </w:r>
            <w:proofErr w:type="spellEnd"/>
            <w:r w:rsidRPr="00A5319F">
              <w:rPr>
                <w:rFonts w:eastAsia="Arial Unicode MS"/>
                <w:color w:val="000000" w:themeColor="text1"/>
                <w:sz w:val="20"/>
                <w:szCs w:val="20"/>
                <w:shd w:val="clear" w:color="auto" w:fill="FFFFFF"/>
                <w:lang w:val="en-US"/>
              </w:rPr>
              <w:t xml:space="preserve"> și, ulterior, de </w:t>
            </w:r>
            <w:proofErr w:type="spellStart"/>
            <w:r w:rsidRPr="00A5319F">
              <w:rPr>
                <w:rFonts w:eastAsia="Arial Unicode MS"/>
                <w:color w:val="000000" w:themeColor="text1"/>
                <w:sz w:val="20"/>
                <w:szCs w:val="20"/>
                <w:shd w:val="clear" w:color="auto" w:fill="FFFFFF"/>
                <w:lang w:val="en-US"/>
              </w:rPr>
              <w:t>fiecare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dată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necesar</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principiul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prudenței</w:t>
            </w:r>
            <w:proofErr w:type="spellEnd"/>
            <w:r w:rsidRPr="00A5319F">
              <w:rPr>
                <w:rFonts w:eastAsia="Arial Unicode MS"/>
                <w:color w:val="000000" w:themeColor="text1"/>
                <w:sz w:val="20"/>
                <w:szCs w:val="20"/>
                <w:shd w:val="clear" w:color="auto" w:fill="FFFFFF"/>
                <w:lang w:val="en-US"/>
              </w:rPr>
              <w:t xml:space="preserve">, conform </w:t>
            </w:r>
            <w:proofErr w:type="spellStart"/>
            <w:r w:rsidRPr="00A5319F">
              <w:rPr>
                <w:rFonts w:eastAsia="Arial Unicode MS"/>
                <w:color w:val="000000" w:themeColor="text1"/>
                <w:sz w:val="20"/>
                <w:szCs w:val="20"/>
                <w:shd w:val="clear" w:color="auto" w:fill="FFFFFF"/>
                <w:lang w:val="en-US"/>
              </w:rPr>
              <w:t>căruia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activele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profiturile</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trebuie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supraestimate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pasivele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pierderile</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trebuie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subestimate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poate</w:t>
            </w:r>
            <w:proofErr w:type="spellEnd"/>
            <w:r w:rsidRPr="00A5319F">
              <w:rPr>
                <w:rFonts w:eastAsia="Arial Unicode MS"/>
                <w:color w:val="000000" w:themeColor="text1"/>
                <w:sz w:val="20"/>
                <w:szCs w:val="20"/>
                <w:shd w:val="clear" w:color="auto" w:fill="FFFFFF"/>
                <w:lang w:val="en-US"/>
              </w:rPr>
              <w:t xml:space="preserve"> decide, în conformitate cu </w:t>
            </w:r>
            <w:proofErr w:type="spellStart"/>
            <w:r w:rsidRPr="00A5319F">
              <w:rPr>
                <w:rFonts w:eastAsia="Arial Unicode MS"/>
                <w:color w:val="000000" w:themeColor="text1"/>
                <w:sz w:val="20"/>
                <w:szCs w:val="20"/>
                <w:shd w:val="clear" w:color="auto" w:fill="FFFFFF"/>
                <w:lang w:val="en-US"/>
              </w:rPr>
              <w:t>împuternicirea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prevăzută</w:t>
            </w:r>
            <w:proofErr w:type="spellEnd"/>
            <w:r w:rsidRPr="00A5319F">
              <w:rPr>
                <w:rFonts w:eastAsia="Arial Unicode MS"/>
                <w:color w:val="000000" w:themeColor="text1"/>
                <w:sz w:val="20"/>
                <w:szCs w:val="20"/>
                <w:shd w:val="clear" w:color="auto" w:fill="FFFFFF"/>
                <w:lang w:val="en-US"/>
              </w:rPr>
              <w:t xml:space="preserve"> la al </w:t>
            </w:r>
            <w:proofErr w:type="spellStart"/>
            <w:r w:rsidRPr="00A5319F">
              <w:rPr>
                <w:rFonts w:eastAsia="Arial Unicode MS"/>
                <w:color w:val="000000" w:themeColor="text1"/>
                <w:sz w:val="20"/>
                <w:szCs w:val="20"/>
                <w:shd w:val="clear" w:color="auto" w:fill="FFFFFF"/>
                <w:lang w:val="en-US"/>
              </w:rPr>
              <w:t>optulea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acopere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doar</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parte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datoria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financiară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legată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CfD-uri</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CCfD-uri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menționate</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primul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partea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rămasă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urmărește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limiteze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utilizarea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acoperire</w:t>
            </w:r>
            <w:proofErr w:type="spellEnd"/>
            <w:r w:rsidRPr="00A5319F">
              <w:rPr>
                <w:rFonts w:eastAsia="Arial Unicode MS"/>
                <w:color w:val="000000" w:themeColor="text1"/>
                <w:sz w:val="20"/>
                <w:szCs w:val="20"/>
                <w:shd w:val="clear" w:color="auto" w:fill="FFFFFF"/>
                <w:lang w:val="en-US"/>
              </w:rPr>
              <w:t>.</w:t>
            </w:r>
          </w:p>
          <w:p w14:paraId="6643E681" w14:textId="6814E532"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evaluarea</w:t>
            </w:r>
            <w:proofErr w:type="spellEnd"/>
            <w:r w:rsidRPr="00A5319F">
              <w:rPr>
                <w:rFonts w:eastAsia="Arial Unicode MS"/>
                <w:color w:val="000000" w:themeColor="text1"/>
                <w:sz w:val="20"/>
                <w:szCs w:val="20"/>
                <w:shd w:val="clear" w:color="auto" w:fill="FFFFFF"/>
                <w:lang w:val="en-US"/>
              </w:rPr>
              <w:t xml:space="preserve"> conduce la </w:t>
            </w:r>
            <w:proofErr w:type="spellStart"/>
            <w:r w:rsidRPr="00A5319F">
              <w:rPr>
                <w:rFonts w:eastAsia="Arial Unicode MS"/>
                <w:color w:val="000000" w:themeColor="text1"/>
                <w:sz w:val="20"/>
                <w:szCs w:val="20"/>
                <w:shd w:val="clear" w:color="auto" w:fill="FFFFFF"/>
                <w:lang w:val="en-US"/>
              </w:rPr>
              <w:t>concluzia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că</w:t>
            </w:r>
            <w:proofErr w:type="spellEnd"/>
            <w:r w:rsidRPr="00A5319F">
              <w:rPr>
                <w:rFonts w:eastAsia="Arial Unicode MS"/>
                <w:color w:val="000000" w:themeColor="text1"/>
                <w:sz w:val="20"/>
                <w:szCs w:val="20"/>
                <w:shd w:val="clear" w:color="auto" w:fill="FFFFFF"/>
                <w:lang w:val="en-US"/>
              </w:rPr>
              <w:t xml:space="preserve"> sunt </w:t>
            </w:r>
            <w:proofErr w:type="spellStart"/>
            <w:r w:rsidRPr="00A5319F">
              <w:rPr>
                <w:rFonts w:eastAsia="Arial Unicode MS"/>
                <w:color w:val="000000" w:themeColor="text1"/>
                <w:sz w:val="20"/>
                <w:szCs w:val="20"/>
                <w:shd w:val="clear" w:color="auto" w:fill="FFFFFF"/>
                <w:lang w:val="en-US"/>
              </w:rPr>
              <w:t>necesare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acoperire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realiza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întregul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potențial</w:t>
            </w:r>
            <w:proofErr w:type="spellEnd"/>
            <w:r w:rsidRPr="00A5319F">
              <w:rPr>
                <w:rFonts w:eastAsia="Arial Unicode MS"/>
                <w:color w:val="000000" w:themeColor="text1"/>
                <w:sz w:val="20"/>
                <w:szCs w:val="20"/>
                <w:shd w:val="clear" w:color="auto" w:fill="FFFFFF"/>
                <w:lang w:val="en-US"/>
              </w:rPr>
              <w:t xml:space="preserve"> al </w:t>
            </w:r>
            <w:proofErr w:type="spellStart"/>
            <w:r w:rsidRPr="00A5319F">
              <w:rPr>
                <w:rFonts w:eastAsia="Arial Unicode MS"/>
                <w:color w:val="000000" w:themeColor="text1"/>
                <w:sz w:val="20"/>
                <w:szCs w:val="20"/>
                <w:shd w:val="clear" w:color="auto" w:fill="FFFFFF"/>
                <w:lang w:val="en-US"/>
              </w:rPr>
              <w:t>CfD-urilor</w:t>
            </w:r>
            <w:proofErr w:type="spellEnd"/>
            <w:r w:rsidRPr="00A5319F">
              <w:rPr>
                <w:rFonts w:eastAsia="Arial Unicode MS"/>
                <w:color w:val="000000" w:themeColor="text1"/>
                <w:sz w:val="20"/>
                <w:szCs w:val="20"/>
                <w:shd w:val="clear" w:color="auto" w:fill="FFFFFF"/>
                <w:lang w:val="en-US"/>
              </w:rPr>
              <w:t xml:space="preserve"> și al </w:t>
            </w:r>
            <w:proofErr w:type="spellStart"/>
            <w:r w:rsidRPr="00A5319F">
              <w:rPr>
                <w:rFonts w:eastAsia="Arial Unicode MS"/>
                <w:color w:val="000000" w:themeColor="text1"/>
                <w:sz w:val="20"/>
                <w:szCs w:val="20"/>
                <w:shd w:val="clear" w:color="auto" w:fill="FFFFFF"/>
                <w:lang w:val="en-US"/>
              </w:rPr>
              <w:t>CCfD-urilor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urmărește</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combinație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echilibrată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acoperire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derogare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articolul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210 </w:t>
            </w:r>
            <w:proofErr w:type="spellStart"/>
            <w:r w:rsidRPr="00A5319F">
              <w:rPr>
                <w:rFonts w:eastAsia="Arial Unicode MS"/>
                <w:color w:val="000000" w:themeColor="text1"/>
                <w:sz w:val="20"/>
                <w:szCs w:val="20"/>
                <w:shd w:val="clear" w:color="auto" w:fill="FFFFFF"/>
                <w:lang w:val="en-US"/>
              </w:rPr>
              <w:t>alineatul</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(1) din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(UE, Euratom)</w:t>
            </w:r>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2018/1046,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măsura</w:t>
            </w:r>
            <w:proofErr w:type="spellEnd"/>
            <w:r w:rsidRPr="00A5319F">
              <w:rPr>
                <w:rFonts w:eastAsia="Arial Unicode MS"/>
                <w:color w:val="000000" w:themeColor="text1"/>
                <w:sz w:val="20"/>
                <w:szCs w:val="20"/>
                <w:shd w:val="clear" w:color="auto" w:fill="FFFFFF"/>
                <w:lang w:val="en-US"/>
              </w:rPr>
              <w:t xml:space="preserve"> în care se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acoperire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delegat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prevăzut</w:t>
            </w:r>
            <w:proofErr w:type="spellEnd"/>
            <w:r w:rsidRPr="00A5319F">
              <w:rPr>
                <w:rFonts w:eastAsia="Arial Unicode MS"/>
                <w:color w:val="000000" w:themeColor="text1"/>
                <w:sz w:val="20"/>
                <w:szCs w:val="20"/>
                <w:shd w:val="clear" w:color="auto" w:fill="FFFFFF"/>
                <w:lang w:val="en-US"/>
              </w:rPr>
              <w:t xml:space="preserve"> la al </w:t>
            </w:r>
            <w:proofErr w:type="spellStart"/>
            <w:r w:rsidRPr="00A5319F">
              <w:rPr>
                <w:rFonts w:eastAsia="Arial Unicode MS"/>
                <w:color w:val="000000" w:themeColor="text1"/>
                <w:sz w:val="20"/>
                <w:szCs w:val="20"/>
                <w:shd w:val="clear" w:color="auto" w:fill="FFFFFF"/>
                <w:lang w:val="en-US"/>
              </w:rPr>
              <w:t>optulea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w:t>
            </w:r>
          </w:p>
          <w:p w14:paraId="55EEC8EA" w14:textId="14CC69BE" w:rsidR="00124364" w:rsidRDefault="00000000" w:rsidP="00A5319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Datoria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rămasă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acoperită</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suficient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având</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vedere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principiile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titlul</w:t>
            </w:r>
            <w:proofErr w:type="spellEnd"/>
            <w:r>
              <w:rPr>
                <w:rFonts w:eastAsia="Arial Unicode MS"/>
                <w:color w:val="333333"/>
                <w:sz w:val="20"/>
                <w:szCs w:val="20"/>
                <w:shd w:val="clear" w:color="auto" w:fill="FFFFFF"/>
                <w:lang w:val="en-US"/>
              </w:rPr>
              <w:t xml:space="preserve"> X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Euratom)</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2018/1046,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necesar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adaptată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particularitățile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CfD-urilor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CCfD-urilor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derogare</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209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 </w:t>
            </w:r>
            <w:proofErr w:type="spellStart"/>
            <w:r>
              <w:rPr>
                <w:rFonts w:eastAsia="Arial Unicode MS"/>
                <w:color w:val="333333"/>
                <w:sz w:val="20"/>
                <w:szCs w:val="20"/>
                <w:shd w:val="clear" w:color="auto" w:fill="FFFFFF"/>
                <w:lang w:val="en-US"/>
              </w:rPr>
              <w:t>literele</w:t>
            </w:r>
            <w:proofErr w:type="spellEnd"/>
            <w:r>
              <w:rPr>
                <w:rFonts w:eastAsia="Arial Unicode MS"/>
                <w:color w:val="333333"/>
                <w:sz w:val="20"/>
                <w:szCs w:val="20"/>
                <w:shd w:val="clear" w:color="auto" w:fill="FFFFFF"/>
                <w:lang w:val="en-US"/>
              </w:rPr>
              <w:t xml:space="preserve"> (d) și (h), de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210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 de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211 </w:t>
            </w:r>
            <w:proofErr w:type="spellStart"/>
            <w:r>
              <w:rPr>
                <w:rFonts w:eastAsia="Arial Unicode MS"/>
                <w:color w:val="333333"/>
                <w:sz w:val="20"/>
                <w:szCs w:val="20"/>
                <w:shd w:val="clear" w:color="auto" w:fill="FFFFFF"/>
                <w:lang w:val="en-US"/>
              </w:rPr>
              <w:t>alineatele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(1), (2), (4) și</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(6), de la </w:t>
            </w:r>
            <w:proofErr w:type="spellStart"/>
            <w:r>
              <w:rPr>
                <w:rFonts w:eastAsia="Arial Unicode MS"/>
                <w:color w:val="333333"/>
                <w:sz w:val="20"/>
                <w:szCs w:val="20"/>
                <w:shd w:val="clear" w:color="auto" w:fill="FFFFFF"/>
                <w:lang w:val="en-US"/>
              </w:rPr>
              <w:t>articolele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212, 213 și</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214, de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218 </w:t>
            </w:r>
            <w:proofErr w:type="spellStart"/>
            <w:r>
              <w:rPr>
                <w:rFonts w:eastAsia="Arial Unicode MS"/>
                <w:color w:val="333333"/>
                <w:sz w:val="20"/>
                <w:szCs w:val="20"/>
                <w:shd w:val="clear" w:color="auto" w:fill="FFFFFF"/>
                <w:lang w:val="en-US"/>
              </w:rPr>
              <w:t>alineatul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 și de la </w:t>
            </w:r>
            <w:proofErr w:type="spellStart"/>
            <w:r>
              <w:rPr>
                <w:rFonts w:eastAsia="Arial Unicode MS"/>
                <w:color w:val="333333"/>
                <w:sz w:val="20"/>
                <w:szCs w:val="20"/>
                <w:shd w:val="clear" w:color="auto" w:fill="FFFFFF"/>
                <w:lang w:val="en-US"/>
              </w:rPr>
              <w:t>articolul</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219 </w:t>
            </w:r>
            <w:proofErr w:type="spellStart"/>
            <w:r>
              <w:rPr>
                <w:rFonts w:eastAsia="Arial Unicode MS"/>
                <w:color w:val="333333"/>
                <w:sz w:val="20"/>
                <w:szCs w:val="20"/>
                <w:shd w:val="clear" w:color="auto" w:fill="FFFFFF"/>
                <w:lang w:val="en-US"/>
              </w:rPr>
              <w:t>alineatele</w:t>
            </w:r>
            <w:proofErr w:type="spellEnd"/>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(3) și</w:t>
            </w:r>
            <w:r w:rsidR="00A5319F">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(6)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mijloace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acoperire</w:t>
            </w:r>
            <w:proofErr w:type="spellEnd"/>
            <w:r>
              <w:rPr>
                <w:rFonts w:eastAsia="Arial Unicode MS"/>
                <w:color w:val="333333"/>
                <w:sz w:val="20"/>
                <w:szCs w:val="20"/>
                <w:shd w:val="clear" w:color="auto" w:fill="FFFFFF"/>
                <w:lang w:val="en-US"/>
              </w:rPr>
              <w:t xml:space="preserve">, rata de </w:t>
            </w:r>
            <w:proofErr w:type="spellStart"/>
            <w:r>
              <w:rPr>
                <w:rFonts w:eastAsia="Arial Unicode MS"/>
                <w:color w:val="333333"/>
                <w:sz w:val="20"/>
                <w:szCs w:val="20"/>
                <w:shd w:val="clear" w:color="auto" w:fill="FFFFFF"/>
                <w:lang w:val="en-US"/>
              </w:rPr>
              <w:t>provizionare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derogările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necesare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stabilesc</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act </w:t>
            </w:r>
            <w:proofErr w:type="spellStart"/>
            <w:r>
              <w:rPr>
                <w:rFonts w:eastAsia="Arial Unicode MS"/>
                <w:color w:val="333333"/>
                <w:sz w:val="20"/>
                <w:szCs w:val="20"/>
                <w:shd w:val="clear" w:color="auto" w:fill="FFFFFF"/>
                <w:lang w:val="en-US"/>
              </w:rPr>
              <w:t>delegat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w:t>
            </w:r>
            <w:proofErr w:type="spellEnd"/>
            <w:r>
              <w:rPr>
                <w:rFonts w:eastAsia="Arial Unicode MS"/>
                <w:color w:val="333333"/>
                <w:sz w:val="20"/>
                <w:szCs w:val="20"/>
                <w:shd w:val="clear" w:color="auto" w:fill="FFFFFF"/>
                <w:lang w:val="en-US"/>
              </w:rPr>
              <w:t xml:space="preserve"> la al </w:t>
            </w:r>
            <w:proofErr w:type="spellStart"/>
            <w:r>
              <w:rPr>
                <w:rFonts w:eastAsia="Arial Unicode MS"/>
                <w:color w:val="333333"/>
                <w:sz w:val="20"/>
                <w:szCs w:val="20"/>
                <w:shd w:val="clear" w:color="auto" w:fill="FFFFFF"/>
                <w:lang w:val="en-US"/>
              </w:rPr>
              <w:t>optulea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w:t>
            </w:r>
          </w:p>
          <w:p w14:paraId="449EA1FB" w14:textId="3EF7E9EB"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utilizează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mult</w:t>
            </w:r>
            <w:proofErr w:type="spellEnd"/>
            <w:r w:rsidRPr="00A5319F">
              <w:rPr>
                <w:rFonts w:eastAsia="Arial Unicode MS"/>
                <w:color w:val="000000" w:themeColor="text1"/>
                <w:sz w:val="20"/>
                <w:szCs w:val="20"/>
                <w:shd w:val="clear" w:color="auto" w:fill="FFFFFF"/>
                <w:lang w:val="en-US"/>
              </w:rPr>
              <w:t xml:space="preserve"> de 30</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veniturile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obținute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licitarea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certificatelor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lastRenderedPageBreak/>
              <w:t>inovare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alineatului</w:t>
            </w:r>
            <w:proofErr w:type="spellEnd"/>
            <w:r w:rsid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(8)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provizionarea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CfD-urilor</w:t>
            </w:r>
            <w:proofErr w:type="spellEnd"/>
            <w:r w:rsidRPr="00A5319F">
              <w:rPr>
                <w:rFonts w:eastAsia="Arial Unicode MS"/>
                <w:color w:val="000000" w:themeColor="text1"/>
                <w:sz w:val="20"/>
                <w:szCs w:val="20"/>
                <w:shd w:val="clear" w:color="auto" w:fill="FFFFFF"/>
                <w:lang w:val="en-US"/>
              </w:rPr>
              <w:t xml:space="preserve"> și a </w:t>
            </w:r>
            <w:proofErr w:type="spellStart"/>
            <w:r w:rsidRPr="00A5319F">
              <w:rPr>
                <w:rFonts w:eastAsia="Arial Unicode MS"/>
                <w:color w:val="000000" w:themeColor="text1"/>
                <w:sz w:val="20"/>
                <w:szCs w:val="20"/>
                <w:shd w:val="clear" w:color="auto" w:fill="FFFFFF"/>
                <w:lang w:val="en-US"/>
              </w:rPr>
              <w:t>CCfD-urilor</w:t>
            </w:r>
            <w:proofErr w:type="spellEnd"/>
            <w:r w:rsidRPr="00A5319F">
              <w:rPr>
                <w:rFonts w:eastAsia="Arial Unicode MS"/>
                <w:color w:val="000000" w:themeColor="text1"/>
                <w:sz w:val="20"/>
                <w:szCs w:val="20"/>
                <w:shd w:val="clear" w:color="auto" w:fill="FFFFFF"/>
                <w:lang w:val="en-US"/>
              </w:rPr>
              <w:t>.</w:t>
            </w:r>
          </w:p>
          <w:p w14:paraId="14B90662" w14:textId="6A0AC210"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5319F">
              <w:rPr>
                <w:rFonts w:eastAsia="Arial Unicode MS"/>
                <w:color w:val="000000" w:themeColor="text1"/>
                <w:sz w:val="20"/>
                <w:szCs w:val="20"/>
                <w:shd w:val="clear" w:color="auto" w:fill="FFFFFF"/>
                <w:lang w:val="en-US"/>
              </w:rPr>
              <w:t xml:space="preserve">Rata de </w:t>
            </w:r>
            <w:proofErr w:type="spellStart"/>
            <w:r w:rsidRPr="00A5319F">
              <w:rPr>
                <w:rFonts w:eastAsia="Arial Unicode MS"/>
                <w:color w:val="000000" w:themeColor="text1"/>
                <w:sz w:val="20"/>
                <w:szCs w:val="20"/>
                <w:shd w:val="clear" w:color="auto" w:fill="FFFFFF"/>
                <w:lang w:val="en-US"/>
              </w:rPr>
              <w:t>provizionare</w:t>
            </w:r>
            <w:proofErr w:type="spellEnd"/>
            <w:r w:rsidRPr="00A5319F">
              <w:rPr>
                <w:rFonts w:eastAsia="Arial Unicode MS"/>
                <w:color w:val="000000" w:themeColor="text1"/>
                <w:sz w:val="20"/>
                <w:szCs w:val="20"/>
                <w:shd w:val="clear" w:color="auto" w:fill="FFFFFF"/>
                <w:lang w:val="en-US"/>
              </w:rPr>
              <w:t xml:space="preserve"> nu </w:t>
            </w:r>
            <w:proofErr w:type="spellStart"/>
            <w:r w:rsidRPr="00A5319F">
              <w:rPr>
                <w:rFonts w:eastAsia="Arial Unicode MS"/>
                <w:color w:val="000000" w:themeColor="text1"/>
                <w:sz w:val="20"/>
                <w:szCs w:val="20"/>
                <w:shd w:val="clear" w:color="auto" w:fill="FFFFFF"/>
                <w:lang w:val="en-US"/>
              </w:rPr>
              <w:t>trebuie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mică</w:t>
            </w:r>
            <w:proofErr w:type="spellEnd"/>
            <w:r w:rsidRPr="00A5319F">
              <w:rPr>
                <w:rFonts w:eastAsia="Arial Unicode MS"/>
                <w:color w:val="000000" w:themeColor="text1"/>
                <w:sz w:val="20"/>
                <w:szCs w:val="20"/>
                <w:shd w:val="clear" w:color="auto" w:fill="FFFFFF"/>
                <w:lang w:val="en-US"/>
              </w:rPr>
              <w:t xml:space="preserve"> de 50</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datoria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financiară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totală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suportată</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bugetul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CfD-uri</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CCfD-uri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Atunci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stabilește</w:t>
            </w:r>
            <w:proofErr w:type="spellEnd"/>
            <w:r w:rsidRPr="00A5319F">
              <w:rPr>
                <w:rFonts w:eastAsia="Arial Unicode MS"/>
                <w:color w:val="000000" w:themeColor="text1"/>
                <w:sz w:val="20"/>
                <w:szCs w:val="20"/>
                <w:shd w:val="clear" w:color="auto" w:fill="FFFFFF"/>
                <w:lang w:val="en-US"/>
              </w:rPr>
              <w:t xml:space="preserve"> rata de </w:t>
            </w:r>
            <w:proofErr w:type="spellStart"/>
            <w:r w:rsidRPr="00A5319F">
              <w:rPr>
                <w:rFonts w:eastAsia="Arial Unicode MS"/>
                <w:color w:val="000000" w:themeColor="text1"/>
                <w:sz w:val="20"/>
                <w:szCs w:val="20"/>
                <w:shd w:val="clear" w:color="auto" w:fill="FFFFFF"/>
                <w:lang w:val="en-US"/>
              </w:rPr>
              <w:t>provizionare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ia</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considerare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elemente</w:t>
            </w:r>
            <w:proofErr w:type="spellEnd"/>
            <w:r w:rsidRPr="00A5319F">
              <w:rPr>
                <w:rFonts w:eastAsia="Arial Unicode MS"/>
                <w:color w:val="000000" w:themeColor="text1"/>
                <w:sz w:val="20"/>
                <w:szCs w:val="20"/>
                <w:shd w:val="clear" w:color="auto" w:fill="FFFFFF"/>
                <w:lang w:val="en-US"/>
              </w:rPr>
              <w:t xml:space="preserve"> care pot reduce </w:t>
            </w:r>
            <w:proofErr w:type="spellStart"/>
            <w:r w:rsidRPr="00A5319F">
              <w:rPr>
                <w:rFonts w:eastAsia="Arial Unicode MS"/>
                <w:color w:val="000000" w:themeColor="text1"/>
                <w:sz w:val="20"/>
                <w:szCs w:val="20"/>
                <w:shd w:val="clear" w:color="auto" w:fill="FFFFFF"/>
                <w:lang w:val="en-US"/>
              </w:rPr>
              <w:t>riscurile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financiare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bugetul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Uniunii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dincolo</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creditele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disponibile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cadrul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cum </w:t>
            </w:r>
            <w:proofErr w:type="spellStart"/>
            <w:r w:rsidRPr="00A5319F">
              <w:rPr>
                <w:rFonts w:eastAsia="Arial Unicode MS"/>
                <w:color w:val="000000" w:themeColor="text1"/>
                <w:sz w:val="20"/>
                <w:szCs w:val="20"/>
                <w:shd w:val="clear" w:color="auto" w:fill="FFFFFF"/>
                <w:lang w:val="en-US"/>
              </w:rPr>
              <w:t>ar</w:t>
            </w:r>
            <w:proofErr w:type="spellEnd"/>
            <w:r w:rsidRPr="00A5319F">
              <w:rPr>
                <w:rFonts w:eastAsia="Arial Unicode MS"/>
                <w:color w:val="000000" w:themeColor="text1"/>
                <w:sz w:val="20"/>
                <w:szCs w:val="20"/>
                <w:shd w:val="clear" w:color="auto" w:fill="FFFFFF"/>
                <w:lang w:val="en-US"/>
              </w:rPr>
              <w:t xml:space="preserve"> fi </w:t>
            </w:r>
            <w:proofErr w:type="spellStart"/>
            <w:r w:rsidRPr="00A5319F">
              <w:rPr>
                <w:rFonts w:eastAsia="Arial Unicode MS"/>
                <w:color w:val="000000" w:themeColor="text1"/>
                <w:sz w:val="20"/>
                <w:szCs w:val="20"/>
                <w:shd w:val="clear" w:color="auto" w:fill="FFFFFF"/>
                <w:lang w:val="en-US"/>
              </w:rPr>
              <w:t>posibila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partajare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răspunderii</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statele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membre</w:t>
            </w:r>
            <w:proofErr w:type="spellEnd"/>
            <w:r w:rsidRPr="00A5319F">
              <w:rPr>
                <w:rFonts w:eastAsia="Arial Unicode MS"/>
                <w:color w:val="000000" w:themeColor="text1"/>
                <w:sz w:val="20"/>
                <w:szCs w:val="20"/>
                <w:shd w:val="clear" w:color="auto" w:fill="FFFFFF"/>
                <w:lang w:val="en-US"/>
              </w:rPr>
              <w:t xml:space="preserve"> în mod </w:t>
            </w:r>
            <w:proofErr w:type="spellStart"/>
            <w:r w:rsidRPr="00A5319F">
              <w:rPr>
                <w:rFonts w:eastAsia="Arial Unicode MS"/>
                <w:color w:val="000000" w:themeColor="text1"/>
                <w:sz w:val="20"/>
                <w:szCs w:val="20"/>
                <w:shd w:val="clear" w:color="auto" w:fill="FFFFFF"/>
                <w:lang w:val="en-US"/>
              </w:rPr>
              <w:t>voluntar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un </w:t>
            </w:r>
            <w:proofErr w:type="spellStart"/>
            <w:r w:rsidRPr="00A5319F">
              <w:rPr>
                <w:rFonts w:eastAsia="Arial Unicode MS"/>
                <w:color w:val="000000" w:themeColor="text1"/>
                <w:sz w:val="20"/>
                <w:szCs w:val="20"/>
                <w:shd w:val="clear" w:color="auto" w:fill="FFFFFF"/>
                <w:lang w:val="en-US"/>
              </w:rPr>
              <w:t>posibil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mecanism</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reasigurare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partea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sectorului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privat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revizuiește</w:t>
            </w:r>
            <w:proofErr w:type="spellEnd"/>
            <w:r w:rsidRPr="00A5319F">
              <w:rPr>
                <w:rFonts w:eastAsia="Arial Unicode MS"/>
                <w:color w:val="000000" w:themeColor="text1"/>
                <w:sz w:val="20"/>
                <w:szCs w:val="20"/>
                <w:shd w:val="clear" w:color="auto" w:fill="FFFFFF"/>
                <w:lang w:val="en-US"/>
              </w:rPr>
              <w:t xml:space="preserve"> rata de </w:t>
            </w:r>
            <w:proofErr w:type="spellStart"/>
            <w:r w:rsidRPr="00A5319F">
              <w:rPr>
                <w:rFonts w:eastAsia="Arial Unicode MS"/>
                <w:color w:val="000000" w:themeColor="text1"/>
                <w:sz w:val="20"/>
                <w:szCs w:val="20"/>
                <w:shd w:val="clear" w:color="auto" w:fill="FFFFFF"/>
                <w:lang w:val="en-US"/>
              </w:rPr>
              <w:t>provizionare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puțin</w:t>
            </w:r>
            <w:proofErr w:type="spellEnd"/>
            <w:r w:rsidRPr="00A5319F">
              <w:rPr>
                <w:rFonts w:eastAsia="Arial Unicode MS"/>
                <w:color w:val="000000" w:themeColor="text1"/>
                <w:sz w:val="20"/>
                <w:szCs w:val="20"/>
                <w:shd w:val="clear" w:color="auto" w:fill="FFFFFF"/>
                <w:lang w:val="en-US"/>
              </w:rPr>
              <w:t xml:space="preserve"> o </w:t>
            </w:r>
            <w:proofErr w:type="spellStart"/>
            <w:r w:rsidRPr="00A5319F">
              <w:rPr>
                <w:rFonts w:eastAsia="Arial Unicode MS"/>
                <w:color w:val="000000" w:themeColor="text1"/>
                <w:sz w:val="20"/>
                <w:szCs w:val="20"/>
                <w:shd w:val="clear" w:color="auto" w:fill="FFFFFF"/>
                <w:lang w:val="en-US"/>
              </w:rPr>
              <w:t>dată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trei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ani de la data </w:t>
            </w:r>
            <w:proofErr w:type="spellStart"/>
            <w:r w:rsidRPr="00A5319F">
              <w:rPr>
                <w:rFonts w:eastAsia="Arial Unicode MS"/>
                <w:color w:val="000000" w:themeColor="text1"/>
                <w:sz w:val="20"/>
                <w:szCs w:val="20"/>
                <w:shd w:val="clear" w:color="auto" w:fill="FFFFFF"/>
                <w:lang w:val="en-US"/>
              </w:rPr>
              <w:t>aplicării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delegat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care se </w:t>
            </w:r>
            <w:proofErr w:type="spellStart"/>
            <w:r w:rsidRPr="00A5319F">
              <w:rPr>
                <w:rFonts w:eastAsia="Arial Unicode MS"/>
                <w:color w:val="000000" w:themeColor="text1"/>
                <w:sz w:val="20"/>
                <w:szCs w:val="20"/>
                <w:shd w:val="clear" w:color="auto" w:fill="FFFFFF"/>
                <w:lang w:val="en-US"/>
              </w:rPr>
              <w:t>stabilește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prima </w:t>
            </w:r>
            <w:proofErr w:type="spellStart"/>
            <w:r w:rsidRPr="00A5319F">
              <w:rPr>
                <w:rFonts w:eastAsia="Arial Unicode MS"/>
                <w:color w:val="000000" w:themeColor="text1"/>
                <w:sz w:val="20"/>
                <w:szCs w:val="20"/>
                <w:shd w:val="clear" w:color="auto" w:fill="FFFFFF"/>
                <w:lang w:val="en-US"/>
              </w:rPr>
              <w:t>dată</w:t>
            </w:r>
            <w:proofErr w:type="spellEnd"/>
            <w:r w:rsidRPr="00A5319F">
              <w:rPr>
                <w:rFonts w:eastAsia="Arial Unicode MS"/>
                <w:color w:val="000000" w:themeColor="text1"/>
                <w:sz w:val="20"/>
                <w:szCs w:val="20"/>
                <w:shd w:val="clear" w:color="auto" w:fill="FFFFFF"/>
                <w:lang w:val="en-US"/>
              </w:rPr>
              <w:t>.</w:t>
            </w:r>
          </w:p>
          <w:p w14:paraId="19369C2B" w14:textId="22875BEE"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evita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cererile</w:t>
            </w:r>
            <w:proofErr w:type="spellEnd"/>
            <w:r w:rsidRPr="00A5319F">
              <w:rPr>
                <w:rFonts w:eastAsia="Arial Unicode MS"/>
                <w:color w:val="000000" w:themeColor="text1"/>
                <w:sz w:val="20"/>
                <w:szCs w:val="20"/>
                <w:shd w:val="clear" w:color="auto" w:fill="FFFFFF"/>
                <w:lang w:val="en-US"/>
              </w:rPr>
              <w:t xml:space="preserve"> speculative, </w:t>
            </w:r>
            <w:proofErr w:type="spellStart"/>
            <w:r w:rsidRPr="00A5319F">
              <w:rPr>
                <w:rFonts w:eastAsia="Arial Unicode MS"/>
                <w:color w:val="000000" w:themeColor="text1"/>
                <w:sz w:val="20"/>
                <w:szCs w:val="20"/>
                <w:shd w:val="clear" w:color="auto" w:fill="FFFFFF"/>
                <w:lang w:val="en-US"/>
              </w:rPr>
              <w:t>accesul</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licitația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concurențială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poate</w:t>
            </w:r>
            <w:proofErr w:type="spellEnd"/>
            <w:r w:rsidRPr="00A5319F">
              <w:rPr>
                <w:rFonts w:eastAsia="Arial Unicode MS"/>
                <w:color w:val="000000" w:themeColor="text1"/>
                <w:sz w:val="20"/>
                <w:szCs w:val="20"/>
                <w:shd w:val="clear" w:color="auto" w:fill="FFFFFF"/>
                <w:lang w:val="en-US"/>
              </w:rPr>
              <w:t xml:space="preserve"> fi </w:t>
            </w:r>
            <w:proofErr w:type="spellStart"/>
            <w:r w:rsidRPr="00A5319F">
              <w:rPr>
                <w:rFonts w:eastAsia="Arial Unicode MS"/>
                <w:color w:val="000000" w:themeColor="text1"/>
                <w:sz w:val="20"/>
                <w:szCs w:val="20"/>
                <w:shd w:val="clear" w:color="auto" w:fill="FFFFFF"/>
                <w:lang w:val="en-US"/>
              </w:rPr>
              <w:t>condiționat</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plata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solicitanți</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unei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garanții</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urmează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fie </w:t>
            </w:r>
            <w:proofErr w:type="spellStart"/>
            <w:r w:rsidRPr="00A5319F">
              <w:rPr>
                <w:rFonts w:eastAsia="Arial Unicode MS"/>
                <w:color w:val="000000" w:themeColor="text1"/>
                <w:sz w:val="20"/>
                <w:szCs w:val="20"/>
                <w:shd w:val="clear" w:color="auto" w:fill="FFFFFF"/>
                <w:lang w:val="en-US"/>
              </w:rPr>
              <w:t>reținută</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neexecutare</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contractului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garanții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reținute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revin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ca </w:t>
            </w:r>
            <w:proofErr w:type="spellStart"/>
            <w:r w:rsidRPr="00A5319F">
              <w:rPr>
                <w:rFonts w:eastAsia="Arial Unicode MS"/>
                <w:color w:val="000000" w:themeColor="text1"/>
                <w:sz w:val="20"/>
                <w:szCs w:val="20"/>
                <w:shd w:val="clear" w:color="auto" w:fill="FFFFFF"/>
                <w:lang w:val="en-US"/>
              </w:rPr>
              <w:t>venituri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externe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alocate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21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(5) din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(UE, Euratom)</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2018/1046. </w:t>
            </w:r>
            <w:proofErr w:type="spellStart"/>
            <w:r w:rsidRPr="00A5319F">
              <w:rPr>
                <w:rFonts w:eastAsia="Arial Unicode MS"/>
                <w:color w:val="000000" w:themeColor="text1"/>
                <w:sz w:val="20"/>
                <w:szCs w:val="20"/>
                <w:shd w:val="clear" w:color="auto" w:fill="FFFFFF"/>
                <w:lang w:val="en-US"/>
              </w:rPr>
              <w:t>Orice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contribuție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plătită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autorității</w:t>
            </w:r>
            <w:proofErr w:type="spellEnd"/>
            <w:r w:rsidRPr="00A5319F">
              <w:rPr>
                <w:rFonts w:eastAsia="Arial Unicode MS"/>
                <w:color w:val="000000" w:themeColor="text1"/>
                <w:sz w:val="20"/>
                <w:szCs w:val="20"/>
                <w:shd w:val="clear" w:color="auto" w:fill="FFFFFF"/>
                <w:lang w:val="en-US"/>
              </w:rPr>
              <w:t xml:space="preserve"> care </w:t>
            </w:r>
            <w:proofErr w:type="spellStart"/>
            <w:r w:rsidRPr="00A5319F">
              <w:rPr>
                <w:rFonts w:eastAsia="Arial Unicode MS"/>
                <w:color w:val="000000" w:themeColor="text1"/>
                <w:sz w:val="20"/>
                <w:szCs w:val="20"/>
                <w:shd w:val="clear" w:color="auto" w:fill="FFFFFF"/>
                <w:lang w:val="en-US"/>
              </w:rPr>
              <w:t>acordă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grantul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către</w:t>
            </w:r>
            <w:proofErr w:type="spellEnd"/>
            <w:r w:rsidRPr="00A5319F">
              <w:rPr>
                <w:rFonts w:eastAsia="Arial Unicode MS"/>
                <w:color w:val="000000" w:themeColor="text1"/>
                <w:sz w:val="20"/>
                <w:szCs w:val="20"/>
                <w:shd w:val="clear" w:color="auto" w:fill="FFFFFF"/>
                <w:lang w:val="en-US"/>
              </w:rPr>
              <w:t xml:space="preserve"> un </w:t>
            </w:r>
            <w:proofErr w:type="spellStart"/>
            <w:r w:rsidRPr="00A5319F">
              <w:rPr>
                <w:rFonts w:eastAsia="Arial Unicode MS"/>
                <w:color w:val="000000" w:themeColor="text1"/>
                <w:sz w:val="20"/>
                <w:szCs w:val="20"/>
                <w:shd w:val="clear" w:color="auto" w:fill="FFFFFF"/>
                <w:lang w:val="en-US"/>
              </w:rPr>
              <w:t>beneficiar</w:t>
            </w:r>
            <w:proofErr w:type="spellEnd"/>
            <w:r w:rsidRPr="00A5319F">
              <w:rPr>
                <w:rFonts w:eastAsia="Arial Unicode MS"/>
                <w:color w:val="000000" w:themeColor="text1"/>
                <w:sz w:val="20"/>
                <w:szCs w:val="20"/>
                <w:shd w:val="clear" w:color="auto" w:fill="FFFFFF"/>
                <w:lang w:val="en-US"/>
              </w:rPr>
              <w:t xml:space="preserve"> în conformitate cu </w:t>
            </w:r>
            <w:proofErr w:type="spellStart"/>
            <w:r w:rsidRPr="00A5319F">
              <w:rPr>
                <w:rFonts w:eastAsia="Arial Unicode MS"/>
                <w:color w:val="000000" w:themeColor="text1"/>
                <w:sz w:val="20"/>
                <w:szCs w:val="20"/>
                <w:shd w:val="clear" w:color="auto" w:fill="FFFFFF"/>
                <w:lang w:val="en-US"/>
              </w:rPr>
              <w:t>termenii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CfD-ului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ai </w:t>
            </w:r>
            <w:proofErr w:type="spellStart"/>
            <w:r w:rsidRPr="00A5319F">
              <w:rPr>
                <w:rFonts w:eastAsia="Arial Unicode MS"/>
                <w:color w:val="000000" w:themeColor="text1"/>
                <w:sz w:val="20"/>
                <w:szCs w:val="20"/>
                <w:shd w:val="clear" w:color="auto" w:fill="FFFFFF"/>
                <w:lang w:val="en-US"/>
              </w:rPr>
              <w:t>CCfD-ului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cazul</w:t>
            </w:r>
            <w:proofErr w:type="spellEnd"/>
            <w:r w:rsidRPr="00A5319F">
              <w:rPr>
                <w:rFonts w:eastAsia="Arial Unicode MS"/>
                <w:color w:val="000000" w:themeColor="text1"/>
                <w:sz w:val="20"/>
                <w:szCs w:val="20"/>
                <w:shd w:val="clear" w:color="auto" w:fill="FFFFFF"/>
                <w:lang w:val="en-US"/>
              </w:rPr>
              <w:t xml:space="preserve"> în care </w:t>
            </w:r>
            <w:proofErr w:type="spellStart"/>
            <w:r w:rsidRPr="00A5319F">
              <w:rPr>
                <w:rFonts w:eastAsia="Arial Unicode MS"/>
                <w:color w:val="000000" w:themeColor="text1"/>
                <w:sz w:val="20"/>
                <w:szCs w:val="20"/>
                <w:shd w:val="clear" w:color="auto" w:fill="FFFFFF"/>
                <w:lang w:val="en-US"/>
              </w:rPr>
              <w:t>prețul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referință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mai</w:t>
            </w:r>
            <w:proofErr w:type="spellEnd"/>
            <w:r w:rsidRPr="00A5319F">
              <w:rPr>
                <w:rFonts w:eastAsia="Arial Unicode MS"/>
                <w:color w:val="000000" w:themeColor="text1"/>
                <w:sz w:val="20"/>
                <w:szCs w:val="20"/>
                <w:shd w:val="clear" w:color="auto" w:fill="FFFFFF"/>
                <w:lang w:val="en-US"/>
              </w:rPr>
              <w:t xml:space="preserve"> mare </w:t>
            </w:r>
            <w:proofErr w:type="spellStart"/>
            <w:r w:rsidRPr="00A5319F">
              <w:rPr>
                <w:rFonts w:eastAsia="Arial Unicode MS"/>
                <w:color w:val="000000" w:themeColor="text1"/>
                <w:sz w:val="20"/>
                <w:szCs w:val="20"/>
                <w:shd w:val="clear" w:color="auto" w:fill="FFFFFF"/>
                <w:lang w:val="en-US"/>
              </w:rPr>
              <w:t>decât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prețul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exercitare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denumite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continuare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diferență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revine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ca </w:t>
            </w:r>
            <w:proofErr w:type="spellStart"/>
            <w:r w:rsidRPr="00A5319F">
              <w:rPr>
                <w:rFonts w:eastAsia="Arial Unicode MS"/>
                <w:color w:val="000000" w:themeColor="text1"/>
                <w:sz w:val="20"/>
                <w:szCs w:val="20"/>
                <w:shd w:val="clear" w:color="auto" w:fill="FFFFFF"/>
                <w:lang w:val="en-US"/>
              </w:rPr>
              <w:t>venit</w:t>
            </w:r>
            <w:proofErr w:type="spellEnd"/>
            <w:r w:rsidRPr="00A5319F">
              <w:rPr>
                <w:rFonts w:eastAsia="Arial Unicode MS"/>
                <w:color w:val="000000" w:themeColor="text1"/>
                <w:sz w:val="20"/>
                <w:szCs w:val="20"/>
                <w:shd w:val="clear" w:color="auto" w:fill="FFFFFF"/>
                <w:lang w:val="en-US"/>
              </w:rPr>
              <w:t xml:space="preserve"> extern </w:t>
            </w:r>
            <w:proofErr w:type="spellStart"/>
            <w:r w:rsidRPr="00A5319F">
              <w:rPr>
                <w:rFonts w:eastAsia="Arial Unicode MS"/>
                <w:color w:val="000000" w:themeColor="text1"/>
                <w:sz w:val="20"/>
                <w:szCs w:val="20"/>
                <w:shd w:val="clear" w:color="auto" w:fill="FFFFFF"/>
                <w:lang w:val="en-US"/>
              </w:rPr>
              <w:t>alocat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temeiul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articolului</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21 </w:t>
            </w:r>
            <w:proofErr w:type="spellStart"/>
            <w:r w:rsidRPr="00A5319F">
              <w:rPr>
                <w:rFonts w:eastAsia="Arial Unicode MS"/>
                <w:color w:val="000000" w:themeColor="text1"/>
                <w:sz w:val="20"/>
                <w:szCs w:val="20"/>
                <w:shd w:val="clear" w:color="auto" w:fill="FFFFFF"/>
                <w:lang w:val="en-US"/>
              </w:rPr>
              <w:t>alineatul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(5) din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w:t>
            </w:r>
          </w:p>
          <w:p w14:paraId="5F11EACC" w14:textId="34FAF7CC"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împuternicită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adopte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w:t>
            </w:r>
            <w:proofErr w:type="spellEnd"/>
            <w:r w:rsidRPr="00A5319F">
              <w:rPr>
                <w:rFonts w:eastAsia="Arial Unicode MS"/>
                <w:color w:val="000000" w:themeColor="text1"/>
                <w:sz w:val="20"/>
                <w:szCs w:val="20"/>
                <w:shd w:val="clear" w:color="auto" w:fill="FFFFFF"/>
                <w:lang w:val="en-US"/>
              </w:rPr>
              <w:t xml:space="preserve"> delegate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23 din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completa</w:t>
            </w:r>
            <w:proofErr w:type="spellEnd"/>
            <w:r w:rsidRPr="00A5319F">
              <w:rPr>
                <w:rFonts w:eastAsia="Arial Unicode MS"/>
                <w:color w:val="000000" w:themeColor="text1"/>
                <w:sz w:val="20"/>
                <w:szCs w:val="20"/>
                <w:shd w:val="clear" w:color="auto" w:fill="FFFFFF"/>
                <w:lang w:val="en-US"/>
              </w:rPr>
              <w:t xml:space="preserve"> prezenta </w:t>
            </w:r>
            <w:proofErr w:type="spellStart"/>
            <w:r w:rsidRPr="00A5319F">
              <w:rPr>
                <w:rFonts w:eastAsia="Arial Unicode MS"/>
                <w:color w:val="000000" w:themeColor="text1"/>
                <w:sz w:val="20"/>
                <w:szCs w:val="20"/>
                <w:shd w:val="clear" w:color="auto" w:fill="FFFFFF"/>
                <w:lang w:val="en-US"/>
              </w:rPr>
              <w:t>directivă</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scopul</w:t>
            </w:r>
            <w:proofErr w:type="spellEnd"/>
            <w:r w:rsidRPr="00A5319F">
              <w:rPr>
                <w:rFonts w:eastAsia="Arial Unicode MS"/>
                <w:color w:val="000000" w:themeColor="text1"/>
                <w:sz w:val="20"/>
                <w:szCs w:val="20"/>
                <w:shd w:val="clear" w:color="auto" w:fill="FFFFFF"/>
                <w:lang w:val="en-US"/>
              </w:rPr>
              <w:t xml:space="preserve"> de a </w:t>
            </w:r>
            <w:proofErr w:type="spellStart"/>
            <w:r w:rsidRPr="00A5319F">
              <w:rPr>
                <w:rFonts w:eastAsia="Arial Unicode MS"/>
                <w:color w:val="000000" w:themeColor="text1"/>
                <w:sz w:val="20"/>
                <w:szCs w:val="20"/>
                <w:shd w:val="clear" w:color="auto" w:fill="FFFFFF"/>
                <w:lang w:val="en-US"/>
              </w:rPr>
              <w:t>prevedea</w:t>
            </w:r>
            <w:proofErr w:type="spellEnd"/>
            <w:r w:rsidRPr="00A5319F">
              <w:rPr>
                <w:rFonts w:eastAsia="Arial Unicode MS"/>
                <w:color w:val="000000" w:themeColor="text1"/>
                <w:sz w:val="20"/>
                <w:szCs w:val="20"/>
                <w:shd w:val="clear" w:color="auto" w:fill="FFFFFF"/>
                <w:lang w:val="en-US"/>
              </w:rPr>
              <w:t xml:space="preserve"> și a </w:t>
            </w:r>
            <w:proofErr w:type="spellStart"/>
            <w:r w:rsidRPr="00A5319F">
              <w:rPr>
                <w:rFonts w:eastAsia="Arial Unicode MS"/>
                <w:color w:val="000000" w:themeColor="text1"/>
                <w:sz w:val="20"/>
                <w:szCs w:val="20"/>
                <w:shd w:val="clear" w:color="auto" w:fill="FFFFFF"/>
                <w:lang w:val="en-US"/>
              </w:rPr>
              <w:t>detalia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mijloace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acoperire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dacă</w:t>
            </w:r>
            <w:proofErr w:type="spellEnd"/>
            <w:r w:rsidRPr="00A5319F">
              <w:rPr>
                <w:rFonts w:eastAsia="Arial Unicode MS"/>
                <w:color w:val="000000" w:themeColor="text1"/>
                <w:sz w:val="20"/>
                <w:szCs w:val="20"/>
                <w:shd w:val="clear" w:color="auto" w:fill="FFFFFF"/>
                <w:lang w:val="en-US"/>
              </w:rPr>
              <w:t xml:space="preserve"> există, și, </w:t>
            </w:r>
            <w:proofErr w:type="spellStart"/>
            <w:r w:rsidRPr="00A5319F">
              <w:rPr>
                <w:rFonts w:eastAsia="Arial Unicode MS"/>
                <w:color w:val="000000" w:themeColor="text1"/>
                <w:sz w:val="20"/>
                <w:szCs w:val="20"/>
                <w:shd w:val="clear" w:color="auto" w:fill="FFFFFF"/>
                <w:lang w:val="en-US"/>
              </w:rPr>
              <w:t>după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caz</w:t>
            </w:r>
            <w:proofErr w:type="spellEnd"/>
            <w:r w:rsidRPr="00A5319F">
              <w:rPr>
                <w:rFonts w:eastAsia="Arial Unicode MS"/>
                <w:color w:val="000000" w:themeColor="text1"/>
                <w:sz w:val="20"/>
                <w:szCs w:val="20"/>
                <w:shd w:val="clear" w:color="auto" w:fill="FFFFFF"/>
                <w:lang w:val="en-US"/>
              </w:rPr>
              <w:t xml:space="preserve">, rata de </w:t>
            </w:r>
            <w:proofErr w:type="spellStart"/>
            <w:r w:rsidRPr="00A5319F">
              <w:rPr>
                <w:rFonts w:eastAsia="Arial Unicode MS"/>
                <w:color w:val="000000" w:themeColor="text1"/>
                <w:sz w:val="20"/>
                <w:szCs w:val="20"/>
                <w:shd w:val="clear" w:color="auto" w:fill="FFFFFF"/>
                <w:lang w:val="en-US"/>
              </w:rPr>
              <w:t>provizionare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derogările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suplimentare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necesare</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titlul</w:t>
            </w:r>
            <w:proofErr w:type="spellEnd"/>
            <w:r w:rsidRPr="00A5319F">
              <w:rPr>
                <w:rFonts w:eastAsia="Arial Unicode MS"/>
                <w:color w:val="000000" w:themeColor="text1"/>
                <w:sz w:val="20"/>
                <w:szCs w:val="20"/>
                <w:shd w:val="clear" w:color="auto" w:fill="FFFFFF"/>
                <w:lang w:val="en-US"/>
              </w:rPr>
              <w:t xml:space="preserve"> X din </w:t>
            </w:r>
            <w:proofErr w:type="spellStart"/>
            <w:r w:rsidRPr="00A5319F">
              <w:rPr>
                <w:rFonts w:eastAsia="Arial Unicode MS"/>
                <w:color w:val="000000" w:themeColor="text1"/>
                <w:sz w:val="20"/>
                <w:szCs w:val="20"/>
                <w:shd w:val="clear" w:color="auto" w:fill="FFFFFF"/>
                <w:lang w:val="en-US"/>
              </w:rPr>
              <w:t>Regulamentul</w:t>
            </w:r>
            <w:proofErr w:type="spellEnd"/>
            <w:r w:rsidRPr="00A5319F">
              <w:rPr>
                <w:rFonts w:eastAsia="Arial Unicode MS"/>
                <w:color w:val="000000" w:themeColor="text1"/>
                <w:sz w:val="20"/>
                <w:szCs w:val="20"/>
                <w:shd w:val="clear" w:color="auto" w:fill="FFFFFF"/>
                <w:lang w:val="en-US"/>
              </w:rPr>
              <w:t xml:space="preserve"> (UE, Euratom)</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2018/1046,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cum se </w:t>
            </w:r>
            <w:proofErr w:type="spellStart"/>
            <w:r w:rsidRPr="00A5319F">
              <w:rPr>
                <w:rFonts w:eastAsia="Arial Unicode MS"/>
                <w:color w:val="000000" w:themeColor="text1"/>
                <w:sz w:val="20"/>
                <w:szCs w:val="20"/>
                <w:shd w:val="clear" w:color="auto" w:fill="FFFFFF"/>
                <w:lang w:val="en-US"/>
              </w:rPr>
              <w:t>prevede</w:t>
            </w:r>
            <w:proofErr w:type="spellEnd"/>
            <w:r w:rsidRPr="00A5319F">
              <w:rPr>
                <w:rFonts w:eastAsia="Arial Unicode MS"/>
                <w:color w:val="000000" w:themeColor="text1"/>
                <w:sz w:val="20"/>
                <w:szCs w:val="20"/>
                <w:shd w:val="clear" w:color="auto" w:fill="FFFFFF"/>
                <w:lang w:val="en-US"/>
              </w:rPr>
              <w:t xml:space="preserve"> la al </w:t>
            </w:r>
            <w:proofErr w:type="spellStart"/>
            <w:r w:rsidRPr="00A5319F">
              <w:rPr>
                <w:rFonts w:eastAsia="Arial Unicode MS"/>
                <w:color w:val="000000" w:themeColor="text1"/>
                <w:sz w:val="20"/>
                <w:szCs w:val="20"/>
                <w:shd w:val="clear" w:color="auto" w:fill="FFFFFF"/>
                <w:lang w:val="en-US"/>
              </w:rPr>
              <w:t>patrulea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precum și </w:t>
            </w:r>
            <w:proofErr w:type="spellStart"/>
            <w:r w:rsidRPr="00A5319F">
              <w:rPr>
                <w:rFonts w:eastAsia="Arial Unicode MS"/>
                <w:color w:val="000000" w:themeColor="text1"/>
                <w:sz w:val="20"/>
                <w:szCs w:val="20"/>
                <w:shd w:val="clear" w:color="auto" w:fill="FFFFFF"/>
                <w:lang w:val="en-US"/>
              </w:rPr>
              <w:t>normele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privind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funcționarea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mecanismului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ofertare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concurențial</w:t>
            </w:r>
            <w:proofErr w:type="spellEnd"/>
            <w:r w:rsidRPr="00A5319F">
              <w:rPr>
                <w:rFonts w:eastAsia="Arial Unicode MS"/>
                <w:color w:val="000000" w:themeColor="text1"/>
                <w:sz w:val="20"/>
                <w:szCs w:val="20"/>
                <w:shd w:val="clear" w:color="auto" w:fill="FFFFFF"/>
                <w:lang w:val="en-US"/>
              </w:rPr>
              <w:t xml:space="preserve">, în special în </w:t>
            </w:r>
            <w:proofErr w:type="spellStart"/>
            <w:r w:rsidRPr="00A5319F">
              <w:rPr>
                <w:rFonts w:eastAsia="Arial Unicode MS"/>
                <w:color w:val="000000" w:themeColor="text1"/>
                <w:sz w:val="20"/>
                <w:szCs w:val="20"/>
                <w:shd w:val="clear" w:color="auto" w:fill="FFFFFF"/>
                <w:lang w:val="en-US"/>
              </w:rPr>
              <w:t>ceea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garanțiile</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diferența</w:t>
            </w:r>
            <w:proofErr w:type="spellEnd"/>
            <w:r w:rsidRPr="00A5319F">
              <w:rPr>
                <w:rFonts w:eastAsia="Arial Unicode MS"/>
                <w:color w:val="000000" w:themeColor="text1"/>
                <w:sz w:val="20"/>
                <w:szCs w:val="20"/>
                <w:shd w:val="clear" w:color="auto" w:fill="FFFFFF"/>
                <w:lang w:val="en-US"/>
              </w:rPr>
              <w:t>.</w:t>
            </w:r>
          </w:p>
          <w:p w14:paraId="4D697165" w14:textId="28F397C4"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t>Comisia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împuternicită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adopte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acte</w:t>
            </w:r>
            <w:proofErr w:type="spellEnd"/>
            <w:r w:rsidRPr="00A5319F">
              <w:rPr>
                <w:rFonts w:eastAsia="Arial Unicode MS"/>
                <w:color w:val="000000" w:themeColor="text1"/>
                <w:sz w:val="20"/>
                <w:szCs w:val="20"/>
                <w:shd w:val="clear" w:color="auto" w:fill="FFFFFF"/>
                <w:lang w:val="en-US"/>
              </w:rPr>
              <w:t xml:space="preserve"> delegate în conformitate cu </w:t>
            </w:r>
            <w:proofErr w:type="spellStart"/>
            <w:r w:rsidRPr="00A5319F">
              <w:rPr>
                <w:rFonts w:eastAsia="Arial Unicode MS"/>
                <w:color w:val="000000" w:themeColor="text1"/>
                <w:sz w:val="20"/>
                <w:szCs w:val="20"/>
                <w:shd w:val="clear" w:color="auto" w:fill="FFFFFF"/>
                <w:lang w:val="en-US"/>
              </w:rPr>
              <w:t>articolul</w:t>
            </w:r>
            <w:proofErr w:type="spellEnd"/>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23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modifica</w:t>
            </w:r>
            <w:proofErr w:type="spellEnd"/>
            <w:r w:rsidRPr="00A5319F">
              <w:rPr>
                <w:rFonts w:eastAsia="Arial Unicode MS"/>
                <w:color w:val="000000" w:themeColor="text1"/>
                <w:sz w:val="20"/>
                <w:szCs w:val="20"/>
                <w:shd w:val="clear" w:color="auto" w:fill="FFFFFF"/>
                <w:lang w:val="en-US"/>
              </w:rPr>
              <w:t xml:space="preserve"> al </w:t>
            </w:r>
            <w:proofErr w:type="spellStart"/>
            <w:r w:rsidRPr="00A5319F">
              <w:rPr>
                <w:rFonts w:eastAsia="Arial Unicode MS"/>
                <w:color w:val="000000" w:themeColor="text1"/>
                <w:sz w:val="20"/>
                <w:szCs w:val="20"/>
                <w:shd w:val="clear" w:color="auto" w:fill="FFFFFF"/>
                <w:lang w:val="en-US"/>
              </w:rPr>
              <w:t>cincilea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paragraf</w:t>
            </w:r>
            <w:proofErr w:type="spellEnd"/>
            <w:r w:rsidRPr="00A5319F">
              <w:rPr>
                <w:rFonts w:eastAsia="Arial Unicode MS"/>
                <w:color w:val="000000" w:themeColor="text1"/>
                <w:sz w:val="20"/>
                <w:szCs w:val="20"/>
                <w:shd w:val="clear" w:color="auto" w:fill="FFFFFF"/>
                <w:lang w:val="en-US"/>
              </w:rPr>
              <w:t xml:space="preserve"> de la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alineat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prin</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creșterea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limitei</w:t>
            </w:r>
            <w:proofErr w:type="spellEnd"/>
            <w:r w:rsidRPr="00A5319F">
              <w:rPr>
                <w:rFonts w:eastAsia="Arial Unicode MS"/>
                <w:color w:val="000000" w:themeColor="text1"/>
                <w:sz w:val="20"/>
                <w:szCs w:val="20"/>
                <w:shd w:val="clear" w:color="auto" w:fill="FFFFFF"/>
                <w:lang w:val="en-US"/>
              </w:rPr>
              <w:t xml:space="preserve"> de 30</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menționată</w:t>
            </w:r>
            <w:proofErr w:type="spellEnd"/>
            <w:r w:rsidRPr="00A5319F">
              <w:rPr>
                <w:rFonts w:eastAsia="Arial Unicode MS"/>
                <w:color w:val="000000" w:themeColor="text1"/>
                <w:sz w:val="20"/>
                <w:szCs w:val="20"/>
                <w:shd w:val="clear" w:color="auto" w:fill="FFFFFF"/>
                <w:lang w:val="en-US"/>
              </w:rPr>
              <w:t xml:space="preserve"> la </w:t>
            </w:r>
            <w:proofErr w:type="spellStart"/>
            <w:r w:rsidRPr="00A5319F">
              <w:rPr>
                <w:rFonts w:eastAsia="Arial Unicode MS"/>
                <w:color w:val="000000" w:themeColor="text1"/>
                <w:sz w:val="20"/>
                <w:szCs w:val="20"/>
                <w:shd w:val="clear" w:color="auto" w:fill="FFFFFF"/>
                <w:lang w:val="en-US"/>
              </w:rPr>
              <w:t>paragraful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respectiv</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cel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mult</w:t>
            </w:r>
            <w:proofErr w:type="spellEnd"/>
            <w:r w:rsidRPr="00A5319F">
              <w:rPr>
                <w:rFonts w:eastAsia="Arial Unicode MS"/>
                <w:color w:val="000000" w:themeColor="text1"/>
                <w:sz w:val="20"/>
                <w:szCs w:val="20"/>
                <w:shd w:val="clear" w:color="auto" w:fill="FFFFFF"/>
                <w:lang w:val="en-US"/>
              </w:rPr>
              <w:t xml:space="preserve"> 20</w:t>
            </w:r>
            <w:r w:rsidR="00A5319F" w:rsidRPr="00A5319F">
              <w:rPr>
                <w:rFonts w:eastAsia="Arial Unicode MS"/>
                <w:color w:val="000000" w:themeColor="text1"/>
                <w:sz w:val="20"/>
                <w:szCs w:val="20"/>
                <w:shd w:val="clear" w:color="auto" w:fill="FFFFFF"/>
                <w:lang w:val="en-US"/>
              </w:rPr>
              <w:t xml:space="preserve"> </w:t>
            </w:r>
            <w:r w:rsidRPr="00A5319F">
              <w:rPr>
                <w:rFonts w:eastAsia="Arial Unicode MS"/>
                <w:color w:val="000000" w:themeColor="text1"/>
                <w:sz w:val="20"/>
                <w:szCs w:val="20"/>
                <w:shd w:val="clear" w:color="auto" w:fill="FFFFFF"/>
                <w:lang w:val="en-US"/>
              </w:rPr>
              <w:t>de</w:t>
            </w:r>
            <w:r w:rsidR="00A5319F"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puncte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procentuale</w:t>
            </w:r>
            <w:proofErr w:type="spellEnd"/>
            <w:r w:rsidRPr="00A5319F">
              <w:rPr>
                <w:rFonts w:eastAsia="Arial Unicode MS"/>
                <w:color w:val="000000" w:themeColor="text1"/>
                <w:sz w:val="20"/>
                <w:szCs w:val="20"/>
                <w:shd w:val="clear" w:color="auto" w:fill="FFFFFF"/>
                <w:lang w:val="en-US"/>
              </w:rPr>
              <w:t xml:space="preserve"> în total, </w:t>
            </w:r>
            <w:proofErr w:type="spellStart"/>
            <w:r w:rsidRPr="00A5319F">
              <w:rPr>
                <w:rFonts w:eastAsia="Arial Unicode MS"/>
                <w:color w:val="000000" w:themeColor="text1"/>
                <w:sz w:val="20"/>
                <w:szCs w:val="20"/>
                <w:shd w:val="clear" w:color="auto" w:fill="FFFFFF"/>
                <w:lang w:val="en-US"/>
              </w:rPr>
              <w:t>dacă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acest</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lucru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necesar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răspunde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unei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cereri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CfD-uri</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CCfD-uri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ținând</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seama</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experiența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primelor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runde</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cadrul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mecanismului</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ofertare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concurențial</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luând</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considerare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necesitatea</w:t>
            </w:r>
            <w:proofErr w:type="spellEnd"/>
            <w:r w:rsidRPr="00A5319F">
              <w:rPr>
                <w:rFonts w:eastAsia="Arial Unicode MS"/>
                <w:color w:val="000000" w:themeColor="text1"/>
                <w:sz w:val="20"/>
                <w:szCs w:val="20"/>
                <w:shd w:val="clear" w:color="auto" w:fill="FFFFFF"/>
                <w:lang w:val="en-US"/>
              </w:rPr>
              <w:t xml:space="preserve"> de a </w:t>
            </w:r>
            <w:proofErr w:type="spellStart"/>
            <w:r w:rsidRPr="00A5319F">
              <w:rPr>
                <w:rFonts w:eastAsia="Arial Unicode MS"/>
                <w:color w:val="000000" w:themeColor="text1"/>
                <w:sz w:val="20"/>
                <w:szCs w:val="20"/>
                <w:shd w:val="clear" w:color="auto" w:fill="FFFFFF"/>
                <w:lang w:val="en-US"/>
              </w:rPr>
              <w:t>găsi</w:t>
            </w:r>
            <w:proofErr w:type="spellEnd"/>
            <w:r w:rsidRPr="00A5319F">
              <w:rPr>
                <w:rFonts w:eastAsia="Arial Unicode MS"/>
                <w:color w:val="000000" w:themeColor="text1"/>
                <w:sz w:val="20"/>
                <w:szCs w:val="20"/>
                <w:shd w:val="clear" w:color="auto" w:fill="FFFFFF"/>
                <w:lang w:val="en-US"/>
              </w:rPr>
              <w:t xml:space="preserve"> un </w:t>
            </w:r>
            <w:proofErr w:type="spellStart"/>
            <w:r w:rsidRPr="00A5319F">
              <w:rPr>
                <w:rFonts w:eastAsia="Arial Unicode MS"/>
                <w:color w:val="000000" w:themeColor="text1"/>
                <w:sz w:val="20"/>
                <w:szCs w:val="20"/>
                <w:shd w:val="clear" w:color="auto" w:fill="FFFFFF"/>
                <w:lang w:val="en-US"/>
              </w:rPr>
              <w:t>echilibru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adecvat</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ceea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privește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sprijinul</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partea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între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granturi</w:t>
            </w:r>
            <w:proofErr w:type="spellEnd"/>
            <w:r w:rsidRPr="00A5319F">
              <w:rPr>
                <w:rFonts w:eastAsia="Arial Unicode MS"/>
                <w:color w:val="000000" w:themeColor="text1"/>
                <w:sz w:val="20"/>
                <w:szCs w:val="20"/>
                <w:shd w:val="clear" w:color="auto" w:fill="FFFFFF"/>
                <w:lang w:val="en-US"/>
              </w:rPr>
              <w:t xml:space="preserve"> și </w:t>
            </w:r>
            <w:proofErr w:type="spellStart"/>
            <w:r w:rsidRPr="00A5319F">
              <w:rPr>
                <w:rFonts w:eastAsia="Arial Unicode MS"/>
                <w:color w:val="000000" w:themeColor="text1"/>
                <w:sz w:val="20"/>
                <w:szCs w:val="20"/>
                <w:shd w:val="clear" w:color="auto" w:fill="FFFFFF"/>
                <w:lang w:val="en-US"/>
              </w:rPr>
              <w:t>astfel</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contracte</w:t>
            </w:r>
            <w:proofErr w:type="spellEnd"/>
            <w:r w:rsidRPr="00A5319F">
              <w:rPr>
                <w:rFonts w:eastAsia="Arial Unicode MS"/>
                <w:color w:val="000000" w:themeColor="text1"/>
                <w:sz w:val="20"/>
                <w:szCs w:val="20"/>
                <w:shd w:val="clear" w:color="auto" w:fill="FFFFFF"/>
                <w:lang w:val="en-US"/>
              </w:rPr>
              <w:t>.</w:t>
            </w:r>
          </w:p>
          <w:p w14:paraId="61300F00" w14:textId="77777777" w:rsidR="00124364" w:rsidRPr="00A5319F" w:rsidRDefault="00000000" w:rsidP="00A53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5319F">
              <w:rPr>
                <w:rFonts w:eastAsia="Arial Unicode MS"/>
                <w:color w:val="000000" w:themeColor="text1"/>
                <w:sz w:val="20"/>
                <w:szCs w:val="20"/>
                <w:shd w:val="clear" w:color="auto" w:fill="FFFFFF"/>
                <w:lang w:val="en-US"/>
              </w:rPr>
              <w:lastRenderedPageBreak/>
              <w:t>Sprijinul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financiar</w:t>
            </w:r>
            <w:proofErr w:type="spellEnd"/>
            <w:r w:rsidRPr="00A5319F">
              <w:rPr>
                <w:rFonts w:eastAsia="Arial Unicode MS"/>
                <w:color w:val="000000" w:themeColor="text1"/>
                <w:sz w:val="20"/>
                <w:szCs w:val="20"/>
                <w:shd w:val="clear" w:color="auto" w:fill="FFFFFF"/>
                <w:lang w:val="en-US"/>
              </w:rPr>
              <w:t xml:space="preserve"> din </w:t>
            </w:r>
            <w:proofErr w:type="spellStart"/>
            <w:r w:rsidRPr="00A5319F">
              <w:rPr>
                <w:rFonts w:eastAsia="Arial Unicode MS"/>
                <w:color w:val="000000" w:themeColor="text1"/>
                <w:sz w:val="20"/>
                <w:szCs w:val="20"/>
                <w:shd w:val="clear" w:color="auto" w:fill="FFFFFF"/>
                <w:lang w:val="en-US"/>
              </w:rPr>
              <w:t>partea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Fondului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inovare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este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proporțional</w:t>
            </w:r>
            <w:proofErr w:type="spellEnd"/>
            <w:r w:rsidRPr="00A5319F">
              <w:rPr>
                <w:rFonts w:eastAsia="Arial Unicode MS"/>
                <w:color w:val="000000" w:themeColor="text1"/>
                <w:sz w:val="20"/>
                <w:szCs w:val="20"/>
                <w:shd w:val="clear" w:color="auto" w:fill="FFFFFF"/>
                <w:lang w:val="en-US"/>
              </w:rPr>
              <w:t xml:space="preserve"> cu </w:t>
            </w:r>
            <w:proofErr w:type="spellStart"/>
            <w:r w:rsidRPr="00A5319F">
              <w:rPr>
                <w:rFonts w:eastAsia="Arial Unicode MS"/>
                <w:color w:val="000000" w:themeColor="text1"/>
                <w:sz w:val="20"/>
                <w:szCs w:val="20"/>
                <w:shd w:val="clear" w:color="auto" w:fill="FFFFFF"/>
                <w:lang w:val="en-US"/>
              </w:rPr>
              <w:t>obiectivele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politică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stabilite</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prezentul</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articol</w:t>
            </w:r>
            <w:proofErr w:type="spellEnd"/>
            <w:r w:rsidRPr="00A5319F">
              <w:rPr>
                <w:rFonts w:eastAsia="Arial Unicode MS"/>
                <w:color w:val="000000" w:themeColor="text1"/>
                <w:sz w:val="20"/>
                <w:szCs w:val="20"/>
                <w:shd w:val="clear" w:color="auto" w:fill="FFFFFF"/>
                <w:lang w:val="en-US"/>
              </w:rPr>
              <w:t xml:space="preserve"> și nu conduce la </w:t>
            </w:r>
            <w:proofErr w:type="spellStart"/>
            <w:r w:rsidRPr="00A5319F">
              <w:rPr>
                <w:rFonts w:eastAsia="Arial Unicode MS"/>
                <w:color w:val="000000" w:themeColor="text1"/>
                <w:sz w:val="20"/>
                <w:szCs w:val="20"/>
                <w:shd w:val="clear" w:color="auto" w:fill="FFFFFF"/>
                <w:lang w:val="en-US"/>
              </w:rPr>
              <w:t>denaturări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nejustificate</w:t>
            </w:r>
            <w:proofErr w:type="spellEnd"/>
            <w:r w:rsidRPr="00A5319F">
              <w:rPr>
                <w:rFonts w:eastAsia="Arial Unicode MS"/>
                <w:color w:val="000000" w:themeColor="text1"/>
                <w:sz w:val="20"/>
                <w:szCs w:val="20"/>
                <w:shd w:val="clear" w:color="auto" w:fill="FFFFFF"/>
                <w:lang w:val="en-US"/>
              </w:rPr>
              <w:t xml:space="preserve"> ale </w:t>
            </w:r>
            <w:proofErr w:type="spellStart"/>
            <w:r w:rsidRPr="00A5319F">
              <w:rPr>
                <w:rFonts w:eastAsia="Arial Unicode MS"/>
                <w:color w:val="000000" w:themeColor="text1"/>
                <w:sz w:val="20"/>
                <w:szCs w:val="20"/>
                <w:shd w:val="clear" w:color="auto" w:fill="FFFFFF"/>
                <w:lang w:val="en-US"/>
              </w:rPr>
              <w:t>pieței</w:t>
            </w:r>
            <w:proofErr w:type="spellEnd"/>
            <w:r w:rsidRPr="00A5319F">
              <w:rPr>
                <w:rFonts w:eastAsia="Arial Unicode MS"/>
                <w:color w:val="000000" w:themeColor="text1"/>
                <w:sz w:val="20"/>
                <w:szCs w:val="20"/>
                <w:shd w:val="clear" w:color="auto" w:fill="FFFFFF"/>
                <w:lang w:val="en-US"/>
              </w:rPr>
              <w:t xml:space="preserve"> interne. În </w:t>
            </w:r>
            <w:proofErr w:type="spellStart"/>
            <w:r w:rsidRPr="00A5319F">
              <w:rPr>
                <w:rFonts w:eastAsia="Arial Unicode MS"/>
                <w:color w:val="000000" w:themeColor="text1"/>
                <w:sz w:val="20"/>
                <w:szCs w:val="20"/>
                <w:shd w:val="clear" w:color="auto" w:fill="FFFFFF"/>
                <w:lang w:val="en-US"/>
              </w:rPr>
              <w:t>acest</w:t>
            </w:r>
            <w:proofErr w:type="spellEnd"/>
            <w:r w:rsidRPr="00A5319F">
              <w:rPr>
                <w:rFonts w:eastAsia="Arial Unicode MS"/>
                <w:color w:val="000000" w:themeColor="text1"/>
                <w:sz w:val="20"/>
                <w:szCs w:val="20"/>
                <w:shd w:val="clear" w:color="auto" w:fill="FFFFFF"/>
                <w:lang w:val="en-US"/>
              </w:rPr>
              <w:t xml:space="preserve"> scop, </w:t>
            </w:r>
            <w:proofErr w:type="spellStart"/>
            <w:r w:rsidRPr="00A5319F">
              <w:rPr>
                <w:rFonts w:eastAsia="Arial Unicode MS"/>
                <w:color w:val="000000" w:themeColor="text1"/>
                <w:sz w:val="20"/>
                <w:szCs w:val="20"/>
                <w:shd w:val="clear" w:color="auto" w:fill="FFFFFF"/>
                <w:lang w:val="en-US"/>
              </w:rPr>
              <w:t>sprijinul</w:t>
            </w:r>
            <w:proofErr w:type="spellEnd"/>
            <w:r w:rsidRPr="00A5319F">
              <w:rPr>
                <w:rFonts w:eastAsia="Arial Unicode MS"/>
                <w:color w:val="000000" w:themeColor="text1"/>
                <w:sz w:val="20"/>
                <w:szCs w:val="20"/>
                <w:shd w:val="clear" w:color="auto" w:fill="FFFFFF"/>
                <w:lang w:val="en-US"/>
              </w:rPr>
              <w:t xml:space="preserve"> se </w:t>
            </w:r>
            <w:proofErr w:type="spellStart"/>
            <w:r w:rsidRPr="00A5319F">
              <w:rPr>
                <w:rFonts w:eastAsia="Arial Unicode MS"/>
                <w:color w:val="000000" w:themeColor="text1"/>
                <w:sz w:val="20"/>
                <w:szCs w:val="20"/>
                <w:shd w:val="clear" w:color="auto" w:fill="FFFFFF"/>
                <w:lang w:val="en-US"/>
              </w:rPr>
              <w:t>acordă</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numai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pentru</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acoperirea</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costurilor</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suplimentare</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sau</w:t>
            </w:r>
            <w:proofErr w:type="spellEnd"/>
            <w:r w:rsidRPr="00A5319F">
              <w:rPr>
                <w:rFonts w:eastAsia="Arial Unicode MS"/>
                <w:color w:val="000000" w:themeColor="text1"/>
                <w:sz w:val="20"/>
                <w:szCs w:val="20"/>
                <w:shd w:val="clear" w:color="auto" w:fill="FFFFFF"/>
                <w:lang w:val="en-US"/>
              </w:rPr>
              <w:t xml:space="preserve"> a </w:t>
            </w:r>
            <w:proofErr w:type="spellStart"/>
            <w:r w:rsidRPr="00A5319F">
              <w:rPr>
                <w:rFonts w:eastAsia="Arial Unicode MS"/>
                <w:color w:val="000000" w:themeColor="text1"/>
                <w:sz w:val="20"/>
                <w:szCs w:val="20"/>
                <w:shd w:val="clear" w:color="auto" w:fill="FFFFFF"/>
                <w:lang w:val="en-US"/>
              </w:rPr>
              <w:t>riscurilor</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investiții</w:t>
            </w:r>
            <w:proofErr w:type="spellEnd"/>
            <w:r w:rsidRPr="00A5319F">
              <w:rPr>
                <w:rFonts w:eastAsia="Arial Unicode MS"/>
                <w:color w:val="000000" w:themeColor="text1"/>
                <w:sz w:val="20"/>
                <w:szCs w:val="20"/>
                <w:shd w:val="clear" w:color="auto" w:fill="FFFFFF"/>
                <w:lang w:val="en-US"/>
              </w:rPr>
              <w:t xml:space="preserve"> care nu pot fi </w:t>
            </w:r>
            <w:proofErr w:type="spellStart"/>
            <w:r w:rsidRPr="00A5319F">
              <w:rPr>
                <w:rFonts w:eastAsia="Arial Unicode MS"/>
                <w:color w:val="000000" w:themeColor="text1"/>
                <w:sz w:val="20"/>
                <w:szCs w:val="20"/>
                <w:shd w:val="clear" w:color="auto" w:fill="FFFFFF"/>
                <w:lang w:val="en-US"/>
              </w:rPr>
              <w:t>suportate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investitori</w:t>
            </w:r>
            <w:proofErr w:type="spellEnd"/>
            <w:r w:rsidRPr="00A5319F">
              <w:rPr>
                <w:rFonts w:eastAsia="Arial Unicode MS"/>
                <w:color w:val="000000" w:themeColor="text1"/>
                <w:sz w:val="20"/>
                <w:szCs w:val="20"/>
                <w:shd w:val="clear" w:color="auto" w:fill="FFFFFF"/>
                <w:lang w:val="en-US"/>
              </w:rPr>
              <w:t xml:space="preserve"> în </w:t>
            </w:r>
            <w:proofErr w:type="spellStart"/>
            <w:r w:rsidRPr="00A5319F">
              <w:rPr>
                <w:rFonts w:eastAsia="Arial Unicode MS"/>
                <w:color w:val="000000" w:themeColor="text1"/>
                <w:sz w:val="20"/>
                <w:szCs w:val="20"/>
                <w:shd w:val="clear" w:color="auto" w:fill="FFFFFF"/>
                <w:lang w:val="en-US"/>
              </w:rPr>
              <w:t>condiții</w:t>
            </w:r>
            <w:proofErr w:type="spellEnd"/>
            <w:r w:rsidRPr="00A5319F">
              <w:rPr>
                <w:rFonts w:eastAsia="Arial Unicode MS"/>
                <w:color w:val="000000" w:themeColor="text1"/>
                <w:sz w:val="20"/>
                <w:szCs w:val="20"/>
                <w:shd w:val="clear" w:color="auto" w:fill="FFFFFF"/>
                <w:lang w:val="en-US"/>
              </w:rPr>
              <w:t xml:space="preserve"> </w:t>
            </w:r>
            <w:proofErr w:type="spellStart"/>
            <w:r w:rsidRPr="00A5319F">
              <w:rPr>
                <w:rFonts w:eastAsia="Arial Unicode MS"/>
                <w:color w:val="000000" w:themeColor="text1"/>
                <w:sz w:val="20"/>
                <w:szCs w:val="20"/>
                <w:shd w:val="clear" w:color="auto" w:fill="FFFFFF"/>
                <w:lang w:val="en-US"/>
              </w:rPr>
              <w:t>normale</w:t>
            </w:r>
            <w:proofErr w:type="spellEnd"/>
            <w:r w:rsidRPr="00A5319F">
              <w:rPr>
                <w:rFonts w:eastAsia="Arial Unicode MS"/>
                <w:color w:val="000000" w:themeColor="text1"/>
                <w:sz w:val="20"/>
                <w:szCs w:val="20"/>
                <w:shd w:val="clear" w:color="auto" w:fill="FFFFFF"/>
                <w:lang w:val="en-US"/>
              </w:rPr>
              <w:t xml:space="preserve"> de </w:t>
            </w:r>
            <w:proofErr w:type="spellStart"/>
            <w:r w:rsidRPr="00A5319F">
              <w:rPr>
                <w:rFonts w:eastAsia="Arial Unicode MS"/>
                <w:color w:val="000000" w:themeColor="text1"/>
                <w:sz w:val="20"/>
                <w:szCs w:val="20"/>
                <w:shd w:val="clear" w:color="auto" w:fill="FFFFFF"/>
                <w:lang w:val="en-US"/>
              </w:rPr>
              <w:t>piață</w:t>
            </w:r>
            <w:proofErr w:type="spellEnd"/>
            <w:r w:rsidRPr="00A5319F">
              <w:rPr>
                <w:rFonts w:eastAsia="Arial Unicode MS"/>
                <w:color w:val="000000" w:themeColor="text1"/>
                <w:sz w:val="20"/>
                <w:szCs w:val="20"/>
                <w:shd w:val="clear" w:color="auto" w:fill="FFFFFF"/>
                <w:lang w:val="en-US"/>
              </w:rPr>
              <w:t>.</w:t>
            </w:r>
          </w:p>
          <w:p w14:paraId="0BBC4EA4" w14:textId="02E04424" w:rsidR="00124364" w:rsidRPr="00CE3FB4" w:rsidRDefault="00000000" w:rsidP="00CE3FB4">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40</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de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de certificate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ar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putea</w:t>
            </w:r>
            <w:proofErr w:type="spellEnd"/>
            <w:r w:rsidRPr="00CE3FB4">
              <w:rPr>
                <w:rFonts w:eastAsia="Arial Unicode MS"/>
                <w:color w:val="000000" w:themeColor="text1"/>
                <w:sz w:val="20"/>
                <w:szCs w:val="20"/>
                <w:shd w:val="clear" w:color="auto" w:fill="FFFFFF"/>
                <w:lang w:val="en-US"/>
              </w:rPr>
              <w:t xml:space="preserve"> fi </w:t>
            </w:r>
            <w:proofErr w:type="spellStart"/>
            <w:r w:rsidRPr="00CE3FB4">
              <w:rPr>
                <w:rFonts w:eastAsia="Arial Unicode MS"/>
                <w:color w:val="000000" w:themeColor="text1"/>
                <w:sz w:val="20"/>
                <w:szCs w:val="20"/>
                <w:shd w:val="clear" w:color="auto" w:fill="FFFFFF"/>
                <w:lang w:val="en-US"/>
              </w:rPr>
              <w:t>altfel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alocată</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prezentului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și</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10</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de certificate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ar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putea</w:t>
            </w:r>
            <w:proofErr w:type="spellEnd"/>
            <w:r w:rsidRPr="00CE3FB4">
              <w:rPr>
                <w:rFonts w:eastAsia="Arial Unicode MS"/>
                <w:color w:val="000000" w:themeColor="text1"/>
                <w:sz w:val="20"/>
                <w:szCs w:val="20"/>
                <w:shd w:val="clear" w:color="auto" w:fill="FFFFFF"/>
                <w:lang w:val="en-US"/>
              </w:rPr>
              <w:t xml:space="preserve"> fi </w:t>
            </w:r>
            <w:proofErr w:type="spellStart"/>
            <w:r w:rsidRPr="00CE3FB4">
              <w:rPr>
                <w:rFonts w:eastAsia="Arial Unicode MS"/>
                <w:color w:val="000000" w:themeColor="text1"/>
                <w:sz w:val="20"/>
                <w:szCs w:val="20"/>
                <w:shd w:val="clear" w:color="auto" w:fill="FFFFFF"/>
                <w:lang w:val="en-US"/>
              </w:rPr>
              <w:t>altfel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scoasă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din prezenta </w:t>
            </w:r>
            <w:proofErr w:type="spellStart"/>
            <w:r w:rsidRPr="00CE3FB4">
              <w:rPr>
                <w:rFonts w:eastAsia="Arial Unicode MS"/>
                <w:color w:val="000000" w:themeColor="text1"/>
                <w:sz w:val="20"/>
                <w:szCs w:val="20"/>
                <w:shd w:val="clear" w:color="auto" w:fill="FFFFFF"/>
                <w:lang w:val="en-US"/>
              </w:rPr>
              <w:t>directivă</w:t>
            </w:r>
            <w:proofErr w:type="spellEnd"/>
            <w:r w:rsidRPr="00CE3FB4">
              <w:rPr>
                <w:rFonts w:eastAsia="Arial Unicode MS"/>
                <w:color w:val="000000" w:themeColor="text1"/>
                <w:sz w:val="20"/>
                <w:szCs w:val="20"/>
                <w:shd w:val="clear" w:color="auto" w:fill="FFFFFF"/>
                <w:lang w:val="en-US"/>
              </w:rPr>
              <w:t xml:space="preserve"> se pun la </w:t>
            </w:r>
            <w:proofErr w:type="spellStart"/>
            <w:r w:rsidRPr="00CE3FB4">
              <w:rPr>
                <w:rFonts w:eastAsia="Arial Unicode MS"/>
                <w:color w:val="000000" w:themeColor="text1"/>
                <w:sz w:val="20"/>
                <w:szCs w:val="20"/>
                <w:shd w:val="clear" w:color="auto" w:fill="FFFFFF"/>
                <w:lang w:val="en-US"/>
              </w:rPr>
              <w:t>dispoziția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Fondului</w:t>
            </w:r>
            <w:proofErr w:type="spellEnd"/>
            <w:r w:rsidRPr="00CE3FB4">
              <w:rPr>
                <w:rFonts w:eastAsia="Arial Unicode MS"/>
                <w:color w:val="000000" w:themeColor="text1"/>
                <w:sz w:val="20"/>
                <w:szCs w:val="20"/>
                <w:shd w:val="clear" w:color="auto" w:fill="FFFFFF"/>
                <w:lang w:val="en-US"/>
              </w:rPr>
              <w:t xml:space="preserve"> social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instituit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Regulamentul</w:t>
            </w:r>
            <w:proofErr w:type="spellEnd"/>
            <w:r w:rsidRPr="00CE3FB4">
              <w:rPr>
                <w:rFonts w:eastAsia="Arial Unicode MS"/>
                <w:color w:val="000000" w:themeColor="text1"/>
                <w:sz w:val="20"/>
                <w:szCs w:val="20"/>
                <w:shd w:val="clear" w:color="auto" w:fill="FFFFFF"/>
                <w:lang w:val="en-US"/>
              </w:rPr>
              <w:t xml:space="preserve"> (UE)</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2023/955 al </w:t>
            </w:r>
            <w:proofErr w:type="spellStart"/>
            <w:r w:rsidRPr="00CE3FB4">
              <w:rPr>
                <w:rFonts w:eastAsia="Arial Unicode MS"/>
                <w:color w:val="000000" w:themeColor="text1"/>
                <w:sz w:val="20"/>
                <w:szCs w:val="20"/>
                <w:shd w:val="clear" w:color="auto" w:fill="FFFFFF"/>
                <w:lang w:val="en-US"/>
              </w:rPr>
              <w:t>Parlamentului</w:t>
            </w:r>
            <w:proofErr w:type="spellEnd"/>
            <w:r w:rsidRPr="00CE3FB4">
              <w:rPr>
                <w:rFonts w:eastAsia="Arial Unicode MS"/>
                <w:color w:val="000000" w:themeColor="text1"/>
                <w:sz w:val="20"/>
                <w:szCs w:val="20"/>
                <w:shd w:val="clear" w:color="auto" w:fill="FFFFFF"/>
                <w:lang w:val="en-US"/>
              </w:rPr>
              <w:t xml:space="preserve"> European și al </w:t>
            </w:r>
            <w:proofErr w:type="spellStart"/>
            <w:r w:rsidRPr="00CE3FB4">
              <w:rPr>
                <w:rFonts w:eastAsia="Arial Unicode MS"/>
                <w:color w:val="000000" w:themeColor="text1"/>
                <w:sz w:val="20"/>
                <w:szCs w:val="20"/>
                <w:shd w:val="clear" w:color="auto" w:fill="FFFFFF"/>
                <w:lang w:val="en-US"/>
              </w:rPr>
              <w:t>Consiliului</w:t>
            </w:r>
            <w:proofErr w:type="spellEnd"/>
            <w:r w:rsidRPr="00CE3FB4">
              <w:rPr>
                <w:rFonts w:eastAsia="Arial Unicode MS"/>
                <w:color w:val="000000" w:themeColor="text1"/>
                <w:sz w:val="20"/>
                <w:szCs w:val="20"/>
                <w:shd w:val="clear" w:color="auto" w:fill="FFFFFF"/>
                <w:lang w:val="en-US"/>
              </w:rPr>
              <w:t>(</w:t>
            </w:r>
            <w:hyperlink r:id="rId154" w:anchor="E0022" w:history="1">
              <w:r w:rsidRPr="00CE3FB4">
                <w:rPr>
                  <w:rStyle w:val="superscript"/>
                  <w:rFonts w:eastAsia="Arial Unicode MS"/>
                  <w:color w:val="000000" w:themeColor="text1"/>
                  <w:sz w:val="20"/>
                  <w:szCs w:val="20"/>
                  <w:vertAlign w:val="superscript"/>
                  <w:lang w:val="en-US"/>
                </w:rPr>
                <w:t>21</w:t>
              </w:r>
            </w:hyperlink>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asigură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destinate </w:t>
            </w:r>
            <w:proofErr w:type="spellStart"/>
            <w:r w:rsidRPr="00CE3FB4">
              <w:rPr>
                <w:rFonts w:eastAsia="Arial Unicode MS"/>
                <w:color w:val="000000" w:themeColor="text1"/>
                <w:sz w:val="20"/>
                <w:szCs w:val="20"/>
                <w:shd w:val="clear" w:color="auto" w:fill="FFFFFF"/>
                <w:lang w:val="en-US"/>
              </w:rPr>
              <w:t>Fondului</w:t>
            </w:r>
            <w:proofErr w:type="spellEnd"/>
            <w:r w:rsidRPr="00CE3FB4">
              <w:rPr>
                <w:rFonts w:eastAsia="Arial Unicode MS"/>
                <w:color w:val="000000" w:themeColor="text1"/>
                <w:sz w:val="20"/>
                <w:szCs w:val="20"/>
                <w:shd w:val="clear" w:color="auto" w:fill="FFFFFF"/>
                <w:lang w:val="en-US"/>
              </w:rPr>
              <w:t xml:space="preserve"> social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climă</w:t>
            </w:r>
            <w:proofErr w:type="spellEnd"/>
            <w:r w:rsidRPr="00CE3FB4">
              <w:rPr>
                <w:rFonts w:eastAsia="Arial Unicode MS"/>
                <w:color w:val="000000" w:themeColor="text1"/>
                <w:sz w:val="20"/>
                <w:szCs w:val="20"/>
                <w:shd w:val="clear" w:color="auto" w:fill="FFFFFF"/>
                <w:lang w:val="en-US"/>
              </w:rPr>
              <w:t xml:space="preserve"> sunt </w:t>
            </w:r>
            <w:proofErr w:type="spellStart"/>
            <w:r w:rsidRPr="00CE3FB4">
              <w:rPr>
                <w:rFonts w:eastAsia="Arial Unicode MS"/>
                <w:color w:val="000000" w:themeColor="text1"/>
                <w:sz w:val="20"/>
                <w:szCs w:val="20"/>
                <w:shd w:val="clear" w:color="auto" w:fill="FFFFFF"/>
                <w:lang w:val="en-US"/>
              </w:rPr>
              <w:t>scoase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în</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2025 în conformitate cu </w:t>
            </w:r>
            <w:proofErr w:type="spellStart"/>
            <w:r w:rsidRPr="00CE3FB4">
              <w:rPr>
                <w:rFonts w:eastAsia="Arial Unicode MS"/>
                <w:color w:val="000000" w:themeColor="text1"/>
                <w:sz w:val="20"/>
                <w:szCs w:val="20"/>
                <w:shd w:val="clear" w:color="auto" w:fill="FFFFFF"/>
                <w:lang w:val="en-US"/>
              </w:rPr>
              <w:t>principiile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modalitățile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(4) din prezenta </w:t>
            </w:r>
            <w:proofErr w:type="spellStart"/>
            <w:r w:rsidRPr="00CE3FB4">
              <w:rPr>
                <w:rFonts w:eastAsia="Arial Unicode MS"/>
                <w:color w:val="000000" w:themeColor="text1"/>
                <w:sz w:val="20"/>
                <w:szCs w:val="20"/>
                <w:shd w:val="clear" w:color="auto" w:fill="FFFFFF"/>
                <w:lang w:val="en-US"/>
              </w:rPr>
              <w:t>directivă</w:t>
            </w:r>
            <w:proofErr w:type="spellEnd"/>
            <w:r w:rsidRPr="00CE3FB4">
              <w:rPr>
                <w:rFonts w:eastAsia="Arial Unicode MS"/>
                <w:color w:val="000000" w:themeColor="text1"/>
                <w:sz w:val="20"/>
                <w:szCs w:val="20"/>
                <w:shd w:val="clear" w:color="auto" w:fill="FFFFFF"/>
                <w:lang w:val="en-US"/>
              </w:rPr>
              <w:t xml:space="preserve"> și cu </w:t>
            </w:r>
            <w:proofErr w:type="spellStart"/>
            <w:r w:rsidRPr="00CE3FB4">
              <w:rPr>
                <w:rFonts w:eastAsia="Arial Unicode MS"/>
                <w:color w:val="000000" w:themeColor="text1"/>
                <w:sz w:val="20"/>
                <w:szCs w:val="20"/>
                <w:shd w:val="clear" w:color="auto" w:fill="FFFFFF"/>
                <w:lang w:val="en-US"/>
              </w:rPr>
              <w:t>actul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delegat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adoptat</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Veniturile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licitația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constituie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venituri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externe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alocate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21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(5) din </w:t>
            </w:r>
            <w:proofErr w:type="spellStart"/>
            <w:r w:rsidRPr="00CE3FB4">
              <w:rPr>
                <w:rFonts w:eastAsia="Arial Unicode MS"/>
                <w:color w:val="000000" w:themeColor="text1"/>
                <w:sz w:val="20"/>
                <w:szCs w:val="20"/>
                <w:shd w:val="clear" w:color="auto" w:fill="FFFFFF"/>
                <w:lang w:val="en-US"/>
              </w:rPr>
              <w:t>Regulamentul</w:t>
            </w:r>
            <w:proofErr w:type="spellEnd"/>
            <w:r w:rsidRPr="00CE3FB4">
              <w:rPr>
                <w:rFonts w:eastAsia="Arial Unicode MS"/>
                <w:color w:val="000000" w:themeColor="text1"/>
                <w:sz w:val="20"/>
                <w:szCs w:val="20"/>
                <w:shd w:val="clear" w:color="auto" w:fill="FFFFFF"/>
                <w:lang w:val="en-US"/>
              </w:rPr>
              <w:t xml:space="preserve"> (UE, Euratom)</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2018/1046 și se </w:t>
            </w:r>
            <w:proofErr w:type="spellStart"/>
            <w:r w:rsidRPr="00CE3FB4">
              <w:rPr>
                <w:rFonts w:eastAsia="Arial Unicode MS"/>
                <w:color w:val="000000" w:themeColor="text1"/>
                <w:sz w:val="20"/>
                <w:szCs w:val="20"/>
                <w:shd w:val="clear" w:color="auto" w:fill="FFFFFF"/>
                <w:lang w:val="en-US"/>
              </w:rPr>
              <w:t>utilizează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normele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aplicabile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Fondului</w:t>
            </w:r>
            <w:proofErr w:type="spellEnd"/>
            <w:r w:rsidRPr="00CE3FB4">
              <w:rPr>
                <w:rFonts w:eastAsia="Arial Unicode MS"/>
                <w:color w:val="000000" w:themeColor="text1"/>
                <w:sz w:val="20"/>
                <w:szCs w:val="20"/>
                <w:shd w:val="clear" w:color="auto" w:fill="FFFFFF"/>
                <w:lang w:val="en-US"/>
              </w:rPr>
              <w:t xml:space="preserve"> social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climă</w:t>
            </w:r>
            <w:proofErr w:type="spellEnd"/>
            <w:r w:rsidRPr="00CE3FB4">
              <w:rPr>
                <w:rFonts w:eastAsia="Arial Unicode MS"/>
                <w:color w:val="000000" w:themeColor="text1"/>
                <w:sz w:val="20"/>
                <w:szCs w:val="20"/>
                <w:shd w:val="clear" w:color="auto" w:fill="FFFFFF"/>
                <w:lang w:val="en-US"/>
              </w:rPr>
              <w:t>.</w:t>
            </w:r>
          </w:p>
          <w:p w14:paraId="5221A2AC" w14:textId="77777777" w:rsidR="00124364" w:rsidRDefault="00000000">
            <w:pPr>
              <w:pStyle w:val="ti-art"/>
              <w:shd w:val="clear" w:color="auto" w:fill="FFFFFF"/>
              <w:spacing w:before="0" w:beforeAutospacing="0" w:after="0" w:afterAutospacing="0"/>
              <w:rPr>
                <w:color w:val="4472C4" w:themeColor="accent1"/>
                <w:sz w:val="20"/>
                <w:szCs w:val="20"/>
              </w:rPr>
            </w:pPr>
            <w:hyperlink r:id="rId155" w:tooltip="32018L0410: REPLACED" w:history="1">
              <w:r>
                <w:rPr>
                  <w:rStyle w:val="af3"/>
                  <w:rFonts w:eastAsia="Arial Unicode MS"/>
                  <w:b/>
                  <w:bCs/>
                  <w:color w:val="4472C4" w:themeColor="accent1"/>
                  <w:sz w:val="20"/>
                  <w:szCs w:val="20"/>
                </w:rPr>
                <w:t>▼M9</w:t>
              </w:r>
            </w:hyperlink>
          </w:p>
          <w:p w14:paraId="6F6A8A0E" w14:textId="6BB7B341" w:rsidR="00124364" w:rsidRPr="00CE3FB4" w:rsidRDefault="00000000" w:rsidP="00CE3FB4">
            <w:pPr>
              <w:pStyle w:val="ti-art"/>
              <w:numPr>
                <w:ilvl w:val="0"/>
                <w:numId w:val="5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Grecia, care a </w:t>
            </w:r>
            <w:proofErr w:type="spellStart"/>
            <w:r w:rsidRPr="00CE3FB4">
              <w:rPr>
                <w:rFonts w:eastAsia="Arial Unicode MS"/>
                <w:color w:val="000000" w:themeColor="text1"/>
                <w:sz w:val="20"/>
                <w:szCs w:val="20"/>
                <w:shd w:val="clear" w:color="auto" w:fill="FFFFFF"/>
                <w:lang w:val="en-US"/>
              </w:rPr>
              <w:t>înregistrat</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produs</w:t>
            </w:r>
            <w:proofErr w:type="spellEnd"/>
            <w:r w:rsidRPr="00CE3FB4">
              <w:rPr>
                <w:rFonts w:eastAsia="Arial Unicode MS"/>
                <w:color w:val="000000" w:themeColor="text1"/>
                <w:sz w:val="20"/>
                <w:szCs w:val="20"/>
                <w:shd w:val="clear" w:color="auto" w:fill="FFFFFF"/>
                <w:lang w:val="en-US"/>
              </w:rPr>
              <w:t xml:space="preserve"> intern brut (PIB) pe cap de </w:t>
            </w:r>
            <w:proofErr w:type="spellStart"/>
            <w:r w:rsidRPr="00CE3FB4">
              <w:rPr>
                <w:rFonts w:eastAsia="Arial Unicode MS"/>
                <w:color w:val="000000" w:themeColor="text1"/>
                <w:sz w:val="20"/>
                <w:szCs w:val="20"/>
                <w:shd w:val="clear" w:color="auto" w:fill="FFFFFF"/>
                <w:lang w:val="en-US"/>
              </w:rPr>
              <w:t>locuitor</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prețurile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pieței</w:t>
            </w:r>
            <w:proofErr w:type="spellEnd"/>
            <w:r w:rsidRPr="00CE3FB4">
              <w:rPr>
                <w:rFonts w:eastAsia="Arial Unicode MS"/>
                <w:color w:val="000000" w:themeColor="text1"/>
                <w:sz w:val="20"/>
                <w:szCs w:val="20"/>
                <w:shd w:val="clear" w:color="auto" w:fill="FFFFFF"/>
                <w:lang w:val="en-US"/>
              </w:rPr>
              <w:t xml:space="preserve"> sub 60</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media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în 2014, </w:t>
            </w:r>
            <w:proofErr w:type="spellStart"/>
            <w:r w:rsidRPr="00CE3FB4">
              <w:rPr>
                <w:rFonts w:eastAsia="Arial Unicode MS"/>
                <w:color w:val="000000" w:themeColor="text1"/>
                <w:sz w:val="20"/>
                <w:szCs w:val="20"/>
                <w:shd w:val="clear" w:color="auto" w:fill="FFFFFF"/>
                <w:lang w:val="en-US"/>
              </w:rPr>
              <w:t>poate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solicita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înainte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aplicarea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alineatului</w:t>
            </w:r>
            <w:proofErr w:type="spellEnd"/>
            <w:r w:rsidRPr="00CE3FB4">
              <w:rPr>
                <w:rFonts w:eastAsia="Arial Unicode MS"/>
                <w:color w:val="000000" w:themeColor="text1"/>
                <w:sz w:val="20"/>
                <w:szCs w:val="20"/>
                <w:shd w:val="clear" w:color="auto" w:fill="FFFFFF"/>
                <w:lang w:val="en-US"/>
              </w:rPr>
              <w:t xml:space="preserve"> (7)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25</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de</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de certificate din </w:t>
            </w:r>
            <w:proofErr w:type="spellStart"/>
            <w:r w:rsidRPr="00CE3FB4">
              <w:rPr>
                <w:rFonts w:eastAsia="Arial Unicode MS"/>
                <w:color w:val="000000" w:themeColor="text1"/>
                <w:sz w:val="20"/>
                <w:szCs w:val="20"/>
                <w:shd w:val="clear" w:color="auto" w:fill="FFFFFF"/>
                <w:lang w:val="en-US"/>
              </w:rPr>
              <w:t>cuantumul</w:t>
            </w:r>
            <w:proofErr w:type="spellEnd"/>
            <w:r w:rsidRPr="00CE3FB4">
              <w:rPr>
                <w:rFonts w:eastAsia="Arial Unicode MS"/>
                <w:color w:val="000000" w:themeColor="text1"/>
                <w:sz w:val="20"/>
                <w:szCs w:val="20"/>
                <w:shd w:val="clear" w:color="auto" w:fill="FFFFFF"/>
                <w:lang w:val="en-US"/>
              </w:rPr>
              <w:t xml:space="preserve"> maxim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(5)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care nu sunt </w:t>
            </w:r>
            <w:proofErr w:type="spellStart"/>
            <w:r w:rsidRPr="00CE3FB4">
              <w:rPr>
                <w:rFonts w:eastAsia="Arial Unicode MS"/>
                <w:color w:val="000000" w:themeColor="text1"/>
                <w:sz w:val="20"/>
                <w:szCs w:val="20"/>
                <w:shd w:val="clear" w:color="auto" w:fill="FFFFFF"/>
                <w:lang w:val="en-US"/>
              </w:rPr>
              <w:t>alocate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Pr="00CE3FB4">
              <w:rPr>
                <w:rFonts w:eastAsia="Arial Unicode MS"/>
                <w:color w:val="000000" w:themeColor="text1"/>
                <w:sz w:val="20"/>
                <w:szCs w:val="20"/>
                <w:shd w:val="clear" w:color="auto" w:fill="FFFFFF"/>
                <w:lang w:val="en-US"/>
              </w:rPr>
              <w:t xml:space="preserve"> 2020,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cofinanțarea</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60</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decarbonizarea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aprovizionării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electrică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insulelor</w:t>
            </w:r>
            <w:proofErr w:type="spellEnd"/>
            <w:r w:rsidRPr="00CE3FB4">
              <w:rPr>
                <w:rFonts w:eastAsia="Arial Unicode MS"/>
                <w:color w:val="000000" w:themeColor="text1"/>
                <w:sz w:val="20"/>
                <w:szCs w:val="20"/>
                <w:shd w:val="clear" w:color="auto" w:fill="FFFFFF"/>
                <w:lang w:val="en-US"/>
              </w:rPr>
              <w:t xml:space="preserve"> care fac </w:t>
            </w:r>
            <w:proofErr w:type="spellStart"/>
            <w:r w:rsidRPr="00CE3FB4">
              <w:rPr>
                <w:rFonts w:eastAsia="Arial Unicode MS"/>
                <w:color w:val="000000" w:themeColor="text1"/>
                <w:sz w:val="20"/>
                <w:szCs w:val="20"/>
                <w:shd w:val="clear" w:color="auto" w:fill="FFFFFF"/>
                <w:lang w:val="en-US"/>
              </w:rPr>
              <w:t>parte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teritoriul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Dispozițiile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10d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(3) se </w:t>
            </w:r>
            <w:proofErr w:type="spellStart"/>
            <w:r w:rsidRPr="00CE3FB4">
              <w:rPr>
                <w:rFonts w:eastAsia="Arial Unicode MS"/>
                <w:color w:val="000000" w:themeColor="text1"/>
                <w:sz w:val="20"/>
                <w:szCs w:val="20"/>
                <w:shd w:val="clear" w:color="auto" w:fill="FFFFFF"/>
                <w:lang w:val="en-US"/>
              </w:rPr>
              <w:t>aplică</w:t>
            </w:r>
            <w:proofErr w:type="spellEnd"/>
            <w:r w:rsidR="00CE3FB4" w:rsidRPr="00CE3FB4">
              <w:rPr>
                <w:rStyle w:val="apple-converted-space"/>
                <w:rFonts w:eastAsia="Arial Unicode MS"/>
                <w:color w:val="000000" w:themeColor="text1"/>
                <w:sz w:val="20"/>
                <w:szCs w:val="20"/>
                <w:shd w:val="clear" w:color="auto" w:fill="FFFFFF"/>
                <w:lang w:val="en-US"/>
              </w:rPr>
              <w:t xml:space="preserve"> </w:t>
            </w:r>
            <w:r w:rsidRPr="00CE3FB4">
              <w:rPr>
                <w:rStyle w:val="italics"/>
                <w:rFonts w:eastAsia="Arial Unicode MS"/>
                <w:i/>
                <w:iCs/>
                <w:color w:val="000000" w:themeColor="text1"/>
                <w:sz w:val="20"/>
                <w:szCs w:val="20"/>
                <w:lang w:val="en-US"/>
              </w:rPr>
              <w:t>mutatis mutandis</w:t>
            </w:r>
            <w:r w:rsidR="00CE3FB4" w:rsidRPr="00CE3FB4">
              <w:rPr>
                <w:rStyle w:val="apple-converted-space"/>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certificatelor</w:t>
            </w:r>
            <w:proofErr w:type="spellEnd"/>
            <w:r w:rsidRPr="00CE3FB4">
              <w:rPr>
                <w:rFonts w:eastAsia="Arial Unicode MS"/>
                <w:color w:val="000000" w:themeColor="text1"/>
                <w:sz w:val="20"/>
                <w:szCs w:val="20"/>
                <w:shd w:val="clear" w:color="auto" w:fill="FFFFFF"/>
                <w:lang w:val="en-US"/>
              </w:rPr>
              <w:t xml:space="preserve"> respective.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pot fi solicitate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din </w:t>
            </w:r>
            <w:proofErr w:type="spellStart"/>
            <w:r w:rsidRPr="00CE3FB4">
              <w:rPr>
                <w:rFonts w:eastAsia="Arial Unicode MS"/>
                <w:color w:val="000000" w:themeColor="text1"/>
                <w:sz w:val="20"/>
                <w:szCs w:val="20"/>
                <w:shd w:val="clear" w:color="auto" w:fill="FFFFFF"/>
                <w:lang w:val="en-US"/>
              </w:rPr>
              <w:t>cauza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accesului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limitat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piețele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internaționale</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datoriilor</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proiect</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vizează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decarbonizarea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aprovizionării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electrică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insulelor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Greciei</w:t>
            </w:r>
            <w:proofErr w:type="spellEnd"/>
            <w:r w:rsidRPr="00CE3FB4">
              <w:rPr>
                <w:rFonts w:eastAsia="Arial Unicode MS"/>
                <w:color w:val="000000" w:themeColor="text1"/>
                <w:sz w:val="20"/>
                <w:szCs w:val="20"/>
                <w:shd w:val="clear" w:color="auto" w:fill="FFFFFF"/>
                <w:lang w:val="en-US"/>
              </w:rPr>
              <w:t xml:space="preserve"> nu </w:t>
            </w:r>
            <w:proofErr w:type="spellStart"/>
            <w:r w:rsidRPr="00CE3FB4">
              <w:rPr>
                <w:rFonts w:eastAsia="Arial Unicode MS"/>
                <w:color w:val="000000" w:themeColor="text1"/>
                <w:sz w:val="20"/>
                <w:szCs w:val="20"/>
                <w:shd w:val="clear" w:color="auto" w:fill="FFFFFF"/>
                <w:lang w:val="en-US"/>
              </w:rPr>
              <w:t>ar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putea</w:t>
            </w:r>
            <w:proofErr w:type="spellEnd"/>
            <w:r w:rsidRPr="00CE3FB4">
              <w:rPr>
                <w:rFonts w:eastAsia="Arial Unicode MS"/>
                <w:color w:val="000000" w:themeColor="text1"/>
                <w:sz w:val="20"/>
                <w:szCs w:val="20"/>
                <w:shd w:val="clear" w:color="auto" w:fill="FFFFFF"/>
                <w:lang w:val="en-US"/>
              </w:rPr>
              <w:t xml:space="preserve"> fi </w:t>
            </w:r>
            <w:proofErr w:type="spellStart"/>
            <w:r w:rsidRPr="00CE3FB4">
              <w:rPr>
                <w:rFonts w:eastAsia="Arial Unicode MS"/>
                <w:color w:val="000000" w:themeColor="text1"/>
                <w:sz w:val="20"/>
                <w:szCs w:val="20"/>
                <w:shd w:val="clear" w:color="auto" w:fill="FFFFFF"/>
                <w:lang w:val="en-US"/>
              </w:rPr>
              <w:t>realizat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altfel</w:t>
            </w:r>
            <w:proofErr w:type="spellEnd"/>
            <w:r w:rsidRPr="00CE3FB4">
              <w:rPr>
                <w:rFonts w:eastAsia="Arial Unicode MS"/>
                <w:color w:val="000000" w:themeColor="text1"/>
                <w:sz w:val="20"/>
                <w:szCs w:val="20"/>
                <w:shd w:val="clear" w:color="auto" w:fill="FFFFFF"/>
                <w:lang w:val="en-US"/>
              </w:rPr>
              <w:t xml:space="preserve"> și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Banca </w:t>
            </w:r>
            <w:proofErr w:type="spellStart"/>
            <w:r w:rsidRPr="00CE3FB4">
              <w:rPr>
                <w:rFonts w:eastAsia="Arial Unicode MS"/>
                <w:color w:val="000000" w:themeColor="text1"/>
                <w:sz w:val="20"/>
                <w:szCs w:val="20"/>
                <w:shd w:val="clear" w:color="auto" w:fill="FFFFFF"/>
                <w:lang w:val="en-US"/>
              </w:rPr>
              <w:t>Europeană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(BEI) </w:t>
            </w:r>
            <w:proofErr w:type="spellStart"/>
            <w:r w:rsidRPr="00CE3FB4">
              <w:rPr>
                <w:rFonts w:eastAsia="Arial Unicode MS"/>
                <w:color w:val="000000" w:themeColor="text1"/>
                <w:sz w:val="20"/>
                <w:szCs w:val="20"/>
                <w:shd w:val="clear" w:color="auto" w:fill="FFFFFF"/>
                <w:lang w:val="en-US"/>
              </w:rPr>
              <w:t>confirmă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viabilitatea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financiară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beneficiile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natură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socioeconomică</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proiectului</w:t>
            </w:r>
            <w:proofErr w:type="spellEnd"/>
            <w:r w:rsidRPr="00CE3FB4">
              <w:rPr>
                <w:rFonts w:eastAsia="Arial Unicode MS"/>
                <w:color w:val="000000" w:themeColor="text1"/>
                <w:sz w:val="20"/>
                <w:szCs w:val="20"/>
                <w:shd w:val="clear" w:color="auto" w:fill="FFFFFF"/>
                <w:lang w:val="en-US"/>
              </w:rPr>
              <w:t>.</w:t>
            </w:r>
          </w:p>
          <w:p w14:paraId="653F38AA" w14:textId="62F69D9E"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156" w:tooltip="32018L0410: DELETED" w:history="1">
              <w:r>
                <w:rPr>
                  <w:rStyle w:val="af3"/>
                  <w:rFonts w:eastAsia="Arial Unicode MS"/>
                  <w:b/>
                  <w:bCs/>
                  <w:color w:val="4472C4" w:themeColor="accent1"/>
                  <w:sz w:val="20"/>
                  <w:szCs w:val="20"/>
                </w:rPr>
                <w:t>▼M9</w:t>
              </w:r>
            </w:hyperlink>
            <w:r w:rsidR="00CE3FB4">
              <w:rPr>
                <w:rFonts w:ascii="Arial Unicode MS" w:eastAsia="Arial Unicode MS" w:hAnsi="Arial Unicode MS" w:cs="Arial Unicode MS"/>
                <w:b/>
                <w:bCs/>
                <w:color w:val="4472C4" w:themeColor="accent1"/>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456DBC15"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157" w:tooltip="32009L0029R(04): REPLACED" w:history="1">
              <w:r>
                <w:rPr>
                  <w:rStyle w:val="af3"/>
                  <w:rFonts w:eastAsia="Arial Unicode MS"/>
                  <w:b/>
                  <w:bCs/>
                  <w:color w:val="4472C4" w:themeColor="accent1"/>
                  <w:sz w:val="20"/>
                  <w:szCs w:val="20"/>
                </w:rPr>
                <w:t>▼C5</w:t>
              </w:r>
            </w:hyperlink>
          </w:p>
          <w:p w14:paraId="1DD541CE" w14:textId="1F6B6FCB" w:rsidR="00124364" w:rsidRDefault="00000000" w:rsidP="00CE3FB4">
            <w:pPr>
              <w:pStyle w:val="ti-art"/>
              <w:numPr>
                <w:ilvl w:val="0"/>
                <w:numId w:val="58"/>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Sub </w:t>
            </w:r>
            <w:proofErr w:type="spellStart"/>
            <w:r w:rsidRPr="00CE3FB4">
              <w:rPr>
                <w:rFonts w:eastAsia="Arial Unicode MS"/>
                <w:color w:val="000000" w:themeColor="text1"/>
                <w:sz w:val="20"/>
                <w:szCs w:val="20"/>
                <w:shd w:val="clear" w:color="auto" w:fill="FFFFFF"/>
                <w:lang w:val="en-US"/>
              </w:rPr>
              <w:t>rezerva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dispozițiilor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10b,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de certificate </w:t>
            </w:r>
            <w:proofErr w:type="spellStart"/>
            <w:r w:rsidRPr="00CE3FB4">
              <w:rPr>
                <w:rFonts w:eastAsia="Arial Unicode MS"/>
                <w:color w:val="000000" w:themeColor="text1"/>
                <w:sz w:val="20"/>
                <w:szCs w:val="20"/>
                <w:shd w:val="clear" w:color="auto" w:fill="FFFFFF"/>
                <w:lang w:val="en-US"/>
              </w:rPr>
              <w:t>alocate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alineatelor</w:t>
            </w:r>
            <w:proofErr w:type="spellEnd"/>
            <w:r w:rsidRPr="00CE3FB4">
              <w:rPr>
                <w:rFonts w:eastAsia="Arial Unicode MS"/>
                <w:color w:val="000000" w:themeColor="text1"/>
                <w:sz w:val="20"/>
                <w:szCs w:val="20"/>
                <w:shd w:val="clear" w:color="auto" w:fill="FFFFFF"/>
                <w:lang w:val="en-US"/>
              </w:rPr>
              <w:t xml:space="preserve"> (4)-(7) din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în 2013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de 80</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stabilită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măsurile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Ulterior,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scade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fiecare</w:t>
            </w:r>
            <w:proofErr w:type="spellEnd"/>
            <w:r w:rsidRPr="00CE3FB4">
              <w:rPr>
                <w:rFonts w:eastAsia="Arial Unicode MS"/>
                <w:color w:val="000000" w:themeColor="text1"/>
                <w:sz w:val="20"/>
                <w:szCs w:val="20"/>
                <w:shd w:val="clear" w:color="auto" w:fill="FFFFFF"/>
                <w:lang w:val="en-US"/>
              </w:rPr>
              <w:t xml:space="preserve"> an cu </w:t>
            </w:r>
            <w:proofErr w:type="spellStart"/>
            <w:r w:rsidRPr="00CE3FB4">
              <w:rPr>
                <w:rFonts w:eastAsia="Arial Unicode MS"/>
                <w:color w:val="000000" w:themeColor="text1"/>
                <w:sz w:val="20"/>
                <w:szCs w:val="20"/>
                <w:shd w:val="clear" w:color="auto" w:fill="FFFFFF"/>
                <w:lang w:val="en-US"/>
              </w:rPr>
              <w:t>aceeași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cantitate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30</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gratuite</w:t>
            </w:r>
            <w:proofErr w:type="spellEnd"/>
            <w:r w:rsidRPr="00CE3FB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în 2020,</w:t>
            </w:r>
            <w:r>
              <w:fldChar w:fldCharType="begin"/>
            </w:r>
            <w:r w:rsidRPr="00E34C2B">
              <w:rPr>
                <w:lang w:val="en-US"/>
              </w:rPr>
              <w:instrText>HYPERLINK "https://eur-lex.europa.eu/legal-content/RO/AUTO/?uri=celex:32018L0410" \o "32018L0410: DELETED"</w:instrText>
            </w:r>
            <w:r>
              <w:fldChar w:fldCharType="separate"/>
            </w:r>
            <w:r>
              <w:rPr>
                <w:rStyle w:val="boldface"/>
                <w:rFonts w:eastAsia="Arial Unicode MS"/>
                <w:b/>
                <w:bCs/>
                <w:color w:val="4472C4" w:themeColor="accent1"/>
                <w:sz w:val="20"/>
                <w:szCs w:val="20"/>
                <w:lang w:val="en-US"/>
              </w:rPr>
              <w:t>►M9</w:t>
            </w:r>
            <w:r>
              <w:rPr>
                <w:rStyle w:val="apple-converted-space"/>
                <w:rFonts w:eastAsia="Arial Unicode MS"/>
                <w:color w:val="4472C4" w:themeColor="accent1"/>
                <w:sz w:val="20"/>
                <w:szCs w:val="20"/>
                <w:lang w:val="en-US"/>
              </w:rPr>
              <w:fldChar w:fldCharType="end"/>
            </w:r>
            <w:r w:rsidR="00CE3FB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w:t>
            </w:r>
            <w:r w:rsidR="00CE3FB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CE3FB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w:t>
            </w:r>
          </w:p>
          <w:p w14:paraId="194A3CF4" w14:textId="32836E62"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158" w:tooltip="32018L0410: DELETED" w:history="1">
              <w:r>
                <w:rPr>
                  <w:rStyle w:val="af3"/>
                  <w:rFonts w:eastAsia="Arial Unicode MS"/>
                  <w:b/>
                  <w:bCs/>
                  <w:color w:val="4472C4" w:themeColor="accent1"/>
                  <w:sz w:val="20"/>
                  <w:szCs w:val="20"/>
                </w:rPr>
                <w:t>▼M9</w:t>
              </w:r>
            </w:hyperlink>
            <w:r w:rsidR="00CE3FB4">
              <w:rPr>
                <w:rFonts w:ascii="Arial Unicode MS" w:eastAsia="Arial Unicode MS" w:hAnsi="Arial Unicode MS" w:cs="Arial Unicode MS"/>
                <w:b/>
                <w:bCs/>
                <w:color w:val="4472C4" w:themeColor="accent1"/>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50110A32"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159" w:tooltip="32023L0959: REPLACED" w:history="1">
              <w:r>
                <w:rPr>
                  <w:rStyle w:val="af3"/>
                  <w:rFonts w:eastAsia="Arial Unicode MS"/>
                  <w:b/>
                  <w:bCs/>
                  <w:color w:val="4472C4" w:themeColor="accent1"/>
                  <w:sz w:val="20"/>
                  <w:szCs w:val="20"/>
                </w:rPr>
                <w:t>▼M15</w:t>
              </w:r>
            </w:hyperlink>
          </w:p>
          <w:p w14:paraId="38C10ACA" w14:textId="77777777" w:rsidR="00124364" w:rsidRPr="00CE3FB4" w:rsidRDefault="00000000" w:rsidP="00CE3FB4">
            <w:pPr>
              <w:pStyle w:val="ti-art"/>
              <w:numPr>
                <w:ilvl w:val="0"/>
                <w:numId w:val="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Se </w:t>
            </w:r>
            <w:proofErr w:type="spellStart"/>
            <w:r w:rsidRPr="00CE3FB4">
              <w:rPr>
                <w:rFonts w:eastAsia="Arial Unicode MS"/>
                <w:color w:val="000000" w:themeColor="text1"/>
                <w:sz w:val="20"/>
                <w:szCs w:val="20"/>
                <w:shd w:val="clear" w:color="auto" w:fill="FFFFFF"/>
                <w:lang w:val="en-US"/>
              </w:rPr>
              <w:t>interzice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de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w:t>
            </w:r>
            <w:proofErr w:type="spellEnd"/>
            <w:r w:rsidRPr="00CE3FB4">
              <w:rPr>
                <w:rFonts w:eastAsia="Arial Unicode MS"/>
                <w:color w:val="000000" w:themeColor="text1"/>
                <w:sz w:val="20"/>
                <w:szCs w:val="20"/>
                <w:shd w:val="clear" w:color="auto" w:fill="FFFFFF"/>
                <w:lang w:val="en-US"/>
              </w:rPr>
              <w:t xml:space="preserve"> care și-a </w:t>
            </w:r>
            <w:proofErr w:type="spellStart"/>
            <w:r w:rsidRPr="00CE3FB4">
              <w:rPr>
                <w:rFonts w:eastAsia="Arial Unicode MS"/>
                <w:color w:val="000000" w:themeColor="text1"/>
                <w:sz w:val="20"/>
                <w:szCs w:val="20"/>
                <w:shd w:val="clear" w:color="auto" w:fill="FFFFFF"/>
                <w:lang w:val="en-US"/>
              </w:rPr>
              <w:t>încetat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activitatea</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consideră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și-au </w:t>
            </w:r>
            <w:proofErr w:type="spellStart"/>
            <w:r w:rsidRPr="00CE3FB4">
              <w:rPr>
                <w:rFonts w:eastAsia="Arial Unicode MS"/>
                <w:color w:val="000000" w:themeColor="text1"/>
                <w:sz w:val="20"/>
                <w:szCs w:val="20"/>
                <w:shd w:val="clear" w:color="auto" w:fill="FFFFFF"/>
                <w:lang w:val="en-US"/>
              </w:rPr>
              <w:t>încetat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activitatea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instalațiile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căror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autorizație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 xml:space="preserve"> de gaze cu </w:t>
            </w:r>
            <w:proofErr w:type="spellStart"/>
            <w:r w:rsidRPr="00CE3FB4">
              <w:rPr>
                <w:rFonts w:eastAsia="Arial Unicode MS"/>
                <w:color w:val="000000" w:themeColor="text1"/>
                <w:sz w:val="20"/>
                <w:szCs w:val="20"/>
                <w:shd w:val="clear" w:color="auto" w:fill="FFFFFF"/>
                <w:lang w:val="en-US"/>
              </w:rPr>
              <w:t>efect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seră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expirat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fost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retrasă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instalațiile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cărora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funcționarea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reluarea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funcționării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tehnic</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imposibilă</w:t>
            </w:r>
            <w:proofErr w:type="spellEnd"/>
            <w:r w:rsidRPr="00CE3FB4">
              <w:rPr>
                <w:rFonts w:eastAsia="Arial Unicode MS"/>
                <w:color w:val="000000" w:themeColor="text1"/>
                <w:sz w:val="20"/>
                <w:szCs w:val="20"/>
                <w:shd w:val="clear" w:color="auto" w:fill="FFFFFF"/>
                <w:lang w:val="en-US"/>
              </w:rPr>
              <w:t>.</w:t>
            </w:r>
          </w:p>
          <w:p w14:paraId="60C7AD10"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60" w:tooltip="32018L0410: REPLACED" w:history="1">
              <w:r>
                <w:rPr>
                  <w:rStyle w:val="af3"/>
                  <w:rFonts w:eastAsia="Arial Unicode MS"/>
                  <w:b/>
                  <w:bCs/>
                  <w:color w:val="4472C4" w:themeColor="accent1"/>
                  <w:sz w:val="20"/>
                  <w:szCs w:val="20"/>
                </w:rPr>
                <w:t>▼M9</w:t>
              </w:r>
            </w:hyperlink>
          </w:p>
          <w:p w14:paraId="67473C2A" w14:textId="0D9DCBD2" w:rsidR="00124364" w:rsidRPr="00CE3FB4" w:rsidRDefault="00000000" w:rsidP="00CE3FB4">
            <w:pPr>
              <w:pStyle w:val="ti-art"/>
              <w:numPr>
                <w:ilvl w:val="0"/>
                <w:numId w:val="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Nivelul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alocărilor</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acordate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instalațiilor</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căror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operațiuni</w:t>
            </w:r>
            <w:proofErr w:type="spellEnd"/>
            <w:r w:rsidRPr="00CE3FB4">
              <w:rPr>
                <w:rFonts w:eastAsia="Arial Unicode MS"/>
                <w:color w:val="000000" w:themeColor="text1"/>
                <w:sz w:val="20"/>
                <w:szCs w:val="20"/>
                <w:shd w:val="clear" w:color="auto" w:fill="FFFFFF"/>
                <w:lang w:val="en-US"/>
              </w:rPr>
              <w:t xml:space="preserve"> au </w:t>
            </w:r>
            <w:proofErr w:type="spellStart"/>
            <w:r w:rsidRPr="00CE3FB4">
              <w:rPr>
                <w:rFonts w:eastAsia="Arial Unicode MS"/>
                <w:color w:val="000000" w:themeColor="text1"/>
                <w:sz w:val="20"/>
                <w:szCs w:val="20"/>
                <w:shd w:val="clear" w:color="auto" w:fill="FFFFFF"/>
                <w:lang w:val="en-US"/>
              </w:rPr>
              <w:t>crescut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au </w:t>
            </w:r>
            <w:proofErr w:type="spellStart"/>
            <w:r w:rsidRPr="00CE3FB4">
              <w:rPr>
                <w:rFonts w:eastAsia="Arial Unicode MS"/>
                <w:color w:val="000000" w:themeColor="text1"/>
                <w:sz w:val="20"/>
                <w:szCs w:val="20"/>
                <w:shd w:val="clear" w:color="auto" w:fill="FFFFFF"/>
                <w:lang w:val="en-US"/>
              </w:rPr>
              <w:t>scăzut</w:t>
            </w:r>
            <w:proofErr w:type="spellEnd"/>
            <w:r w:rsidRPr="00CE3FB4">
              <w:rPr>
                <w:rFonts w:eastAsia="Arial Unicode MS"/>
                <w:color w:val="000000" w:themeColor="text1"/>
                <w:sz w:val="20"/>
                <w:szCs w:val="20"/>
                <w:shd w:val="clear" w:color="auto" w:fill="FFFFFF"/>
                <w:lang w:val="en-US"/>
              </w:rPr>
              <w:t xml:space="preserve">, evaluate 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medii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ponderate</w:t>
            </w:r>
            <w:proofErr w:type="spellEnd"/>
            <w:r w:rsidRPr="00CE3FB4">
              <w:rPr>
                <w:rFonts w:eastAsia="Arial Unicode MS"/>
                <w:color w:val="000000" w:themeColor="text1"/>
                <w:sz w:val="20"/>
                <w:szCs w:val="20"/>
                <w:shd w:val="clear" w:color="auto" w:fill="FFFFFF"/>
                <w:lang w:val="en-US"/>
              </w:rPr>
              <w:t xml:space="preserve"> pe </w:t>
            </w:r>
            <w:proofErr w:type="spellStart"/>
            <w:r w:rsidRPr="00CE3FB4">
              <w:rPr>
                <w:rFonts w:eastAsia="Arial Unicode MS"/>
                <w:color w:val="000000" w:themeColor="text1"/>
                <w:sz w:val="20"/>
                <w:szCs w:val="20"/>
                <w:shd w:val="clear" w:color="auto" w:fill="FFFFFF"/>
                <w:lang w:val="en-US"/>
              </w:rPr>
              <w:t>doi</w:t>
            </w:r>
            <w:proofErr w:type="spellEnd"/>
            <w:r w:rsidRPr="00CE3FB4">
              <w:rPr>
                <w:rFonts w:eastAsia="Arial Unicode MS"/>
                <w:color w:val="000000" w:themeColor="text1"/>
                <w:sz w:val="20"/>
                <w:szCs w:val="20"/>
                <w:shd w:val="clear" w:color="auto" w:fill="FFFFFF"/>
                <w:lang w:val="en-US"/>
              </w:rPr>
              <w:t xml:space="preserve"> ani, cu </w:t>
            </w:r>
            <w:proofErr w:type="spellStart"/>
            <w:r w:rsidRPr="00CE3FB4">
              <w:rPr>
                <w:rFonts w:eastAsia="Arial Unicode MS"/>
                <w:color w:val="000000" w:themeColor="text1"/>
                <w:sz w:val="20"/>
                <w:szCs w:val="20"/>
                <w:shd w:val="clear" w:color="auto" w:fill="FFFFFF"/>
                <w:lang w:val="en-US"/>
              </w:rPr>
              <w:t>peste</w:t>
            </w:r>
            <w:proofErr w:type="spellEnd"/>
            <w:r w:rsidRPr="00CE3FB4">
              <w:rPr>
                <w:rFonts w:eastAsia="Arial Unicode MS"/>
                <w:color w:val="000000" w:themeColor="text1"/>
                <w:sz w:val="20"/>
                <w:szCs w:val="20"/>
                <w:shd w:val="clear" w:color="auto" w:fill="FFFFFF"/>
                <w:lang w:val="en-US"/>
              </w:rPr>
              <w:t xml:space="preserve"> 15</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față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nivelul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inițial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se </w:t>
            </w:r>
            <w:proofErr w:type="spellStart"/>
            <w:r w:rsidRPr="00CE3FB4">
              <w:rPr>
                <w:rFonts w:eastAsia="Arial Unicode MS"/>
                <w:color w:val="000000" w:themeColor="text1"/>
                <w:sz w:val="20"/>
                <w:szCs w:val="20"/>
                <w:shd w:val="clear" w:color="auto" w:fill="FFFFFF"/>
                <w:lang w:val="en-US"/>
              </w:rPr>
              <w:t>stabili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w:t>
            </w:r>
            <w:proofErr w:type="spellStart"/>
            <w:r w:rsidRPr="00CE3FB4">
              <w:rPr>
                <w:rFonts w:eastAsia="Arial Unicode MS"/>
                <w:color w:val="000000" w:themeColor="text1"/>
                <w:sz w:val="20"/>
                <w:szCs w:val="20"/>
                <w:shd w:val="clear" w:color="auto" w:fill="FFFFFF"/>
                <w:lang w:val="en-US"/>
              </w:rPr>
              <w:t>relevantă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11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se </w:t>
            </w:r>
            <w:proofErr w:type="spellStart"/>
            <w:r w:rsidRPr="00CE3FB4">
              <w:rPr>
                <w:rFonts w:eastAsia="Arial Unicode MS"/>
                <w:color w:val="000000" w:themeColor="text1"/>
                <w:sz w:val="20"/>
                <w:szCs w:val="20"/>
                <w:shd w:val="clear" w:color="auto" w:fill="FFFFFF"/>
                <w:lang w:val="en-US"/>
              </w:rPr>
              <w:t>ajustează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după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ajustări</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realizează</w:t>
            </w:r>
            <w:proofErr w:type="spellEnd"/>
            <w:r w:rsidRPr="00CE3FB4">
              <w:rPr>
                <w:rFonts w:eastAsia="Arial Unicode MS"/>
                <w:color w:val="000000" w:themeColor="text1"/>
                <w:sz w:val="20"/>
                <w:szCs w:val="20"/>
                <w:shd w:val="clear" w:color="auto" w:fill="FFFFFF"/>
                <w:lang w:val="en-US"/>
              </w:rPr>
              <w:t xml:space="preserve"> cu certificate din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adăugarea</w:t>
            </w:r>
            <w:proofErr w:type="spellEnd"/>
            <w:r w:rsidRPr="00CE3FB4">
              <w:rPr>
                <w:rFonts w:eastAsia="Arial Unicode MS"/>
                <w:color w:val="000000" w:themeColor="text1"/>
                <w:sz w:val="20"/>
                <w:szCs w:val="20"/>
                <w:shd w:val="clear" w:color="auto" w:fill="FFFFFF"/>
                <w:lang w:val="en-US"/>
              </w:rPr>
              <w:t xml:space="preserve"> de certificate la </w:t>
            </w:r>
            <w:proofErr w:type="spellStart"/>
            <w:r w:rsidRPr="00CE3FB4">
              <w:rPr>
                <w:rFonts w:eastAsia="Arial Unicode MS"/>
                <w:color w:val="000000" w:themeColor="text1"/>
                <w:sz w:val="20"/>
                <w:szCs w:val="20"/>
                <w:shd w:val="clear" w:color="auto" w:fill="FFFFFF"/>
                <w:lang w:val="en-US"/>
              </w:rPr>
              <w:t>cuantumul</w:t>
            </w:r>
            <w:proofErr w:type="spellEnd"/>
            <w:r w:rsidRPr="00CE3FB4">
              <w:rPr>
                <w:rFonts w:eastAsia="Arial Unicode MS"/>
                <w:color w:val="000000" w:themeColor="text1"/>
                <w:sz w:val="20"/>
                <w:szCs w:val="20"/>
                <w:shd w:val="clear" w:color="auto" w:fill="FFFFFF"/>
                <w:lang w:val="en-US"/>
              </w:rPr>
              <w:t xml:space="preserve"> de certificate </w:t>
            </w:r>
            <w:proofErr w:type="spellStart"/>
            <w:r w:rsidRPr="00CE3FB4">
              <w:rPr>
                <w:rFonts w:eastAsia="Arial Unicode MS"/>
                <w:color w:val="000000" w:themeColor="text1"/>
                <w:sz w:val="20"/>
                <w:szCs w:val="20"/>
                <w:shd w:val="clear" w:color="auto" w:fill="FFFFFF"/>
                <w:lang w:val="en-US"/>
              </w:rPr>
              <w:t>rezervate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(7)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w:t>
            </w:r>
          </w:p>
          <w:p w14:paraId="32DC130A"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61" w:tooltip="32018L0410: INSERTED" w:history="1">
              <w:r>
                <w:rPr>
                  <w:rStyle w:val="af3"/>
                  <w:rFonts w:eastAsia="Arial Unicode MS"/>
                  <w:b/>
                  <w:bCs/>
                  <w:color w:val="4472C4" w:themeColor="accent1"/>
                  <w:sz w:val="20"/>
                  <w:szCs w:val="20"/>
                </w:rPr>
                <w:t>▼M9</w:t>
              </w:r>
            </w:hyperlink>
          </w:p>
          <w:p w14:paraId="3FD3432B" w14:textId="77777777" w:rsidR="00124364" w:rsidRPr="00CE3FB4" w:rsidRDefault="00000000" w:rsidP="00CE3FB4">
            <w:pPr>
              <w:pStyle w:val="ti-art"/>
              <w:numPr>
                <w:ilvl w:val="0"/>
                <w:numId w:val="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se </w:t>
            </w:r>
            <w:proofErr w:type="spellStart"/>
            <w:r w:rsidRPr="00CE3FB4">
              <w:rPr>
                <w:rFonts w:eastAsia="Arial Unicode MS"/>
                <w:color w:val="000000" w:themeColor="text1"/>
                <w:sz w:val="20"/>
                <w:szCs w:val="20"/>
                <w:shd w:val="clear" w:color="auto" w:fill="FFFFFF"/>
                <w:lang w:val="en-US"/>
              </w:rPr>
              <w:t>asigura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aplicarea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efectivă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nediscriminatorie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uniformă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ajustărilor</w:t>
            </w:r>
            <w:proofErr w:type="spellEnd"/>
            <w:r w:rsidRPr="00CE3FB4">
              <w:rPr>
                <w:rFonts w:eastAsia="Arial Unicode MS"/>
                <w:color w:val="000000" w:themeColor="text1"/>
                <w:sz w:val="20"/>
                <w:szCs w:val="20"/>
                <w:shd w:val="clear" w:color="auto" w:fill="FFFFFF"/>
                <w:lang w:val="en-US"/>
              </w:rPr>
              <w:t xml:space="preserve"> și a </w:t>
            </w:r>
            <w:proofErr w:type="spellStart"/>
            <w:r w:rsidRPr="00CE3FB4">
              <w:rPr>
                <w:rFonts w:eastAsia="Arial Unicode MS"/>
                <w:color w:val="000000" w:themeColor="text1"/>
                <w:sz w:val="20"/>
                <w:szCs w:val="20"/>
                <w:shd w:val="clear" w:color="auto" w:fill="FFFFFF"/>
                <w:lang w:val="en-US"/>
              </w:rPr>
              <w:t>pragului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(20)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se </w:t>
            </w:r>
            <w:proofErr w:type="spellStart"/>
            <w:r w:rsidRPr="00CE3FB4">
              <w:rPr>
                <w:rFonts w:eastAsia="Arial Unicode MS"/>
                <w:color w:val="000000" w:themeColor="text1"/>
                <w:sz w:val="20"/>
                <w:szCs w:val="20"/>
                <w:shd w:val="clear" w:color="auto" w:fill="FFFFFF"/>
                <w:lang w:val="en-US"/>
              </w:rPr>
              <w:t>evita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orice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sarcină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administrativă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nejustificată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se </w:t>
            </w:r>
            <w:proofErr w:type="spellStart"/>
            <w:r w:rsidRPr="00CE3FB4">
              <w:rPr>
                <w:rFonts w:eastAsia="Arial Unicode MS"/>
                <w:color w:val="000000" w:themeColor="text1"/>
                <w:sz w:val="20"/>
                <w:szCs w:val="20"/>
                <w:shd w:val="clear" w:color="auto" w:fill="FFFFFF"/>
                <w:lang w:val="en-US"/>
              </w:rPr>
              <w:t>preveni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manipularea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abuzivă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ajustărilor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adopta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punere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aplicare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definească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noi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modalități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ajustare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Actele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punere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aplicare</w:t>
            </w:r>
            <w:proofErr w:type="spellEnd"/>
            <w:r w:rsidRPr="00CE3FB4">
              <w:rPr>
                <w:rFonts w:eastAsia="Arial Unicode MS"/>
                <w:color w:val="000000" w:themeColor="text1"/>
                <w:sz w:val="20"/>
                <w:szCs w:val="20"/>
                <w:shd w:val="clear" w:color="auto" w:fill="FFFFFF"/>
                <w:lang w:val="en-US"/>
              </w:rPr>
              <w:t xml:space="preserve"> respective se </w:t>
            </w:r>
            <w:proofErr w:type="spellStart"/>
            <w:r w:rsidRPr="00CE3FB4">
              <w:rPr>
                <w:rFonts w:eastAsia="Arial Unicode MS"/>
                <w:color w:val="000000" w:themeColor="text1"/>
                <w:sz w:val="20"/>
                <w:szCs w:val="20"/>
                <w:shd w:val="clear" w:color="auto" w:fill="FFFFFF"/>
                <w:lang w:val="en-US"/>
              </w:rPr>
              <w:t>adoptă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examinare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22a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w:t>
            </w:r>
          </w:p>
          <w:p w14:paraId="26C4AEFA"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62" w:tooltip="32023L0959: INSERTED" w:history="1">
              <w:r>
                <w:rPr>
                  <w:rStyle w:val="af3"/>
                  <w:rFonts w:eastAsia="Arial Unicode MS"/>
                  <w:b/>
                  <w:bCs/>
                  <w:color w:val="4472C4" w:themeColor="accent1"/>
                  <w:sz w:val="20"/>
                  <w:szCs w:val="20"/>
                  <w:lang w:val="en-US"/>
                </w:rPr>
                <w:t>▼M15</w:t>
              </w:r>
            </w:hyperlink>
          </w:p>
          <w:p w14:paraId="627964F1" w14:textId="0E02C328" w:rsidR="00124364" w:rsidRPr="00CE3FB4" w:rsidRDefault="00000000" w:rsidP="00CE3FB4">
            <w:pPr>
              <w:pStyle w:val="ti-art"/>
              <w:numPr>
                <w:ilvl w:val="0"/>
                <w:numId w:val="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sunt </w:t>
            </w:r>
            <w:proofErr w:type="spellStart"/>
            <w:r w:rsidRPr="00CE3FB4">
              <w:rPr>
                <w:rFonts w:eastAsia="Arial Unicode MS"/>
                <w:color w:val="000000" w:themeColor="text1"/>
                <w:sz w:val="20"/>
                <w:szCs w:val="20"/>
                <w:shd w:val="clear" w:color="auto" w:fill="FFFFFF"/>
                <w:lang w:val="en-US"/>
              </w:rPr>
              <w:t>necesare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corecții</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alocărilor</w:t>
            </w:r>
            <w:proofErr w:type="spellEnd"/>
            <w:r w:rsidRPr="00CE3FB4">
              <w:rPr>
                <w:rFonts w:eastAsia="Arial Unicode MS"/>
                <w:color w:val="000000" w:themeColor="text1"/>
                <w:sz w:val="20"/>
                <w:szCs w:val="20"/>
                <w:shd w:val="clear" w:color="auto" w:fill="FFFFFF"/>
                <w:lang w:val="en-US"/>
              </w:rPr>
              <w:t xml:space="preserve"> de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acordate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11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 </w:t>
            </w:r>
            <w:proofErr w:type="spellStart"/>
            <w:r w:rsidRPr="00CE3FB4">
              <w:rPr>
                <w:rFonts w:eastAsia="Arial Unicode MS"/>
                <w:color w:val="000000" w:themeColor="text1"/>
                <w:sz w:val="20"/>
                <w:szCs w:val="20"/>
                <w:shd w:val="clear" w:color="auto" w:fill="FFFFFF"/>
                <w:lang w:val="en-US"/>
              </w:rPr>
              <w:t>corecțiile</w:t>
            </w:r>
            <w:proofErr w:type="spellEnd"/>
            <w:r w:rsidRPr="00CE3FB4">
              <w:rPr>
                <w:rFonts w:eastAsia="Arial Unicode MS"/>
                <w:color w:val="000000" w:themeColor="text1"/>
                <w:sz w:val="20"/>
                <w:szCs w:val="20"/>
                <w:shd w:val="clear" w:color="auto" w:fill="FFFFFF"/>
                <w:lang w:val="en-US"/>
              </w:rPr>
              <w:t xml:space="preserve"> respective se </w:t>
            </w:r>
            <w:proofErr w:type="spellStart"/>
            <w:r w:rsidRPr="00CE3FB4">
              <w:rPr>
                <w:rFonts w:eastAsia="Arial Unicode MS"/>
                <w:color w:val="000000" w:themeColor="text1"/>
                <w:sz w:val="20"/>
                <w:szCs w:val="20"/>
                <w:shd w:val="clear" w:color="auto" w:fill="FFFFFF"/>
                <w:lang w:val="en-US"/>
              </w:rPr>
              <w:lastRenderedPageBreak/>
              <w:t>realizează</w:t>
            </w:r>
            <w:proofErr w:type="spellEnd"/>
            <w:r w:rsidRPr="00CE3FB4">
              <w:rPr>
                <w:rFonts w:eastAsia="Arial Unicode MS"/>
                <w:color w:val="000000" w:themeColor="text1"/>
                <w:sz w:val="20"/>
                <w:szCs w:val="20"/>
                <w:shd w:val="clear" w:color="auto" w:fill="FFFFFF"/>
                <w:lang w:val="en-US"/>
              </w:rPr>
              <w:t xml:space="preserve"> cu certificate din,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adăugarea</w:t>
            </w:r>
            <w:proofErr w:type="spellEnd"/>
            <w:r w:rsidRPr="00CE3FB4">
              <w:rPr>
                <w:rFonts w:eastAsia="Arial Unicode MS"/>
                <w:color w:val="000000" w:themeColor="text1"/>
                <w:sz w:val="20"/>
                <w:szCs w:val="20"/>
                <w:shd w:val="clear" w:color="auto" w:fill="FFFFFF"/>
                <w:lang w:val="en-US"/>
              </w:rPr>
              <w:t xml:space="preserve"> de certificate la, </w:t>
            </w:r>
            <w:proofErr w:type="spellStart"/>
            <w:r w:rsidRPr="00CE3FB4">
              <w:rPr>
                <w:rFonts w:eastAsia="Arial Unicode MS"/>
                <w:color w:val="000000" w:themeColor="text1"/>
                <w:sz w:val="20"/>
                <w:szCs w:val="20"/>
                <w:shd w:val="clear" w:color="auto" w:fill="FFFFFF"/>
                <w:lang w:val="en-US"/>
              </w:rPr>
              <w:t>cuantumul</w:t>
            </w:r>
            <w:proofErr w:type="spellEnd"/>
            <w:r w:rsidRPr="00CE3FB4">
              <w:rPr>
                <w:rFonts w:eastAsia="Arial Unicode MS"/>
                <w:color w:val="000000" w:themeColor="text1"/>
                <w:sz w:val="20"/>
                <w:szCs w:val="20"/>
                <w:shd w:val="clear" w:color="auto" w:fill="FFFFFF"/>
                <w:lang w:val="en-US"/>
              </w:rPr>
              <w:t xml:space="preserve"> de certificate </w:t>
            </w:r>
            <w:proofErr w:type="spellStart"/>
            <w:r w:rsidRPr="00CE3FB4">
              <w:rPr>
                <w:rFonts w:eastAsia="Arial Unicode MS"/>
                <w:color w:val="000000" w:themeColor="text1"/>
                <w:sz w:val="20"/>
                <w:szCs w:val="20"/>
                <w:shd w:val="clear" w:color="auto" w:fill="FFFFFF"/>
                <w:lang w:val="en-US"/>
              </w:rPr>
              <w:t>rezervate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(7)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w:t>
            </w:r>
          </w:p>
          <w:p w14:paraId="66224D43" w14:textId="77777777" w:rsidR="00124364" w:rsidRDefault="00000000">
            <w:pPr>
              <w:pStyle w:val="ti-art"/>
              <w:shd w:val="clear" w:color="auto" w:fill="FFFFFF"/>
              <w:spacing w:before="0" w:beforeAutospacing="0" w:after="0" w:afterAutospacing="0"/>
              <w:ind w:left="720"/>
              <w:rPr>
                <w:rFonts w:eastAsia="Arial Unicode MS"/>
                <w:color w:val="333333"/>
                <w:sz w:val="20"/>
                <w:szCs w:val="20"/>
                <w:shd w:val="clear" w:color="auto" w:fill="FFFFFF"/>
                <w:lang w:val="en-US"/>
              </w:rPr>
            </w:pPr>
            <w:hyperlink r:id="rId163" w:tooltip="32018L0410: REPLACED" w:history="1">
              <w:r>
                <w:rPr>
                  <w:rStyle w:val="af3"/>
                  <w:rFonts w:eastAsia="Arial Unicode MS"/>
                  <w:b/>
                  <w:bCs/>
                  <w:color w:val="4472C4" w:themeColor="accent1"/>
                  <w:sz w:val="20"/>
                  <w:szCs w:val="20"/>
                </w:rPr>
                <w:t>▼M9</w:t>
              </w:r>
            </w:hyperlink>
          </w:p>
        </w:tc>
        <w:tc>
          <w:tcPr>
            <w:tcW w:w="4394" w:type="dxa"/>
            <w:shd w:val="clear" w:color="auto" w:fill="auto"/>
          </w:tcPr>
          <w:p w14:paraId="4CFAE9C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59EA99F" w14:textId="782217CE" w:rsidR="00124364" w:rsidRDefault="00F36BAA" w:rsidP="00F36BAA">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72DE1F90"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37E8109" w14:textId="77777777" w:rsidR="00F36BAA" w:rsidRPr="0066519A" w:rsidRDefault="00F36BAA" w:rsidP="00F36BAA">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2F468F10" w14:textId="77777777" w:rsidR="00124364" w:rsidRDefault="00124364">
            <w:pPr>
              <w:autoSpaceDE w:val="0"/>
              <w:spacing w:after="0" w:line="240" w:lineRule="auto"/>
              <w:rPr>
                <w:rFonts w:ascii="Times New Roman" w:eastAsia="Times New Roman" w:hAnsi="Times New Roman"/>
                <w:sz w:val="20"/>
                <w:szCs w:val="20"/>
                <w:lang w:val="ro-RO"/>
              </w:rPr>
            </w:pPr>
          </w:p>
          <w:p w14:paraId="197348CF" w14:textId="77777777" w:rsidR="00A5319F" w:rsidRDefault="00A5319F">
            <w:pPr>
              <w:autoSpaceDE w:val="0"/>
              <w:spacing w:after="0" w:line="240" w:lineRule="auto"/>
              <w:rPr>
                <w:rFonts w:ascii="Times New Roman" w:eastAsia="Times New Roman" w:hAnsi="Times New Roman"/>
                <w:sz w:val="20"/>
                <w:szCs w:val="20"/>
                <w:lang w:val="ro-RO"/>
              </w:rPr>
            </w:pPr>
          </w:p>
          <w:p w14:paraId="4E6DB93E" w14:textId="48ED7642" w:rsidR="00A5319F" w:rsidRDefault="00A5319F">
            <w:pPr>
              <w:autoSpaceDE w:val="0"/>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xml:space="preserve">Prevederile referitoare la CBAM vor fi transpuse </w:t>
            </w:r>
            <w:r w:rsidRPr="00A5319F">
              <w:rPr>
                <w:rFonts w:ascii="Times New Roman" w:hAnsi="Times New Roman"/>
                <w:color w:val="000000" w:themeColor="text1"/>
                <w:sz w:val="20"/>
                <w:szCs w:val="20"/>
                <w:shd w:val="clear" w:color="auto" w:fill="FFFFFF"/>
                <w:lang w:val="en-US"/>
              </w:rPr>
              <w:t xml:space="preserve">în </w:t>
            </w:r>
            <w:proofErr w:type="spellStart"/>
            <w:r w:rsidRPr="00A5319F">
              <w:rPr>
                <w:rFonts w:ascii="Times New Roman" w:hAnsi="Times New Roman"/>
                <w:color w:val="000000" w:themeColor="text1"/>
                <w:sz w:val="20"/>
                <w:szCs w:val="20"/>
                <w:shd w:val="clear" w:color="auto" w:fill="FFFFFF"/>
                <w:lang w:val="en-US"/>
              </w:rPr>
              <w:t>Regulamentul</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lastRenderedPageBreak/>
              <w:t>privind</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t>aprobarea</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t>sistemului</w:t>
            </w:r>
            <w:proofErr w:type="spellEnd"/>
            <w:r w:rsidRPr="00A5319F">
              <w:rPr>
                <w:rFonts w:ascii="Times New Roman" w:hAnsi="Times New Roman"/>
                <w:color w:val="000000" w:themeColor="text1"/>
                <w:sz w:val="20"/>
                <w:szCs w:val="20"/>
                <w:shd w:val="clear" w:color="auto" w:fill="FFFFFF"/>
                <w:lang w:val="en-US"/>
              </w:rPr>
              <w:t xml:space="preserve"> de </w:t>
            </w:r>
            <w:proofErr w:type="spellStart"/>
            <w:r w:rsidRPr="00A5319F">
              <w:rPr>
                <w:rFonts w:ascii="Times New Roman" w:hAnsi="Times New Roman"/>
                <w:color w:val="000000" w:themeColor="text1"/>
                <w:sz w:val="20"/>
                <w:szCs w:val="20"/>
                <w:shd w:val="clear" w:color="auto" w:fill="FFFFFF"/>
                <w:lang w:val="en-US"/>
              </w:rPr>
              <w:t>stabilire</w:t>
            </w:r>
            <w:proofErr w:type="spellEnd"/>
            <w:r w:rsidRPr="00A5319F">
              <w:rPr>
                <w:rFonts w:ascii="Times New Roman" w:hAnsi="Times New Roman"/>
                <w:color w:val="000000" w:themeColor="text1"/>
                <w:sz w:val="20"/>
                <w:szCs w:val="20"/>
                <w:shd w:val="clear" w:color="auto" w:fill="FFFFFF"/>
                <w:lang w:val="en-US"/>
              </w:rPr>
              <w:t xml:space="preserve"> a </w:t>
            </w:r>
            <w:proofErr w:type="spellStart"/>
            <w:r w:rsidRPr="00A5319F">
              <w:rPr>
                <w:rFonts w:ascii="Times New Roman" w:hAnsi="Times New Roman"/>
                <w:color w:val="000000" w:themeColor="text1"/>
                <w:sz w:val="20"/>
                <w:szCs w:val="20"/>
                <w:shd w:val="clear" w:color="auto" w:fill="FFFFFF"/>
                <w:lang w:val="en-US"/>
              </w:rPr>
              <w:t>prețului</w:t>
            </w:r>
            <w:proofErr w:type="spellEnd"/>
            <w:r w:rsidRPr="00A5319F">
              <w:rPr>
                <w:rFonts w:ascii="Times New Roman" w:hAnsi="Times New Roman"/>
                <w:color w:val="000000" w:themeColor="text1"/>
                <w:sz w:val="20"/>
                <w:szCs w:val="20"/>
                <w:shd w:val="clear" w:color="auto" w:fill="FFFFFF"/>
                <w:lang w:val="en-US"/>
              </w:rPr>
              <w:t xml:space="preserve"> carbonului</w:t>
            </w:r>
          </w:p>
        </w:tc>
        <w:tc>
          <w:tcPr>
            <w:tcW w:w="1464" w:type="dxa"/>
            <w:shd w:val="clear" w:color="auto" w:fill="auto"/>
          </w:tcPr>
          <w:p w14:paraId="5A8EFB8E" w14:textId="77777777" w:rsidR="00124364" w:rsidRDefault="00124364" w:rsidP="00F36BAA">
            <w:pPr>
              <w:autoSpaceDE w:val="0"/>
              <w:spacing w:after="0" w:line="240" w:lineRule="auto"/>
              <w:rPr>
                <w:rFonts w:ascii="Times New Roman" w:hAnsi="Times New Roman"/>
                <w:sz w:val="20"/>
                <w:szCs w:val="20"/>
                <w:lang w:val="fr-FR"/>
              </w:rPr>
            </w:pPr>
          </w:p>
        </w:tc>
      </w:tr>
      <w:tr w:rsidR="00124364" w14:paraId="5A7A3959" w14:textId="77777777">
        <w:trPr>
          <w:trHeight w:val="558"/>
        </w:trPr>
        <w:tc>
          <w:tcPr>
            <w:tcW w:w="4957" w:type="dxa"/>
            <w:shd w:val="clear" w:color="auto" w:fill="auto"/>
          </w:tcPr>
          <w:p w14:paraId="79AFCC97" w14:textId="77777777"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lastRenderedPageBreak/>
              <w:t>Articolul</w:t>
            </w:r>
            <w:proofErr w:type="spellEnd"/>
            <w:r w:rsidRPr="00B9573B">
              <w:rPr>
                <w:rFonts w:eastAsia="Arial Unicode MS"/>
                <w:i/>
                <w:iCs/>
                <w:color w:val="333333"/>
                <w:sz w:val="20"/>
                <w:szCs w:val="20"/>
                <w:shd w:val="clear" w:color="auto" w:fill="FFFFFF"/>
                <w:lang w:val="en-US"/>
              </w:rPr>
              <w:t xml:space="preserve"> 10b</w:t>
            </w:r>
          </w:p>
          <w:p w14:paraId="6848AB5F"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Măsuri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tranzitorii</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sprijinire</w:t>
            </w:r>
            <w:proofErr w:type="spellEnd"/>
            <w:r>
              <w:rPr>
                <w:rFonts w:eastAsia="Arial Unicode MS"/>
                <w:b/>
                <w:bCs/>
                <w:color w:val="333333"/>
                <w:sz w:val="20"/>
                <w:szCs w:val="20"/>
                <w:shd w:val="clear" w:color="auto" w:fill="FFFFFF"/>
                <w:lang w:val="en-US"/>
              </w:rPr>
              <w:t xml:space="preserve"> </w:t>
            </w:r>
            <w:proofErr w:type="gramStart"/>
            <w:r>
              <w:rPr>
                <w:rFonts w:eastAsia="Arial Unicode MS"/>
                <w:b/>
                <w:bCs/>
                <w:color w:val="333333"/>
                <w:sz w:val="20"/>
                <w:szCs w:val="20"/>
                <w:shd w:val="clear" w:color="auto" w:fill="FFFFFF"/>
                <w:lang w:val="en-US"/>
              </w:rPr>
              <w:t>a</w:t>
            </w:r>
            <w:proofErr w:type="gram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anumitor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industrii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mari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consumatoare</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energie</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cazul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relocării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emisiilor</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dioxid</w:t>
            </w:r>
            <w:proofErr w:type="spellEnd"/>
            <w:r>
              <w:rPr>
                <w:rFonts w:eastAsia="Arial Unicode MS"/>
                <w:b/>
                <w:bCs/>
                <w:color w:val="333333"/>
                <w:sz w:val="20"/>
                <w:szCs w:val="20"/>
                <w:shd w:val="clear" w:color="auto" w:fill="FFFFFF"/>
                <w:lang w:val="en-US"/>
              </w:rPr>
              <w:t xml:space="preserve"> de carbon</w:t>
            </w:r>
          </w:p>
          <w:p w14:paraId="46E358B7" w14:textId="3DBF2AE6" w:rsidR="00124364" w:rsidRPr="00CE3FB4" w:rsidRDefault="00000000" w:rsidP="00CE3FB4">
            <w:pPr>
              <w:pStyle w:val="ti-art"/>
              <w:numPr>
                <w:ilvl w:val="0"/>
                <w:numId w:val="6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Se </w:t>
            </w:r>
            <w:proofErr w:type="spellStart"/>
            <w:r w:rsidRPr="00CE3FB4">
              <w:rPr>
                <w:rFonts w:eastAsia="Arial Unicode MS"/>
                <w:color w:val="000000" w:themeColor="text1"/>
                <w:sz w:val="20"/>
                <w:szCs w:val="20"/>
                <w:shd w:val="clear" w:color="auto" w:fill="FFFFFF"/>
                <w:lang w:val="en-US"/>
              </w:rPr>
              <w:t>consideră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sunt </w:t>
            </w:r>
            <w:proofErr w:type="spellStart"/>
            <w:r w:rsidRPr="00CE3FB4">
              <w:rPr>
                <w:rFonts w:eastAsia="Arial Unicode MS"/>
                <w:color w:val="000000" w:themeColor="text1"/>
                <w:sz w:val="20"/>
                <w:szCs w:val="20"/>
                <w:shd w:val="clear" w:color="auto" w:fill="FFFFFF"/>
                <w:lang w:val="en-US"/>
              </w:rPr>
              <w:t>expuse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risc</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relocare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dioxid</w:t>
            </w:r>
            <w:proofErr w:type="spellEnd"/>
            <w:r w:rsidRPr="00CE3FB4">
              <w:rPr>
                <w:rFonts w:eastAsia="Arial Unicode MS"/>
                <w:color w:val="000000" w:themeColor="text1"/>
                <w:sz w:val="20"/>
                <w:szCs w:val="20"/>
                <w:shd w:val="clear" w:color="auto" w:fill="FFFFFF"/>
                <w:lang w:val="en-US"/>
              </w:rPr>
              <w:t xml:space="preserve"> de carbon </w:t>
            </w:r>
            <w:proofErr w:type="spellStart"/>
            <w:r w:rsidRPr="00CE3FB4">
              <w:rPr>
                <w:rFonts w:eastAsia="Arial Unicode MS"/>
                <w:color w:val="000000" w:themeColor="text1"/>
                <w:sz w:val="20"/>
                <w:szCs w:val="20"/>
                <w:shd w:val="clear" w:color="auto" w:fill="FFFFFF"/>
                <w:lang w:val="en-US"/>
              </w:rPr>
              <w:t>sectoarele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subsectoarele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cărora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rezultatul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înmulțirii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dintre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intensitatea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schimburilor</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comerciale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țări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terțe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definită</w:t>
            </w:r>
            <w:proofErr w:type="spellEnd"/>
            <w:r w:rsidRPr="00CE3FB4">
              <w:rPr>
                <w:rFonts w:eastAsia="Arial Unicode MS"/>
                <w:color w:val="000000" w:themeColor="text1"/>
                <w:sz w:val="20"/>
                <w:szCs w:val="20"/>
                <w:shd w:val="clear" w:color="auto" w:fill="FFFFFF"/>
                <w:lang w:val="en-US"/>
              </w:rPr>
              <w:t xml:space="preserve"> ca </w:t>
            </w:r>
            <w:proofErr w:type="spellStart"/>
            <w:r w:rsidRPr="00CE3FB4">
              <w:rPr>
                <w:rFonts w:eastAsia="Arial Unicode MS"/>
                <w:color w:val="000000" w:themeColor="text1"/>
                <w:sz w:val="20"/>
                <w:szCs w:val="20"/>
                <w:shd w:val="clear" w:color="auto" w:fill="FFFFFF"/>
                <w:lang w:val="en-US"/>
              </w:rPr>
              <w:t>raportul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dintre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totală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exporturilor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terțe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adăugată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importurilor</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țări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terțe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dimensiunea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totală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pieței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Spațiul</w:t>
            </w:r>
            <w:proofErr w:type="spellEnd"/>
            <w:r w:rsidRPr="00CE3FB4">
              <w:rPr>
                <w:rFonts w:eastAsia="Arial Unicode MS"/>
                <w:color w:val="000000" w:themeColor="text1"/>
                <w:sz w:val="20"/>
                <w:szCs w:val="20"/>
                <w:shd w:val="clear" w:color="auto" w:fill="FFFFFF"/>
                <w:lang w:val="en-US"/>
              </w:rPr>
              <w:t xml:space="preserve"> Economic European (</w:t>
            </w:r>
            <w:proofErr w:type="spellStart"/>
            <w:r w:rsidRPr="00CE3FB4">
              <w:rPr>
                <w:rFonts w:eastAsia="Arial Unicode MS"/>
                <w:color w:val="000000" w:themeColor="text1"/>
                <w:sz w:val="20"/>
                <w:szCs w:val="20"/>
                <w:shd w:val="clear" w:color="auto" w:fill="FFFFFF"/>
                <w:lang w:val="en-US"/>
              </w:rPr>
              <w:t>cifra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afaceri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anuală</w:t>
            </w:r>
            <w:proofErr w:type="spellEnd"/>
            <w:r w:rsidRPr="00CE3FB4">
              <w:rPr>
                <w:rFonts w:eastAsia="Arial Unicode MS"/>
                <w:color w:val="000000" w:themeColor="text1"/>
                <w:sz w:val="20"/>
                <w:szCs w:val="20"/>
                <w:shd w:val="clear" w:color="auto" w:fill="FFFFFF"/>
                <w:lang w:val="en-US"/>
              </w:rPr>
              <w:t xml:space="preserve"> plus </w:t>
            </w:r>
            <w:proofErr w:type="spellStart"/>
            <w:r w:rsidRPr="00CE3FB4">
              <w:rPr>
                <w:rFonts w:eastAsia="Arial Unicode MS"/>
                <w:color w:val="000000" w:themeColor="text1"/>
                <w:sz w:val="20"/>
                <w:szCs w:val="20"/>
                <w:shd w:val="clear" w:color="auto" w:fill="FFFFFF"/>
                <w:lang w:val="en-US"/>
              </w:rPr>
              <w:t>totalul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importurilor</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țări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terțe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intensitatea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măsurată</w:t>
            </w:r>
            <w:proofErr w:type="spellEnd"/>
            <w:r w:rsidRPr="00CE3FB4">
              <w:rPr>
                <w:rFonts w:eastAsia="Arial Unicode MS"/>
                <w:color w:val="000000" w:themeColor="text1"/>
                <w:sz w:val="20"/>
                <w:szCs w:val="20"/>
                <w:shd w:val="clear" w:color="auto" w:fill="FFFFFF"/>
                <w:lang w:val="en-US"/>
              </w:rPr>
              <w:t xml:space="preserve"> în kgCO</w:t>
            </w:r>
            <w:r w:rsidRPr="00CE3FB4">
              <w:rPr>
                <w:rStyle w:val="subscript"/>
                <w:rFonts w:eastAsia="Arial Unicode MS"/>
                <w:color w:val="000000" w:themeColor="text1"/>
                <w:sz w:val="20"/>
                <w:szCs w:val="20"/>
                <w:vertAlign w:val="subscript"/>
                <w:lang w:val="en-US"/>
              </w:rPr>
              <w:t>2</w:t>
            </w:r>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împărțit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adăugată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brută</w:t>
            </w:r>
            <w:proofErr w:type="spellEnd"/>
            <w:r w:rsidRPr="00CE3FB4">
              <w:rPr>
                <w:rFonts w:eastAsia="Arial Unicode MS"/>
                <w:color w:val="000000" w:themeColor="text1"/>
                <w:sz w:val="20"/>
                <w:szCs w:val="20"/>
                <w:shd w:val="clear" w:color="auto" w:fill="FFFFFF"/>
                <w:lang w:val="en-US"/>
              </w:rPr>
              <w:t xml:space="preserve"> (în euro),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mare de 0,2. </w:t>
            </w:r>
            <w:proofErr w:type="spellStart"/>
            <w:r w:rsidRPr="00CE3FB4">
              <w:rPr>
                <w:rFonts w:eastAsia="Arial Unicode MS"/>
                <w:color w:val="000000" w:themeColor="text1"/>
                <w:sz w:val="20"/>
                <w:szCs w:val="20"/>
                <w:shd w:val="clear" w:color="auto" w:fill="FFFFFF"/>
                <w:lang w:val="en-US"/>
              </w:rPr>
              <w:t>Acestor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sectoare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w:t>
            </w:r>
            <w:proofErr w:type="spellEnd"/>
            <w:r w:rsidRPr="00CE3FB4">
              <w:rPr>
                <w:rFonts w:eastAsia="Arial Unicode MS"/>
                <w:color w:val="000000" w:themeColor="text1"/>
                <w:sz w:val="20"/>
                <w:szCs w:val="20"/>
                <w:shd w:val="clear" w:color="auto" w:fill="FFFFFF"/>
                <w:lang w:val="en-US"/>
              </w:rPr>
              <w:t xml:space="preserve"> li se </w:t>
            </w:r>
            <w:proofErr w:type="spellStart"/>
            <w:r w:rsidRPr="00CE3FB4">
              <w:rPr>
                <w:rFonts w:eastAsia="Arial Unicode MS"/>
                <w:color w:val="000000" w:themeColor="text1"/>
                <w:sz w:val="20"/>
                <w:szCs w:val="20"/>
                <w:shd w:val="clear" w:color="auto" w:fill="FFFFFF"/>
                <w:lang w:val="en-US"/>
              </w:rPr>
              <w:t>alocă</w:t>
            </w:r>
            <w:proofErr w:type="spellEnd"/>
            <w:r w:rsidRPr="00CE3FB4">
              <w:rPr>
                <w:rFonts w:eastAsia="Arial Unicode MS"/>
                <w:color w:val="000000" w:themeColor="text1"/>
                <w:sz w:val="20"/>
                <w:szCs w:val="20"/>
                <w:shd w:val="clear" w:color="auto" w:fill="FFFFFF"/>
                <w:lang w:val="en-US"/>
              </w:rPr>
              <w:t xml:space="preserv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în 2030 la un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de 100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stabilită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Pr="00CE3FB4">
              <w:rPr>
                <w:rFonts w:eastAsia="Arial Unicode MS"/>
                <w:color w:val="000000" w:themeColor="text1"/>
                <w:sz w:val="20"/>
                <w:szCs w:val="20"/>
                <w:shd w:val="clear" w:color="auto" w:fill="FFFFFF"/>
                <w:lang w:val="en-US"/>
              </w:rPr>
              <w:t xml:space="preserve"> 10a.</w:t>
            </w:r>
          </w:p>
          <w:p w14:paraId="1ACF5254" w14:textId="77777777" w:rsidR="00124364" w:rsidRPr="00CE3FB4" w:rsidRDefault="00000000" w:rsidP="00CE3FB4">
            <w:pPr>
              <w:pStyle w:val="ti-art"/>
              <w:numPr>
                <w:ilvl w:val="0"/>
                <w:numId w:val="6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Sectoarele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subsectoarele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cărora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rezultatul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înmulțirii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dintre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intensitatea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schimburilor</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comerciale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țări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terțe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intensitatea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depășește</w:t>
            </w:r>
            <w:proofErr w:type="spellEnd"/>
            <w:r w:rsidRPr="00CE3FB4">
              <w:rPr>
                <w:rFonts w:eastAsia="Arial Unicode MS"/>
                <w:color w:val="000000" w:themeColor="text1"/>
                <w:sz w:val="20"/>
                <w:szCs w:val="20"/>
                <w:shd w:val="clear" w:color="auto" w:fill="FFFFFF"/>
                <w:lang w:val="en-US"/>
              </w:rPr>
              <w:t xml:space="preserve"> 0,15 pot fi </w:t>
            </w:r>
            <w:proofErr w:type="spellStart"/>
            <w:r w:rsidRPr="00CE3FB4">
              <w:rPr>
                <w:rFonts w:eastAsia="Arial Unicode MS"/>
                <w:color w:val="000000" w:themeColor="text1"/>
                <w:sz w:val="20"/>
                <w:szCs w:val="20"/>
                <w:shd w:val="clear" w:color="auto" w:fill="FFFFFF"/>
                <w:lang w:val="en-US"/>
              </w:rPr>
              <w:t>incluse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grupul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w:t>
            </w:r>
            <w:proofErr w:type="spellStart"/>
            <w:r w:rsidRPr="00CE3FB4">
              <w:rPr>
                <w:rFonts w:eastAsia="Arial Unicode MS"/>
                <w:color w:val="000000" w:themeColor="text1"/>
                <w:sz w:val="20"/>
                <w:szCs w:val="20"/>
                <w:shd w:val="clear" w:color="auto" w:fill="FFFFFF"/>
                <w:lang w:val="en-US"/>
              </w:rPr>
              <w:t>folosind</w:t>
            </w:r>
            <w:proofErr w:type="spellEnd"/>
            <w:r w:rsidRPr="00CE3FB4">
              <w:rPr>
                <w:rFonts w:eastAsia="Arial Unicode MS"/>
                <w:color w:val="000000" w:themeColor="text1"/>
                <w:sz w:val="20"/>
                <w:szCs w:val="20"/>
                <w:shd w:val="clear" w:color="auto" w:fill="FFFFFF"/>
                <w:lang w:val="en-US"/>
              </w:rPr>
              <w:t xml:space="preserve"> date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anii</w:t>
            </w:r>
            <w:proofErr w:type="spellEnd"/>
            <w:r w:rsidRPr="00CE3FB4">
              <w:rPr>
                <w:rFonts w:eastAsia="Arial Unicode MS"/>
                <w:color w:val="000000" w:themeColor="text1"/>
                <w:sz w:val="20"/>
                <w:szCs w:val="20"/>
                <w:shd w:val="clear" w:color="auto" w:fill="FFFFFF"/>
                <w:lang w:val="en-US"/>
              </w:rPr>
              <w:t xml:space="preserve"> 2014-2016, 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evaluări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calitative</w:t>
            </w:r>
            <w:proofErr w:type="spellEnd"/>
            <w:r w:rsidRPr="00CE3FB4">
              <w:rPr>
                <w:rFonts w:eastAsia="Arial Unicode MS"/>
                <w:color w:val="000000" w:themeColor="text1"/>
                <w:sz w:val="20"/>
                <w:szCs w:val="20"/>
                <w:shd w:val="clear" w:color="auto" w:fill="FFFFFF"/>
                <w:lang w:val="en-US"/>
              </w:rPr>
              <w:t xml:space="preserve"> și a </w:t>
            </w:r>
            <w:proofErr w:type="spellStart"/>
            <w:r w:rsidRPr="00CE3FB4">
              <w:rPr>
                <w:rFonts w:eastAsia="Arial Unicode MS"/>
                <w:color w:val="000000" w:themeColor="text1"/>
                <w:sz w:val="20"/>
                <w:szCs w:val="20"/>
                <w:shd w:val="clear" w:color="auto" w:fill="FFFFFF"/>
                <w:lang w:val="en-US"/>
              </w:rPr>
              <w:t>următoarelor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criterii</w:t>
            </w:r>
            <w:proofErr w:type="spellEnd"/>
            <w:r w:rsidRPr="00CE3FB4">
              <w:rPr>
                <w:rFonts w:eastAsia="Arial Unicode MS"/>
                <w:color w:val="000000" w:themeColor="text1"/>
                <w:sz w:val="20"/>
                <w:szCs w:val="20"/>
                <w:shd w:val="clear" w:color="auto" w:fill="FFFFFF"/>
                <w:lang w:val="en-US"/>
              </w:rPr>
              <w:t>:</w:t>
            </w:r>
          </w:p>
          <w:p w14:paraId="1E961EEF" w14:textId="77777777" w:rsidR="00124364" w:rsidRPr="00CE3FB4" w:rsidRDefault="00000000" w:rsidP="00CE3FB4">
            <w:pPr>
              <w:pStyle w:val="ti-art"/>
              <w:numPr>
                <w:ilvl w:val="0"/>
                <w:numId w:val="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măsura</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instalațiile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individuale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sectorul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subsectorul</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pot reduce </w:t>
            </w:r>
            <w:proofErr w:type="spellStart"/>
            <w:r w:rsidRPr="00CE3FB4">
              <w:rPr>
                <w:rFonts w:eastAsia="Arial Unicode MS"/>
                <w:color w:val="000000" w:themeColor="text1"/>
                <w:sz w:val="20"/>
                <w:szCs w:val="20"/>
                <w:shd w:val="clear" w:color="auto" w:fill="FFFFFF"/>
                <w:lang w:val="en-US"/>
              </w:rPr>
              <w:t>nivelurile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consumul</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electricitate</w:t>
            </w:r>
            <w:proofErr w:type="spellEnd"/>
            <w:r w:rsidRPr="00CE3FB4">
              <w:rPr>
                <w:rFonts w:eastAsia="Arial Unicode MS"/>
                <w:color w:val="000000" w:themeColor="text1"/>
                <w:sz w:val="20"/>
                <w:szCs w:val="20"/>
                <w:shd w:val="clear" w:color="auto" w:fill="FFFFFF"/>
                <w:lang w:val="en-US"/>
              </w:rPr>
              <w:t>;</w:t>
            </w:r>
          </w:p>
          <w:p w14:paraId="002D7611" w14:textId="77777777" w:rsidR="00124364" w:rsidRPr="00CE3FB4" w:rsidRDefault="00000000" w:rsidP="00CE3FB4">
            <w:pPr>
              <w:pStyle w:val="ti-art"/>
              <w:numPr>
                <w:ilvl w:val="0"/>
                <w:numId w:val="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caracteristicile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actuale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planificate</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pieței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inclusiv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după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orice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preț</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referință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comun</w:t>
            </w:r>
            <w:proofErr w:type="spellEnd"/>
            <w:r w:rsidRPr="00CE3FB4">
              <w:rPr>
                <w:rFonts w:eastAsia="Arial Unicode MS"/>
                <w:color w:val="000000" w:themeColor="text1"/>
                <w:sz w:val="20"/>
                <w:szCs w:val="20"/>
                <w:shd w:val="clear" w:color="auto" w:fill="FFFFFF"/>
                <w:lang w:val="en-US"/>
              </w:rPr>
              <w:t>;</w:t>
            </w:r>
          </w:p>
          <w:p w14:paraId="6B172957" w14:textId="77777777" w:rsidR="00124364" w:rsidRPr="00CE3FB4" w:rsidRDefault="00000000" w:rsidP="00CE3FB4">
            <w:pPr>
              <w:pStyle w:val="ti-art"/>
              <w:numPr>
                <w:ilvl w:val="0"/>
                <w:numId w:val="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marjele</w:t>
            </w:r>
            <w:proofErr w:type="spellEnd"/>
            <w:r w:rsidRPr="00CE3FB4">
              <w:rPr>
                <w:rFonts w:eastAsia="Arial Unicode MS"/>
                <w:color w:val="000000" w:themeColor="text1"/>
                <w:sz w:val="20"/>
                <w:szCs w:val="20"/>
                <w:shd w:val="clear" w:color="auto" w:fill="FFFFFF"/>
                <w:lang w:val="en-US"/>
              </w:rPr>
              <w:t xml:space="preserve"> de profit, care pot </w:t>
            </w:r>
            <w:proofErr w:type="spellStart"/>
            <w:r w:rsidRPr="00CE3FB4">
              <w:rPr>
                <w:rFonts w:eastAsia="Arial Unicode MS"/>
                <w:color w:val="000000" w:themeColor="text1"/>
                <w:sz w:val="20"/>
                <w:szCs w:val="20"/>
                <w:shd w:val="clear" w:color="auto" w:fill="FFFFFF"/>
                <w:lang w:val="en-US"/>
              </w:rPr>
              <w:t>servi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drept</w:t>
            </w:r>
            <w:proofErr w:type="spellEnd"/>
            <w:r w:rsidRPr="00CE3FB4">
              <w:rPr>
                <w:rFonts w:eastAsia="Arial Unicode MS"/>
                <w:color w:val="000000" w:themeColor="text1"/>
                <w:sz w:val="20"/>
                <w:szCs w:val="20"/>
                <w:shd w:val="clear" w:color="auto" w:fill="FFFFFF"/>
                <w:lang w:val="en-US"/>
              </w:rPr>
              <w:t xml:space="preserve"> indicator </w:t>
            </w:r>
            <w:proofErr w:type="spellStart"/>
            <w:r w:rsidRPr="00CE3FB4">
              <w:rPr>
                <w:rFonts w:eastAsia="Arial Unicode MS"/>
                <w:color w:val="000000" w:themeColor="text1"/>
                <w:sz w:val="20"/>
                <w:szCs w:val="20"/>
                <w:shd w:val="clear" w:color="auto" w:fill="FFFFFF"/>
                <w:lang w:val="en-US"/>
              </w:rPr>
              <w:t>potențial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pe termen lung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deciziile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relocalizare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ținând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modificările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costurilor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producție</w:t>
            </w:r>
            <w:proofErr w:type="spellEnd"/>
            <w:r w:rsidRPr="00CE3FB4">
              <w:rPr>
                <w:rFonts w:eastAsia="Arial Unicode MS"/>
                <w:color w:val="000000" w:themeColor="text1"/>
                <w:sz w:val="20"/>
                <w:szCs w:val="20"/>
                <w:shd w:val="clear" w:color="auto" w:fill="FFFFFF"/>
                <w:lang w:val="en-US"/>
              </w:rPr>
              <w:t xml:space="preserve"> legate de </w:t>
            </w:r>
            <w:proofErr w:type="spellStart"/>
            <w:r w:rsidRPr="00CE3FB4">
              <w:rPr>
                <w:rFonts w:eastAsia="Arial Unicode MS"/>
                <w:color w:val="000000" w:themeColor="text1"/>
                <w:sz w:val="20"/>
                <w:szCs w:val="20"/>
                <w:shd w:val="clear" w:color="auto" w:fill="FFFFFF"/>
                <w:lang w:val="en-US"/>
              </w:rPr>
              <w:t>reducerile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w:t>
            </w:r>
          </w:p>
          <w:p w14:paraId="7299CD2A" w14:textId="75AE4CE0" w:rsidR="00124364" w:rsidRDefault="00000000" w:rsidP="00CE3FB4">
            <w:pPr>
              <w:pStyle w:val="ti-art"/>
              <w:numPr>
                <w:ilvl w:val="0"/>
                <w:numId w:val="60"/>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subsectoarele</w:t>
            </w:r>
            <w:proofErr w:type="spellEnd"/>
            <w:r>
              <w:rPr>
                <w:rFonts w:eastAsia="Arial Unicode MS"/>
                <w:color w:val="333333"/>
                <w:sz w:val="20"/>
                <w:szCs w:val="20"/>
                <w:shd w:val="clear" w:color="auto" w:fill="FFFFFF"/>
                <w:lang w:val="en-US"/>
              </w:rPr>
              <w:t xml:space="preserve"> care nu </w:t>
            </w:r>
            <w:proofErr w:type="spellStart"/>
            <w:r>
              <w:rPr>
                <w:rFonts w:eastAsia="Arial Unicode MS"/>
                <w:color w:val="333333"/>
                <w:sz w:val="20"/>
                <w:szCs w:val="20"/>
                <w:shd w:val="clear" w:color="auto" w:fill="FFFFFF"/>
                <w:lang w:val="en-US"/>
              </w:rPr>
              <w:t>depășesc</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pragul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 </w:t>
            </w:r>
            <w:proofErr w:type="spellStart"/>
            <w:r>
              <w:rPr>
                <w:rFonts w:eastAsia="Arial Unicode MS"/>
                <w:color w:val="333333"/>
                <w:sz w:val="20"/>
                <w:szCs w:val="20"/>
                <w:shd w:val="clear" w:color="auto" w:fill="FFFFFF"/>
                <w:lang w:val="en-US"/>
              </w:rPr>
              <w:t>dar</w:t>
            </w:r>
            <w:proofErr w:type="spellEnd"/>
            <w:r>
              <w:rPr>
                <w:rFonts w:eastAsia="Arial Unicode MS"/>
                <w:color w:val="333333"/>
                <w:sz w:val="20"/>
                <w:szCs w:val="20"/>
                <w:shd w:val="clear" w:color="auto" w:fill="FFFFFF"/>
                <w:lang w:val="en-US"/>
              </w:rPr>
              <w:t xml:space="preserve"> au o </w:t>
            </w:r>
            <w:proofErr w:type="spellStart"/>
            <w:r>
              <w:rPr>
                <w:rFonts w:eastAsia="Arial Unicode MS"/>
                <w:color w:val="333333"/>
                <w:sz w:val="20"/>
                <w:szCs w:val="20"/>
                <w:shd w:val="clear" w:color="auto" w:fill="FFFFFF"/>
                <w:lang w:val="en-US"/>
              </w:rPr>
              <w:t>intensitate</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în kgCO</w:t>
            </w:r>
            <w:r>
              <w:rPr>
                <w:rStyle w:val="subscript"/>
                <w:rFonts w:eastAsia="Arial Unicode MS"/>
                <w:color w:val="333333"/>
                <w:sz w:val="20"/>
                <w:szCs w:val="20"/>
                <w:vertAlign w:val="subscript"/>
                <w:lang w:val="en-US"/>
              </w:rPr>
              <w:t>2</w:t>
            </w:r>
            <w:r>
              <w:rPr>
                <w:rFonts w:eastAsia="Arial Unicode MS"/>
                <w:color w:val="333333"/>
                <w:sz w:val="20"/>
                <w:szCs w:val="20"/>
                <w:shd w:val="clear" w:color="auto" w:fill="FFFFFF"/>
                <w:lang w:val="en-US"/>
              </w:rPr>
              <w:t xml:space="preserve">împărțită la </w:t>
            </w:r>
            <w:proofErr w:type="spellStart"/>
            <w:r>
              <w:rPr>
                <w:rFonts w:eastAsia="Arial Unicode MS"/>
                <w:color w:val="333333"/>
                <w:sz w:val="20"/>
                <w:szCs w:val="20"/>
                <w:shd w:val="clear" w:color="auto" w:fill="FFFFFF"/>
                <w:lang w:val="en-US"/>
              </w:rPr>
              <w:t>valoarea</w:t>
            </w:r>
            <w:proofErr w:type="spellEnd"/>
            <w:r>
              <w:rPr>
                <w:rFonts w:eastAsia="Arial Unicode MS"/>
                <w:color w:val="333333"/>
                <w:sz w:val="20"/>
                <w:szCs w:val="20"/>
                <w:shd w:val="clear" w:color="auto" w:fill="FFFFFF"/>
                <w:lang w:val="en-US"/>
              </w:rPr>
              <w:t xml:space="preserve"> lor </w:t>
            </w:r>
            <w:proofErr w:type="spellStart"/>
            <w:r>
              <w:rPr>
                <w:rFonts w:eastAsia="Arial Unicode MS"/>
                <w:color w:val="333333"/>
                <w:sz w:val="20"/>
                <w:szCs w:val="20"/>
                <w:shd w:val="clear" w:color="auto" w:fill="FFFFFF"/>
                <w:lang w:val="en-US"/>
              </w:rPr>
              <w:t>brută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adăugată</w:t>
            </w:r>
            <w:proofErr w:type="spellEnd"/>
            <w:r>
              <w:rPr>
                <w:rFonts w:eastAsia="Arial Unicode MS"/>
                <w:color w:val="333333"/>
                <w:sz w:val="20"/>
                <w:szCs w:val="20"/>
                <w:shd w:val="clear" w:color="auto" w:fill="FFFFFF"/>
                <w:lang w:val="en-US"/>
              </w:rPr>
              <w:t xml:space="preserve"> (în euro), care </w:t>
            </w:r>
            <w:proofErr w:type="spellStart"/>
            <w:r>
              <w:rPr>
                <w:rFonts w:eastAsia="Arial Unicode MS"/>
                <w:color w:val="333333"/>
                <w:sz w:val="20"/>
                <w:szCs w:val="20"/>
                <w:shd w:val="clear" w:color="auto" w:fill="FFFFFF"/>
                <w:lang w:val="en-US"/>
              </w:rPr>
              <w:t>depășește</w:t>
            </w:r>
            <w:proofErr w:type="spellEnd"/>
            <w:r>
              <w:rPr>
                <w:rFonts w:eastAsia="Arial Unicode MS"/>
                <w:color w:val="333333"/>
                <w:sz w:val="20"/>
                <w:szCs w:val="20"/>
                <w:shd w:val="clear" w:color="auto" w:fill="FFFFFF"/>
                <w:lang w:val="en-US"/>
              </w:rPr>
              <w:t xml:space="preserve"> 1,5, se </w:t>
            </w:r>
            <w:proofErr w:type="spellStart"/>
            <w:r>
              <w:rPr>
                <w:rFonts w:eastAsia="Arial Unicode MS"/>
                <w:color w:val="333333"/>
                <w:sz w:val="20"/>
                <w:szCs w:val="20"/>
                <w:shd w:val="clear" w:color="auto" w:fill="FFFFFF"/>
                <w:lang w:val="en-US"/>
              </w:rPr>
              <w:lastRenderedPageBreak/>
              <w:t>evaluează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ele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de 4 </w:t>
            </w:r>
            <w:proofErr w:type="spellStart"/>
            <w:r>
              <w:rPr>
                <w:rFonts w:eastAsia="Arial Unicode MS"/>
                <w:color w:val="333333"/>
                <w:sz w:val="20"/>
                <w:szCs w:val="20"/>
                <w:shd w:val="clear" w:color="auto" w:fill="FFFFFF"/>
                <w:lang w:val="en-US"/>
              </w:rPr>
              <w:t>cifre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codul</w:t>
            </w:r>
            <w:proofErr w:type="spellEnd"/>
            <w:r w:rsidR="00CE3FB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NACE-4). </w:t>
            </w:r>
            <w:proofErr w:type="spellStart"/>
            <w:r w:rsidRPr="00CE3FB4">
              <w:rPr>
                <w:rFonts w:eastAsia="Arial Unicode MS"/>
                <w:color w:val="333333"/>
                <w:sz w:val="20"/>
                <w:szCs w:val="20"/>
                <w:shd w:val="clear" w:color="auto" w:fill="FFFFFF"/>
                <w:lang w:val="en-US"/>
              </w:rPr>
              <w:t>Comisia</w:t>
            </w:r>
            <w:proofErr w:type="spellEnd"/>
            <w:r w:rsidRPr="00CE3FB4">
              <w:rPr>
                <w:rFonts w:eastAsia="Arial Unicode MS"/>
                <w:color w:val="333333"/>
                <w:sz w:val="20"/>
                <w:szCs w:val="20"/>
                <w:shd w:val="clear" w:color="auto" w:fill="FFFFFF"/>
                <w:lang w:val="en-US"/>
              </w:rPr>
              <w:t xml:space="preserve"> </w:t>
            </w:r>
            <w:proofErr w:type="spellStart"/>
            <w:r w:rsidRPr="00CE3FB4">
              <w:rPr>
                <w:rFonts w:eastAsia="Arial Unicode MS"/>
                <w:color w:val="333333"/>
                <w:sz w:val="20"/>
                <w:szCs w:val="20"/>
                <w:shd w:val="clear" w:color="auto" w:fill="FFFFFF"/>
                <w:lang w:val="en-US"/>
              </w:rPr>
              <w:t>publică</w:t>
            </w:r>
            <w:proofErr w:type="spellEnd"/>
            <w:r w:rsidRPr="00CE3FB4">
              <w:rPr>
                <w:rFonts w:eastAsia="Arial Unicode MS"/>
                <w:color w:val="333333"/>
                <w:sz w:val="20"/>
                <w:szCs w:val="20"/>
                <w:shd w:val="clear" w:color="auto" w:fill="FFFFFF"/>
                <w:lang w:val="en-US"/>
              </w:rPr>
              <w:t xml:space="preserve"> </w:t>
            </w:r>
            <w:proofErr w:type="spellStart"/>
            <w:r w:rsidRPr="00CE3FB4">
              <w:rPr>
                <w:rFonts w:eastAsia="Arial Unicode MS"/>
                <w:color w:val="333333"/>
                <w:sz w:val="20"/>
                <w:szCs w:val="20"/>
                <w:shd w:val="clear" w:color="auto" w:fill="FFFFFF"/>
                <w:lang w:val="en-US"/>
              </w:rPr>
              <w:t>rezultatele</w:t>
            </w:r>
            <w:proofErr w:type="spellEnd"/>
            <w:r w:rsidRPr="00CE3FB4">
              <w:rPr>
                <w:rFonts w:eastAsia="Arial Unicode MS"/>
                <w:color w:val="333333"/>
                <w:sz w:val="20"/>
                <w:szCs w:val="20"/>
                <w:shd w:val="clear" w:color="auto" w:fill="FFFFFF"/>
                <w:lang w:val="en-US"/>
              </w:rPr>
              <w:t xml:space="preserve"> </w:t>
            </w:r>
            <w:proofErr w:type="spellStart"/>
            <w:r w:rsidRPr="00CE3FB4">
              <w:rPr>
                <w:rFonts w:eastAsia="Arial Unicode MS"/>
                <w:color w:val="333333"/>
                <w:sz w:val="20"/>
                <w:szCs w:val="20"/>
                <w:shd w:val="clear" w:color="auto" w:fill="FFFFFF"/>
                <w:lang w:val="en-US"/>
              </w:rPr>
              <w:t>evaluării</w:t>
            </w:r>
            <w:proofErr w:type="spellEnd"/>
            <w:r w:rsidRPr="00CE3FB4">
              <w:rPr>
                <w:rFonts w:eastAsia="Arial Unicode MS"/>
                <w:color w:val="333333"/>
                <w:sz w:val="20"/>
                <w:szCs w:val="20"/>
                <w:shd w:val="clear" w:color="auto" w:fill="FFFFFF"/>
                <w:lang w:val="en-US"/>
              </w:rPr>
              <w:t xml:space="preserve"> respective.</w:t>
            </w:r>
          </w:p>
          <w:p w14:paraId="1160B554" w14:textId="2C4A1B5C" w:rsidR="00124364" w:rsidRDefault="00000000" w:rsidP="00CE3FB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termen de </w:t>
            </w:r>
            <w:proofErr w:type="spellStart"/>
            <w:r>
              <w:rPr>
                <w:rFonts w:eastAsia="Arial Unicode MS"/>
                <w:color w:val="333333"/>
                <w:sz w:val="20"/>
                <w:szCs w:val="20"/>
                <w:shd w:val="clear" w:color="auto" w:fill="FFFFFF"/>
                <w:lang w:val="en-US"/>
              </w:rPr>
              <w:t>trei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luni</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publicarea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subsectoarele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paragraful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pot </w:t>
            </w:r>
            <w:proofErr w:type="spellStart"/>
            <w:r>
              <w:rPr>
                <w:rFonts w:eastAsia="Arial Unicode MS"/>
                <w:color w:val="333333"/>
                <w:sz w:val="20"/>
                <w:szCs w:val="20"/>
                <w:shd w:val="clear" w:color="auto" w:fill="FFFFFF"/>
                <w:lang w:val="en-US"/>
              </w:rPr>
              <w:t>solicita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Comisiei</w:t>
            </w:r>
            <w:proofErr w:type="spellEnd"/>
            <w:r>
              <w:rPr>
                <w:rFonts w:eastAsia="Arial Unicode MS"/>
                <w:color w:val="333333"/>
                <w:sz w:val="20"/>
                <w:szCs w:val="20"/>
                <w:shd w:val="clear" w:color="auto" w:fill="FFFFFF"/>
                <w:lang w:val="en-US"/>
              </w:rPr>
              <w:t xml:space="preserve"> fie o </w:t>
            </w:r>
            <w:proofErr w:type="spellStart"/>
            <w:r>
              <w:rPr>
                <w:rFonts w:eastAsia="Arial Unicode MS"/>
                <w:color w:val="333333"/>
                <w:sz w:val="20"/>
                <w:szCs w:val="20"/>
                <w:shd w:val="clear" w:color="auto" w:fill="FFFFFF"/>
                <w:lang w:val="en-US"/>
              </w:rPr>
              <w:t>evaluare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calitativă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expunerii</w:t>
            </w:r>
            <w:proofErr w:type="spellEnd"/>
            <w:r>
              <w:rPr>
                <w:rFonts w:eastAsia="Arial Unicode MS"/>
                <w:color w:val="333333"/>
                <w:sz w:val="20"/>
                <w:szCs w:val="20"/>
                <w:shd w:val="clear" w:color="auto" w:fill="FFFFFF"/>
                <w:lang w:val="en-US"/>
              </w:rPr>
              <w:t xml:space="preserve"> lor la </w:t>
            </w:r>
            <w:proofErr w:type="spellStart"/>
            <w:r>
              <w:rPr>
                <w:rFonts w:eastAsia="Arial Unicode MS"/>
                <w:color w:val="333333"/>
                <w:sz w:val="20"/>
                <w:szCs w:val="20"/>
                <w:shd w:val="clear" w:color="auto" w:fill="FFFFFF"/>
                <w:lang w:val="en-US"/>
              </w:rPr>
              <w:t>relocarea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de 4</w:t>
            </w:r>
            <w:r w:rsidR="00CE3FB4">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cifre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codul</w:t>
            </w:r>
            <w:proofErr w:type="spellEnd"/>
            <w:r>
              <w:rPr>
                <w:rFonts w:eastAsia="Arial Unicode MS"/>
                <w:color w:val="333333"/>
                <w:sz w:val="20"/>
                <w:szCs w:val="20"/>
                <w:shd w:val="clear" w:color="auto" w:fill="FFFFFF"/>
                <w:lang w:val="en-US"/>
              </w:rPr>
              <w:t xml:space="preserve"> NACE-4), fie o </w:t>
            </w:r>
            <w:proofErr w:type="spellStart"/>
            <w:r>
              <w:rPr>
                <w:rFonts w:eastAsia="Arial Unicode MS"/>
                <w:color w:val="333333"/>
                <w:sz w:val="20"/>
                <w:szCs w:val="20"/>
                <w:shd w:val="clear" w:color="auto" w:fill="FFFFFF"/>
                <w:lang w:val="en-US"/>
              </w:rPr>
              <w:t>evaluare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clasificării</w:t>
            </w:r>
            <w:proofErr w:type="spellEnd"/>
            <w:r>
              <w:rPr>
                <w:rFonts w:eastAsia="Arial Unicode MS"/>
                <w:color w:val="333333"/>
                <w:sz w:val="20"/>
                <w:szCs w:val="20"/>
                <w:shd w:val="clear" w:color="auto" w:fill="FFFFFF"/>
                <w:lang w:val="en-US"/>
              </w:rPr>
              <w:t xml:space="preserve"> produselor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statisticile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producția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industrială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Uniune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de 8 </w:t>
            </w:r>
            <w:proofErr w:type="spellStart"/>
            <w:r>
              <w:rPr>
                <w:rFonts w:eastAsia="Arial Unicode MS"/>
                <w:color w:val="333333"/>
                <w:sz w:val="20"/>
                <w:szCs w:val="20"/>
                <w:shd w:val="clear" w:color="auto" w:fill="FFFFFF"/>
                <w:lang w:val="en-US"/>
              </w:rPr>
              <w:t>cifre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Prodcom</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acest</w:t>
            </w:r>
            <w:proofErr w:type="spellEnd"/>
            <w:r>
              <w:rPr>
                <w:rFonts w:eastAsia="Arial Unicode MS"/>
                <w:color w:val="333333"/>
                <w:sz w:val="20"/>
                <w:szCs w:val="20"/>
                <w:shd w:val="clear" w:color="auto" w:fill="FFFFFF"/>
                <w:lang w:val="en-US"/>
              </w:rPr>
              <w:t xml:space="preserve"> scop,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subsectoarele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prezintă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împreună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cererea</w:t>
            </w:r>
            <w:proofErr w:type="spellEnd"/>
            <w:r>
              <w:rPr>
                <w:rFonts w:eastAsia="Arial Unicode MS"/>
                <w:color w:val="333333"/>
                <w:sz w:val="20"/>
                <w:szCs w:val="20"/>
                <w:shd w:val="clear" w:color="auto" w:fill="FFFFFF"/>
                <w:lang w:val="en-US"/>
              </w:rPr>
              <w:t xml:space="preserve">, date </w:t>
            </w:r>
            <w:proofErr w:type="spellStart"/>
            <w:r>
              <w:rPr>
                <w:rFonts w:eastAsia="Arial Unicode MS"/>
                <w:color w:val="333333"/>
                <w:sz w:val="20"/>
                <w:szCs w:val="20"/>
                <w:shd w:val="clear" w:color="auto" w:fill="FFFFFF"/>
                <w:lang w:val="en-US"/>
              </w:rPr>
              <w:t>justificate</w:t>
            </w:r>
            <w:proofErr w:type="spellEnd"/>
            <w:r>
              <w:rPr>
                <w:rFonts w:eastAsia="Arial Unicode MS"/>
                <w:color w:val="333333"/>
                <w:sz w:val="20"/>
                <w:szCs w:val="20"/>
                <w:shd w:val="clear" w:color="auto" w:fill="FFFFFF"/>
                <w:lang w:val="en-US"/>
              </w:rPr>
              <w:t xml:space="preserve">, complete și </w:t>
            </w:r>
            <w:proofErr w:type="spellStart"/>
            <w:r>
              <w:rPr>
                <w:rFonts w:eastAsia="Arial Unicode MS"/>
                <w:color w:val="333333"/>
                <w:sz w:val="20"/>
                <w:szCs w:val="20"/>
                <w:shd w:val="clear" w:color="auto" w:fill="FFFFFF"/>
                <w:lang w:val="en-US"/>
              </w:rPr>
              <w:t>verificate</w:t>
            </w:r>
            <w:proofErr w:type="spellEnd"/>
            <w:r>
              <w:rPr>
                <w:rFonts w:eastAsia="Arial Unicode MS"/>
                <w:color w:val="333333"/>
                <w:sz w:val="20"/>
                <w:szCs w:val="20"/>
                <w:shd w:val="clear" w:color="auto" w:fill="FFFFFF"/>
                <w:lang w:val="en-US"/>
              </w:rPr>
              <w:t xml:space="preserve"> independent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permite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efectueze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evaluarea</w:t>
            </w:r>
            <w:proofErr w:type="spellEnd"/>
            <w:r>
              <w:rPr>
                <w:rFonts w:eastAsia="Arial Unicode MS"/>
                <w:color w:val="333333"/>
                <w:sz w:val="20"/>
                <w:szCs w:val="20"/>
                <w:shd w:val="clear" w:color="auto" w:fill="FFFFFF"/>
                <w:lang w:val="en-US"/>
              </w:rPr>
              <w:t>.</w:t>
            </w:r>
          </w:p>
          <w:p w14:paraId="46190EBD" w14:textId="77777777"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alege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evaluat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nivelul</w:t>
            </w:r>
            <w:proofErr w:type="spellEnd"/>
            <w:r w:rsidRPr="00CE3FB4">
              <w:rPr>
                <w:rFonts w:eastAsia="Arial Unicode MS"/>
                <w:color w:val="000000" w:themeColor="text1"/>
                <w:sz w:val="20"/>
                <w:szCs w:val="20"/>
                <w:shd w:val="clear" w:color="auto" w:fill="FFFFFF"/>
                <w:lang w:val="en-US"/>
              </w:rPr>
              <w:t xml:space="preserve"> de 4 </w:t>
            </w:r>
            <w:proofErr w:type="spellStart"/>
            <w:r w:rsidRPr="00CE3FB4">
              <w:rPr>
                <w:rFonts w:eastAsia="Arial Unicode MS"/>
                <w:color w:val="000000" w:themeColor="text1"/>
                <w:sz w:val="20"/>
                <w:szCs w:val="20"/>
                <w:shd w:val="clear" w:color="auto" w:fill="FFFFFF"/>
                <w:lang w:val="en-US"/>
              </w:rPr>
              <w:t>cifre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codul</w:t>
            </w:r>
            <w:proofErr w:type="spellEnd"/>
            <w:r w:rsidRPr="00CE3FB4">
              <w:rPr>
                <w:rFonts w:eastAsia="Arial Unicode MS"/>
                <w:color w:val="000000" w:themeColor="text1"/>
                <w:sz w:val="20"/>
                <w:szCs w:val="20"/>
                <w:shd w:val="clear" w:color="auto" w:fill="FFFFFF"/>
                <w:lang w:val="en-US"/>
              </w:rPr>
              <w:t xml:space="preserve"> NACE-4), un sector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un subsector </w:t>
            </w:r>
            <w:proofErr w:type="spellStart"/>
            <w:r w:rsidRPr="00CE3FB4">
              <w:rPr>
                <w:rFonts w:eastAsia="Arial Unicode MS"/>
                <w:color w:val="000000" w:themeColor="text1"/>
                <w:sz w:val="20"/>
                <w:szCs w:val="20"/>
                <w:shd w:val="clear" w:color="auto" w:fill="FFFFFF"/>
                <w:lang w:val="en-US"/>
              </w:rPr>
              <w:t>poate</w:t>
            </w:r>
            <w:proofErr w:type="spellEnd"/>
            <w:r w:rsidRPr="00CE3FB4">
              <w:rPr>
                <w:rFonts w:eastAsia="Arial Unicode MS"/>
                <w:color w:val="000000" w:themeColor="text1"/>
                <w:sz w:val="20"/>
                <w:szCs w:val="20"/>
                <w:shd w:val="clear" w:color="auto" w:fill="FFFFFF"/>
                <w:lang w:val="en-US"/>
              </w:rPr>
              <w:t xml:space="preserve"> fi </w:t>
            </w:r>
            <w:proofErr w:type="spellStart"/>
            <w:r w:rsidRPr="00CE3FB4">
              <w:rPr>
                <w:rFonts w:eastAsia="Arial Unicode MS"/>
                <w:color w:val="000000" w:themeColor="text1"/>
                <w:sz w:val="20"/>
                <w:szCs w:val="20"/>
                <w:shd w:val="clear" w:color="auto" w:fill="FFFFFF"/>
                <w:lang w:val="en-US"/>
              </w:rPr>
              <w:t>inclus</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grupul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criteriilor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w:t>
            </w:r>
            <w:proofErr w:type="spellStart"/>
            <w:r w:rsidRPr="00CE3FB4">
              <w:rPr>
                <w:rFonts w:eastAsia="Arial Unicode MS"/>
                <w:color w:val="000000" w:themeColor="text1"/>
                <w:sz w:val="20"/>
                <w:szCs w:val="20"/>
                <w:shd w:val="clear" w:color="auto" w:fill="FFFFFF"/>
                <w:lang w:val="en-US"/>
              </w:rPr>
              <w:t>literele</w:t>
            </w:r>
            <w:proofErr w:type="spellEnd"/>
            <w:r w:rsidRPr="00CE3FB4">
              <w:rPr>
                <w:rFonts w:eastAsia="Arial Unicode MS"/>
                <w:color w:val="000000" w:themeColor="text1"/>
                <w:sz w:val="20"/>
                <w:szCs w:val="20"/>
                <w:shd w:val="clear" w:color="auto" w:fill="FFFFFF"/>
                <w:lang w:val="en-US"/>
              </w:rPr>
              <w:t xml:space="preserve"> (a), (b) și (c).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alege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evaluat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nivelul</w:t>
            </w:r>
            <w:proofErr w:type="spellEnd"/>
            <w:r w:rsidRPr="00CE3FB4">
              <w:rPr>
                <w:rFonts w:eastAsia="Arial Unicode MS"/>
                <w:color w:val="000000" w:themeColor="text1"/>
                <w:sz w:val="20"/>
                <w:szCs w:val="20"/>
                <w:shd w:val="clear" w:color="auto" w:fill="FFFFFF"/>
                <w:lang w:val="en-US"/>
              </w:rPr>
              <w:t xml:space="preserve"> de 8 </w:t>
            </w:r>
            <w:proofErr w:type="spellStart"/>
            <w:r w:rsidRPr="00CE3FB4">
              <w:rPr>
                <w:rFonts w:eastAsia="Arial Unicode MS"/>
                <w:color w:val="000000" w:themeColor="text1"/>
                <w:sz w:val="20"/>
                <w:szCs w:val="20"/>
                <w:shd w:val="clear" w:color="auto" w:fill="FFFFFF"/>
                <w:lang w:val="en-US"/>
              </w:rPr>
              <w:t>cifre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Prodcom</w:t>
            </w:r>
            <w:proofErr w:type="spellEnd"/>
            <w:r w:rsidRPr="00CE3FB4">
              <w:rPr>
                <w:rFonts w:eastAsia="Arial Unicode MS"/>
                <w:color w:val="000000" w:themeColor="text1"/>
                <w:sz w:val="20"/>
                <w:szCs w:val="20"/>
                <w:shd w:val="clear" w:color="auto" w:fill="FFFFFF"/>
                <w:lang w:val="en-US"/>
              </w:rPr>
              <w:t xml:space="preserve">), un sector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un subsector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inclus</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grupul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cu </w:t>
            </w:r>
            <w:proofErr w:type="spellStart"/>
            <w:r w:rsidRPr="00CE3FB4">
              <w:rPr>
                <w:rFonts w:eastAsia="Arial Unicode MS"/>
                <w:color w:val="000000" w:themeColor="text1"/>
                <w:sz w:val="20"/>
                <w:szCs w:val="20"/>
                <w:shd w:val="clear" w:color="auto" w:fill="FFFFFF"/>
                <w:lang w:val="en-US"/>
              </w:rPr>
              <w:t>condiția</w:t>
            </w:r>
            <w:proofErr w:type="spellEnd"/>
            <w:r w:rsidRPr="00CE3FB4">
              <w:rPr>
                <w:rFonts w:eastAsia="Arial Unicode MS"/>
                <w:color w:val="000000" w:themeColor="text1"/>
                <w:sz w:val="20"/>
                <w:szCs w:val="20"/>
                <w:shd w:val="clear" w:color="auto" w:fill="FFFFFF"/>
                <w:lang w:val="en-US"/>
              </w:rPr>
              <w:t xml:space="preserve"> ca, la </w:t>
            </w:r>
            <w:proofErr w:type="spellStart"/>
            <w:r w:rsidRPr="00CE3FB4">
              <w:rPr>
                <w:rFonts w:eastAsia="Arial Unicode MS"/>
                <w:color w:val="000000" w:themeColor="text1"/>
                <w:sz w:val="20"/>
                <w:szCs w:val="20"/>
                <w:shd w:val="clear" w:color="auto" w:fill="FFFFFF"/>
                <w:lang w:val="en-US"/>
              </w:rPr>
              <w:t>nivelul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depășească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pragul</w:t>
            </w:r>
            <w:proofErr w:type="spellEnd"/>
            <w:r w:rsidRPr="00CE3FB4">
              <w:rPr>
                <w:rFonts w:eastAsia="Arial Unicode MS"/>
                <w:color w:val="000000" w:themeColor="text1"/>
                <w:sz w:val="20"/>
                <w:szCs w:val="20"/>
                <w:shd w:val="clear" w:color="auto" w:fill="FFFFFF"/>
                <w:lang w:val="en-US"/>
              </w:rPr>
              <w:t xml:space="preserve"> de 0,2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w:t>
            </w:r>
          </w:p>
          <w:p w14:paraId="4A573D7B" w14:textId="77777777"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Sectoarele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calculează</w:t>
            </w:r>
            <w:proofErr w:type="spellEnd"/>
            <w:r w:rsidRPr="00CE3FB4">
              <w:rPr>
                <w:rFonts w:eastAsia="Arial Unicode MS"/>
                <w:color w:val="000000" w:themeColor="text1"/>
                <w:sz w:val="20"/>
                <w:szCs w:val="20"/>
                <w:shd w:val="clear" w:color="auto" w:fill="FFFFFF"/>
                <w:lang w:val="en-US"/>
              </w:rPr>
              <w:t xml:space="preserve"> 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valorilor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referință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10a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al </w:t>
            </w:r>
            <w:proofErr w:type="spellStart"/>
            <w:r w:rsidRPr="00CE3FB4">
              <w:rPr>
                <w:rFonts w:eastAsia="Arial Unicode MS"/>
                <w:color w:val="000000" w:themeColor="text1"/>
                <w:sz w:val="20"/>
                <w:szCs w:val="20"/>
                <w:shd w:val="clear" w:color="auto" w:fill="FFFFFF"/>
                <w:lang w:val="en-US"/>
              </w:rPr>
              <w:t>patrulea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pot </w:t>
            </w:r>
            <w:proofErr w:type="spellStart"/>
            <w:r w:rsidRPr="00CE3FB4">
              <w:rPr>
                <w:rFonts w:eastAsia="Arial Unicode MS"/>
                <w:color w:val="000000" w:themeColor="text1"/>
                <w:sz w:val="20"/>
                <w:szCs w:val="20"/>
                <w:shd w:val="clear" w:color="auto" w:fill="FFFFFF"/>
                <w:lang w:val="en-US"/>
              </w:rPr>
              <w:t>solicita</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evaluate în conformitate cu al </w:t>
            </w:r>
            <w:proofErr w:type="spellStart"/>
            <w:r w:rsidRPr="00CE3FB4">
              <w:rPr>
                <w:rFonts w:eastAsia="Arial Unicode MS"/>
                <w:color w:val="000000" w:themeColor="text1"/>
                <w:sz w:val="20"/>
                <w:szCs w:val="20"/>
                <w:shd w:val="clear" w:color="auto" w:fill="FFFFFF"/>
                <w:lang w:val="en-US"/>
              </w:rPr>
              <w:t>treilea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w:t>
            </w:r>
          </w:p>
          <w:p w14:paraId="0FDE62D7" w14:textId="62AFAE90"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lang w:val="en-US"/>
              </w:rPr>
            </w:pPr>
            <w:proofErr w:type="spellStart"/>
            <w:r w:rsidRPr="00CE3FB4">
              <w:rPr>
                <w:rFonts w:eastAsia="Arial Unicode MS"/>
                <w:color w:val="000000" w:themeColor="text1"/>
                <w:sz w:val="20"/>
                <w:szCs w:val="20"/>
                <w:lang w:val="en-US"/>
              </w:rPr>
              <w:t>Prin</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derogare</w:t>
            </w:r>
            <w:proofErr w:type="spellEnd"/>
            <w:r w:rsidRPr="00CE3FB4">
              <w:rPr>
                <w:rFonts w:eastAsia="Arial Unicode MS"/>
                <w:color w:val="000000" w:themeColor="text1"/>
                <w:sz w:val="20"/>
                <w:szCs w:val="20"/>
                <w:lang w:val="en-US"/>
              </w:rPr>
              <w:t xml:space="preserve"> de la </w:t>
            </w:r>
            <w:proofErr w:type="spellStart"/>
            <w:r w:rsidRPr="00CE3FB4">
              <w:rPr>
                <w:rFonts w:eastAsia="Arial Unicode MS"/>
                <w:color w:val="000000" w:themeColor="text1"/>
                <w:sz w:val="20"/>
                <w:szCs w:val="20"/>
                <w:lang w:val="en-US"/>
              </w:rPr>
              <w:t>alineatele</w:t>
            </w:r>
            <w:proofErr w:type="spellEnd"/>
            <w:r w:rsidRPr="00CE3FB4">
              <w:rPr>
                <w:rFonts w:eastAsia="Arial Unicode MS"/>
                <w:color w:val="000000" w:themeColor="text1"/>
                <w:sz w:val="20"/>
                <w:szCs w:val="20"/>
                <w:lang w:val="en-US"/>
              </w:rPr>
              <w:t xml:space="preserve"> (1) și (2), un stat </w:t>
            </w:r>
            <w:proofErr w:type="spellStart"/>
            <w:r w:rsidRPr="00CE3FB4">
              <w:rPr>
                <w:rFonts w:eastAsia="Arial Unicode MS"/>
                <w:color w:val="000000" w:themeColor="text1"/>
                <w:sz w:val="20"/>
                <w:szCs w:val="20"/>
                <w:lang w:val="en-US"/>
              </w:rPr>
              <w:t>membru</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poate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solicita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până</w:t>
            </w:r>
            <w:proofErr w:type="spellEnd"/>
            <w:r w:rsidRPr="00CE3FB4">
              <w:rPr>
                <w:rFonts w:eastAsia="Arial Unicode MS"/>
                <w:color w:val="000000" w:themeColor="text1"/>
                <w:sz w:val="20"/>
                <w:szCs w:val="20"/>
                <w:lang w:val="en-US"/>
              </w:rPr>
              <w:t xml:space="preserve"> la 30</w:t>
            </w:r>
            <w:r w:rsidR="00CE3FB4"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iunie</w:t>
            </w:r>
            <w:proofErr w:type="spellEnd"/>
            <w:r w:rsidRPr="00CE3FB4">
              <w:rPr>
                <w:rFonts w:eastAsia="Arial Unicode MS"/>
                <w:color w:val="000000" w:themeColor="text1"/>
                <w:sz w:val="20"/>
                <w:szCs w:val="20"/>
                <w:lang w:val="en-US"/>
              </w:rPr>
              <w:t xml:space="preserve"> 2018 ca un sector </w:t>
            </w:r>
            <w:proofErr w:type="spellStart"/>
            <w:r w:rsidRPr="00CE3FB4">
              <w:rPr>
                <w:rFonts w:eastAsia="Arial Unicode MS"/>
                <w:color w:val="000000" w:themeColor="text1"/>
                <w:sz w:val="20"/>
                <w:szCs w:val="20"/>
                <w:lang w:val="en-US"/>
              </w:rPr>
              <w:t>sau</w:t>
            </w:r>
            <w:proofErr w:type="spellEnd"/>
            <w:r w:rsidRPr="00CE3FB4">
              <w:rPr>
                <w:rFonts w:eastAsia="Arial Unicode MS"/>
                <w:color w:val="000000" w:themeColor="text1"/>
                <w:sz w:val="20"/>
                <w:szCs w:val="20"/>
                <w:lang w:val="en-US"/>
              </w:rPr>
              <w:t xml:space="preserve"> subsector </w:t>
            </w:r>
            <w:proofErr w:type="spellStart"/>
            <w:r w:rsidRPr="00CE3FB4">
              <w:rPr>
                <w:rFonts w:eastAsia="Arial Unicode MS"/>
                <w:color w:val="000000" w:themeColor="text1"/>
                <w:sz w:val="20"/>
                <w:szCs w:val="20"/>
                <w:lang w:val="en-US"/>
              </w:rPr>
              <w:t>enumerat</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anexa</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Decizia</w:t>
            </w:r>
            <w:proofErr w:type="spellEnd"/>
            <w:r w:rsidRPr="00CE3FB4">
              <w:rPr>
                <w:rFonts w:eastAsia="Arial Unicode MS"/>
                <w:color w:val="000000" w:themeColor="text1"/>
                <w:sz w:val="20"/>
                <w:szCs w:val="20"/>
                <w:lang w:val="en-US"/>
              </w:rPr>
              <w:t xml:space="preserve"> 2014/746/UE a </w:t>
            </w:r>
            <w:proofErr w:type="spellStart"/>
            <w:r w:rsidRPr="00CE3FB4">
              <w:rPr>
                <w:rFonts w:eastAsia="Arial Unicode MS"/>
                <w:color w:val="000000" w:themeColor="text1"/>
                <w:sz w:val="20"/>
                <w:szCs w:val="20"/>
                <w:lang w:val="en-US"/>
              </w:rPr>
              <w:t>Comisiei</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w:t>
            </w:r>
            <w:hyperlink r:id="rId164" w:anchor="E0023" w:history="1">
              <w:r w:rsidRPr="00CE3FB4">
                <w:rPr>
                  <w:rStyle w:val="superscript"/>
                  <w:rFonts w:eastAsia="Arial Unicode MS"/>
                  <w:color w:val="000000" w:themeColor="text1"/>
                  <w:sz w:val="20"/>
                  <w:szCs w:val="20"/>
                  <w:vertAlign w:val="superscript"/>
                  <w:lang w:val="en-US"/>
                </w:rPr>
                <w:t>22</w:t>
              </w:r>
            </w:hyperlink>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ceea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privește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clasificările</w:t>
            </w:r>
            <w:proofErr w:type="spellEnd"/>
            <w:r w:rsidRPr="00CE3FB4">
              <w:rPr>
                <w:rFonts w:eastAsia="Arial Unicode MS"/>
                <w:color w:val="000000" w:themeColor="text1"/>
                <w:sz w:val="20"/>
                <w:szCs w:val="20"/>
                <w:lang w:val="en-US"/>
              </w:rPr>
              <w:t xml:space="preserve"> la un </w:t>
            </w:r>
            <w:proofErr w:type="spellStart"/>
            <w:r w:rsidRPr="00CE3FB4">
              <w:rPr>
                <w:rFonts w:eastAsia="Arial Unicode MS"/>
                <w:color w:val="000000" w:themeColor="text1"/>
                <w:sz w:val="20"/>
                <w:szCs w:val="20"/>
                <w:lang w:val="en-US"/>
              </w:rPr>
              <w:t>nivel</w:t>
            </w:r>
            <w:proofErr w:type="spellEnd"/>
            <w:r w:rsidRPr="00CE3FB4">
              <w:rPr>
                <w:rFonts w:eastAsia="Arial Unicode MS"/>
                <w:color w:val="000000" w:themeColor="text1"/>
                <w:sz w:val="20"/>
                <w:szCs w:val="20"/>
                <w:lang w:val="en-US"/>
              </w:rPr>
              <w:t xml:space="preserve"> de 6</w:t>
            </w:r>
            <w:r w:rsidR="00CE3FB4"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sau</w:t>
            </w:r>
            <w:proofErr w:type="spellEnd"/>
            <w:r w:rsidRPr="00CE3FB4">
              <w:rPr>
                <w:rFonts w:eastAsia="Arial Unicode MS"/>
                <w:color w:val="000000" w:themeColor="text1"/>
                <w:sz w:val="20"/>
                <w:szCs w:val="20"/>
                <w:lang w:val="en-US"/>
              </w:rPr>
              <w:t xml:space="preserve"> de 8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Prodcom</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să</w:t>
            </w:r>
            <w:proofErr w:type="spellEnd"/>
            <w:r w:rsidRPr="00CE3FB4">
              <w:rPr>
                <w:rFonts w:eastAsia="Arial Unicode MS"/>
                <w:color w:val="000000" w:themeColor="text1"/>
                <w:sz w:val="20"/>
                <w:szCs w:val="20"/>
                <w:lang w:val="en-US"/>
              </w:rPr>
              <w:t xml:space="preserve"> fie </w:t>
            </w:r>
            <w:proofErr w:type="spellStart"/>
            <w:r w:rsidRPr="00CE3FB4">
              <w:rPr>
                <w:rFonts w:eastAsia="Arial Unicode MS"/>
                <w:color w:val="000000" w:themeColor="text1"/>
                <w:sz w:val="20"/>
                <w:szCs w:val="20"/>
                <w:lang w:val="en-US"/>
              </w:rPr>
              <w:t>luat</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considerare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pentru</w:t>
            </w:r>
            <w:proofErr w:type="spellEnd"/>
            <w:r w:rsidRPr="00CE3FB4">
              <w:rPr>
                <w:rFonts w:eastAsia="Arial Unicode MS"/>
                <w:color w:val="000000" w:themeColor="text1"/>
                <w:sz w:val="20"/>
                <w:szCs w:val="20"/>
                <w:lang w:val="en-US"/>
              </w:rPr>
              <w:t xml:space="preserve"> a fi </w:t>
            </w:r>
            <w:proofErr w:type="spellStart"/>
            <w:r w:rsidRPr="00CE3FB4">
              <w:rPr>
                <w:rFonts w:eastAsia="Arial Unicode MS"/>
                <w:color w:val="000000" w:themeColor="text1"/>
                <w:sz w:val="20"/>
                <w:szCs w:val="20"/>
                <w:lang w:val="en-US"/>
              </w:rPr>
              <w:t>inclus</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grupul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menționat</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alineatul</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(1). </w:t>
            </w:r>
            <w:proofErr w:type="spellStart"/>
            <w:r w:rsidRPr="00CE3FB4">
              <w:rPr>
                <w:rFonts w:eastAsia="Arial Unicode MS"/>
                <w:color w:val="000000" w:themeColor="text1"/>
                <w:sz w:val="20"/>
                <w:szCs w:val="20"/>
                <w:lang w:val="en-US"/>
              </w:rPr>
              <w:t>Orice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asemenea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solicitare</w:t>
            </w:r>
            <w:proofErr w:type="spellEnd"/>
            <w:r w:rsidRPr="00CE3FB4">
              <w:rPr>
                <w:rFonts w:eastAsia="Arial Unicode MS"/>
                <w:color w:val="000000" w:themeColor="text1"/>
                <w:sz w:val="20"/>
                <w:szCs w:val="20"/>
                <w:lang w:val="en-US"/>
              </w:rPr>
              <w:t xml:space="preserve"> se </w:t>
            </w:r>
            <w:proofErr w:type="spellStart"/>
            <w:r w:rsidRPr="00CE3FB4">
              <w:rPr>
                <w:rFonts w:eastAsia="Arial Unicode MS"/>
                <w:color w:val="000000" w:themeColor="text1"/>
                <w:sz w:val="20"/>
                <w:szCs w:val="20"/>
                <w:lang w:val="en-US"/>
              </w:rPr>
              <w:t>ia</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considerare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doar</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cazul</w:t>
            </w:r>
            <w:proofErr w:type="spellEnd"/>
            <w:r w:rsidRPr="00CE3FB4">
              <w:rPr>
                <w:rFonts w:eastAsia="Arial Unicode MS"/>
                <w:color w:val="000000" w:themeColor="text1"/>
                <w:sz w:val="20"/>
                <w:szCs w:val="20"/>
                <w:lang w:val="en-US"/>
              </w:rPr>
              <w:t xml:space="preserve"> în care </w:t>
            </w:r>
            <w:proofErr w:type="spellStart"/>
            <w:r w:rsidRPr="00CE3FB4">
              <w:rPr>
                <w:rFonts w:eastAsia="Arial Unicode MS"/>
                <w:color w:val="000000" w:themeColor="text1"/>
                <w:sz w:val="20"/>
                <w:szCs w:val="20"/>
                <w:lang w:val="en-US"/>
              </w:rPr>
              <w:t>statul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membru</w:t>
            </w:r>
            <w:proofErr w:type="spellEnd"/>
            <w:r w:rsidRPr="00CE3FB4">
              <w:rPr>
                <w:rFonts w:eastAsia="Arial Unicode MS"/>
                <w:color w:val="000000" w:themeColor="text1"/>
                <w:sz w:val="20"/>
                <w:szCs w:val="20"/>
                <w:lang w:val="en-US"/>
              </w:rPr>
              <w:t xml:space="preserve"> solicitant </w:t>
            </w:r>
            <w:proofErr w:type="spellStart"/>
            <w:r w:rsidRPr="00CE3FB4">
              <w:rPr>
                <w:rFonts w:eastAsia="Arial Unicode MS"/>
                <w:color w:val="000000" w:themeColor="text1"/>
                <w:sz w:val="20"/>
                <w:szCs w:val="20"/>
                <w:lang w:val="en-US"/>
              </w:rPr>
              <w:t>stabilește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aplicarea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derogării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menționate</w:t>
            </w:r>
            <w:proofErr w:type="spellEnd"/>
            <w:r w:rsidRPr="00CE3FB4">
              <w:rPr>
                <w:rFonts w:eastAsia="Arial Unicode MS"/>
                <w:color w:val="000000" w:themeColor="text1"/>
                <w:sz w:val="20"/>
                <w:szCs w:val="20"/>
                <w:lang w:val="en-US"/>
              </w:rPr>
              <w:t xml:space="preserve"> se </w:t>
            </w:r>
            <w:proofErr w:type="spellStart"/>
            <w:r w:rsidRPr="00CE3FB4">
              <w:rPr>
                <w:rFonts w:eastAsia="Arial Unicode MS"/>
                <w:color w:val="000000" w:themeColor="text1"/>
                <w:sz w:val="20"/>
                <w:szCs w:val="20"/>
                <w:lang w:val="en-US"/>
              </w:rPr>
              <w:t>justifică</w:t>
            </w:r>
            <w:proofErr w:type="spellEnd"/>
            <w:r w:rsidRPr="00CE3FB4">
              <w:rPr>
                <w:rFonts w:eastAsia="Arial Unicode MS"/>
                <w:color w:val="000000" w:themeColor="text1"/>
                <w:sz w:val="20"/>
                <w:szCs w:val="20"/>
                <w:lang w:val="en-US"/>
              </w:rPr>
              <w:t xml:space="preserve"> în mod </w:t>
            </w:r>
            <w:proofErr w:type="spellStart"/>
            <w:r w:rsidRPr="00CE3FB4">
              <w:rPr>
                <w:rFonts w:eastAsia="Arial Unicode MS"/>
                <w:color w:val="000000" w:themeColor="text1"/>
                <w:sz w:val="20"/>
                <w:szCs w:val="20"/>
                <w:lang w:val="en-US"/>
              </w:rPr>
              <w:t>corespunzător</w:t>
            </w:r>
            <w:proofErr w:type="spellEnd"/>
            <w:r w:rsidRPr="00CE3FB4">
              <w:rPr>
                <w:rFonts w:eastAsia="Arial Unicode MS"/>
                <w:color w:val="000000" w:themeColor="text1"/>
                <w:sz w:val="20"/>
                <w:szCs w:val="20"/>
                <w:lang w:val="en-US"/>
              </w:rPr>
              <w:t xml:space="preserve"> pe </w:t>
            </w:r>
            <w:proofErr w:type="spellStart"/>
            <w:r w:rsidRPr="00CE3FB4">
              <w:rPr>
                <w:rFonts w:eastAsia="Arial Unicode MS"/>
                <w:color w:val="000000" w:themeColor="text1"/>
                <w:sz w:val="20"/>
                <w:szCs w:val="20"/>
                <w:lang w:val="en-US"/>
              </w:rPr>
              <w:t>baza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unor</w:t>
            </w:r>
            <w:proofErr w:type="spellEnd"/>
            <w:r w:rsidRPr="00CE3FB4">
              <w:rPr>
                <w:rFonts w:eastAsia="Arial Unicode MS"/>
                <w:color w:val="000000" w:themeColor="text1"/>
                <w:sz w:val="20"/>
                <w:szCs w:val="20"/>
                <w:lang w:val="en-US"/>
              </w:rPr>
              <w:t xml:space="preserve"> date complete, </w:t>
            </w:r>
            <w:proofErr w:type="spellStart"/>
            <w:r w:rsidRPr="00CE3FB4">
              <w:rPr>
                <w:rFonts w:eastAsia="Arial Unicode MS"/>
                <w:color w:val="000000" w:themeColor="text1"/>
                <w:sz w:val="20"/>
                <w:szCs w:val="20"/>
                <w:lang w:val="en-US"/>
              </w:rPr>
              <w:t>verificate</w:t>
            </w:r>
            <w:proofErr w:type="spellEnd"/>
            <w:r w:rsidRPr="00CE3FB4">
              <w:rPr>
                <w:rFonts w:eastAsia="Arial Unicode MS"/>
                <w:color w:val="000000" w:themeColor="text1"/>
                <w:sz w:val="20"/>
                <w:szCs w:val="20"/>
                <w:lang w:val="en-US"/>
              </w:rPr>
              <w:t xml:space="preserve"> și </w:t>
            </w:r>
            <w:proofErr w:type="spellStart"/>
            <w:r w:rsidRPr="00CE3FB4">
              <w:rPr>
                <w:rFonts w:eastAsia="Arial Unicode MS"/>
                <w:color w:val="000000" w:themeColor="text1"/>
                <w:sz w:val="20"/>
                <w:szCs w:val="20"/>
                <w:lang w:val="en-US"/>
              </w:rPr>
              <w:t>auditate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referitoare</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cei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mai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recenți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cinci</w:t>
            </w:r>
            <w:proofErr w:type="spellEnd"/>
            <w:r w:rsidRPr="00CE3FB4">
              <w:rPr>
                <w:rFonts w:eastAsia="Arial Unicode MS"/>
                <w:color w:val="000000" w:themeColor="text1"/>
                <w:sz w:val="20"/>
                <w:szCs w:val="20"/>
                <w:lang w:val="en-US"/>
              </w:rPr>
              <w:t xml:space="preserve"> ani </w:t>
            </w:r>
            <w:proofErr w:type="spellStart"/>
            <w:r w:rsidRPr="00CE3FB4">
              <w:rPr>
                <w:rFonts w:eastAsia="Arial Unicode MS"/>
                <w:color w:val="000000" w:themeColor="text1"/>
                <w:sz w:val="20"/>
                <w:szCs w:val="20"/>
                <w:lang w:val="en-US"/>
              </w:rPr>
              <w:t>furnizate</w:t>
            </w:r>
            <w:proofErr w:type="spellEnd"/>
            <w:r w:rsidRPr="00CE3FB4">
              <w:rPr>
                <w:rFonts w:eastAsia="Arial Unicode MS"/>
                <w:color w:val="000000" w:themeColor="text1"/>
                <w:sz w:val="20"/>
                <w:szCs w:val="20"/>
                <w:lang w:val="en-US"/>
              </w:rPr>
              <w:t xml:space="preserve"> de </w:t>
            </w:r>
            <w:proofErr w:type="spellStart"/>
            <w:r w:rsidRPr="00CE3FB4">
              <w:rPr>
                <w:rFonts w:eastAsia="Arial Unicode MS"/>
                <w:color w:val="000000" w:themeColor="text1"/>
                <w:sz w:val="20"/>
                <w:szCs w:val="20"/>
                <w:lang w:val="en-US"/>
              </w:rPr>
              <w:t>sectorul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sau</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subsectorul</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cauză</w:t>
            </w:r>
            <w:proofErr w:type="spellEnd"/>
            <w:r w:rsidRPr="00CE3FB4">
              <w:rPr>
                <w:rFonts w:eastAsia="Arial Unicode MS"/>
                <w:color w:val="000000" w:themeColor="text1"/>
                <w:sz w:val="20"/>
                <w:szCs w:val="20"/>
                <w:lang w:val="en-US"/>
              </w:rPr>
              <w:t xml:space="preserve"> și include </w:t>
            </w:r>
            <w:proofErr w:type="spellStart"/>
            <w:r w:rsidRPr="00CE3FB4">
              <w:rPr>
                <w:rFonts w:eastAsia="Arial Unicode MS"/>
                <w:color w:val="000000" w:themeColor="text1"/>
                <w:sz w:val="20"/>
                <w:szCs w:val="20"/>
                <w:lang w:val="en-US"/>
              </w:rPr>
              <w:t>toate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informațiile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relevante</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solicitarea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sa</w:t>
            </w:r>
            <w:proofErr w:type="spellEnd"/>
            <w:r w:rsidRPr="00CE3FB4">
              <w:rPr>
                <w:rFonts w:eastAsia="Arial Unicode MS"/>
                <w:color w:val="000000" w:themeColor="text1"/>
                <w:sz w:val="20"/>
                <w:szCs w:val="20"/>
                <w:lang w:val="en-US"/>
              </w:rPr>
              <w:t xml:space="preserve">. Pe </w:t>
            </w:r>
            <w:proofErr w:type="spellStart"/>
            <w:r w:rsidRPr="00CE3FB4">
              <w:rPr>
                <w:rFonts w:eastAsia="Arial Unicode MS"/>
                <w:color w:val="000000" w:themeColor="text1"/>
                <w:sz w:val="20"/>
                <w:szCs w:val="20"/>
                <w:lang w:val="en-US"/>
              </w:rPr>
              <w:t>baza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datelor</w:t>
            </w:r>
            <w:proofErr w:type="spellEnd"/>
            <w:r w:rsidRPr="00CE3FB4">
              <w:rPr>
                <w:rFonts w:eastAsia="Arial Unicode MS"/>
                <w:color w:val="000000" w:themeColor="text1"/>
                <w:sz w:val="20"/>
                <w:szCs w:val="20"/>
                <w:lang w:val="en-US"/>
              </w:rPr>
              <w:t xml:space="preserve"> respective, </w:t>
            </w:r>
            <w:proofErr w:type="spellStart"/>
            <w:r w:rsidRPr="00CE3FB4">
              <w:rPr>
                <w:rFonts w:eastAsia="Arial Unicode MS"/>
                <w:color w:val="000000" w:themeColor="text1"/>
                <w:sz w:val="20"/>
                <w:szCs w:val="20"/>
                <w:lang w:val="en-US"/>
              </w:rPr>
              <w:t>sectorul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sau</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subsectorul</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cauză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este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inclus</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ceea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privește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acele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clasificări</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cazul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cărora</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cadrul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unui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nivel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eterogen</w:t>
            </w:r>
            <w:proofErr w:type="spellEnd"/>
            <w:r w:rsidRPr="00CE3FB4">
              <w:rPr>
                <w:rFonts w:eastAsia="Arial Unicode MS"/>
                <w:color w:val="000000" w:themeColor="text1"/>
                <w:sz w:val="20"/>
                <w:szCs w:val="20"/>
                <w:lang w:val="en-US"/>
              </w:rPr>
              <w:t xml:space="preserve"> de 4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(cod NACE-4), se </w:t>
            </w:r>
            <w:proofErr w:type="spellStart"/>
            <w:r w:rsidRPr="00CE3FB4">
              <w:rPr>
                <w:rFonts w:eastAsia="Arial Unicode MS"/>
                <w:color w:val="000000" w:themeColor="text1"/>
                <w:sz w:val="20"/>
                <w:szCs w:val="20"/>
                <w:lang w:val="en-US"/>
              </w:rPr>
              <w:t>arată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prezintă</w:t>
            </w:r>
            <w:proofErr w:type="spellEnd"/>
            <w:r w:rsidRPr="00CE3FB4">
              <w:rPr>
                <w:rFonts w:eastAsia="Arial Unicode MS"/>
                <w:color w:val="000000" w:themeColor="text1"/>
                <w:sz w:val="20"/>
                <w:szCs w:val="20"/>
                <w:lang w:val="en-US"/>
              </w:rPr>
              <w:t xml:space="preserve"> o </w:t>
            </w:r>
            <w:proofErr w:type="spellStart"/>
            <w:r w:rsidRPr="00CE3FB4">
              <w:rPr>
                <w:rFonts w:eastAsia="Arial Unicode MS"/>
                <w:color w:val="000000" w:themeColor="text1"/>
                <w:sz w:val="20"/>
                <w:szCs w:val="20"/>
                <w:lang w:val="en-US"/>
              </w:rPr>
              <w:t>intensitate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substanțial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mai</w:t>
            </w:r>
            <w:proofErr w:type="spellEnd"/>
            <w:r w:rsidRPr="00CE3FB4">
              <w:rPr>
                <w:rFonts w:eastAsia="Arial Unicode MS"/>
                <w:color w:val="000000" w:themeColor="text1"/>
                <w:sz w:val="20"/>
                <w:szCs w:val="20"/>
                <w:lang w:val="en-US"/>
              </w:rPr>
              <w:t xml:space="preserve"> mare a </w:t>
            </w:r>
            <w:proofErr w:type="spellStart"/>
            <w:r w:rsidRPr="00CE3FB4">
              <w:rPr>
                <w:rFonts w:eastAsia="Arial Unicode MS"/>
                <w:color w:val="000000" w:themeColor="text1"/>
                <w:sz w:val="20"/>
                <w:szCs w:val="20"/>
                <w:lang w:val="en-US"/>
              </w:rPr>
              <w:t>schimburilor</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comerciale</w:t>
            </w:r>
            <w:proofErr w:type="spellEnd"/>
            <w:r w:rsidRPr="00CE3FB4">
              <w:rPr>
                <w:rFonts w:eastAsia="Arial Unicode MS"/>
                <w:color w:val="000000" w:themeColor="text1"/>
                <w:sz w:val="20"/>
                <w:szCs w:val="20"/>
                <w:lang w:val="en-US"/>
              </w:rPr>
              <w:t xml:space="preserve"> și </w:t>
            </w:r>
            <w:proofErr w:type="gramStart"/>
            <w:r w:rsidRPr="00CE3FB4">
              <w:rPr>
                <w:rFonts w:eastAsia="Arial Unicode MS"/>
                <w:color w:val="000000" w:themeColor="text1"/>
                <w:sz w:val="20"/>
                <w:szCs w:val="20"/>
                <w:lang w:val="en-US"/>
              </w:rPr>
              <w:t>a</w:t>
            </w:r>
            <w:proofErr w:type="gram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emisiilor</w:t>
            </w:r>
            <w:proofErr w:type="spellEnd"/>
            <w:r w:rsidRPr="00CE3FB4">
              <w:rPr>
                <w:rFonts w:eastAsia="Arial Unicode MS"/>
                <w:color w:val="000000" w:themeColor="text1"/>
                <w:sz w:val="20"/>
                <w:szCs w:val="20"/>
                <w:lang w:val="en-US"/>
              </w:rPr>
              <w:t xml:space="preserve"> la un </w:t>
            </w:r>
            <w:proofErr w:type="spellStart"/>
            <w:r w:rsidRPr="00CE3FB4">
              <w:rPr>
                <w:rFonts w:eastAsia="Arial Unicode MS"/>
                <w:color w:val="000000" w:themeColor="text1"/>
                <w:sz w:val="20"/>
                <w:szCs w:val="20"/>
                <w:lang w:val="en-US"/>
              </w:rPr>
              <w:t>nivel</w:t>
            </w:r>
            <w:proofErr w:type="spellEnd"/>
            <w:r w:rsidRPr="00CE3FB4">
              <w:rPr>
                <w:rFonts w:eastAsia="Arial Unicode MS"/>
                <w:color w:val="000000" w:themeColor="text1"/>
                <w:sz w:val="20"/>
                <w:szCs w:val="20"/>
                <w:lang w:val="en-US"/>
              </w:rPr>
              <w:t xml:space="preserve"> de 6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sau</w:t>
            </w:r>
            <w:proofErr w:type="spellEnd"/>
            <w:r w:rsidRPr="00CE3FB4">
              <w:rPr>
                <w:rFonts w:eastAsia="Arial Unicode MS"/>
                <w:color w:val="000000" w:themeColor="text1"/>
                <w:sz w:val="20"/>
                <w:szCs w:val="20"/>
                <w:lang w:val="en-US"/>
              </w:rPr>
              <w:t xml:space="preserve"> de 8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Prodcom</w:t>
            </w:r>
            <w:proofErr w:type="spellEnd"/>
            <w:r w:rsidRPr="00CE3FB4">
              <w:rPr>
                <w:rFonts w:eastAsia="Arial Unicode MS"/>
                <w:color w:val="000000" w:themeColor="text1"/>
                <w:sz w:val="20"/>
                <w:szCs w:val="20"/>
                <w:lang w:val="en-US"/>
              </w:rPr>
              <w:t xml:space="preserve">), care </w:t>
            </w:r>
            <w:proofErr w:type="spellStart"/>
            <w:r w:rsidRPr="00CE3FB4">
              <w:rPr>
                <w:rFonts w:eastAsia="Arial Unicode MS"/>
                <w:color w:val="000000" w:themeColor="text1"/>
                <w:sz w:val="20"/>
                <w:szCs w:val="20"/>
                <w:lang w:val="en-US"/>
              </w:rPr>
              <w:t>depășește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pragul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stabilit</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alineatul</w:t>
            </w:r>
            <w:proofErr w:type="spellEnd"/>
            <w:r w:rsidRPr="00CE3FB4">
              <w:rPr>
                <w:rFonts w:eastAsia="Arial Unicode MS"/>
                <w:color w:val="000000" w:themeColor="text1"/>
                <w:sz w:val="20"/>
                <w:szCs w:val="20"/>
                <w:lang w:val="en-US"/>
              </w:rPr>
              <w:t xml:space="preserve"> (1).</w:t>
            </w:r>
          </w:p>
          <w:p w14:paraId="61828CB3" w14:textId="496A01D2" w:rsidR="00124364" w:rsidRPr="00CE3FB4" w:rsidRDefault="00000000" w:rsidP="00CE3FB4">
            <w:pPr>
              <w:pStyle w:val="ti-art"/>
              <w:numPr>
                <w:ilvl w:val="0"/>
                <w:numId w:val="6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celelalte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sectoare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consideră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acestea</w:t>
            </w:r>
            <w:proofErr w:type="spellEnd"/>
            <w:r w:rsidRPr="00CE3FB4">
              <w:rPr>
                <w:rFonts w:eastAsia="Arial Unicode MS"/>
                <w:color w:val="000000" w:themeColor="text1"/>
                <w:sz w:val="20"/>
                <w:szCs w:val="20"/>
                <w:shd w:val="clear" w:color="auto" w:fill="FFFFFF"/>
                <w:lang w:val="en-US"/>
              </w:rPr>
              <w:t xml:space="preserve"> sunt în </w:t>
            </w:r>
            <w:proofErr w:type="spellStart"/>
            <w:r w:rsidRPr="00CE3FB4">
              <w:rPr>
                <w:rFonts w:eastAsia="Arial Unicode MS"/>
                <w:color w:val="000000" w:themeColor="text1"/>
                <w:sz w:val="20"/>
                <w:szCs w:val="20"/>
                <w:shd w:val="clear" w:color="auto" w:fill="FFFFFF"/>
                <w:lang w:val="en-US"/>
              </w:rPr>
              <w:t>măsură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lastRenderedPageBreak/>
              <w:t>transfere</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parte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mare a </w:t>
            </w:r>
            <w:proofErr w:type="spellStart"/>
            <w:r w:rsidRPr="00CE3FB4">
              <w:rPr>
                <w:rFonts w:eastAsia="Arial Unicode MS"/>
                <w:color w:val="000000" w:themeColor="text1"/>
                <w:sz w:val="20"/>
                <w:szCs w:val="20"/>
                <w:shd w:val="clear" w:color="auto" w:fill="FFFFFF"/>
                <w:lang w:val="en-US"/>
              </w:rPr>
              <w:t>costurilor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certificatelor</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prețurile</w:t>
            </w:r>
            <w:proofErr w:type="spellEnd"/>
            <w:r w:rsidRPr="00CE3FB4">
              <w:rPr>
                <w:rFonts w:eastAsia="Arial Unicode MS"/>
                <w:color w:val="000000" w:themeColor="text1"/>
                <w:sz w:val="20"/>
                <w:szCs w:val="20"/>
                <w:shd w:val="clear" w:color="auto" w:fill="FFFFFF"/>
                <w:lang w:val="en-US"/>
              </w:rPr>
              <w:t xml:space="preserve"> produselor și li se </w:t>
            </w:r>
            <w:proofErr w:type="spellStart"/>
            <w:r w:rsidRPr="00CE3FB4">
              <w:rPr>
                <w:rFonts w:eastAsia="Arial Unicode MS"/>
                <w:color w:val="000000" w:themeColor="text1"/>
                <w:sz w:val="20"/>
                <w:szCs w:val="20"/>
                <w:shd w:val="clear" w:color="auto" w:fill="FFFFFF"/>
                <w:lang w:val="en-US"/>
              </w:rPr>
              <w:t>alocă</w:t>
            </w:r>
            <w:proofErr w:type="spellEnd"/>
            <w:r w:rsidRPr="00CE3FB4">
              <w:rPr>
                <w:rFonts w:eastAsia="Arial Unicode MS"/>
                <w:color w:val="000000" w:themeColor="text1"/>
                <w:sz w:val="20"/>
                <w:szCs w:val="20"/>
                <w:shd w:val="clear" w:color="auto" w:fill="FFFFFF"/>
                <w:lang w:val="en-US"/>
              </w:rPr>
              <w:t xml:space="preserv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la un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de 30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stabilită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Pr="00CE3FB4">
              <w:rPr>
                <w:rFonts w:eastAsia="Arial Unicode MS"/>
                <w:color w:val="000000" w:themeColor="text1"/>
                <w:sz w:val="20"/>
                <w:szCs w:val="20"/>
                <w:shd w:val="clear" w:color="auto" w:fill="FFFFFF"/>
                <w:lang w:val="en-US"/>
              </w:rPr>
              <w:t xml:space="preserve"> 10a. Cu </w:t>
            </w:r>
            <w:proofErr w:type="spellStart"/>
            <w:r w:rsidRPr="00CE3FB4">
              <w:rPr>
                <w:rFonts w:eastAsia="Arial Unicode MS"/>
                <w:color w:val="000000" w:themeColor="text1"/>
                <w:sz w:val="20"/>
                <w:szCs w:val="20"/>
                <w:shd w:val="clear" w:color="auto" w:fill="FFFFFF"/>
                <w:lang w:val="en-US"/>
              </w:rPr>
              <w:t>excepția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cazului</w:t>
            </w:r>
            <w:proofErr w:type="spellEnd"/>
            <w:r w:rsidRPr="00CE3FB4">
              <w:rPr>
                <w:rFonts w:eastAsia="Arial Unicode MS"/>
                <w:color w:val="000000" w:themeColor="text1"/>
                <w:sz w:val="20"/>
                <w:szCs w:val="20"/>
                <w:shd w:val="clear" w:color="auto" w:fill="FFFFFF"/>
                <w:lang w:val="en-US"/>
              </w:rPr>
              <w:t xml:space="preserve"> în care se decide </w:t>
            </w:r>
            <w:proofErr w:type="spellStart"/>
            <w:r w:rsidRPr="00CE3FB4">
              <w:rPr>
                <w:rFonts w:eastAsia="Arial Unicode MS"/>
                <w:color w:val="000000" w:themeColor="text1"/>
                <w:sz w:val="20"/>
                <w:szCs w:val="20"/>
                <w:shd w:val="clear" w:color="auto" w:fill="FFFFFF"/>
                <w:lang w:val="en-US"/>
              </w:rPr>
              <w:t>altfel</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cadrul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revizuirii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30, </w:t>
            </w:r>
            <w:proofErr w:type="spellStart"/>
            <w:r w:rsidRPr="00CE3FB4">
              <w:rPr>
                <w:rFonts w:eastAsia="Arial Unicode MS"/>
                <w:color w:val="000000" w:themeColor="text1"/>
                <w:sz w:val="20"/>
                <w:szCs w:val="20"/>
                <w:shd w:val="clear" w:color="auto" w:fill="FFFFFF"/>
                <w:lang w:val="en-US"/>
              </w:rPr>
              <w:t>alocările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sectoare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subsectoare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excepția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centralelor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termoficare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scad</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cuantumuri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egale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după</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2026,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încât</w:t>
            </w:r>
            <w:proofErr w:type="spellEnd"/>
            <w:r w:rsidRPr="00CE3FB4">
              <w:rPr>
                <w:rFonts w:eastAsia="Arial Unicode MS"/>
                <w:color w:val="000000" w:themeColor="text1"/>
                <w:sz w:val="20"/>
                <w:szCs w:val="20"/>
                <w:shd w:val="clear" w:color="auto" w:fill="FFFFFF"/>
                <w:lang w:val="en-US"/>
              </w:rPr>
              <w:t xml:space="preserve"> în 2030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ajungă</w:t>
            </w:r>
            <w:proofErr w:type="spellEnd"/>
            <w:r w:rsidRPr="00CE3FB4">
              <w:rPr>
                <w:rFonts w:eastAsia="Arial Unicode MS"/>
                <w:color w:val="000000" w:themeColor="text1"/>
                <w:sz w:val="20"/>
                <w:szCs w:val="20"/>
                <w:shd w:val="clear" w:color="auto" w:fill="FFFFFF"/>
                <w:lang w:val="en-US"/>
              </w:rPr>
              <w:t xml:space="preserve"> la un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fără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w:t>
            </w:r>
          </w:p>
          <w:p w14:paraId="685C8A83" w14:textId="77777777" w:rsidR="00124364" w:rsidRPr="00B9573B" w:rsidRDefault="00000000">
            <w:pPr>
              <w:pStyle w:val="ti-art"/>
              <w:shd w:val="clear" w:color="auto" w:fill="FFFFFF"/>
              <w:spacing w:before="0" w:beforeAutospacing="0" w:after="0" w:afterAutospacing="0"/>
              <w:ind w:left="720"/>
              <w:rPr>
                <w:color w:val="4472C4" w:themeColor="accent1"/>
                <w:sz w:val="20"/>
                <w:szCs w:val="20"/>
                <w:lang w:val="en-US"/>
              </w:rPr>
            </w:pPr>
            <w:hyperlink r:id="rId165" w:tooltip="32023L0959: INSERTED" w:history="1">
              <w:r w:rsidRPr="00B9573B">
                <w:rPr>
                  <w:rStyle w:val="af3"/>
                  <w:rFonts w:eastAsia="Arial Unicode MS"/>
                  <w:b/>
                  <w:bCs/>
                  <w:color w:val="4472C4" w:themeColor="accent1"/>
                  <w:sz w:val="20"/>
                  <w:szCs w:val="20"/>
                  <w:lang w:val="en-US"/>
                </w:rPr>
                <w:t>▼M15</w:t>
              </w:r>
            </w:hyperlink>
          </w:p>
          <w:p w14:paraId="413ABB7A" w14:textId="254076F0" w:rsidR="00124364" w:rsidRPr="00CE3FB4" w:rsidRDefault="00000000" w:rsidP="00CE3FB4">
            <w:pPr>
              <w:pStyle w:val="norm"/>
              <w:spacing w:before="0" w:beforeAutospacing="0" w:after="0" w:afterAutospacing="0"/>
              <w:jc w:val="both"/>
              <w:rPr>
                <w:rFonts w:eastAsia="Arial Unicode MS"/>
                <w:color w:val="000000" w:themeColor="text1"/>
                <w:sz w:val="20"/>
                <w:szCs w:val="20"/>
                <w:lang w:val="en-US"/>
              </w:rPr>
            </w:pPr>
            <w:r w:rsidRPr="00CE3FB4">
              <w:rPr>
                <w:rFonts w:eastAsia="Arial Unicode MS"/>
                <w:color w:val="000000" w:themeColor="text1"/>
                <w:sz w:val="20"/>
                <w:szCs w:val="20"/>
              </w:rPr>
              <w:t>Într-un stat membru în care, în medie, între anii 2014 și</w:t>
            </w:r>
            <w:r w:rsidR="00CE3FB4" w:rsidRPr="00CE3FB4">
              <w:rPr>
                <w:rFonts w:eastAsia="Arial Unicode MS"/>
                <w:color w:val="000000" w:themeColor="text1"/>
                <w:sz w:val="20"/>
                <w:szCs w:val="20"/>
                <w:lang w:val="ro-RO"/>
              </w:rPr>
              <w:t xml:space="preserve"> </w:t>
            </w:r>
            <w:r w:rsidRPr="00CE3FB4">
              <w:rPr>
                <w:rFonts w:eastAsia="Arial Unicode MS"/>
                <w:color w:val="000000" w:themeColor="text1"/>
                <w:sz w:val="20"/>
                <w:szCs w:val="20"/>
              </w:rPr>
              <w:t>2018, ponderea emisiilor generate de încălzirea centralizată din totalul acestor emisii în Uniune împărțită la ponderea respectivului stat membru în PIB-ul total al Uniunii este mai mare de cinci, se acordă pentru încălzirea centralizată în perioada 2026-2030 o alocare suplimentară de certificate cu titlu gratuit de 30</w:t>
            </w:r>
            <w:r w:rsidR="00CE3FB4" w:rsidRPr="00CE3FB4">
              <w:rPr>
                <w:rFonts w:eastAsia="Arial Unicode MS"/>
                <w:color w:val="000000" w:themeColor="text1"/>
                <w:sz w:val="20"/>
                <w:szCs w:val="20"/>
                <w:lang w:val="ro-RO"/>
              </w:rPr>
              <w:t xml:space="preserve"> </w:t>
            </w:r>
            <w:r w:rsidRPr="00CE3FB4">
              <w:rPr>
                <w:rFonts w:eastAsia="Arial Unicode MS"/>
                <w:color w:val="000000" w:themeColor="text1"/>
                <w:sz w:val="20"/>
                <w:szCs w:val="20"/>
              </w:rPr>
              <w:t>% din cantitatea stabilită în temeiul articolului</w:t>
            </w:r>
            <w:r w:rsidR="00CE3FB4" w:rsidRPr="00CE3FB4">
              <w:rPr>
                <w:rFonts w:eastAsia="Arial Unicode MS"/>
                <w:color w:val="000000" w:themeColor="text1"/>
                <w:sz w:val="20"/>
                <w:szCs w:val="20"/>
                <w:lang w:val="ro-RO"/>
              </w:rPr>
              <w:t xml:space="preserve"> </w:t>
            </w:r>
            <w:r w:rsidRPr="00CE3FB4">
              <w:rPr>
                <w:rFonts w:eastAsia="Arial Unicode MS"/>
                <w:color w:val="000000" w:themeColor="text1"/>
                <w:sz w:val="20"/>
                <w:szCs w:val="20"/>
              </w:rPr>
              <w:t>10a, cu condiția ca un volum de investiții echivalent cu valoarea alocării suplimentare de certificate cu titlu gratuit să fie investit pentru a reduce în mod semnificativ emisiile înainte de 2030, în conformitate cu planurile privind neutralitatea climatică menționate la al treilea paragraf de la prezentul alineat, și ca îndeplinirea țintelor și a jaloanelor menționate la litera</w:t>
            </w:r>
            <w:r w:rsidR="00CE3FB4" w:rsidRPr="00CE3FB4">
              <w:rPr>
                <w:rFonts w:eastAsia="Arial Unicode MS"/>
                <w:color w:val="000000" w:themeColor="text1"/>
                <w:sz w:val="20"/>
                <w:szCs w:val="20"/>
                <w:lang w:val="ro-RO"/>
              </w:rPr>
              <w:t xml:space="preserve"> </w:t>
            </w:r>
            <w:r w:rsidRPr="00CE3FB4">
              <w:rPr>
                <w:rFonts w:eastAsia="Arial Unicode MS"/>
                <w:color w:val="000000" w:themeColor="text1"/>
                <w:sz w:val="20"/>
                <w:szCs w:val="20"/>
              </w:rPr>
              <w:t>(b) de la paragraful respectiv să fie confirmată de verificarea efectuată în conformitate cu al patrulea paragraf de la prezentul alineat.</w:t>
            </w:r>
          </w:p>
          <w:p w14:paraId="053702C7" w14:textId="1C885A15" w:rsidR="00124364" w:rsidRPr="00CE3FB4" w:rsidRDefault="00000000" w:rsidP="00CE3FB4">
            <w:pPr>
              <w:pStyle w:val="9"/>
              <w:spacing w:before="0" w:beforeAutospacing="0" w:after="0" w:afterAutospacing="0"/>
              <w:jc w:val="both"/>
              <w:rPr>
                <w:rFonts w:eastAsia="Arial Unicode MS"/>
                <w:color w:val="000000" w:themeColor="text1"/>
                <w:sz w:val="20"/>
                <w:szCs w:val="20"/>
                <w:lang w:val="en-US"/>
              </w:rPr>
            </w:pPr>
            <w:proofErr w:type="spellStart"/>
            <w:r w:rsidRPr="00CE3FB4">
              <w:rPr>
                <w:rFonts w:eastAsia="Arial Unicode MS"/>
                <w:color w:val="000000" w:themeColor="text1"/>
                <w:sz w:val="20"/>
                <w:szCs w:val="20"/>
                <w:lang w:val="en-US"/>
              </w:rPr>
              <w:t>Până</w:t>
            </w:r>
            <w:proofErr w:type="spellEnd"/>
            <w:r w:rsidRPr="00CE3FB4">
              <w:rPr>
                <w:rFonts w:eastAsia="Arial Unicode MS"/>
                <w:color w:val="000000" w:themeColor="text1"/>
                <w:sz w:val="20"/>
                <w:szCs w:val="20"/>
                <w:lang w:val="en-US"/>
              </w:rPr>
              <w:t xml:space="preserve"> la 1</w:t>
            </w:r>
            <w:r w:rsidR="00CE3FB4"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mai</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2024, </w:t>
            </w:r>
            <w:proofErr w:type="spellStart"/>
            <w:r w:rsidRPr="00CE3FB4">
              <w:rPr>
                <w:rFonts w:eastAsia="Arial Unicode MS"/>
                <w:color w:val="000000" w:themeColor="text1"/>
                <w:sz w:val="20"/>
                <w:szCs w:val="20"/>
                <w:lang w:val="en-US"/>
              </w:rPr>
              <w:t>operatorii</w:t>
            </w:r>
            <w:proofErr w:type="spellEnd"/>
            <w:r w:rsidRPr="00CE3FB4">
              <w:rPr>
                <w:rFonts w:eastAsia="Arial Unicode MS"/>
                <w:color w:val="000000" w:themeColor="text1"/>
                <w:sz w:val="20"/>
                <w:szCs w:val="20"/>
                <w:lang w:val="en-US"/>
              </w:rPr>
              <w:t xml:space="preserve"> care </w:t>
            </w:r>
            <w:proofErr w:type="spellStart"/>
            <w:r w:rsidRPr="00CE3FB4">
              <w:rPr>
                <w:rFonts w:eastAsia="Arial Unicode MS"/>
                <w:color w:val="000000" w:themeColor="text1"/>
                <w:sz w:val="20"/>
                <w:szCs w:val="20"/>
                <w:lang w:val="en-US"/>
              </w:rPr>
              <w:t>produc</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energie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termică</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sistem</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centralizat</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trebuie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stabilească</w:t>
            </w:r>
            <w:proofErr w:type="spellEnd"/>
            <w:r w:rsidRPr="00CE3FB4">
              <w:rPr>
                <w:rFonts w:eastAsia="Arial Unicode MS"/>
                <w:color w:val="000000" w:themeColor="text1"/>
                <w:sz w:val="20"/>
                <w:szCs w:val="20"/>
                <w:lang w:val="en-US"/>
              </w:rPr>
              <w:t xml:space="preserve"> un plan de </w:t>
            </w:r>
            <w:proofErr w:type="spellStart"/>
            <w:r w:rsidRPr="00CE3FB4">
              <w:rPr>
                <w:rFonts w:eastAsia="Arial Unicode MS"/>
                <w:color w:val="000000" w:themeColor="text1"/>
                <w:sz w:val="20"/>
                <w:szCs w:val="20"/>
                <w:lang w:val="en-US"/>
              </w:rPr>
              <w:t>neutralitate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climatică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pentru</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instalațiile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pentru</w:t>
            </w:r>
            <w:proofErr w:type="spellEnd"/>
            <w:r w:rsidRPr="00CE3FB4">
              <w:rPr>
                <w:rFonts w:eastAsia="Arial Unicode MS"/>
                <w:color w:val="000000" w:themeColor="text1"/>
                <w:sz w:val="20"/>
                <w:szCs w:val="20"/>
                <w:lang w:val="en-US"/>
              </w:rPr>
              <w:t xml:space="preserve"> care </w:t>
            </w:r>
            <w:proofErr w:type="spellStart"/>
            <w:r w:rsidRPr="00CE3FB4">
              <w:rPr>
                <w:rFonts w:eastAsia="Arial Unicode MS"/>
                <w:color w:val="000000" w:themeColor="text1"/>
                <w:sz w:val="20"/>
                <w:szCs w:val="20"/>
                <w:lang w:val="en-US"/>
              </w:rPr>
              <w:t>solicită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alocări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suplimentare</w:t>
            </w:r>
            <w:proofErr w:type="spellEnd"/>
            <w:r w:rsidRPr="00CE3FB4">
              <w:rPr>
                <w:rFonts w:eastAsia="Arial Unicode MS"/>
                <w:color w:val="000000" w:themeColor="text1"/>
                <w:sz w:val="20"/>
                <w:szCs w:val="20"/>
                <w:lang w:val="en-US"/>
              </w:rPr>
              <w:t xml:space="preserve"> de certificate cu </w:t>
            </w:r>
            <w:proofErr w:type="spellStart"/>
            <w:r w:rsidRPr="00CE3FB4">
              <w:rPr>
                <w:rFonts w:eastAsia="Arial Unicode MS"/>
                <w:color w:val="000000" w:themeColor="text1"/>
                <w:sz w:val="20"/>
                <w:szCs w:val="20"/>
                <w:lang w:val="en-US"/>
              </w:rPr>
              <w:t>titlu</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gratuit</w:t>
            </w:r>
            <w:proofErr w:type="spellEnd"/>
            <w:r w:rsidRPr="00CE3FB4">
              <w:rPr>
                <w:rFonts w:eastAsia="Arial Unicode MS"/>
                <w:color w:val="000000" w:themeColor="text1"/>
                <w:sz w:val="20"/>
                <w:szCs w:val="20"/>
                <w:lang w:val="en-US"/>
              </w:rPr>
              <w:t xml:space="preserve"> în conformitate cu al </w:t>
            </w:r>
            <w:proofErr w:type="spellStart"/>
            <w:r w:rsidRPr="00CE3FB4">
              <w:rPr>
                <w:rFonts w:eastAsia="Arial Unicode MS"/>
                <w:color w:val="000000" w:themeColor="text1"/>
                <w:sz w:val="20"/>
                <w:szCs w:val="20"/>
                <w:lang w:val="en-US"/>
              </w:rPr>
              <w:t>doilea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paragraf</w:t>
            </w:r>
            <w:proofErr w:type="spellEnd"/>
            <w:r w:rsidRPr="00CE3FB4">
              <w:rPr>
                <w:rFonts w:eastAsia="Arial Unicode MS"/>
                <w:color w:val="000000" w:themeColor="text1"/>
                <w:sz w:val="20"/>
                <w:szCs w:val="20"/>
                <w:lang w:val="en-US"/>
              </w:rPr>
              <w:t xml:space="preserve"> de la </w:t>
            </w:r>
            <w:proofErr w:type="spellStart"/>
            <w:r w:rsidRPr="00CE3FB4">
              <w:rPr>
                <w:rFonts w:eastAsia="Arial Unicode MS"/>
                <w:color w:val="000000" w:themeColor="text1"/>
                <w:sz w:val="20"/>
                <w:szCs w:val="20"/>
                <w:lang w:val="en-US"/>
              </w:rPr>
              <w:t>prezentul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alineat</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Planul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respectiv</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este</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concordanță</w:t>
            </w:r>
            <w:proofErr w:type="spellEnd"/>
            <w:r w:rsidRPr="00CE3FB4">
              <w:rPr>
                <w:rFonts w:eastAsia="Arial Unicode MS"/>
                <w:color w:val="000000" w:themeColor="text1"/>
                <w:sz w:val="20"/>
                <w:szCs w:val="20"/>
                <w:lang w:val="en-US"/>
              </w:rPr>
              <w:t xml:space="preserve"> cu </w:t>
            </w:r>
            <w:proofErr w:type="spellStart"/>
            <w:r w:rsidRPr="00CE3FB4">
              <w:rPr>
                <w:rFonts w:eastAsia="Arial Unicode MS"/>
                <w:color w:val="000000" w:themeColor="text1"/>
                <w:sz w:val="20"/>
                <w:szCs w:val="20"/>
                <w:lang w:val="en-US"/>
              </w:rPr>
              <w:t>obiectivul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privind</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neutralitatea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climatică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prevăzut</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articolul</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2 </w:t>
            </w:r>
            <w:proofErr w:type="spellStart"/>
            <w:r w:rsidRPr="00CE3FB4">
              <w:rPr>
                <w:rFonts w:eastAsia="Arial Unicode MS"/>
                <w:color w:val="000000" w:themeColor="text1"/>
                <w:sz w:val="20"/>
                <w:szCs w:val="20"/>
                <w:lang w:val="en-US"/>
              </w:rPr>
              <w:t>alineatul</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(1) din </w:t>
            </w:r>
            <w:proofErr w:type="spellStart"/>
            <w:r w:rsidRPr="00CE3FB4">
              <w:rPr>
                <w:rFonts w:eastAsia="Arial Unicode MS"/>
                <w:color w:val="000000" w:themeColor="text1"/>
                <w:sz w:val="20"/>
                <w:szCs w:val="20"/>
                <w:lang w:val="en-US"/>
              </w:rPr>
              <w:t>Regulamentul</w:t>
            </w:r>
            <w:proofErr w:type="spellEnd"/>
            <w:r w:rsidRPr="00CE3FB4">
              <w:rPr>
                <w:rFonts w:eastAsia="Arial Unicode MS"/>
                <w:color w:val="000000" w:themeColor="text1"/>
                <w:sz w:val="20"/>
                <w:szCs w:val="20"/>
                <w:lang w:val="en-US"/>
              </w:rPr>
              <w:t xml:space="preserve"> (UE)</w:t>
            </w:r>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2021/1119 și </w:t>
            </w:r>
            <w:proofErr w:type="spellStart"/>
            <w:r w:rsidRPr="00CE3FB4">
              <w:rPr>
                <w:rFonts w:eastAsia="Arial Unicode MS"/>
                <w:color w:val="000000" w:themeColor="text1"/>
                <w:sz w:val="20"/>
                <w:szCs w:val="20"/>
                <w:lang w:val="en-US"/>
              </w:rPr>
              <w:t>stabilește</w:t>
            </w:r>
            <w:proofErr w:type="spellEnd"/>
            <w:r w:rsidRPr="00CE3FB4">
              <w:rPr>
                <w:rFonts w:eastAsia="Arial Unicode MS"/>
                <w:color w:val="000000" w:themeColor="text1"/>
                <w:sz w:val="20"/>
                <w:szCs w:val="20"/>
                <w:lang w:val="en-US"/>
              </w:rPr>
              <w:t>:</w:t>
            </w:r>
          </w:p>
          <w:p w14:paraId="2A723C66" w14:textId="77777777" w:rsidR="00124364" w:rsidRPr="00CE3FB4" w:rsidRDefault="00000000" w:rsidP="00CE3FB4">
            <w:pPr>
              <w:pStyle w:val="9"/>
              <w:numPr>
                <w:ilvl w:val="0"/>
                <w:numId w:val="62"/>
              </w:numPr>
              <w:spacing w:before="0" w:beforeAutospacing="0" w:after="0" w:afterAutospacing="0"/>
              <w:jc w:val="both"/>
              <w:rPr>
                <w:rFonts w:eastAsia="Arial Unicode MS"/>
                <w:color w:val="000000" w:themeColor="text1"/>
                <w:sz w:val="20"/>
                <w:szCs w:val="20"/>
                <w:lang w:val="en-US"/>
              </w:rPr>
            </w:pPr>
            <w:proofErr w:type="spellStart"/>
            <w:r w:rsidRPr="00CE3FB4">
              <w:rPr>
                <w:rFonts w:eastAsia="Arial Unicode MS"/>
                <w:color w:val="000000" w:themeColor="text1"/>
                <w:sz w:val="20"/>
                <w:szCs w:val="20"/>
                <w:shd w:val="clear" w:color="auto" w:fill="FFFFFF"/>
                <w:lang w:val="en-US"/>
              </w:rPr>
              <w:t>măsuri</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atinge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neutralitatea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climatică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în 2050 la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instalație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întreprindere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excluzând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creditelor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compensare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dioxid</w:t>
            </w:r>
            <w:proofErr w:type="spellEnd"/>
            <w:r w:rsidRPr="00CE3FB4">
              <w:rPr>
                <w:rFonts w:eastAsia="Arial Unicode MS"/>
                <w:color w:val="000000" w:themeColor="text1"/>
                <w:sz w:val="20"/>
                <w:szCs w:val="20"/>
                <w:shd w:val="clear" w:color="auto" w:fill="FFFFFF"/>
                <w:lang w:val="en-US"/>
              </w:rPr>
              <w:t xml:space="preserve"> de carbon;</w:t>
            </w:r>
          </w:p>
          <w:p w14:paraId="7B83E00E" w14:textId="32C1608E" w:rsidR="00124364" w:rsidRPr="00CE3FB4" w:rsidRDefault="00000000" w:rsidP="00CE3FB4">
            <w:pPr>
              <w:pStyle w:val="9"/>
              <w:numPr>
                <w:ilvl w:val="0"/>
                <w:numId w:val="62"/>
              </w:numPr>
              <w:spacing w:before="0" w:beforeAutospacing="0" w:after="0" w:afterAutospacing="0"/>
              <w:jc w:val="both"/>
              <w:rPr>
                <w:rFonts w:eastAsia="Arial Unicode MS"/>
                <w:color w:val="000000" w:themeColor="text1"/>
                <w:sz w:val="20"/>
                <w:szCs w:val="20"/>
                <w:lang w:val="en-US"/>
              </w:rPr>
            </w:pPr>
            <w:proofErr w:type="spellStart"/>
            <w:r w:rsidRPr="00CE3FB4">
              <w:rPr>
                <w:rFonts w:eastAsia="Arial Unicode MS"/>
                <w:color w:val="000000" w:themeColor="text1"/>
                <w:sz w:val="20"/>
                <w:szCs w:val="20"/>
                <w:shd w:val="clear" w:color="auto" w:fill="FFFFFF"/>
                <w:lang w:val="en-US"/>
              </w:rPr>
              <w:t>ținte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jaloane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intermediare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măsura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2025 și, ulterior, la </w:t>
            </w:r>
            <w:proofErr w:type="spellStart"/>
            <w:r w:rsidRPr="00CE3FB4">
              <w:rPr>
                <w:rFonts w:eastAsia="Arial Unicode MS"/>
                <w:color w:val="000000" w:themeColor="text1"/>
                <w:sz w:val="20"/>
                <w:szCs w:val="20"/>
                <w:shd w:val="clear" w:color="auto" w:fill="FFFFFF"/>
                <w:lang w:val="en-US"/>
              </w:rPr>
              <w:t>fiecare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cinci</w:t>
            </w:r>
            <w:proofErr w:type="spellEnd"/>
            <w:r w:rsidRPr="00CE3FB4">
              <w:rPr>
                <w:rFonts w:eastAsia="Arial Unicode MS"/>
                <w:color w:val="000000" w:themeColor="text1"/>
                <w:sz w:val="20"/>
                <w:szCs w:val="20"/>
                <w:shd w:val="clear" w:color="auto" w:fill="FFFFFF"/>
                <w:lang w:val="en-US"/>
              </w:rPr>
              <w:t xml:space="preserve"> ani,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progresele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înregistrate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direcția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atingerii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neutralității</w:t>
            </w:r>
            <w:proofErr w:type="spellEnd"/>
            <w:r w:rsidRPr="00CE3FB4">
              <w:rPr>
                <w:rFonts w:eastAsia="Arial Unicode MS"/>
                <w:color w:val="000000" w:themeColor="text1"/>
                <w:sz w:val="20"/>
                <w:szCs w:val="20"/>
                <w:shd w:val="clear" w:color="auto" w:fill="FFFFFF"/>
                <w:lang w:val="en-US"/>
              </w:rPr>
              <w:t xml:space="preserve"> climatice,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cum se </w:t>
            </w:r>
            <w:proofErr w:type="spellStart"/>
            <w:r w:rsidRPr="00CE3FB4">
              <w:rPr>
                <w:rFonts w:eastAsia="Arial Unicode MS"/>
                <w:color w:val="000000" w:themeColor="text1"/>
                <w:sz w:val="20"/>
                <w:szCs w:val="20"/>
                <w:shd w:val="clear" w:color="auto" w:fill="FFFFFF"/>
                <w:lang w:val="en-US"/>
              </w:rPr>
              <w:t>prevede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litera</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(a)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w:t>
            </w:r>
          </w:p>
          <w:p w14:paraId="0D377279" w14:textId="45B8BD49" w:rsidR="00124364" w:rsidRPr="00CE3FB4" w:rsidRDefault="00000000" w:rsidP="00CE3FB4">
            <w:pPr>
              <w:pStyle w:val="9"/>
              <w:numPr>
                <w:ilvl w:val="0"/>
                <w:numId w:val="62"/>
              </w:numPr>
              <w:spacing w:before="0" w:beforeAutospacing="0" w:after="0" w:afterAutospacing="0"/>
              <w:jc w:val="both"/>
              <w:rPr>
                <w:rFonts w:eastAsia="Arial Unicode MS"/>
                <w:color w:val="000000" w:themeColor="text1"/>
                <w:sz w:val="20"/>
                <w:szCs w:val="20"/>
                <w:lang w:val="en-US"/>
              </w:rPr>
            </w:pPr>
            <w:r w:rsidRPr="00CE3FB4">
              <w:rPr>
                <w:rFonts w:eastAsia="Arial Unicode MS"/>
                <w:color w:val="000000" w:themeColor="text1"/>
                <w:sz w:val="20"/>
                <w:szCs w:val="20"/>
                <w:shd w:val="clear" w:color="auto" w:fill="FFFFFF"/>
                <w:lang w:val="en-US"/>
              </w:rPr>
              <w:t xml:space="preserve">o </w:t>
            </w:r>
            <w:proofErr w:type="spellStart"/>
            <w:r w:rsidRPr="00CE3FB4">
              <w:rPr>
                <w:rFonts w:eastAsia="Arial Unicode MS"/>
                <w:color w:val="000000" w:themeColor="text1"/>
                <w:sz w:val="20"/>
                <w:szCs w:val="20"/>
                <w:shd w:val="clear" w:color="auto" w:fill="FFFFFF"/>
                <w:lang w:val="en-US"/>
              </w:rPr>
              <w:t>estimare</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impactului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fiecăreia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dintre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măsurile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litera</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(a)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lastRenderedPageBreak/>
              <w:t>paragraf</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reducerea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de gaze cu </w:t>
            </w:r>
            <w:proofErr w:type="spellStart"/>
            <w:r w:rsidRPr="00CE3FB4">
              <w:rPr>
                <w:rFonts w:eastAsia="Arial Unicode MS"/>
                <w:color w:val="000000" w:themeColor="text1"/>
                <w:sz w:val="20"/>
                <w:szCs w:val="20"/>
                <w:shd w:val="clear" w:color="auto" w:fill="FFFFFF"/>
                <w:lang w:val="en-US"/>
              </w:rPr>
              <w:t>efect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seră</w:t>
            </w:r>
            <w:proofErr w:type="spellEnd"/>
            <w:r w:rsidRPr="00CE3FB4">
              <w:rPr>
                <w:rFonts w:eastAsia="Arial Unicode MS"/>
                <w:color w:val="000000" w:themeColor="text1"/>
                <w:sz w:val="20"/>
                <w:szCs w:val="20"/>
                <w:shd w:val="clear" w:color="auto" w:fill="FFFFFF"/>
                <w:lang w:val="en-US"/>
              </w:rPr>
              <w:t>.</w:t>
            </w:r>
          </w:p>
          <w:p w14:paraId="232F4953" w14:textId="287E121B" w:rsidR="00124364" w:rsidRPr="00CE3FB4" w:rsidRDefault="00000000" w:rsidP="00CE3FB4">
            <w:pPr>
              <w:pStyle w:val="9"/>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Atingerea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țintelor</w:t>
            </w:r>
            <w:proofErr w:type="spellEnd"/>
            <w:r w:rsidRPr="00CE3FB4">
              <w:rPr>
                <w:rFonts w:eastAsia="Arial Unicode MS"/>
                <w:color w:val="000000" w:themeColor="text1"/>
                <w:sz w:val="20"/>
                <w:szCs w:val="20"/>
                <w:shd w:val="clear" w:color="auto" w:fill="FFFFFF"/>
                <w:lang w:val="en-US"/>
              </w:rPr>
              <w:t xml:space="preserve"> și a </w:t>
            </w:r>
            <w:proofErr w:type="spellStart"/>
            <w:r w:rsidRPr="00CE3FB4">
              <w:rPr>
                <w:rFonts w:eastAsia="Arial Unicode MS"/>
                <w:color w:val="000000" w:themeColor="text1"/>
                <w:sz w:val="20"/>
                <w:szCs w:val="20"/>
                <w:shd w:val="clear" w:color="auto" w:fill="FFFFFF"/>
                <w:lang w:val="en-US"/>
              </w:rPr>
              <w:t>jaloanelor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al </w:t>
            </w:r>
            <w:proofErr w:type="spellStart"/>
            <w:r w:rsidRPr="00CE3FB4">
              <w:rPr>
                <w:rFonts w:eastAsia="Arial Unicode MS"/>
                <w:color w:val="000000" w:themeColor="text1"/>
                <w:sz w:val="20"/>
                <w:szCs w:val="20"/>
                <w:shd w:val="clear" w:color="auto" w:fill="FFFFFF"/>
                <w:lang w:val="en-US"/>
              </w:rPr>
              <w:t>treilea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litera</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(b)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verifică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perioada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2025 și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fiecare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perioadă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ulterioară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cinci</w:t>
            </w:r>
            <w:proofErr w:type="spellEnd"/>
            <w:r w:rsidRPr="00CE3FB4">
              <w:rPr>
                <w:rFonts w:eastAsia="Arial Unicode MS"/>
                <w:color w:val="000000" w:themeColor="text1"/>
                <w:sz w:val="20"/>
                <w:szCs w:val="20"/>
                <w:shd w:val="clear" w:color="auto" w:fill="FFFFFF"/>
                <w:lang w:val="en-US"/>
              </w:rPr>
              <w:t xml:space="preserve"> ani care se </w:t>
            </w:r>
            <w:proofErr w:type="spellStart"/>
            <w:r w:rsidRPr="00CE3FB4">
              <w:rPr>
                <w:rFonts w:eastAsia="Arial Unicode MS"/>
                <w:color w:val="000000" w:themeColor="text1"/>
                <w:sz w:val="20"/>
                <w:szCs w:val="20"/>
                <w:shd w:val="clear" w:color="auto" w:fill="FFFFFF"/>
                <w:lang w:val="en-US"/>
              </w:rPr>
              <w:t>încheie</w:t>
            </w:r>
            <w:proofErr w:type="spellEnd"/>
            <w:r w:rsidRPr="00CE3FB4">
              <w:rPr>
                <w:rFonts w:eastAsia="Arial Unicode MS"/>
                <w:color w:val="000000" w:themeColor="text1"/>
                <w:sz w:val="20"/>
                <w:szCs w:val="20"/>
                <w:shd w:val="clear" w:color="auto" w:fill="FFFFFF"/>
                <w:lang w:val="en-US"/>
              </w:rPr>
              <w:t xml:space="preserve"> la data de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procedurile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verificare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acreditare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prevăzute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15. Nu se </w:t>
            </w:r>
            <w:proofErr w:type="spellStart"/>
            <w:r w:rsidRPr="00CE3FB4">
              <w:rPr>
                <w:rFonts w:eastAsia="Arial Unicode MS"/>
                <w:color w:val="000000" w:themeColor="text1"/>
                <w:sz w:val="20"/>
                <w:szCs w:val="20"/>
                <w:shd w:val="clear" w:color="auto" w:fill="FFFFFF"/>
                <w:lang w:val="en-US"/>
              </w:rPr>
              <w:t>alocă</w:t>
            </w:r>
            <w:proofErr w:type="spellEnd"/>
            <w:r w:rsidRPr="00CE3FB4">
              <w:rPr>
                <w:rFonts w:eastAsia="Arial Unicode MS"/>
                <w:color w:val="000000" w:themeColor="text1"/>
                <w:sz w:val="20"/>
                <w:szCs w:val="20"/>
                <w:shd w:val="clear" w:color="auto" w:fill="FFFFFF"/>
                <w:lang w:val="en-US"/>
              </w:rPr>
              <w:t xml:space="preserv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afară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cele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primul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dacă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îndeplinirea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țintelor</w:t>
            </w:r>
            <w:proofErr w:type="spellEnd"/>
            <w:r w:rsidRPr="00CE3FB4">
              <w:rPr>
                <w:rFonts w:eastAsia="Arial Unicode MS"/>
                <w:color w:val="000000" w:themeColor="text1"/>
                <w:sz w:val="20"/>
                <w:szCs w:val="20"/>
                <w:shd w:val="clear" w:color="auto" w:fill="FFFFFF"/>
                <w:lang w:val="en-US"/>
              </w:rPr>
              <w:t xml:space="preserve"> și a </w:t>
            </w:r>
            <w:proofErr w:type="spellStart"/>
            <w:r w:rsidRPr="00CE3FB4">
              <w:rPr>
                <w:rFonts w:eastAsia="Arial Unicode MS"/>
                <w:color w:val="000000" w:themeColor="text1"/>
                <w:sz w:val="20"/>
                <w:szCs w:val="20"/>
                <w:shd w:val="clear" w:color="auto" w:fill="FFFFFF"/>
                <w:lang w:val="en-US"/>
              </w:rPr>
              <w:t>jaloanelor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intermediare</w:t>
            </w:r>
            <w:proofErr w:type="spellEnd"/>
            <w:r w:rsidRPr="00CE3FB4">
              <w:rPr>
                <w:rFonts w:eastAsia="Arial Unicode MS"/>
                <w:color w:val="000000" w:themeColor="text1"/>
                <w:sz w:val="20"/>
                <w:szCs w:val="20"/>
                <w:shd w:val="clear" w:color="auto" w:fill="FFFFFF"/>
                <w:lang w:val="en-US"/>
              </w:rPr>
              <w:t xml:space="preserve"> nu a </w:t>
            </w:r>
            <w:proofErr w:type="spellStart"/>
            <w:r w:rsidRPr="00CE3FB4">
              <w:rPr>
                <w:rFonts w:eastAsia="Arial Unicode MS"/>
                <w:color w:val="000000" w:themeColor="text1"/>
                <w:sz w:val="20"/>
                <w:szCs w:val="20"/>
                <w:shd w:val="clear" w:color="auto" w:fill="FFFFFF"/>
                <w:lang w:val="en-US"/>
              </w:rPr>
              <w:t>fost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verificată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perioada de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sfârșitul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anului</w:t>
            </w:r>
            <w:proofErr w:type="spellEnd"/>
            <w:r w:rsidRPr="00CE3FB4">
              <w:rPr>
                <w:rFonts w:eastAsia="Arial Unicode MS"/>
                <w:color w:val="000000" w:themeColor="text1"/>
                <w:sz w:val="20"/>
                <w:szCs w:val="20"/>
                <w:shd w:val="clear" w:color="auto" w:fill="FFFFFF"/>
                <w:lang w:val="en-US"/>
              </w:rPr>
              <w:t xml:space="preserve"> 2025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perioada</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2026-2030.</w:t>
            </w:r>
          </w:p>
          <w:p w14:paraId="681CC5EC" w14:textId="6D710D8F" w:rsidR="00124364" w:rsidRPr="00CE3FB4" w:rsidRDefault="00000000" w:rsidP="00CE3FB4">
            <w:pPr>
              <w:pStyle w:val="9"/>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adoptă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punere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aplicare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preciza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conținutul</w:t>
            </w:r>
            <w:proofErr w:type="spellEnd"/>
            <w:r w:rsidRPr="00CE3FB4">
              <w:rPr>
                <w:rFonts w:eastAsia="Arial Unicode MS"/>
                <w:color w:val="000000" w:themeColor="text1"/>
                <w:sz w:val="20"/>
                <w:szCs w:val="20"/>
                <w:shd w:val="clear" w:color="auto" w:fill="FFFFFF"/>
                <w:lang w:val="en-US"/>
              </w:rPr>
              <w:t xml:space="preserve"> minim al </w:t>
            </w:r>
            <w:proofErr w:type="spellStart"/>
            <w:r w:rsidRPr="00CE3FB4">
              <w:rPr>
                <w:rFonts w:eastAsia="Arial Unicode MS"/>
                <w:color w:val="000000" w:themeColor="text1"/>
                <w:sz w:val="20"/>
                <w:szCs w:val="20"/>
                <w:shd w:val="clear" w:color="auto" w:fill="FFFFFF"/>
                <w:lang w:val="en-US"/>
              </w:rPr>
              <w:t>informațiilor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al </w:t>
            </w:r>
            <w:proofErr w:type="spellStart"/>
            <w:r w:rsidRPr="00CE3FB4">
              <w:rPr>
                <w:rFonts w:eastAsia="Arial Unicode MS"/>
                <w:color w:val="000000" w:themeColor="text1"/>
                <w:sz w:val="20"/>
                <w:szCs w:val="20"/>
                <w:shd w:val="clear" w:color="auto" w:fill="FFFFFF"/>
                <w:lang w:val="en-US"/>
              </w:rPr>
              <w:t>treilea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literele</w:t>
            </w:r>
            <w:proofErr w:type="spellEnd"/>
            <w:r w:rsidRPr="00CE3FB4">
              <w:rPr>
                <w:rFonts w:eastAsia="Arial Unicode MS"/>
                <w:color w:val="000000" w:themeColor="text1"/>
                <w:sz w:val="20"/>
                <w:szCs w:val="20"/>
                <w:shd w:val="clear" w:color="auto" w:fill="FFFFFF"/>
                <w:lang w:val="en-US"/>
              </w:rPr>
              <w:t xml:space="preserve"> (a), (b) și (c)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formatul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planurilor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privind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neutralitatea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climatică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paragraful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 xml:space="preserve"> și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10a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 al </w:t>
            </w:r>
            <w:proofErr w:type="spellStart"/>
            <w:r w:rsidRPr="00CE3FB4">
              <w:rPr>
                <w:rFonts w:eastAsia="Arial Unicode MS"/>
                <w:color w:val="000000" w:themeColor="text1"/>
                <w:sz w:val="20"/>
                <w:szCs w:val="20"/>
                <w:shd w:val="clear" w:color="auto" w:fill="FFFFFF"/>
                <w:lang w:val="en-US"/>
              </w:rPr>
              <w:t>cincilea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identifică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sinergii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planuri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similare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cum se </w:t>
            </w:r>
            <w:proofErr w:type="spellStart"/>
            <w:r w:rsidRPr="00CE3FB4">
              <w:rPr>
                <w:rFonts w:eastAsia="Arial Unicode MS"/>
                <w:color w:val="000000" w:themeColor="text1"/>
                <w:sz w:val="20"/>
                <w:szCs w:val="20"/>
                <w:shd w:val="clear" w:color="auto" w:fill="FFFFFF"/>
                <w:lang w:val="en-US"/>
              </w:rPr>
              <w:t>prevede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dreptul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Actele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punere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aplicare</w:t>
            </w:r>
            <w:proofErr w:type="spellEnd"/>
            <w:r w:rsidRPr="00CE3FB4">
              <w:rPr>
                <w:rFonts w:eastAsia="Arial Unicode MS"/>
                <w:color w:val="000000" w:themeColor="text1"/>
                <w:sz w:val="20"/>
                <w:szCs w:val="20"/>
                <w:shd w:val="clear" w:color="auto" w:fill="FFFFFF"/>
                <w:lang w:val="en-US"/>
              </w:rPr>
              <w:t xml:space="preserve"> respective se </w:t>
            </w:r>
            <w:proofErr w:type="spellStart"/>
            <w:r w:rsidRPr="00CE3FB4">
              <w:rPr>
                <w:rFonts w:eastAsia="Arial Unicode MS"/>
                <w:color w:val="000000" w:themeColor="text1"/>
                <w:sz w:val="20"/>
                <w:szCs w:val="20"/>
                <w:shd w:val="clear" w:color="auto" w:fill="FFFFFF"/>
                <w:lang w:val="en-US"/>
              </w:rPr>
              <w:t>adoptă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examinare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22a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(2).</w:t>
            </w:r>
          </w:p>
          <w:p w14:paraId="32E1E798" w14:textId="77777777" w:rsidR="00124364" w:rsidRDefault="00000000">
            <w:pPr>
              <w:pStyle w:val="9"/>
              <w:spacing w:before="0" w:beforeAutospacing="0" w:after="0" w:afterAutospacing="0" w:line="312" w:lineRule="atLeast"/>
              <w:rPr>
                <w:color w:val="4472C4" w:themeColor="accent1"/>
                <w:sz w:val="20"/>
                <w:szCs w:val="20"/>
                <w:lang w:val="en-US"/>
              </w:rPr>
            </w:pPr>
            <w:hyperlink r:id="rId166" w:tooltip="32018L0410: REPLACED" w:history="1">
              <w:r>
                <w:rPr>
                  <w:rStyle w:val="af3"/>
                  <w:rFonts w:eastAsia="Arial Unicode MS"/>
                  <w:b/>
                  <w:bCs/>
                  <w:color w:val="4472C4" w:themeColor="accent1"/>
                  <w:sz w:val="20"/>
                  <w:szCs w:val="20"/>
                  <w:lang w:val="en-US"/>
                </w:rPr>
                <w:t>▼M9</w:t>
              </w:r>
            </w:hyperlink>
          </w:p>
          <w:p w14:paraId="1F7E8B89" w14:textId="2509F7E4" w:rsidR="00124364" w:rsidRDefault="00000000" w:rsidP="00CE3FB4">
            <w:pPr>
              <w:pStyle w:val="9"/>
              <w:numPr>
                <w:ilvl w:val="0"/>
                <w:numId w:val="60"/>
              </w:numPr>
              <w:spacing w:before="0" w:beforeAutospacing="0" w:after="0" w:afterAutospacing="0"/>
              <w:ind w:left="714" w:hanging="357"/>
              <w:jc w:val="both"/>
              <w:rPr>
                <w:color w:val="4472C4" w:themeColor="accent1"/>
                <w:sz w:val="20"/>
                <w:szCs w:val="20"/>
                <w:lang w:val="en-US"/>
              </w:rPr>
            </w:pPr>
            <w:proofErr w:type="spellStart"/>
            <w:r w:rsidRPr="00CE3FB4">
              <w:rPr>
                <w:rFonts w:eastAsia="Arial Unicode MS"/>
                <w:color w:val="000000" w:themeColor="text1"/>
                <w:sz w:val="20"/>
                <w:szCs w:val="20"/>
                <w:lang w:val="en-US"/>
              </w:rPr>
              <w:t>Comisia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este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împuternicită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să</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adopte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până</w:t>
            </w:r>
            <w:proofErr w:type="spellEnd"/>
            <w:r w:rsidRPr="00CE3FB4">
              <w:rPr>
                <w:rFonts w:eastAsia="Arial Unicode MS"/>
                <w:color w:val="000000" w:themeColor="text1"/>
                <w:sz w:val="20"/>
                <w:szCs w:val="20"/>
                <w:lang w:val="en-US"/>
              </w:rPr>
              <w:t xml:space="preserve"> la 31</w:t>
            </w:r>
            <w:r w:rsidR="00CE3FB4"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decembrie</w:t>
            </w:r>
            <w:proofErr w:type="spellEnd"/>
            <w:r w:rsidRPr="00CE3FB4">
              <w:rPr>
                <w:rFonts w:eastAsia="Arial Unicode MS"/>
                <w:color w:val="000000" w:themeColor="text1"/>
                <w:sz w:val="20"/>
                <w:szCs w:val="20"/>
                <w:lang w:val="en-US"/>
              </w:rPr>
              <w:t xml:space="preserve"> 2019, </w:t>
            </w:r>
            <w:proofErr w:type="spellStart"/>
            <w:r w:rsidRPr="00CE3FB4">
              <w:rPr>
                <w:rFonts w:eastAsia="Arial Unicode MS"/>
                <w:color w:val="000000" w:themeColor="text1"/>
                <w:sz w:val="20"/>
                <w:szCs w:val="20"/>
                <w:lang w:val="en-US"/>
              </w:rPr>
              <w:t>acte</w:t>
            </w:r>
            <w:proofErr w:type="spellEnd"/>
            <w:r w:rsidRPr="00CE3FB4">
              <w:rPr>
                <w:rFonts w:eastAsia="Arial Unicode MS"/>
                <w:color w:val="000000" w:themeColor="text1"/>
                <w:sz w:val="20"/>
                <w:szCs w:val="20"/>
                <w:lang w:val="en-US"/>
              </w:rPr>
              <w:t xml:space="preserve"> delegate în conformitate cu </w:t>
            </w:r>
            <w:proofErr w:type="spellStart"/>
            <w:r w:rsidRPr="00CE3FB4">
              <w:rPr>
                <w:rFonts w:eastAsia="Arial Unicode MS"/>
                <w:color w:val="000000" w:themeColor="text1"/>
                <w:sz w:val="20"/>
                <w:szCs w:val="20"/>
                <w:lang w:val="en-US"/>
              </w:rPr>
              <w:t>articolul</w:t>
            </w:r>
            <w:proofErr w:type="spellEnd"/>
            <w:r w:rsidR="00CE3FB4" w:rsidRPr="00CE3FB4">
              <w:rPr>
                <w:rFonts w:eastAsia="Arial Unicode MS"/>
                <w:color w:val="000000" w:themeColor="text1"/>
                <w:sz w:val="20"/>
                <w:szCs w:val="20"/>
                <w:lang w:val="en-US"/>
              </w:rPr>
              <w:t xml:space="preserve"> </w:t>
            </w:r>
            <w:r w:rsidRPr="00CE3FB4">
              <w:rPr>
                <w:rFonts w:eastAsia="Arial Unicode MS"/>
                <w:color w:val="000000" w:themeColor="text1"/>
                <w:sz w:val="20"/>
                <w:szCs w:val="20"/>
                <w:lang w:val="en-US"/>
              </w:rPr>
              <w:t xml:space="preserve">23 </w:t>
            </w:r>
            <w:proofErr w:type="spellStart"/>
            <w:r w:rsidRPr="00CE3FB4">
              <w:rPr>
                <w:rFonts w:eastAsia="Arial Unicode MS"/>
                <w:color w:val="000000" w:themeColor="text1"/>
                <w:sz w:val="20"/>
                <w:szCs w:val="20"/>
                <w:lang w:val="en-US"/>
              </w:rPr>
              <w:t>pentru</w:t>
            </w:r>
            <w:proofErr w:type="spellEnd"/>
            <w:r w:rsidRPr="00CE3FB4">
              <w:rPr>
                <w:rFonts w:eastAsia="Arial Unicode MS"/>
                <w:color w:val="000000" w:themeColor="text1"/>
                <w:sz w:val="20"/>
                <w:szCs w:val="20"/>
                <w:lang w:val="en-US"/>
              </w:rPr>
              <w:t xml:space="preserve"> a </w:t>
            </w:r>
            <w:proofErr w:type="spellStart"/>
            <w:r w:rsidRPr="00CE3FB4">
              <w:rPr>
                <w:rFonts w:eastAsia="Arial Unicode MS"/>
                <w:color w:val="000000" w:themeColor="text1"/>
                <w:sz w:val="20"/>
                <w:szCs w:val="20"/>
                <w:lang w:val="en-US"/>
              </w:rPr>
              <w:t>completa</w:t>
            </w:r>
            <w:proofErr w:type="spellEnd"/>
            <w:r w:rsidRPr="00CE3FB4">
              <w:rPr>
                <w:rFonts w:eastAsia="Arial Unicode MS"/>
                <w:color w:val="000000" w:themeColor="text1"/>
                <w:sz w:val="20"/>
                <w:szCs w:val="20"/>
                <w:lang w:val="en-US"/>
              </w:rPr>
              <w:t xml:space="preserve"> prezenta </w:t>
            </w:r>
            <w:proofErr w:type="spellStart"/>
            <w:r w:rsidRPr="00CE3FB4">
              <w:rPr>
                <w:rFonts w:eastAsia="Arial Unicode MS"/>
                <w:color w:val="000000" w:themeColor="text1"/>
                <w:sz w:val="20"/>
                <w:szCs w:val="20"/>
                <w:lang w:val="en-US"/>
              </w:rPr>
              <w:t>directivă</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ceea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privește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stabilirea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sectoarelor</w:t>
            </w:r>
            <w:proofErr w:type="spellEnd"/>
            <w:r w:rsidRPr="00CE3FB4">
              <w:rPr>
                <w:rFonts w:eastAsia="Arial Unicode MS"/>
                <w:color w:val="000000" w:themeColor="text1"/>
                <w:sz w:val="20"/>
                <w:szCs w:val="20"/>
                <w:lang w:val="en-US"/>
              </w:rPr>
              <w:t xml:space="preserve"> și </w:t>
            </w:r>
            <w:proofErr w:type="spellStart"/>
            <w:r w:rsidRPr="00CE3FB4">
              <w:rPr>
                <w:rFonts w:eastAsia="Arial Unicode MS"/>
                <w:color w:val="000000" w:themeColor="text1"/>
                <w:sz w:val="20"/>
                <w:szCs w:val="20"/>
                <w:lang w:val="en-US"/>
              </w:rPr>
              <w:t>subsectoarelor</w:t>
            </w:r>
            <w:proofErr w:type="spellEnd"/>
            <w:r w:rsidRPr="00CE3FB4">
              <w:rPr>
                <w:rFonts w:eastAsia="Arial Unicode MS"/>
                <w:color w:val="000000" w:themeColor="text1"/>
                <w:sz w:val="20"/>
                <w:szCs w:val="20"/>
                <w:lang w:val="en-US"/>
              </w:rPr>
              <w:t xml:space="preserve"> considerate cu </w:t>
            </w:r>
            <w:proofErr w:type="spellStart"/>
            <w:r w:rsidRPr="00CE3FB4">
              <w:rPr>
                <w:rFonts w:eastAsia="Arial Unicode MS"/>
                <w:color w:val="000000" w:themeColor="text1"/>
                <w:sz w:val="20"/>
                <w:szCs w:val="20"/>
                <w:lang w:val="en-US"/>
              </w:rPr>
              <w:t>risc</w:t>
            </w:r>
            <w:proofErr w:type="spellEnd"/>
            <w:r w:rsidRPr="00CE3FB4">
              <w:rPr>
                <w:rFonts w:eastAsia="Arial Unicode MS"/>
                <w:color w:val="000000" w:themeColor="text1"/>
                <w:sz w:val="20"/>
                <w:szCs w:val="20"/>
                <w:lang w:val="en-US"/>
              </w:rPr>
              <w:t xml:space="preserve"> de </w:t>
            </w:r>
            <w:proofErr w:type="spellStart"/>
            <w:r w:rsidRPr="00CE3FB4">
              <w:rPr>
                <w:rFonts w:eastAsia="Arial Unicode MS"/>
                <w:color w:val="000000" w:themeColor="text1"/>
                <w:sz w:val="20"/>
                <w:szCs w:val="20"/>
                <w:lang w:val="en-US"/>
              </w:rPr>
              <w:t>relocare</w:t>
            </w:r>
            <w:proofErr w:type="spellEnd"/>
            <w:r w:rsidRPr="00CE3FB4">
              <w:rPr>
                <w:rFonts w:eastAsia="Arial Unicode MS"/>
                <w:color w:val="000000" w:themeColor="text1"/>
                <w:sz w:val="20"/>
                <w:szCs w:val="20"/>
                <w:lang w:val="en-US"/>
              </w:rPr>
              <w:t xml:space="preserve"> a </w:t>
            </w:r>
            <w:proofErr w:type="spellStart"/>
            <w:r w:rsidRPr="00CE3FB4">
              <w:rPr>
                <w:rFonts w:eastAsia="Arial Unicode MS"/>
                <w:color w:val="000000" w:themeColor="text1"/>
                <w:sz w:val="20"/>
                <w:szCs w:val="20"/>
                <w:lang w:val="en-US"/>
              </w:rPr>
              <w:t>emisiilor</w:t>
            </w:r>
            <w:proofErr w:type="spellEnd"/>
            <w:r w:rsidRPr="00CE3FB4">
              <w:rPr>
                <w:rFonts w:eastAsia="Arial Unicode MS"/>
                <w:color w:val="000000" w:themeColor="text1"/>
                <w:sz w:val="20"/>
                <w:szCs w:val="20"/>
                <w:lang w:val="en-US"/>
              </w:rPr>
              <w:t xml:space="preserve"> de </w:t>
            </w:r>
            <w:proofErr w:type="spellStart"/>
            <w:r w:rsidRPr="00CE3FB4">
              <w:rPr>
                <w:rFonts w:eastAsia="Arial Unicode MS"/>
                <w:color w:val="000000" w:themeColor="text1"/>
                <w:sz w:val="20"/>
                <w:szCs w:val="20"/>
                <w:lang w:val="en-US"/>
              </w:rPr>
              <w:t>dioxid</w:t>
            </w:r>
            <w:proofErr w:type="spellEnd"/>
            <w:r w:rsidRPr="00CE3FB4">
              <w:rPr>
                <w:rFonts w:eastAsia="Arial Unicode MS"/>
                <w:color w:val="000000" w:themeColor="text1"/>
                <w:sz w:val="20"/>
                <w:szCs w:val="20"/>
                <w:lang w:val="en-US"/>
              </w:rPr>
              <w:t xml:space="preserve"> de carbon, </w:t>
            </w:r>
            <w:proofErr w:type="spellStart"/>
            <w:r w:rsidRPr="00CE3FB4">
              <w:rPr>
                <w:rFonts w:eastAsia="Arial Unicode MS"/>
                <w:color w:val="000000" w:themeColor="text1"/>
                <w:sz w:val="20"/>
                <w:szCs w:val="20"/>
                <w:lang w:val="en-US"/>
              </w:rPr>
              <w:t>astfel</w:t>
            </w:r>
            <w:proofErr w:type="spellEnd"/>
            <w:r w:rsidRPr="00CE3FB4">
              <w:rPr>
                <w:rFonts w:eastAsia="Arial Unicode MS"/>
                <w:color w:val="000000" w:themeColor="text1"/>
                <w:sz w:val="20"/>
                <w:szCs w:val="20"/>
                <w:lang w:val="en-US"/>
              </w:rPr>
              <w:t xml:space="preserve"> cum se </w:t>
            </w:r>
            <w:proofErr w:type="spellStart"/>
            <w:r w:rsidRPr="00CE3FB4">
              <w:rPr>
                <w:rFonts w:eastAsia="Arial Unicode MS"/>
                <w:color w:val="000000" w:themeColor="text1"/>
                <w:sz w:val="20"/>
                <w:szCs w:val="20"/>
                <w:lang w:val="en-US"/>
              </w:rPr>
              <w:t>menționează</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alineatele</w:t>
            </w:r>
            <w:proofErr w:type="spellEnd"/>
            <w:r w:rsidRPr="00CE3FB4">
              <w:rPr>
                <w:rFonts w:eastAsia="Arial Unicode MS"/>
                <w:color w:val="000000" w:themeColor="text1"/>
                <w:sz w:val="20"/>
                <w:szCs w:val="20"/>
                <w:lang w:val="en-US"/>
              </w:rPr>
              <w:t xml:space="preserve"> (1), (2) și (3) de la </w:t>
            </w:r>
            <w:proofErr w:type="spellStart"/>
            <w:r w:rsidRPr="00CE3FB4">
              <w:rPr>
                <w:rFonts w:eastAsia="Arial Unicode MS"/>
                <w:color w:val="000000" w:themeColor="text1"/>
                <w:sz w:val="20"/>
                <w:szCs w:val="20"/>
                <w:lang w:val="en-US"/>
              </w:rPr>
              <w:t>prezentul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articol</w:t>
            </w:r>
            <w:proofErr w:type="spellEnd"/>
            <w:r w:rsidRPr="00CE3FB4">
              <w:rPr>
                <w:rFonts w:eastAsia="Arial Unicode MS"/>
                <w:color w:val="000000" w:themeColor="text1"/>
                <w:sz w:val="20"/>
                <w:szCs w:val="20"/>
                <w:lang w:val="en-US"/>
              </w:rPr>
              <w:t xml:space="preserve">, în </w:t>
            </w:r>
            <w:proofErr w:type="spellStart"/>
            <w:r w:rsidRPr="00CE3FB4">
              <w:rPr>
                <w:rFonts w:eastAsia="Arial Unicode MS"/>
                <w:color w:val="000000" w:themeColor="text1"/>
                <w:sz w:val="20"/>
                <w:szCs w:val="20"/>
                <w:lang w:val="en-US"/>
              </w:rPr>
              <w:t>cazul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activităților</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nivelul</w:t>
            </w:r>
            <w:proofErr w:type="spellEnd"/>
            <w:r w:rsidRPr="00CE3FB4">
              <w:rPr>
                <w:rFonts w:eastAsia="Arial Unicode MS"/>
                <w:color w:val="000000" w:themeColor="text1"/>
                <w:sz w:val="20"/>
                <w:szCs w:val="20"/>
                <w:lang w:val="en-US"/>
              </w:rPr>
              <w:t xml:space="preserve"> de 4 </w:t>
            </w:r>
            <w:proofErr w:type="spellStart"/>
            <w:r w:rsidRPr="00CE3FB4">
              <w:rPr>
                <w:rFonts w:eastAsia="Arial Unicode MS"/>
                <w:color w:val="000000" w:themeColor="text1"/>
                <w:sz w:val="20"/>
                <w:szCs w:val="20"/>
                <w:lang w:val="en-US"/>
              </w:rPr>
              <w:t>cifre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codul</w:t>
            </w:r>
            <w:proofErr w:type="spellEnd"/>
            <w:r w:rsidRPr="00CE3FB4">
              <w:rPr>
                <w:rFonts w:eastAsia="Arial Unicode MS"/>
                <w:color w:val="000000" w:themeColor="text1"/>
                <w:sz w:val="20"/>
                <w:szCs w:val="20"/>
                <w:lang w:val="en-US"/>
              </w:rPr>
              <w:t xml:space="preserve"> NACE-4) în </w:t>
            </w:r>
            <w:proofErr w:type="spellStart"/>
            <w:r w:rsidRPr="00CE3FB4">
              <w:rPr>
                <w:rFonts w:eastAsia="Arial Unicode MS"/>
                <w:color w:val="000000" w:themeColor="text1"/>
                <w:sz w:val="20"/>
                <w:szCs w:val="20"/>
                <w:lang w:val="en-US"/>
              </w:rPr>
              <w:t>ceea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ce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privește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alineatul</w:t>
            </w:r>
            <w:proofErr w:type="spellEnd"/>
            <w:r w:rsidRPr="00CE3FB4">
              <w:rPr>
                <w:rFonts w:eastAsia="Arial Unicode MS"/>
                <w:color w:val="000000" w:themeColor="text1"/>
                <w:sz w:val="20"/>
                <w:szCs w:val="20"/>
                <w:lang w:val="en-US"/>
              </w:rPr>
              <w:t xml:space="preserve"> (1) de la </w:t>
            </w:r>
            <w:proofErr w:type="spellStart"/>
            <w:r w:rsidRPr="00CE3FB4">
              <w:rPr>
                <w:rFonts w:eastAsia="Arial Unicode MS"/>
                <w:color w:val="000000" w:themeColor="text1"/>
                <w:sz w:val="20"/>
                <w:szCs w:val="20"/>
                <w:lang w:val="en-US"/>
              </w:rPr>
              <w:t>prezentul</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articol</w:t>
            </w:r>
            <w:proofErr w:type="spellEnd"/>
            <w:r w:rsidRPr="00CE3FB4">
              <w:rPr>
                <w:rFonts w:eastAsia="Arial Unicode MS"/>
                <w:color w:val="000000" w:themeColor="text1"/>
                <w:sz w:val="20"/>
                <w:szCs w:val="20"/>
                <w:lang w:val="en-US"/>
              </w:rPr>
              <w:t xml:space="preserve">, pe </w:t>
            </w:r>
            <w:proofErr w:type="spellStart"/>
            <w:r w:rsidRPr="00CE3FB4">
              <w:rPr>
                <w:rFonts w:eastAsia="Arial Unicode MS"/>
                <w:color w:val="000000" w:themeColor="text1"/>
                <w:sz w:val="20"/>
                <w:szCs w:val="20"/>
                <w:lang w:val="en-US"/>
              </w:rPr>
              <w:t>baza</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datelor</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disponibile</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referitoare</w:t>
            </w:r>
            <w:proofErr w:type="spellEnd"/>
            <w:r w:rsidRPr="00CE3FB4">
              <w:rPr>
                <w:rFonts w:eastAsia="Arial Unicode MS"/>
                <w:color w:val="000000" w:themeColor="text1"/>
                <w:sz w:val="20"/>
                <w:szCs w:val="20"/>
                <w:lang w:val="en-US"/>
              </w:rPr>
              <w:t xml:space="preserve"> la </w:t>
            </w:r>
            <w:proofErr w:type="spellStart"/>
            <w:r w:rsidRPr="00CE3FB4">
              <w:rPr>
                <w:rFonts w:eastAsia="Arial Unicode MS"/>
                <w:color w:val="000000" w:themeColor="text1"/>
                <w:sz w:val="20"/>
                <w:szCs w:val="20"/>
                <w:lang w:val="en-US"/>
              </w:rPr>
              <w:t>cei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mai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recenți</w:t>
            </w:r>
            <w:proofErr w:type="spellEnd"/>
            <w:r w:rsidRPr="00CE3FB4">
              <w:rPr>
                <w:rFonts w:eastAsia="Arial Unicode MS"/>
                <w:color w:val="000000" w:themeColor="text1"/>
                <w:sz w:val="20"/>
                <w:szCs w:val="20"/>
                <w:lang w:val="en-US"/>
              </w:rPr>
              <w:t xml:space="preserve"> </w:t>
            </w:r>
            <w:proofErr w:type="spellStart"/>
            <w:r w:rsidRPr="00CE3FB4">
              <w:rPr>
                <w:rFonts w:eastAsia="Arial Unicode MS"/>
                <w:color w:val="000000" w:themeColor="text1"/>
                <w:sz w:val="20"/>
                <w:szCs w:val="20"/>
                <w:lang w:val="en-US"/>
              </w:rPr>
              <w:t>trei</w:t>
            </w:r>
            <w:proofErr w:type="spellEnd"/>
            <w:r w:rsidRPr="00CE3FB4">
              <w:rPr>
                <w:rFonts w:eastAsia="Arial Unicode MS"/>
                <w:color w:val="000000" w:themeColor="text1"/>
                <w:sz w:val="20"/>
                <w:szCs w:val="20"/>
                <w:lang w:val="en-US"/>
              </w:rPr>
              <w:t xml:space="preserve"> ani </w:t>
            </w:r>
            <w:proofErr w:type="spellStart"/>
            <w:r w:rsidRPr="00CE3FB4">
              <w:rPr>
                <w:rFonts w:eastAsia="Arial Unicode MS"/>
                <w:color w:val="000000" w:themeColor="text1"/>
                <w:sz w:val="20"/>
                <w:szCs w:val="20"/>
                <w:lang w:val="en-US"/>
              </w:rPr>
              <w:t>calendaristici</w:t>
            </w:r>
            <w:proofErr w:type="spellEnd"/>
            <w:r w:rsidRPr="00CE3FB4">
              <w:rPr>
                <w:rFonts w:eastAsia="Arial Unicode MS"/>
                <w:color w:val="000000" w:themeColor="text1"/>
                <w:sz w:val="20"/>
                <w:szCs w:val="20"/>
                <w:lang w:val="en-US"/>
              </w:rPr>
              <w:t>.</w:t>
            </w:r>
          </w:p>
        </w:tc>
        <w:tc>
          <w:tcPr>
            <w:tcW w:w="4394" w:type="dxa"/>
            <w:shd w:val="clear" w:color="auto" w:fill="auto"/>
          </w:tcPr>
          <w:p w14:paraId="54BBCE07"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E587E79" w14:textId="66726C9E" w:rsidR="00124364" w:rsidRDefault="00CE3FB4" w:rsidP="00CE3FB4">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03F8CC5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68C8596" w14:textId="77777777" w:rsidR="00CE3FB4" w:rsidRPr="0066519A" w:rsidRDefault="00CE3FB4" w:rsidP="00CE3FB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77ED9225"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700CA0A8"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7AC4CE8B" w14:textId="2F7C399B" w:rsidR="00124364" w:rsidRDefault="00CE3FB4" w:rsidP="00CE3FB4">
            <w:pPr>
              <w:autoSpaceDE w:val="0"/>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xml:space="preserve">Prevederile referitoare la CBAM vor fi transpuse </w:t>
            </w:r>
            <w:r w:rsidRPr="00A5319F">
              <w:rPr>
                <w:rFonts w:ascii="Times New Roman" w:hAnsi="Times New Roman"/>
                <w:color w:val="000000" w:themeColor="text1"/>
                <w:sz w:val="20"/>
                <w:szCs w:val="20"/>
                <w:shd w:val="clear" w:color="auto" w:fill="FFFFFF"/>
                <w:lang w:val="en-US"/>
              </w:rPr>
              <w:t xml:space="preserve">în </w:t>
            </w:r>
            <w:proofErr w:type="spellStart"/>
            <w:r w:rsidRPr="00A5319F">
              <w:rPr>
                <w:rFonts w:ascii="Times New Roman" w:hAnsi="Times New Roman"/>
                <w:color w:val="000000" w:themeColor="text1"/>
                <w:sz w:val="20"/>
                <w:szCs w:val="20"/>
                <w:shd w:val="clear" w:color="auto" w:fill="FFFFFF"/>
                <w:lang w:val="en-US"/>
              </w:rPr>
              <w:t>Regulamentul</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t>privind</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t>aprobarea</w:t>
            </w:r>
            <w:proofErr w:type="spellEnd"/>
            <w:r w:rsidRPr="00A5319F">
              <w:rPr>
                <w:rFonts w:ascii="Times New Roman" w:hAnsi="Times New Roman"/>
                <w:color w:val="000000" w:themeColor="text1"/>
                <w:sz w:val="20"/>
                <w:szCs w:val="20"/>
                <w:shd w:val="clear" w:color="auto" w:fill="FFFFFF"/>
                <w:lang w:val="en-US"/>
              </w:rPr>
              <w:t xml:space="preserve"> </w:t>
            </w:r>
            <w:proofErr w:type="spellStart"/>
            <w:r w:rsidRPr="00A5319F">
              <w:rPr>
                <w:rFonts w:ascii="Times New Roman" w:hAnsi="Times New Roman"/>
                <w:color w:val="000000" w:themeColor="text1"/>
                <w:sz w:val="20"/>
                <w:szCs w:val="20"/>
                <w:shd w:val="clear" w:color="auto" w:fill="FFFFFF"/>
                <w:lang w:val="en-US"/>
              </w:rPr>
              <w:t>sistemului</w:t>
            </w:r>
            <w:proofErr w:type="spellEnd"/>
            <w:r w:rsidRPr="00A5319F">
              <w:rPr>
                <w:rFonts w:ascii="Times New Roman" w:hAnsi="Times New Roman"/>
                <w:color w:val="000000" w:themeColor="text1"/>
                <w:sz w:val="20"/>
                <w:szCs w:val="20"/>
                <w:shd w:val="clear" w:color="auto" w:fill="FFFFFF"/>
                <w:lang w:val="en-US"/>
              </w:rPr>
              <w:t xml:space="preserve"> de </w:t>
            </w:r>
            <w:proofErr w:type="spellStart"/>
            <w:r w:rsidRPr="00A5319F">
              <w:rPr>
                <w:rFonts w:ascii="Times New Roman" w:hAnsi="Times New Roman"/>
                <w:color w:val="000000" w:themeColor="text1"/>
                <w:sz w:val="20"/>
                <w:szCs w:val="20"/>
                <w:shd w:val="clear" w:color="auto" w:fill="FFFFFF"/>
                <w:lang w:val="en-US"/>
              </w:rPr>
              <w:t>stabilire</w:t>
            </w:r>
            <w:proofErr w:type="spellEnd"/>
            <w:r w:rsidRPr="00A5319F">
              <w:rPr>
                <w:rFonts w:ascii="Times New Roman" w:hAnsi="Times New Roman"/>
                <w:color w:val="000000" w:themeColor="text1"/>
                <w:sz w:val="20"/>
                <w:szCs w:val="20"/>
                <w:shd w:val="clear" w:color="auto" w:fill="FFFFFF"/>
                <w:lang w:val="en-US"/>
              </w:rPr>
              <w:t xml:space="preserve"> a </w:t>
            </w:r>
            <w:proofErr w:type="spellStart"/>
            <w:r w:rsidRPr="00A5319F">
              <w:rPr>
                <w:rFonts w:ascii="Times New Roman" w:hAnsi="Times New Roman"/>
                <w:color w:val="000000" w:themeColor="text1"/>
                <w:sz w:val="20"/>
                <w:szCs w:val="20"/>
                <w:shd w:val="clear" w:color="auto" w:fill="FFFFFF"/>
                <w:lang w:val="en-US"/>
              </w:rPr>
              <w:t>prețului</w:t>
            </w:r>
            <w:proofErr w:type="spellEnd"/>
            <w:r w:rsidRPr="00A5319F">
              <w:rPr>
                <w:rFonts w:ascii="Times New Roman" w:hAnsi="Times New Roman"/>
                <w:color w:val="000000" w:themeColor="text1"/>
                <w:sz w:val="20"/>
                <w:szCs w:val="20"/>
                <w:shd w:val="clear" w:color="auto" w:fill="FFFFFF"/>
                <w:lang w:val="en-US"/>
              </w:rPr>
              <w:t xml:space="preserve"> carbonului</w:t>
            </w:r>
          </w:p>
        </w:tc>
        <w:tc>
          <w:tcPr>
            <w:tcW w:w="1464" w:type="dxa"/>
            <w:shd w:val="clear" w:color="auto" w:fill="auto"/>
          </w:tcPr>
          <w:p w14:paraId="5D9C912C" w14:textId="77777777" w:rsidR="00124364" w:rsidRDefault="00124364" w:rsidP="00CE3FB4">
            <w:pPr>
              <w:autoSpaceDE w:val="0"/>
              <w:spacing w:after="0" w:line="240" w:lineRule="auto"/>
              <w:rPr>
                <w:rFonts w:ascii="Times New Roman" w:hAnsi="Times New Roman"/>
                <w:sz w:val="20"/>
                <w:szCs w:val="20"/>
                <w:lang w:val="fr-FR"/>
              </w:rPr>
            </w:pPr>
          </w:p>
        </w:tc>
      </w:tr>
      <w:tr w:rsidR="00124364" w14:paraId="4FA94371" w14:textId="77777777">
        <w:trPr>
          <w:trHeight w:val="558"/>
        </w:trPr>
        <w:tc>
          <w:tcPr>
            <w:tcW w:w="4957" w:type="dxa"/>
            <w:shd w:val="clear" w:color="auto" w:fill="auto"/>
          </w:tcPr>
          <w:p w14:paraId="1DF6E88C" w14:textId="77777777"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lastRenderedPageBreak/>
              <w:t>Articolul</w:t>
            </w:r>
            <w:proofErr w:type="spellEnd"/>
            <w:r w:rsidRPr="00B9573B">
              <w:rPr>
                <w:rFonts w:eastAsia="Arial Unicode MS"/>
                <w:i/>
                <w:iCs/>
                <w:color w:val="333333"/>
                <w:sz w:val="20"/>
                <w:szCs w:val="20"/>
                <w:shd w:val="clear" w:color="auto" w:fill="FFFFFF"/>
                <w:lang w:val="en-US"/>
              </w:rPr>
              <w:t xml:space="preserve"> 10c</w:t>
            </w:r>
          </w:p>
          <w:p w14:paraId="2443F4D7" w14:textId="77777777" w:rsidR="00124364" w:rsidRPr="00CE3FB4" w:rsidRDefault="00000000" w:rsidP="00CE3FB4">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CE3FB4">
              <w:rPr>
                <w:rFonts w:eastAsia="Arial Unicode MS"/>
                <w:b/>
                <w:bCs/>
                <w:color w:val="000000" w:themeColor="text1"/>
                <w:sz w:val="20"/>
                <w:szCs w:val="20"/>
                <w:shd w:val="clear" w:color="auto" w:fill="FFFFFF"/>
                <w:lang w:val="en-US"/>
              </w:rPr>
              <w:t>Optarea</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pentru</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alocări</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tranzitorii</w:t>
            </w:r>
            <w:proofErr w:type="spellEnd"/>
            <w:r w:rsidRPr="00CE3FB4">
              <w:rPr>
                <w:rFonts w:eastAsia="Arial Unicode MS"/>
                <w:b/>
                <w:bCs/>
                <w:color w:val="000000" w:themeColor="text1"/>
                <w:sz w:val="20"/>
                <w:szCs w:val="20"/>
                <w:shd w:val="clear" w:color="auto" w:fill="FFFFFF"/>
                <w:lang w:val="en-US"/>
              </w:rPr>
              <w:t xml:space="preserve"> cu </w:t>
            </w:r>
            <w:proofErr w:type="spellStart"/>
            <w:r w:rsidRPr="00CE3FB4">
              <w:rPr>
                <w:rFonts w:eastAsia="Arial Unicode MS"/>
                <w:b/>
                <w:bCs/>
                <w:color w:val="000000" w:themeColor="text1"/>
                <w:sz w:val="20"/>
                <w:szCs w:val="20"/>
                <w:shd w:val="clear" w:color="auto" w:fill="FFFFFF"/>
                <w:lang w:val="en-US"/>
              </w:rPr>
              <w:t>titlu</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gratuit</w:t>
            </w:r>
            <w:proofErr w:type="spellEnd"/>
            <w:r w:rsidRPr="00CE3FB4">
              <w:rPr>
                <w:rFonts w:eastAsia="Arial Unicode MS"/>
                <w:b/>
                <w:bCs/>
                <w:color w:val="000000" w:themeColor="text1"/>
                <w:sz w:val="20"/>
                <w:szCs w:val="20"/>
                <w:shd w:val="clear" w:color="auto" w:fill="FFFFFF"/>
                <w:lang w:val="en-US"/>
              </w:rPr>
              <w:t xml:space="preserve"> în </w:t>
            </w:r>
            <w:proofErr w:type="spellStart"/>
            <w:r w:rsidRPr="00CE3FB4">
              <w:rPr>
                <w:rFonts w:eastAsia="Arial Unicode MS"/>
                <w:b/>
                <w:bCs/>
                <w:color w:val="000000" w:themeColor="text1"/>
                <w:sz w:val="20"/>
                <w:szCs w:val="20"/>
                <w:shd w:val="clear" w:color="auto" w:fill="FFFFFF"/>
                <w:lang w:val="en-US"/>
              </w:rPr>
              <w:t>scopul</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modernizării</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sectorului</w:t>
            </w:r>
            <w:proofErr w:type="spellEnd"/>
            <w:r w:rsidRPr="00CE3FB4">
              <w:rPr>
                <w:rFonts w:eastAsia="Arial Unicode MS"/>
                <w:b/>
                <w:bCs/>
                <w:color w:val="000000" w:themeColor="text1"/>
                <w:sz w:val="20"/>
                <w:szCs w:val="20"/>
                <w:shd w:val="clear" w:color="auto" w:fill="FFFFFF"/>
                <w:lang w:val="en-US"/>
              </w:rPr>
              <w:t xml:space="preserve"> energetic</w:t>
            </w:r>
          </w:p>
          <w:p w14:paraId="5E149580" w14:textId="273A12C0" w:rsidR="00124364" w:rsidRPr="00CE3FB4" w:rsidRDefault="00000000" w:rsidP="00CE3FB4">
            <w:pPr>
              <w:pStyle w:val="ti-art"/>
              <w:numPr>
                <w:ilvl w:val="0"/>
                <w:numId w:val="6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derogare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10a </w:t>
            </w:r>
            <w:proofErr w:type="spellStart"/>
            <w:r w:rsidRPr="00CE3FB4">
              <w:rPr>
                <w:rFonts w:eastAsia="Arial Unicode MS"/>
                <w:color w:val="000000" w:themeColor="text1"/>
                <w:sz w:val="20"/>
                <w:szCs w:val="20"/>
                <w:shd w:val="clear" w:color="auto" w:fill="FFFFFF"/>
                <w:lang w:val="en-US"/>
              </w:rPr>
              <w:t>alineatele</w:t>
            </w:r>
            <w:proofErr w:type="spellEnd"/>
            <w:r w:rsidRPr="00CE3FB4">
              <w:rPr>
                <w:rFonts w:eastAsia="Arial Unicode MS"/>
                <w:color w:val="000000" w:themeColor="text1"/>
                <w:sz w:val="20"/>
                <w:szCs w:val="20"/>
                <w:shd w:val="clear" w:color="auto" w:fill="FFFFFF"/>
                <w:lang w:val="en-US"/>
              </w:rPr>
              <w:t xml:space="preserve"> (1)-(5),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care în 2013 au </w:t>
            </w:r>
            <w:proofErr w:type="spellStart"/>
            <w:r w:rsidRPr="00CE3FB4">
              <w:rPr>
                <w:rFonts w:eastAsia="Arial Unicode MS"/>
                <w:color w:val="000000" w:themeColor="text1"/>
                <w:sz w:val="20"/>
                <w:szCs w:val="20"/>
                <w:shd w:val="clear" w:color="auto" w:fill="FFFFFF"/>
                <w:lang w:val="en-US"/>
              </w:rPr>
              <w:t>avut</w:t>
            </w:r>
            <w:proofErr w:type="spellEnd"/>
            <w:r w:rsidRPr="00CE3FB4">
              <w:rPr>
                <w:rFonts w:eastAsia="Arial Unicode MS"/>
                <w:color w:val="000000" w:themeColor="text1"/>
                <w:sz w:val="20"/>
                <w:szCs w:val="20"/>
                <w:shd w:val="clear" w:color="auto" w:fill="FFFFFF"/>
                <w:lang w:val="en-US"/>
              </w:rPr>
              <w:t xml:space="preserve"> un PIB pe cap de </w:t>
            </w:r>
            <w:proofErr w:type="spellStart"/>
            <w:r w:rsidRPr="00CE3FB4">
              <w:rPr>
                <w:rFonts w:eastAsia="Arial Unicode MS"/>
                <w:color w:val="000000" w:themeColor="text1"/>
                <w:sz w:val="20"/>
                <w:szCs w:val="20"/>
                <w:shd w:val="clear" w:color="auto" w:fill="FFFFFF"/>
                <w:lang w:val="en-US"/>
              </w:rPr>
              <w:t>locuitor</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prețurile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pieței</w:t>
            </w:r>
            <w:proofErr w:type="spellEnd"/>
            <w:r w:rsidRPr="00CE3FB4">
              <w:rPr>
                <w:rFonts w:eastAsia="Arial Unicode MS"/>
                <w:color w:val="000000" w:themeColor="text1"/>
                <w:sz w:val="20"/>
                <w:szCs w:val="20"/>
                <w:shd w:val="clear" w:color="auto" w:fill="FFFFFF"/>
                <w:lang w:val="en-US"/>
              </w:rPr>
              <w:t xml:space="preserve"> (în euro) sub 60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media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pot </w:t>
            </w:r>
            <w:proofErr w:type="spellStart"/>
            <w:r w:rsidRPr="00CE3FB4">
              <w:rPr>
                <w:rFonts w:eastAsia="Arial Unicode MS"/>
                <w:color w:val="000000" w:themeColor="text1"/>
                <w:sz w:val="20"/>
                <w:szCs w:val="20"/>
                <w:shd w:val="clear" w:color="auto" w:fill="FFFFFF"/>
                <w:lang w:val="en-US"/>
              </w:rPr>
              <w:t>acorda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producție</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energiei </w:t>
            </w:r>
            <w:proofErr w:type="spellStart"/>
            <w:r w:rsidRPr="00CE3FB4">
              <w:rPr>
                <w:rFonts w:eastAsia="Arial Unicode MS"/>
                <w:color w:val="000000" w:themeColor="text1"/>
                <w:sz w:val="20"/>
                <w:szCs w:val="20"/>
                <w:shd w:val="clear" w:color="auto" w:fill="FFFFFF"/>
                <w:lang w:val="en-US"/>
              </w:rPr>
              <w:t>electrice</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alocare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tranzitorie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diversificarea</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transformarea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durabilă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sectorului</w:t>
            </w:r>
            <w:proofErr w:type="spellEnd"/>
            <w:r w:rsidRPr="00CE3FB4">
              <w:rPr>
                <w:rFonts w:eastAsia="Arial Unicode MS"/>
                <w:color w:val="000000" w:themeColor="text1"/>
                <w:sz w:val="20"/>
                <w:szCs w:val="20"/>
                <w:shd w:val="clear" w:color="auto" w:fill="FFFFFF"/>
                <w:lang w:val="en-US"/>
              </w:rPr>
              <w:t xml:space="preserve"> energetic.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beneficiază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sprijin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trebuie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coerente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tranziția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către</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economie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sigură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lastRenderedPageBreak/>
              <w:t>sustenabilă</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reduse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dioxid</w:t>
            </w:r>
            <w:proofErr w:type="spellEnd"/>
            <w:r w:rsidRPr="00CE3FB4">
              <w:rPr>
                <w:rFonts w:eastAsia="Arial Unicode MS"/>
                <w:color w:val="000000" w:themeColor="text1"/>
                <w:sz w:val="20"/>
                <w:szCs w:val="20"/>
                <w:shd w:val="clear" w:color="auto" w:fill="FFFFFF"/>
                <w:lang w:val="en-US"/>
              </w:rPr>
              <w:t xml:space="preserve"> de carbon și cu </w:t>
            </w:r>
            <w:proofErr w:type="spellStart"/>
            <w:r w:rsidRPr="00CE3FB4">
              <w:rPr>
                <w:rFonts w:eastAsia="Arial Unicode MS"/>
                <w:color w:val="000000" w:themeColor="text1"/>
                <w:sz w:val="20"/>
                <w:szCs w:val="20"/>
                <w:shd w:val="clear" w:color="auto" w:fill="FFFFFF"/>
                <w:lang w:val="en-US"/>
              </w:rPr>
              <w:t>obiectivele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cadrului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politici</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privind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clima</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energia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2030 și cu </w:t>
            </w:r>
            <w:proofErr w:type="spellStart"/>
            <w:r w:rsidRPr="00CE3FB4">
              <w:rPr>
                <w:rFonts w:eastAsia="Arial Unicode MS"/>
                <w:color w:val="000000" w:themeColor="text1"/>
                <w:sz w:val="20"/>
                <w:szCs w:val="20"/>
                <w:shd w:val="clear" w:color="auto" w:fill="FFFFFF"/>
                <w:lang w:val="en-US"/>
              </w:rPr>
              <w:t>îndeplinirea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obiectivelor</w:t>
            </w:r>
            <w:proofErr w:type="spellEnd"/>
            <w:r w:rsidRPr="00CE3FB4">
              <w:rPr>
                <w:rFonts w:eastAsia="Arial Unicode MS"/>
                <w:color w:val="000000" w:themeColor="text1"/>
                <w:sz w:val="20"/>
                <w:szCs w:val="20"/>
                <w:shd w:val="clear" w:color="auto" w:fill="FFFFFF"/>
                <w:lang w:val="en-US"/>
              </w:rPr>
              <w:t xml:space="preserve"> pe termen lung </w:t>
            </w:r>
            <w:proofErr w:type="spellStart"/>
            <w:r w:rsidRPr="00CE3FB4">
              <w:rPr>
                <w:rFonts w:eastAsia="Arial Unicode MS"/>
                <w:color w:val="000000" w:themeColor="text1"/>
                <w:sz w:val="20"/>
                <w:szCs w:val="20"/>
                <w:shd w:val="clear" w:color="auto" w:fill="FFFFFF"/>
                <w:lang w:val="en-US"/>
              </w:rPr>
              <w:t>exprimate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Acordul</w:t>
            </w:r>
            <w:proofErr w:type="spellEnd"/>
            <w:r w:rsidRPr="00CE3FB4">
              <w:rPr>
                <w:rFonts w:eastAsia="Arial Unicode MS"/>
                <w:color w:val="000000" w:themeColor="text1"/>
                <w:sz w:val="20"/>
                <w:szCs w:val="20"/>
                <w:shd w:val="clear" w:color="auto" w:fill="FFFFFF"/>
                <w:lang w:val="en-US"/>
              </w:rPr>
              <w:t xml:space="preserve"> de la Paris.</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rPr>
              <w:t>Derogarea</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de</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la</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prezentul</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alineat</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încetează</w:t>
            </w:r>
            <w:proofErr w:type="spellEnd"/>
            <w:r w:rsidRPr="00CE3FB4">
              <w:rPr>
                <w:rFonts w:eastAsia="Arial Unicode MS"/>
                <w:color w:val="000000" w:themeColor="text1"/>
                <w:sz w:val="20"/>
                <w:szCs w:val="20"/>
                <w:shd w:val="clear" w:color="auto" w:fill="FFFFFF"/>
              </w:rPr>
              <w:t xml:space="preserve"> </w:t>
            </w:r>
            <w:proofErr w:type="spellStart"/>
            <w:r w:rsidRPr="00CE3FB4">
              <w:rPr>
                <w:rFonts w:eastAsia="Arial Unicode MS"/>
                <w:color w:val="000000" w:themeColor="text1"/>
                <w:sz w:val="20"/>
                <w:szCs w:val="20"/>
                <w:shd w:val="clear" w:color="auto" w:fill="FFFFFF"/>
              </w:rPr>
              <w:t>la</w:t>
            </w:r>
            <w:proofErr w:type="spellEnd"/>
            <w:r w:rsidRPr="00CE3FB4">
              <w:rPr>
                <w:rFonts w:eastAsia="Arial Unicode MS"/>
                <w:color w:val="000000" w:themeColor="text1"/>
                <w:sz w:val="20"/>
                <w:szCs w:val="20"/>
                <w:shd w:val="clear" w:color="auto" w:fill="FFFFFF"/>
              </w:rPr>
              <w:t xml:space="preserve"> 31</w:t>
            </w:r>
            <w:r w:rsidR="00CE3FB4" w:rsidRPr="00CE3FB4">
              <w:rPr>
                <w:rFonts w:eastAsia="Arial Unicode MS"/>
                <w:color w:val="000000" w:themeColor="text1"/>
                <w:sz w:val="20"/>
                <w:szCs w:val="20"/>
                <w:shd w:val="clear" w:color="auto" w:fill="FFFFFF"/>
                <w:lang w:val="ro-RO"/>
              </w:rPr>
              <w:t xml:space="preserve"> </w:t>
            </w:r>
            <w:proofErr w:type="spellStart"/>
            <w:r w:rsidRPr="00CE3FB4">
              <w:rPr>
                <w:rFonts w:eastAsia="Arial Unicode MS"/>
                <w:color w:val="000000" w:themeColor="text1"/>
                <w:sz w:val="20"/>
                <w:szCs w:val="20"/>
                <w:shd w:val="clear" w:color="auto" w:fill="FFFFFF"/>
              </w:rPr>
              <w:t>decembrie</w:t>
            </w:r>
            <w:proofErr w:type="spellEnd"/>
            <w:r w:rsidRPr="00CE3FB4">
              <w:rPr>
                <w:rFonts w:eastAsia="Arial Unicode MS"/>
                <w:color w:val="000000" w:themeColor="text1"/>
                <w:sz w:val="20"/>
                <w:szCs w:val="20"/>
                <w:shd w:val="clear" w:color="auto" w:fill="FFFFFF"/>
              </w:rPr>
              <w:t xml:space="preserve"> 2030.</w:t>
            </w:r>
          </w:p>
          <w:p w14:paraId="56B82E95" w14:textId="3D76FD4A" w:rsidR="00124364" w:rsidRPr="00CE3FB4" w:rsidRDefault="00000000" w:rsidP="00CE3FB4">
            <w:pPr>
              <w:pStyle w:val="ti-art"/>
              <w:numPr>
                <w:ilvl w:val="0"/>
                <w:numId w:val="6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organizează</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procedură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aibă</w:t>
            </w:r>
            <w:proofErr w:type="spellEnd"/>
            <w:r w:rsidRPr="00CE3FB4">
              <w:rPr>
                <w:rFonts w:eastAsia="Arial Unicode MS"/>
                <w:color w:val="000000" w:themeColor="text1"/>
                <w:sz w:val="20"/>
                <w:szCs w:val="20"/>
                <w:shd w:val="clear" w:color="auto" w:fill="FFFFFF"/>
                <w:lang w:val="en-US"/>
              </w:rPr>
              <w:t xml:space="preserve"> loc în </w:t>
            </w:r>
            <w:proofErr w:type="spellStart"/>
            <w:r w:rsidRPr="00CE3FB4">
              <w:rPr>
                <w:rFonts w:eastAsia="Arial Unicode MS"/>
                <w:color w:val="000000" w:themeColor="text1"/>
                <w:sz w:val="20"/>
                <w:szCs w:val="20"/>
                <w:shd w:val="clear" w:color="auto" w:fill="FFFFFF"/>
                <w:lang w:val="en-US"/>
              </w:rPr>
              <w:t>una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multe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runde</w:t>
            </w:r>
            <w:proofErr w:type="spellEnd"/>
            <w:r w:rsidRPr="00CE3FB4">
              <w:rPr>
                <w:rFonts w:eastAsia="Arial Unicode MS"/>
                <w:color w:val="000000" w:themeColor="text1"/>
                <w:sz w:val="20"/>
                <w:szCs w:val="20"/>
                <w:shd w:val="clear" w:color="auto" w:fill="FFFFFF"/>
                <w:lang w:val="en-US"/>
              </w:rPr>
              <w:t xml:space="preserve"> în perioada 2021-2030,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proiectele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presupun</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cuantum</w:t>
            </w:r>
            <w:proofErr w:type="spellEnd"/>
            <w:r w:rsidRPr="00CE3FB4">
              <w:rPr>
                <w:rFonts w:eastAsia="Arial Unicode MS"/>
                <w:color w:val="000000" w:themeColor="text1"/>
                <w:sz w:val="20"/>
                <w:szCs w:val="20"/>
                <w:shd w:val="clear" w:color="auto" w:fill="FFFFFF"/>
                <w:lang w:val="en-US"/>
              </w:rPr>
              <w:t xml:space="preserve"> total al </w:t>
            </w:r>
            <w:proofErr w:type="spellStart"/>
            <w:r w:rsidRPr="00CE3FB4">
              <w:rPr>
                <w:rFonts w:eastAsia="Arial Unicode MS"/>
                <w:color w:val="000000" w:themeColor="text1"/>
                <w:sz w:val="20"/>
                <w:szCs w:val="20"/>
                <w:shd w:val="clear" w:color="auto" w:fill="FFFFFF"/>
                <w:lang w:val="en-US"/>
              </w:rPr>
              <w:t>investițiilor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peste</w:t>
            </w:r>
            <w:proofErr w:type="spellEnd"/>
            <w:r w:rsidRPr="00CE3FB4">
              <w:rPr>
                <w:rFonts w:eastAsia="Arial Unicode MS"/>
                <w:color w:val="000000" w:themeColor="text1"/>
                <w:sz w:val="20"/>
                <w:szCs w:val="20"/>
                <w:shd w:val="clear" w:color="auto" w:fill="FFFFFF"/>
                <w:lang w:val="en-US"/>
              </w:rPr>
              <w:t xml:space="preserve"> 12,5</w:t>
            </w:r>
            <w:r w:rsid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EUR,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selecta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urmează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finanțate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w:t>
            </w:r>
          </w:p>
          <w:p w14:paraId="72DFF739" w14:textId="77777777" w:rsidR="00124364" w:rsidRPr="00CE3FB4" w:rsidRDefault="00000000" w:rsidP="00CE3FB4">
            <w:pPr>
              <w:pStyle w:val="ti-art"/>
              <w:numPr>
                <w:ilvl w:val="0"/>
                <w:numId w:val="6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respectă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principiile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transparenței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nediscriminării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egalității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tratament</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bunei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gestiuni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financiare</w:t>
            </w:r>
            <w:proofErr w:type="spellEnd"/>
            <w:r w:rsidRPr="00CE3FB4">
              <w:rPr>
                <w:rFonts w:eastAsia="Arial Unicode MS"/>
                <w:color w:val="000000" w:themeColor="text1"/>
                <w:sz w:val="20"/>
                <w:szCs w:val="20"/>
                <w:shd w:val="clear" w:color="auto" w:fill="FFFFFF"/>
                <w:lang w:val="en-US"/>
              </w:rPr>
              <w:t>;</w:t>
            </w:r>
          </w:p>
          <w:p w14:paraId="151C3188" w14:textId="77777777" w:rsidR="00124364" w:rsidRPr="00CE3FB4" w:rsidRDefault="00000000" w:rsidP="00CE3FB4">
            <w:pPr>
              <w:pStyle w:val="ti-art"/>
              <w:numPr>
                <w:ilvl w:val="0"/>
                <w:numId w:val="6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garantează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sunt </w:t>
            </w:r>
            <w:proofErr w:type="spellStart"/>
            <w:r w:rsidRPr="00CE3FB4">
              <w:rPr>
                <w:rFonts w:eastAsia="Arial Unicode MS"/>
                <w:color w:val="000000" w:themeColor="text1"/>
                <w:sz w:val="20"/>
                <w:szCs w:val="20"/>
                <w:shd w:val="clear" w:color="auto" w:fill="FFFFFF"/>
                <w:lang w:val="en-US"/>
              </w:rPr>
              <w:t>eligibile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concureze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numai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proiectele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contribuie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diversificarea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mixului</w:t>
            </w:r>
            <w:proofErr w:type="spellEnd"/>
            <w:r w:rsidRPr="00CE3FB4">
              <w:rPr>
                <w:rFonts w:eastAsia="Arial Unicode MS"/>
                <w:color w:val="000000" w:themeColor="text1"/>
                <w:sz w:val="20"/>
                <w:szCs w:val="20"/>
                <w:shd w:val="clear" w:color="auto" w:fill="FFFFFF"/>
                <w:lang w:val="en-US"/>
              </w:rPr>
              <w:t xml:space="preserve"> energetic și a </w:t>
            </w:r>
            <w:proofErr w:type="spellStart"/>
            <w:r w:rsidRPr="00CE3FB4">
              <w:rPr>
                <w:rFonts w:eastAsia="Arial Unicode MS"/>
                <w:color w:val="000000" w:themeColor="text1"/>
                <w:sz w:val="20"/>
                <w:szCs w:val="20"/>
                <w:shd w:val="clear" w:color="auto" w:fill="FFFFFF"/>
                <w:lang w:val="en-US"/>
              </w:rPr>
              <w:t>surselor</w:t>
            </w:r>
            <w:proofErr w:type="spellEnd"/>
            <w:r w:rsidRPr="00CE3FB4">
              <w:rPr>
                <w:rFonts w:eastAsia="Arial Unicode MS"/>
                <w:color w:val="000000" w:themeColor="text1"/>
                <w:sz w:val="20"/>
                <w:szCs w:val="20"/>
                <w:shd w:val="clear" w:color="auto" w:fill="FFFFFF"/>
                <w:lang w:val="en-US"/>
              </w:rPr>
              <w:t xml:space="preserve"> lor de </w:t>
            </w:r>
            <w:proofErr w:type="spellStart"/>
            <w:r w:rsidRPr="00CE3FB4">
              <w:rPr>
                <w:rFonts w:eastAsia="Arial Unicode MS"/>
                <w:color w:val="000000" w:themeColor="text1"/>
                <w:sz w:val="20"/>
                <w:szCs w:val="20"/>
                <w:shd w:val="clear" w:color="auto" w:fill="FFFFFF"/>
                <w:lang w:val="en-US"/>
              </w:rPr>
              <w:t>aprovizionare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restructurarea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reabilitarea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ecologică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modernizarea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necesare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infrastructurii</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tehnologii</w:t>
            </w:r>
            <w:proofErr w:type="spellEnd"/>
            <w:r w:rsidRPr="00CE3FB4">
              <w:rPr>
                <w:rFonts w:eastAsia="Arial Unicode MS"/>
                <w:color w:val="000000" w:themeColor="text1"/>
                <w:sz w:val="20"/>
                <w:szCs w:val="20"/>
                <w:shd w:val="clear" w:color="auto" w:fill="FFFFFF"/>
                <w:lang w:val="en-US"/>
              </w:rPr>
              <w:t xml:space="preserve"> curate, precum </w:t>
            </w:r>
            <w:proofErr w:type="spellStart"/>
            <w:r w:rsidRPr="00CE3FB4">
              <w:rPr>
                <w:rFonts w:eastAsia="Arial Unicode MS"/>
                <w:color w:val="000000" w:themeColor="text1"/>
                <w:sz w:val="20"/>
                <w:szCs w:val="20"/>
                <w:shd w:val="clear" w:color="auto" w:fill="FFFFFF"/>
                <w:lang w:val="en-US"/>
              </w:rPr>
              <w:t>tehnologiile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obținere</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energiei din surse </w:t>
            </w:r>
            <w:proofErr w:type="spellStart"/>
            <w:r w:rsidRPr="00CE3FB4">
              <w:rPr>
                <w:rFonts w:eastAsia="Arial Unicode MS"/>
                <w:color w:val="000000" w:themeColor="text1"/>
                <w:sz w:val="20"/>
                <w:szCs w:val="20"/>
                <w:shd w:val="clear" w:color="auto" w:fill="FFFFFF"/>
                <w:lang w:val="en-US"/>
              </w:rPr>
              <w:t>regenerabile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modernizarea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sectorului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producție</w:t>
            </w:r>
            <w:proofErr w:type="spellEnd"/>
            <w:r w:rsidRPr="00CE3FB4">
              <w:rPr>
                <w:rFonts w:eastAsia="Arial Unicode MS"/>
                <w:color w:val="000000" w:themeColor="text1"/>
                <w:sz w:val="20"/>
                <w:szCs w:val="20"/>
                <w:shd w:val="clear" w:color="auto" w:fill="FFFFFF"/>
                <w:lang w:val="en-US"/>
              </w:rPr>
              <w:t xml:space="preserve"> a energiei, precum </w:t>
            </w:r>
            <w:proofErr w:type="spellStart"/>
            <w:r w:rsidRPr="00CE3FB4">
              <w:rPr>
                <w:rFonts w:eastAsia="Arial Unicode MS"/>
                <w:color w:val="000000" w:themeColor="text1"/>
                <w:sz w:val="20"/>
                <w:szCs w:val="20"/>
                <w:shd w:val="clear" w:color="auto" w:fill="FFFFFF"/>
                <w:lang w:val="en-US"/>
              </w:rPr>
              <w:t>centralele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termoficare</w:t>
            </w:r>
            <w:proofErr w:type="spellEnd"/>
            <w:r w:rsidRPr="00CE3FB4">
              <w:rPr>
                <w:rFonts w:eastAsia="Arial Unicode MS"/>
                <w:color w:val="000000" w:themeColor="text1"/>
                <w:sz w:val="20"/>
                <w:szCs w:val="20"/>
                <w:shd w:val="clear" w:color="auto" w:fill="FFFFFF"/>
                <w:lang w:val="en-US"/>
              </w:rPr>
              <w:t xml:space="preserve"> eficiente și </w:t>
            </w:r>
            <w:proofErr w:type="spellStart"/>
            <w:r w:rsidRPr="00CE3FB4">
              <w:rPr>
                <w:rFonts w:eastAsia="Arial Unicode MS"/>
                <w:color w:val="000000" w:themeColor="text1"/>
                <w:sz w:val="20"/>
                <w:szCs w:val="20"/>
                <w:shd w:val="clear" w:color="auto" w:fill="FFFFFF"/>
                <w:lang w:val="en-US"/>
              </w:rPr>
              <w:t>durabile</w:t>
            </w:r>
            <w:proofErr w:type="spellEnd"/>
            <w:r w:rsidRPr="00CE3FB4">
              <w:rPr>
                <w:rFonts w:eastAsia="Arial Unicode MS"/>
                <w:color w:val="000000" w:themeColor="text1"/>
                <w:sz w:val="20"/>
                <w:szCs w:val="20"/>
                <w:shd w:val="clear" w:color="auto" w:fill="FFFFFF"/>
                <w:lang w:val="en-US"/>
              </w:rPr>
              <w:t xml:space="preserve">, și a </w:t>
            </w:r>
            <w:proofErr w:type="spellStart"/>
            <w:r w:rsidRPr="00CE3FB4">
              <w:rPr>
                <w:rFonts w:eastAsia="Arial Unicode MS"/>
                <w:color w:val="000000" w:themeColor="text1"/>
                <w:sz w:val="20"/>
                <w:szCs w:val="20"/>
                <w:shd w:val="clear" w:color="auto" w:fill="FFFFFF"/>
                <w:lang w:val="en-US"/>
              </w:rPr>
              <w:t>sectorului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transmisie</w:t>
            </w:r>
            <w:proofErr w:type="spellEnd"/>
            <w:r w:rsidRPr="00CE3FB4">
              <w:rPr>
                <w:rFonts w:eastAsia="Arial Unicode MS"/>
                <w:color w:val="000000" w:themeColor="text1"/>
                <w:sz w:val="20"/>
                <w:szCs w:val="20"/>
                <w:shd w:val="clear" w:color="auto" w:fill="FFFFFF"/>
                <w:lang w:val="en-US"/>
              </w:rPr>
              <w:t xml:space="preserve"> și de </w:t>
            </w:r>
            <w:proofErr w:type="spellStart"/>
            <w:r w:rsidRPr="00CE3FB4">
              <w:rPr>
                <w:rFonts w:eastAsia="Arial Unicode MS"/>
                <w:color w:val="000000" w:themeColor="text1"/>
                <w:sz w:val="20"/>
                <w:szCs w:val="20"/>
                <w:shd w:val="clear" w:color="auto" w:fill="FFFFFF"/>
                <w:lang w:val="en-US"/>
              </w:rPr>
              <w:t>distribuție</w:t>
            </w:r>
            <w:proofErr w:type="spellEnd"/>
            <w:r w:rsidRPr="00CE3FB4">
              <w:rPr>
                <w:rFonts w:eastAsia="Arial Unicode MS"/>
                <w:color w:val="000000" w:themeColor="text1"/>
                <w:sz w:val="20"/>
                <w:szCs w:val="20"/>
                <w:shd w:val="clear" w:color="auto" w:fill="FFFFFF"/>
                <w:lang w:val="en-US"/>
              </w:rPr>
              <w:t xml:space="preserve"> a energiei;</w:t>
            </w:r>
          </w:p>
          <w:p w14:paraId="75A4F091" w14:textId="77777777" w:rsidR="00124364" w:rsidRPr="00CE3FB4" w:rsidRDefault="00000000" w:rsidP="00CE3FB4">
            <w:pPr>
              <w:pStyle w:val="ti-art"/>
              <w:numPr>
                <w:ilvl w:val="0"/>
                <w:numId w:val="6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definește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criterii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selecție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obiective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transparente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nediscriminatorii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clasificarea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încât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asigure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selectarea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numai</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proiectelor</w:t>
            </w:r>
            <w:proofErr w:type="spellEnd"/>
            <w:r w:rsidRPr="00CE3FB4">
              <w:rPr>
                <w:rFonts w:eastAsia="Arial Unicode MS"/>
                <w:color w:val="000000" w:themeColor="text1"/>
                <w:sz w:val="20"/>
                <w:szCs w:val="20"/>
                <w:shd w:val="clear" w:color="auto" w:fill="FFFFFF"/>
                <w:lang w:val="en-US"/>
              </w:rPr>
              <w:t xml:space="preserve"> care:</w:t>
            </w:r>
          </w:p>
          <w:p w14:paraId="53ADD36D" w14:textId="77777777" w:rsidR="00124364" w:rsidRPr="00CE3FB4" w:rsidRDefault="00000000" w:rsidP="00CE3FB4">
            <w:pPr>
              <w:pStyle w:val="ti-art"/>
              <w:numPr>
                <w:ilvl w:val="0"/>
                <w:numId w:val="6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analize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raportului</w:t>
            </w:r>
            <w:proofErr w:type="spellEnd"/>
            <w:r w:rsidRPr="00CE3FB4">
              <w:rPr>
                <w:rFonts w:eastAsia="Arial Unicode MS"/>
                <w:color w:val="000000" w:themeColor="text1"/>
                <w:sz w:val="20"/>
                <w:szCs w:val="20"/>
                <w:shd w:val="clear" w:color="auto" w:fill="FFFFFF"/>
                <w:lang w:val="en-US"/>
              </w:rPr>
              <w:t xml:space="preserve"> cost-</w:t>
            </w:r>
            <w:proofErr w:type="spellStart"/>
            <w:r w:rsidRPr="00CE3FB4">
              <w:rPr>
                <w:rFonts w:eastAsia="Arial Unicode MS"/>
                <w:color w:val="000000" w:themeColor="text1"/>
                <w:sz w:val="20"/>
                <w:szCs w:val="20"/>
                <w:shd w:val="clear" w:color="auto" w:fill="FFFFFF"/>
                <w:lang w:val="en-US"/>
              </w:rPr>
              <w:t>beneficiu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asigură</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câștig</w:t>
            </w:r>
            <w:proofErr w:type="spellEnd"/>
            <w:r w:rsidRPr="00CE3FB4">
              <w:rPr>
                <w:rFonts w:eastAsia="Arial Unicode MS"/>
                <w:color w:val="000000" w:themeColor="text1"/>
                <w:sz w:val="20"/>
                <w:szCs w:val="20"/>
                <w:shd w:val="clear" w:color="auto" w:fill="FFFFFF"/>
                <w:lang w:val="en-US"/>
              </w:rPr>
              <w:t xml:space="preserve"> net </w:t>
            </w:r>
            <w:proofErr w:type="spellStart"/>
            <w:r w:rsidRPr="00CE3FB4">
              <w:rPr>
                <w:rFonts w:eastAsia="Arial Unicode MS"/>
                <w:color w:val="000000" w:themeColor="text1"/>
                <w:sz w:val="20"/>
                <w:szCs w:val="20"/>
                <w:shd w:val="clear" w:color="auto" w:fill="FFFFFF"/>
                <w:lang w:val="en-US"/>
              </w:rPr>
              <w:t>pozitiv</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ceea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privește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reducerea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și un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semnificativ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prestabilit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reduceri</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emisiilor</w:t>
            </w:r>
            <w:proofErr w:type="spellEnd"/>
            <w:r w:rsidRPr="00CE3FB4">
              <w:rPr>
                <w:rFonts w:eastAsia="Arial Unicode MS"/>
                <w:color w:val="000000" w:themeColor="text1"/>
                <w:sz w:val="20"/>
                <w:szCs w:val="20"/>
                <w:shd w:val="clear" w:color="auto" w:fill="FFFFFF"/>
                <w:lang w:val="en-US"/>
              </w:rPr>
              <w:t xml:space="preserve"> de CO</w:t>
            </w:r>
            <w:r w:rsidRPr="00CE3FB4">
              <w:rPr>
                <w:rStyle w:val="subscript"/>
                <w:rFonts w:eastAsia="Arial Unicode MS"/>
                <w:color w:val="000000" w:themeColor="text1"/>
                <w:sz w:val="20"/>
                <w:szCs w:val="20"/>
                <w:vertAlign w:val="subscript"/>
                <w:lang w:val="en-US"/>
              </w:rPr>
              <w:t>2</w:t>
            </w:r>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ținând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dimensiunea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proiectului</w:t>
            </w:r>
            <w:proofErr w:type="spellEnd"/>
            <w:r w:rsidRPr="00CE3FB4">
              <w:rPr>
                <w:rFonts w:eastAsia="Arial Unicode MS"/>
                <w:color w:val="000000" w:themeColor="text1"/>
                <w:sz w:val="20"/>
                <w:szCs w:val="20"/>
                <w:shd w:val="clear" w:color="auto" w:fill="FFFFFF"/>
                <w:lang w:val="en-US"/>
              </w:rPr>
              <w:t>;</w:t>
            </w:r>
          </w:p>
          <w:p w14:paraId="4E94D3E3" w14:textId="77777777" w:rsidR="00124364" w:rsidRPr="00CE3FB4" w:rsidRDefault="00000000" w:rsidP="00CE3FB4">
            <w:pPr>
              <w:pStyle w:val="ti-art"/>
              <w:numPr>
                <w:ilvl w:val="0"/>
                <w:numId w:val="6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sunt </w:t>
            </w:r>
            <w:proofErr w:type="spellStart"/>
            <w:r w:rsidRPr="00CE3FB4">
              <w:rPr>
                <w:rFonts w:eastAsia="Arial Unicode MS"/>
                <w:color w:val="000000" w:themeColor="text1"/>
                <w:sz w:val="20"/>
                <w:szCs w:val="20"/>
                <w:shd w:val="clear" w:color="auto" w:fill="FFFFFF"/>
                <w:lang w:val="en-US"/>
              </w:rPr>
              <w:t>complementare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răspund</w:t>
            </w:r>
            <w:proofErr w:type="spellEnd"/>
            <w:r w:rsidRPr="00CE3FB4">
              <w:rPr>
                <w:rFonts w:eastAsia="Arial Unicode MS"/>
                <w:color w:val="000000" w:themeColor="text1"/>
                <w:sz w:val="20"/>
                <w:szCs w:val="20"/>
                <w:shd w:val="clear" w:color="auto" w:fill="FFFFFF"/>
                <w:lang w:val="en-US"/>
              </w:rPr>
              <w:t xml:space="preserve"> în mod </w:t>
            </w:r>
            <w:proofErr w:type="spellStart"/>
            <w:r w:rsidRPr="00CE3FB4">
              <w:rPr>
                <w:rFonts w:eastAsia="Arial Unicode MS"/>
                <w:color w:val="000000" w:themeColor="text1"/>
                <w:sz w:val="20"/>
                <w:szCs w:val="20"/>
                <w:shd w:val="clear" w:color="auto" w:fill="FFFFFF"/>
                <w:lang w:val="en-US"/>
              </w:rPr>
              <w:t>clar</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nevoile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înlocuire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și nu </w:t>
            </w:r>
            <w:proofErr w:type="spellStart"/>
            <w:r w:rsidRPr="00CE3FB4">
              <w:rPr>
                <w:rFonts w:eastAsia="Arial Unicode MS"/>
                <w:color w:val="000000" w:themeColor="text1"/>
                <w:sz w:val="20"/>
                <w:szCs w:val="20"/>
                <w:shd w:val="clear" w:color="auto" w:fill="FFFFFF"/>
                <w:lang w:val="en-US"/>
              </w:rPr>
              <w:t>satisfac</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creștere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cererii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determinată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piață</w:t>
            </w:r>
            <w:proofErr w:type="spellEnd"/>
            <w:r w:rsidRPr="00CE3FB4">
              <w:rPr>
                <w:rFonts w:eastAsia="Arial Unicode MS"/>
                <w:color w:val="000000" w:themeColor="text1"/>
                <w:sz w:val="20"/>
                <w:szCs w:val="20"/>
                <w:shd w:val="clear" w:color="auto" w:fill="FFFFFF"/>
                <w:lang w:val="en-US"/>
              </w:rPr>
              <w:t>;</w:t>
            </w:r>
          </w:p>
          <w:p w14:paraId="3E919CC2" w14:textId="77777777" w:rsidR="00124364" w:rsidRPr="00CE3FB4" w:rsidRDefault="00000000" w:rsidP="00CE3FB4">
            <w:pPr>
              <w:pStyle w:val="ti-art"/>
              <w:numPr>
                <w:ilvl w:val="0"/>
                <w:numId w:val="6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lastRenderedPageBreak/>
              <w:t>oferă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bun </w:t>
            </w:r>
            <w:proofErr w:type="spellStart"/>
            <w:r w:rsidRPr="00CE3FB4">
              <w:rPr>
                <w:rFonts w:eastAsia="Arial Unicode MS"/>
                <w:color w:val="000000" w:themeColor="text1"/>
                <w:sz w:val="20"/>
                <w:szCs w:val="20"/>
                <w:shd w:val="clear" w:color="auto" w:fill="FFFFFF"/>
                <w:lang w:val="en-US"/>
              </w:rPr>
              <w:t>raport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calitate-preț</w:t>
            </w:r>
            <w:proofErr w:type="spellEnd"/>
            <w:r w:rsidRPr="00CE3FB4">
              <w:rPr>
                <w:rFonts w:eastAsia="Arial Unicode MS"/>
                <w:color w:val="000000" w:themeColor="text1"/>
                <w:sz w:val="20"/>
                <w:szCs w:val="20"/>
                <w:shd w:val="clear" w:color="auto" w:fill="FFFFFF"/>
                <w:lang w:val="en-US"/>
              </w:rPr>
              <w:t>; și</w:t>
            </w:r>
          </w:p>
          <w:p w14:paraId="73378A87" w14:textId="77777777" w:rsidR="00124364" w:rsidRPr="00CE3FB4" w:rsidRDefault="00000000" w:rsidP="00CE3FB4">
            <w:pPr>
              <w:pStyle w:val="ti-art"/>
              <w:numPr>
                <w:ilvl w:val="0"/>
                <w:numId w:val="6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nu </w:t>
            </w:r>
            <w:proofErr w:type="spellStart"/>
            <w:r w:rsidRPr="00CE3FB4">
              <w:rPr>
                <w:rFonts w:eastAsia="Arial Unicode MS"/>
                <w:color w:val="000000" w:themeColor="text1"/>
                <w:sz w:val="20"/>
                <w:szCs w:val="20"/>
                <w:shd w:val="clear" w:color="auto" w:fill="FFFFFF"/>
                <w:lang w:val="en-US"/>
              </w:rPr>
              <w:t>contribuie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nu </w:t>
            </w:r>
            <w:proofErr w:type="spellStart"/>
            <w:r w:rsidRPr="00CE3FB4">
              <w:rPr>
                <w:rFonts w:eastAsia="Arial Unicode MS"/>
                <w:color w:val="000000" w:themeColor="text1"/>
                <w:sz w:val="20"/>
                <w:szCs w:val="20"/>
                <w:shd w:val="clear" w:color="auto" w:fill="FFFFFF"/>
                <w:lang w:val="en-US"/>
              </w:rPr>
              <w:t>îmbunătățesc</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viabilitatea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financiară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producției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electrică</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foarte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ridicat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nu </w:t>
            </w:r>
            <w:proofErr w:type="spellStart"/>
            <w:r w:rsidRPr="00CE3FB4">
              <w:rPr>
                <w:rFonts w:eastAsia="Arial Unicode MS"/>
                <w:color w:val="000000" w:themeColor="text1"/>
                <w:sz w:val="20"/>
                <w:szCs w:val="20"/>
                <w:shd w:val="clear" w:color="auto" w:fill="FFFFFF"/>
                <w:lang w:val="en-US"/>
              </w:rPr>
              <w:t>cresc</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dependența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combustibili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fosili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ridicate</w:t>
            </w:r>
            <w:proofErr w:type="spellEnd"/>
            <w:r w:rsidRPr="00CE3FB4">
              <w:rPr>
                <w:rFonts w:eastAsia="Arial Unicode MS"/>
                <w:color w:val="000000" w:themeColor="text1"/>
                <w:sz w:val="20"/>
                <w:szCs w:val="20"/>
                <w:shd w:val="clear" w:color="auto" w:fill="FFFFFF"/>
                <w:lang w:val="en-US"/>
              </w:rPr>
              <w:t>.</w:t>
            </w:r>
          </w:p>
          <w:p w14:paraId="34CA44E5" w14:textId="77777777"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derogare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10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și </w:t>
            </w:r>
            <w:proofErr w:type="spellStart"/>
            <w:r w:rsidRPr="00CE3FB4">
              <w:rPr>
                <w:rFonts w:eastAsia="Arial Unicode MS"/>
                <w:color w:val="000000" w:themeColor="text1"/>
                <w:sz w:val="20"/>
                <w:szCs w:val="20"/>
                <w:shd w:val="clear" w:color="auto" w:fill="FFFFFF"/>
                <w:lang w:val="en-US"/>
              </w:rPr>
              <w:t>fără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aduce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atingere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ultimei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teze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(1)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eventualitatea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anulării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selectate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neatingerii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nivelului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performanță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preconizat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alocate</w:t>
            </w:r>
            <w:proofErr w:type="spellEnd"/>
            <w:r w:rsidRPr="00CE3FB4">
              <w:rPr>
                <w:rFonts w:eastAsia="Arial Unicode MS"/>
                <w:color w:val="000000" w:themeColor="text1"/>
                <w:sz w:val="20"/>
                <w:szCs w:val="20"/>
                <w:shd w:val="clear" w:color="auto" w:fill="FFFFFF"/>
                <w:lang w:val="en-US"/>
              </w:rPr>
              <w:t xml:space="preserve"> se pot </w:t>
            </w:r>
            <w:proofErr w:type="spellStart"/>
            <w:r w:rsidRPr="00CE3FB4">
              <w:rPr>
                <w:rFonts w:eastAsia="Arial Unicode MS"/>
                <w:color w:val="000000" w:themeColor="text1"/>
                <w:sz w:val="20"/>
                <w:szCs w:val="20"/>
                <w:shd w:val="clear" w:color="auto" w:fill="FFFFFF"/>
                <w:lang w:val="en-US"/>
              </w:rPr>
              <w:t>utiliza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printr</w:t>
            </w:r>
            <w:proofErr w:type="spellEnd"/>
            <w:r w:rsidRPr="00CE3FB4">
              <w:rPr>
                <w:rFonts w:eastAsia="Arial Unicode MS"/>
                <w:color w:val="000000" w:themeColor="text1"/>
                <w:sz w:val="20"/>
                <w:szCs w:val="20"/>
                <w:shd w:val="clear" w:color="auto" w:fill="FFFFFF"/>
                <w:lang w:val="en-US"/>
              </w:rPr>
              <w:t xml:space="preserve">-o </w:t>
            </w:r>
            <w:proofErr w:type="spellStart"/>
            <w:r w:rsidRPr="00CE3FB4">
              <w:rPr>
                <w:rFonts w:eastAsia="Arial Unicode MS"/>
                <w:color w:val="000000" w:themeColor="text1"/>
                <w:sz w:val="20"/>
                <w:szCs w:val="20"/>
                <w:shd w:val="clear" w:color="auto" w:fill="FFFFFF"/>
                <w:lang w:val="en-US"/>
              </w:rPr>
              <w:t>singură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rundă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suplimentară</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procesului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devreme</w:t>
            </w:r>
            <w:proofErr w:type="spellEnd"/>
            <w:r w:rsidRPr="00CE3FB4">
              <w:rPr>
                <w:rFonts w:eastAsia="Arial Unicode MS"/>
                <w:color w:val="000000" w:themeColor="text1"/>
                <w:sz w:val="20"/>
                <w:szCs w:val="20"/>
                <w:shd w:val="clear" w:color="auto" w:fill="FFFFFF"/>
                <w:lang w:val="en-US"/>
              </w:rPr>
              <w:t xml:space="preserve"> un an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târziu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finanțarea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altor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w:t>
            </w:r>
          </w:p>
          <w:p w14:paraId="4EC1D597" w14:textId="60BB8857"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30</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iunie</w:t>
            </w:r>
            <w:proofErr w:type="spellEnd"/>
            <w:r w:rsidRPr="00CE3FB4">
              <w:rPr>
                <w:rFonts w:eastAsia="Arial Unicode MS"/>
                <w:color w:val="000000" w:themeColor="text1"/>
                <w:sz w:val="20"/>
                <w:szCs w:val="20"/>
                <w:shd w:val="clear" w:color="auto" w:fill="FFFFFF"/>
                <w:lang w:val="en-US"/>
              </w:rPr>
              <w:t xml:space="preserve"> 2019, </w:t>
            </w:r>
            <w:proofErr w:type="spellStart"/>
            <w:r w:rsidRPr="00CE3FB4">
              <w:rPr>
                <w:rFonts w:eastAsia="Arial Unicode MS"/>
                <w:color w:val="000000" w:themeColor="text1"/>
                <w:sz w:val="20"/>
                <w:szCs w:val="20"/>
                <w:shd w:val="clear" w:color="auto" w:fill="FFFFFF"/>
                <w:lang w:val="en-US"/>
              </w:rPr>
              <w:t>orice</w:t>
            </w:r>
            <w:proofErr w:type="spellEnd"/>
            <w:r w:rsidRPr="00CE3FB4">
              <w:rPr>
                <w:rFonts w:eastAsia="Arial Unicode MS"/>
                <w:color w:val="000000" w:themeColor="text1"/>
                <w:sz w:val="20"/>
                <w:szCs w:val="20"/>
                <w:shd w:val="clear" w:color="auto" w:fill="FFFFFF"/>
                <w:lang w:val="en-US"/>
              </w:rPr>
              <w:t xml:space="preserve"> stat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intenționează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facă</w:t>
            </w:r>
            <w:proofErr w:type="spellEnd"/>
            <w:r w:rsidRPr="00CE3FB4">
              <w:rPr>
                <w:rFonts w:eastAsia="Arial Unicode MS"/>
                <w:color w:val="000000" w:themeColor="text1"/>
                <w:sz w:val="20"/>
                <w:szCs w:val="20"/>
                <w:shd w:val="clear" w:color="auto" w:fill="FFFFFF"/>
                <w:lang w:val="en-US"/>
              </w:rPr>
              <w:t xml:space="preserve"> uz de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tranzitorie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opțională</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sectorului</w:t>
            </w:r>
            <w:proofErr w:type="spellEnd"/>
            <w:r w:rsidRPr="00CE3FB4">
              <w:rPr>
                <w:rFonts w:eastAsia="Arial Unicode MS"/>
                <w:color w:val="000000" w:themeColor="text1"/>
                <w:sz w:val="20"/>
                <w:szCs w:val="20"/>
                <w:shd w:val="clear" w:color="auto" w:fill="FFFFFF"/>
                <w:lang w:val="en-US"/>
              </w:rPr>
              <w:t xml:space="preserve"> energetic </w:t>
            </w:r>
            <w:proofErr w:type="spellStart"/>
            <w:r w:rsidRPr="00CE3FB4">
              <w:rPr>
                <w:rFonts w:eastAsia="Arial Unicode MS"/>
                <w:color w:val="000000" w:themeColor="text1"/>
                <w:sz w:val="20"/>
                <w:szCs w:val="20"/>
                <w:shd w:val="clear" w:color="auto" w:fill="FFFFFF"/>
                <w:lang w:val="en-US"/>
              </w:rPr>
              <w:t>publică</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cadru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național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detaliat</w:t>
            </w:r>
            <w:proofErr w:type="spellEnd"/>
            <w:r w:rsidRPr="00CE3FB4">
              <w:rPr>
                <w:rFonts w:eastAsia="Arial Unicode MS"/>
                <w:color w:val="000000" w:themeColor="text1"/>
                <w:sz w:val="20"/>
                <w:szCs w:val="20"/>
                <w:shd w:val="clear" w:color="auto" w:fill="FFFFFF"/>
                <w:lang w:val="en-US"/>
              </w:rPr>
              <w:t xml:space="preserve"> în care se </w:t>
            </w:r>
            <w:proofErr w:type="spellStart"/>
            <w:r w:rsidRPr="00CE3FB4">
              <w:rPr>
                <w:rFonts w:eastAsia="Arial Unicode MS"/>
                <w:color w:val="000000" w:themeColor="text1"/>
                <w:sz w:val="20"/>
                <w:szCs w:val="20"/>
                <w:shd w:val="clear" w:color="auto" w:fill="FFFFFF"/>
                <w:lang w:val="en-US"/>
              </w:rPr>
              <w:t>stabilesc</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inclusiv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numărul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planificat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runde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primul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criteriile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selecție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vederea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consultări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publice</w:t>
            </w:r>
            <w:proofErr w:type="spellEnd"/>
            <w:r w:rsidRPr="00CE3FB4">
              <w:rPr>
                <w:rFonts w:eastAsia="Arial Unicode MS"/>
                <w:color w:val="000000" w:themeColor="text1"/>
                <w:sz w:val="20"/>
                <w:szCs w:val="20"/>
                <w:shd w:val="clear" w:color="auto" w:fill="FFFFFF"/>
                <w:lang w:val="en-US"/>
              </w:rPr>
              <w:t>.</w:t>
            </w:r>
          </w:p>
          <w:p w14:paraId="7D2BD7DF" w14:textId="53221096"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cu o </w:t>
            </w:r>
            <w:proofErr w:type="spellStart"/>
            <w:r w:rsidRPr="00CE3FB4">
              <w:rPr>
                <w:rFonts w:eastAsia="Arial Unicode MS"/>
                <w:color w:val="000000" w:themeColor="text1"/>
                <w:sz w:val="20"/>
                <w:szCs w:val="20"/>
                <w:shd w:val="clear" w:color="auto" w:fill="FFFFFF"/>
                <w:lang w:val="en-US"/>
              </w:rPr>
              <w:t>valoare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mică</w:t>
            </w:r>
            <w:proofErr w:type="spellEnd"/>
            <w:r w:rsidRPr="00CE3FB4">
              <w:rPr>
                <w:rFonts w:eastAsia="Arial Unicode MS"/>
                <w:color w:val="000000" w:themeColor="text1"/>
                <w:sz w:val="20"/>
                <w:szCs w:val="20"/>
                <w:shd w:val="clear" w:color="auto" w:fill="FFFFFF"/>
                <w:lang w:val="en-US"/>
              </w:rPr>
              <w:t xml:space="preserve"> de 12,5</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EUR care </w:t>
            </w:r>
            <w:proofErr w:type="spellStart"/>
            <w:r w:rsidRPr="00CE3FB4">
              <w:rPr>
                <w:rFonts w:eastAsia="Arial Unicode MS"/>
                <w:color w:val="000000" w:themeColor="text1"/>
                <w:sz w:val="20"/>
                <w:szCs w:val="20"/>
                <w:shd w:val="clear" w:color="auto" w:fill="FFFFFF"/>
                <w:lang w:val="en-US"/>
              </w:rPr>
              <w:t>urmează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sprijinite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nu sunt </w:t>
            </w:r>
            <w:proofErr w:type="spellStart"/>
            <w:r w:rsidRPr="00CE3FB4">
              <w:rPr>
                <w:rFonts w:eastAsia="Arial Unicode MS"/>
                <w:color w:val="000000" w:themeColor="text1"/>
                <w:sz w:val="20"/>
                <w:szCs w:val="20"/>
                <w:shd w:val="clear" w:color="auto" w:fill="FFFFFF"/>
                <w:lang w:val="en-US"/>
              </w:rPr>
              <w:t>selectate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selectează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proiectele</w:t>
            </w:r>
            <w:proofErr w:type="spellEnd"/>
            <w:r w:rsidRPr="00CE3FB4">
              <w:rPr>
                <w:rFonts w:eastAsia="Arial Unicode MS"/>
                <w:color w:val="000000" w:themeColor="text1"/>
                <w:sz w:val="20"/>
                <w:szCs w:val="20"/>
                <w:shd w:val="clear" w:color="auto" w:fill="FFFFFF"/>
                <w:lang w:val="en-US"/>
              </w:rPr>
              <w:t xml:space="preserve"> pe </w:t>
            </w:r>
            <w:proofErr w:type="spellStart"/>
            <w:r w:rsidRPr="00CE3FB4">
              <w:rPr>
                <w:rFonts w:eastAsia="Arial Unicode MS"/>
                <w:color w:val="000000" w:themeColor="text1"/>
                <w:sz w:val="20"/>
                <w:szCs w:val="20"/>
                <w:shd w:val="clear" w:color="auto" w:fill="FFFFFF"/>
                <w:lang w:val="en-US"/>
              </w:rPr>
              <w:t>baza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criterii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obiective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transparente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Rezultatele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procesului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selecție</w:t>
            </w:r>
            <w:proofErr w:type="spellEnd"/>
            <w:r w:rsidRPr="00CE3FB4">
              <w:rPr>
                <w:rFonts w:eastAsia="Arial Unicode MS"/>
                <w:color w:val="000000" w:themeColor="text1"/>
                <w:sz w:val="20"/>
                <w:szCs w:val="20"/>
                <w:shd w:val="clear" w:color="auto" w:fill="FFFFFF"/>
                <w:lang w:val="en-US"/>
              </w:rPr>
              <w:t xml:space="preserve"> fac </w:t>
            </w:r>
            <w:proofErr w:type="spellStart"/>
            <w:r w:rsidRPr="00CE3FB4">
              <w:rPr>
                <w:rFonts w:eastAsia="Arial Unicode MS"/>
                <w:color w:val="000000" w:themeColor="text1"/>
                <w:sz w:val="20"/>
                <w:szCs w:val="20"/>
                <w:shd w:val="clear" w:color="auto" w:fill="FFFFFF"/>
                <w:lang w:val="en-US"/>
              </w:rPr>
              <w:t>obiectul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consultări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publice</w:t>
            </w:r>
            <w:proofErr w:type="spellEnd"/>
            <w:r w:rsidRPr="00CE3FB4">
              <w:rPr>
                <w:rFonts w:eastAsia="Arial Unicode MS"/>
                <w:color w:val="000000" w:themeColor="text1"/>
                <w:sz w:val="20"/>
                <w:szCs w:val="20"/>
                <w:shd w:val="clear" w:color="auto" w:fill="FFFFFF"/>
                <w:lang w:val="en-US"/>
              </w:rPr>
              <w:t xml:space="preserve">. Pe </w:t>
            </w:r>
            <w:proofErr w:type="spellStart"/>
            <w:r w:rsidRPr="00CE3FB4">
              <w:rPr>
                <w:rFonts w:eastAsia="Arial Unicode MS"/>
                <w:color w:val="000000" w:themeColor="text1"/>
                <w:sz w:val="20"/>
                <w:szCs w:val="20"/>
                <w:shd w:val="clear" w:color="auto" w:fill="FFFFFF"/>
                <w:lang w:val="en-US"/>
              </w:rPr>
              <w:t>această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bază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30</w:t>
            </w:r>
            <w:r w:rsid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iunie</w:t>
            </w:r>
            <w:proofErr w:type="spellEnd"/>
            <w:r w:rsidRPr="00CE3FB4">
              <w:rPr>
                <w:rFonts w:eastAsia="Arial Unicode MS"/>
                <w:color w:val="000000" w:themeColor="text1"/>
                <w:sz w:val="20"/>
                <w:szCs w:val="20"/>
                <w:shd w:val="clear" w:color="auto" w:fill="FFFFFF"/>
                <w:lang w:val="en-US"/>
              </w:rPr>
              <w:t xml:space="preserve"> 2019,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stabilește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publică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transmite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Comisiei</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listă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investițiilor</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în </w:t>
            </w:r>
            <w:proofErr w:type="spellStart"/>
            <w:r w:rsidRPr="00CE3FB4">
              <w:rPr>
                <w:rFonts w:eastAsia="Arial Unicode MS"/>
                <w:color w:val="000000" w:themeColor="text1"/>
                <w:sz w:val="20"/>
                <w:szCs w:val="20"/>
                <w:shd w:val="clear" w:color="auto" w:fill="FFFFFF"/>
                <w:lang w:val="en-US"/>
              </w:rPr>
              <w:t>aceeași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instalație</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realizează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multe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acestea</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evaluează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ansamblu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stabili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dacă</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depășește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nu </w:t>
            </w:r>
            <w:proofErr w:type="spellStart"/>
            <w:r w:rsidRPr="00CE3FB4">
              <w:rPr>
                <w:rFonts w:eastAsia="Arial Unicode MS"/>
                <w:color w:val="000000" w:themeColor="text1"/>
                <w:sz w:val="20"/>
                <w:szCs w:val="20"/>
                <w:shd w:val="clear" w:color="auto" w:fill="FFFFFF"/>
                <w:lang w:val="en-US"/>
              </w:rPr>
              <w:t>pragul</w:t>
            </w:r>
            <w:proofErr w:type="spellEnd"/>
            <w:r w:rsidRPr="00CE3FB4">
              <w:rPr>
                <w:rFonts w:eastAsia="Arial Unicode MS"/>
                <w:color w:val="000000" w:themeColor="text1"/>
                <w:sz w:val="20"/>
                <w:szCs w:val="20"/>
                <w:shd w:val="clear" w:color="auto" w:fill="FFFFFF"/>
                <w:lang w:val="en-US"/>
              </w:rPr>
              <w:t xml:space="preserve"> de 12,5</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milioane</w:t>
            </w:r>
            <w:proofErr w:type="spellEnd"/>
            <w:r w:rsidRPr="00CE3FB4">
              <w:rPr>
                <w:rFonts w:eastAsia="Arial Unicode MS"/>
                <w:color w:val="000000" w:themeColor="text1"/>
                <w:sz w:val="20"/>
                <w:szCs w:val="20"/>
                <w:shd w:val="clear" w:color="auto" w:fill="FFFFFF"/>
                <w:lang w:val="en-US"/>
              </w:rPr>
              <w:t xml:space="preserve"> EUR, cu </w:t>
            </w:r>
            <w:proofErr w:type="spellStart"/>
            <w:r w:rsidRPr="00CE3FB4">
              <w:rPr>
                <w:rFonts w:eastAsia="Arial Unicode MS"/>
                <w:color w:val="000000" w:themeColor="text1"/>
                <w:sz w:val="20"/>
                <w:szCs w:val="20"/>
                <w:shd w:val="clear" w:color="auto" w:fill="FFFFFF"/>
                <w:lang w:val="en-US"/>
              </w:rPr>
              <w:t>excepția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cazului</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respective sunt, în mod independent, </w:t>
            </w:r>
            <w:proofErr w:type="spellStart"/>
            <w:r w:rsidRPr="00CE3FB4">
              <w:rPr>
                <w:rFonts w:eastAsia="Arial Unicode MS"/>
                <w:color w:val="000000" w:themeColor="text1"/>
                <w:sz w:val="20"/>
                <w:szCs w:val="20"/>
                <w:shd w:val="clear" w:color="auto" w:fill="FFFFFF"/>
                <w:lang w:val="en-US"/>
              </w:rPr>
              <w:t>viabile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punct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vedere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tehnic</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financiar</w:t>
            </w:r>
            <w:proofErr w:type="spellEnd"/>
            <w:r w:rsidRPr="00CE3FB4">
              <w:rPr>
                <w:rFonts w:eastAsia="Arial Unicode MS"/>
                <w:color w:val="000000" w:themeColor="text1"/>
                <w:sz w:val="20"/>
                <w:szCs w:val="20"/>
                <w:shd w:val="clear" w:color="auto" w:fill="FFFFFF"/>
                <w:lang w:val="en-US"/>
              </w:rPr>
              <w:t>.</w:t>
            </w:r>
          </w:p>
          <w:p w14:paraId="160573EF" w14:textId="77777777" w:rsidR="00124364" w:rsidRPr="00CE3FB4" w:rsidRDefault="00000000" w:rsidP="00CE3FB4">
            <w:pPr>
              <w:pStyle w:val="ti-art"/>
              <w:numPr>
                <w:ilvl w:val="0"/>
                <w:numId w:val="6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preconizate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trebuie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cel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puțin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egală</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piață</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ținând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seama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totodată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necesitatea</w:t>
            </w:r>
            <w:proofErr w:type="spellEnd"/>
            <w:r w:rsidRPr="00CE3FB4">
              <w:rPr>
                <w:rFonts w:eastAsia="Arial Unicode MS"/>
                <w:color w:val="000000" w:themeColor="text1"/>
                <w:sz w:val="20"/>
                <w:szCs w:val="20"/>
                <w:shd w:val="clear" w:color="auto" w:fill="FFFFFF"/>
                <w:lang w:val="en-US"/>
              </w:rPr>
              <w:t xml:space="preserve"> de a </w:t>
            </w:r>
            <w:proofErr w:type="spellStart"/>
            <w:r w:rsidRPr="00CE3FB4">
              <w:rPr>
                <w:rFonts w:eastAsia="Arial Unicode MS"/>
                <w:color w:val="000000" w:themeColor="text1"/>
                <w:sz w:val="20"/>
                <w:szCs w:val="20"/>
                <w:shd w:val="clear" w:color="auto" w:fill="FFFFFF"/>
                <w:lang w:val="en-US"/>
              </w:rPr>
              <w:t>limita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creșterile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prețuri</w:t>
            </w:r>
            <w:proofErr w:type="spellEnd"/>
            <w:r w:rsidRPr="00CE3FB4">
              <w:rPr>
                <w:rFonts w:eastAsia="Arial Unicode MS"/>
                <w:color w:val="000000" w:themeColor="text1"/>
                <w:sz w:val="20"/>
                <w:szCs w:val="20"/>
                <w:shd w:val="clear" w:color="auto" w:fill="FFFFFF"/>
                <w:lang w:val="en-US"/>
              </w:rPr>
              <w:t xml:space="preserve"> direct legate de </w:t>
            </w:r>
            <w:proofErr w:type="spellStart"/>
            <w:r w:rsidRPr="00CE3FB4">
              <w:rPr>
                <w:rFonts w:eastAsia="Arial Unicode MS"/>
                <w:color w:val="000000" w:themeColor="text1"/>
                <w:sz w:val="20"/>
                <w:szCs w:val="20"/>
                <w:shd w:val="clear" w:color="auto" w:fill="FFFFFF"/>
                <w:lang w:val="en-US"/>
              </w:rPr>
              <w:t>acestea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piață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valoarea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medie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prețului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certificatelor</w:t>
            </w:r>
            <w:proofErr w:type="spellEnd"/>
            <w:r w:rsidRPr="00CE3FB4">
              <w:rPr>
                <w:rFonts w:eastAsia="Arial Unicode MS"/>
                <w:color w:val="000000" w:themeColor="text1"/>
                <w:sz w:val="20"/>
                <w:szCs w:val="20"/>
                <w:shd w:val="clear" w:color="auto" w:fill="FFFFFF"/>
                <w:lang w:val="en-US"/>
              </w:rPr>
              <w:t xml:space="preserve"> de pe </w:t>
            </w:r>
            <w:proofErr w:type="spellStart"/>
            <w:r w:rsidRPr="00CE3FB4">
              <w:rPr>
                <w:rFonts w:eastAsia="Arial Unicode MS"/>
                <w:color w:val="000000" w:themeColor="text1"/>
                <w:sz w:val="20"/>
                <w:szCs w:val="20"/>
                <w:shd w:val="clear" w:color="auto" w:fill="FFFFFF"/>
                <w:lang w:val="en-US"/>
              </w:rPr>
              <w:t>platforma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comună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din anul </w:t>
            </w:r>
            <w:proofErr w:type="spellStart"/>
            <w:r w:rsidRPr="00CE3FB4">
              <w:rPr>
                <w:rFonts w:eastAsia="Arial Unicode MS"/>
                <w:color w:val="000000" w:themeColor="text1"/>
                <w:sz w:val="20"/>
                <w:szCs w:val="20"/>
                <w:shd w:val="clear" w:color="auto" w:fill="FFFFFF"/>
                <w:lang w:val="en-US"/>
              </w:rPr>
              <w:t>calendaristic</w:t>
            </w:r>
            <w:proofErr w:type="spellEnd"/>
            <w:r w:rsidRPr="00CE3FB4">
              <w:rPr>
                <w:rFonts w:eastAsia="Arial Unicode MS"/>
                <w:color w:val="000000" w:themeColor="text1"/>
                <w:sz w:val="20"/>
                <w:szCs w:val="20"/>
                <w:shd w:val="clear" w:color="auto" w:fill="FFFFFF"/>
                <w:lang w:val="en-US"/>
              </w:rPr>
              <w:t xml:space="preserve"> precedent.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70 % din </w:t>
            </w:r>
            <w:proofErr w:type="spellStart"/>
            <w:r w:rsidRPr="00CE3FB4">
              <w:rPr>
                <w:rFonts w:eastAsia="Arial Unicode MS"/>
                <w:color w:val="000000" w:themeColor="text1"/>
                <w:sz w:val="20"/>
                <w:szCs w:val="20"/>
                <w:shd w:val="clear" w:color="auto" w:fill="FFFFFF"/>
                <w:lang w:val="en-US"/>
              </w:rPr>
              <w:t>costurile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relevante</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pot fi </w:t>
            </w:r>
            <w:proofErr w:type="spellStart"/>
            <w:r w:rsidRPr="00CE3FB4">
              <w:rPr>
                <w:rFonts w:eastAsia="Arial Unicode MS"/>
                <w:color w:val="000000" w:themeColor="text1"/>
                <w:sz w:val="20"/>
                <w:szCs w:val="20"/>
                <w:shd w:val="clear" w:color="auto" w:fill="FFFFFF"/>
                <w:lang w:val="en-US"/>
              </w:rPr>
              <w:t>spri</w:t>
            </w:r>
            <w:r w:rsidRPr="00CE3FB4">
              <w:rPr>
                <w:rFonts w:eastAsia="Arial Unicode MS"/>
                <w:color w:val="000000" w:themeColor="text1"/>
                <w:sz w:val="20"/>
                <w:szCs w:val="20"/>
                <w:shd w:val="clear" w:color="auto" w:fill="FFFFFF"/>
                <w:lang w:val="en-US"/>
              </w:rPr>
              <w:lastRenderedPageBreak/>
              <w:t>jinite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condiția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finanțării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costurilor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rămase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către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entități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juridice</w:t>
            </w:r>
            <w:proofErr w:type="spellEnd"/>
            <w:r w:rsidRPr="00CE3FB4">
              <w:rPr>
                <w:rFonts w:eastAsia="Arial Unicode MS"/>
                <w:color w:val="000000" w:themeColor="text1"/>
                <w:sz w:val="20"/>
                <w:szCs w:val="20"/>
                <w:shd w:val="clear" w:color="auto" w:fill="FFFFFF"/>
                <w:lang w:val="en-US"/>
              </w:rPr>
              <w:t xml:space="preserve"> private.</w:t>
            </w:r>
          </w:p>
          <w:p w14:paraId="6A3D5D48" w14:textId="45BEF8CE" w:rsidR="00124364" w:rsidRPr="00CE3FB4" w:rsidRDefault="00000000" w:rsidP="00CE3FB4">
            <w:pPr>
              <w:pStyle w:val="ti-art"/>
              <w:numPr>
                <w:ilvl w:val="0"/>
                <w:numId w:val="6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Alocările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tranzitorii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deduc</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de certificate pe care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le-</w:t>
            </w:r>
            <w:proofErr w:type="spellStart"/>
            <w:r w:rsidRPr="00CE3FB4">
              <w:rPr>
                <w:rFonts w:eastAsia="Arial Unicode MS"/>
                <w:color w:val="000000" w:themeColor="text1"/>
                <w:sz w:val="20"/>
                <w:szCs w:val="20"/>
                <w:shd w:val="clear" w:color="auto" w:fill="FFFFFF"/>
                <w:lang w:val="en-US"/>
              </w:rPr>
              <w:t>ar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altfel</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totală</w:t>
            </w:r>
            <w:proofErr w:type="spellEnd"/>
            <w:r w:rsidRPr="00CE3FB4">
              <w:rPr>
                <w:rFonts w:eastAsia="Arial Unicode MS"/>
                <w:color w:val="000000" w:themeColor="text1"/>
                <w:sz w:val="20"/>
                <w:szCs w:val="20"/>
                <w:shd w:val="clear" w:color="auto" w:fill="FFFFFF"/>
                <w:lang w:val="en-US"/>
              </w:rPr>
              <w:t xml:space="preserve"> nu </w:t>
            </w:r>
            <w:proofErr w:type="spellStart"/>
            <w:r w:rsidRPr="00CE3FB4">
              <w:rPr>
                <w:rFonts w:eastAsia="Arial Unicode MS"/>
                <w:color w:val="000000" w:themeColor="text1"/>
                <w:sz w:val="20"/>
                <w:szCs w:val="20"/>
                <w:shd w:val="clear" w:color="auto" w:fill="FFFFFF"/>
                <w:lang w:val="en-US"/>
              </w:rPr>
              <w:t>poate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depăși</w:t>
            </w:r>
            <w:proofErr w:type="spellEnd"/>
            <w:r w:rsidRPr="00CE3FB4">
              <w:rPr>
                <w:rFonts w:eastAsia="Arial Unicode MS"/>
                <w:color w:val="000000" w:themeColor="text1"/>
                <w:sz w:val="20"/>
                <w:szCs w:val="20"/>
                <w:shd w:val="clear" w:color="auto" w:fill="FFFFFF"/>
                <w:lang w:val="en-US"/>
              </w:rPr>
              <w:t xml:space="preserve"> 40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pe care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le </w:t>
            </w:r>
            <w:proofErr w:type="spellStart"/>
            <w:r w:rsidRPr="00CE3FB4">
              <w:rPr>
                <w:rFonts w:eastAsia="Arial Unicode MS"/>
                <w:color w:val="000000" w:themeColor="text1"/>
                <w:sz w:val="20"/>
                <w:szCs w:val="20"/>
                <w:shd w:val="clear" w:color="auto" w:fill="FFFFFF"/>
                <w:lang w:val="en-US"/>
              </w:rPr>
              <w:t>va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primi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Pr="00CE3FB4">
              <w:rPr>
                <w:rFonts w:eastAsia="Arial Unicode MS"/>
                <w:color w:val="000000" w:themeColor="text1"/>
                <w:sz w:val="20"/>
                <w:szCs w:val="20"/>
                <w:shd w:val="clear" w:color="auto" w:fill="FFFFFF"/>
                <w:lang w:val="en-US"/>
              </w:rPr>
              <w:t xml:space="preserve"> 10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w:t>
            </w:r>
            <w:proofErr w:type="spellStart"/>
            <w:r w:rsidRPr="00CE3FB4">
              <w:rPr>
                <w:rFonts w:eastAsia="Arial Unicode MS"/>
                <w:color w:val="000000" w:themeColor="text1"/>
                <w:sz w:val="20"/>
                <w:szCs w:val="20"/>
                <w:shd w:val="clear" w:color="auto" w:fill="FFFFFF"/>
                <w:lang w:val="en-US"/>
              </w:rPr>
              <w:t>litera</w:t>
            </w:r>
            <w:proofErr w:type="spellEnd"/>
            <w:r w:rsidRPr="00CE3FB4">
              <w:rPr>
                <w:rFonts w:eastAsia="Arial Unicode MS"/>
                <w:color w:val="000000" w:themeColor="text1"/>
                <w:sz w:val="20"/>
                <w:szCs w:val="20"/>
                <w:shd w:val="clear" w:color="auto" w:fill="FFFFFF"/>
                <w:lang w:val="en-US"/>
              </w:rPr>
              <w:t xml:space="preserve"> (a), în perioada 2021-2030, </w:t>
            </w:r>
            <w:proofErr w:type="spellStart"/>
            <w:r w:rsidRPr="00CE3FB4">
              <w:rPr>
                <w:rFonts w:eastAsia="Arial Unicode MS"/>
                <w:color w:val="000000" w:themeColor="text1"/>
                <w:sz w:val="20"/>
                <w:szCs w:val="20"/>
                <w:shd w:val="clear" w:color="auto" w:fill="FFFFFF"/>
                <w:lang w:val="en-US"/>
              </w:rPr>
              <w:t>repartizate</w:t>
            </w:r>
            <w:proofErr w:type="spellEnd"/>
            <w:r w:rsidRPr="00CE3FB4">
              <w:rPr>
                <w:rFonts w:eastAsia="Arial Unicode MS"/>
                <w:color w:val="000000" w:themeColor="text1"/>
                <w:sz w:val="20"/>
                <w:szCs w:val="20"/>
                <w:shd w:val="clear" w:color="auto" w:fill="FFFFFF"/>
                <w:lang w:val="en-US"/>
              </w:rPr>
              <w:t xml:space="preserve"> în volume </w:t>
            </w:r>
            <w:proofErr w:type="spellStart"/>
            <w:r w:rsidRPr="00CE3FB4">
              <w:rPr>
                <w:rFonts w:eastAsia="Arial Unicode MS"/>
                <w:color w:val="000000" w:themeColor="text1"/>
                <w:sz w:val="20"/>
                <w:szCs w:val="20"/>
                <w:shd w:val="clear" w:color="auto" w:fill="FFFFFF"/>
                <w:lang w:val="en-US"/>
              </w:rPr>
              <w:t>anuale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egale</w:t>
            </w:r>
            <w:proofErr w:type="spellEnd"/>
            <w:r w:rsidRPr="00CE3FB4">
              <w:rPr>
                <w:rFonts w:eastAsia="Arial Unicode MS"/>
                <w:color w:val="000000" w:themeColor="text1"/>
                <w:sz w:val="20"/>
                <w:szCs w:val="20"/>
                <w:shd w:val="clear" w:color="auto" w:fill="FFFFFF"/>
                <w:lang w:val="en-US"/>
              </w:rPr>
              <w:t xml:space="preserve"> de-a </w:t>
            </w:r>
            <w:proofErr w:type="spellStart"/>
            <w:r w:rsidRPr="00CE3FB4">
              <w:rPr>
                <w:rFonts w:eastAsia="Arial Unicode MS"/>
                <w:color w:val="000000" w:themeColor="text1"/>
                <w:sz w:val="20"/>
                <w:szCs w:val="20"/>
                <w:shd w:val="clear" w:color="auto" w:fill="FFFFFF"/>
                <w:lang w:val="en-US"/>
              </w:rPr>
              <w:t>lungul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perioadei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w:t>
            </w:r>
          </w:p>
          <w:p w14:paraId="4F307B9B" w14:textId="2530E9EC" w:rsidR="00124364" w:rsidRPr="00CE3FB4" w:rsidRDefault="00000000" w:rsidP="00CE3FB4">
            <w:pPr>
              <w:pStyle w:val="ti-art"/>
              <w:numPr>
                <w:ilvl w:val="0"/>
                <w:numId w:val="6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un stat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Pr="00CE3FB4">
              <w:rPr>
                <w:rFonts w:eastAsia="Arial Unicode MS"/>
                <w:color w:val="000000" w:themeColor="text1"/>
                <w:sz w:val="20"/>
                <w:szCs w:val="20"/>
                <w:shd w:val="clear" w:color="auto" w:fill="FFFFFF"/>
                <w:lang w:val="en-US"/>
              </w:rPr>
              <w:t xml:space="preserve"> 10d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(4), </w:t>
            </w:r>
            <w:proofErr w:type="spellStart"/>
            <w:r w:rsidRPr="00CE3FB4">
              <w:rPr>
                <w:rFonts w:eastAsia="Arial Unicode MS"/>
                <w:color w:val="000000" w:themeColor="text1"/>
                <w:sz w:val="20"/>
                <w:szCs w:val="20"/>
                <w:shd w:val="clear" w:color="auto" w:fill="FFFFFF"/>
                <w:lang w:val="en-US"/>
              </w:rPr>
              <w:t>utilizează</w:t>
            </w:r>
            <w:proofErr w:type="spellEnd"/>
            <w:r w:rsidRPr="00CE3FB4">
              <w:rPr>
                <w:rFonts w:eastAsia="Arial Unicode MS"/>
                <w:color w:val="000000" w:themeColor="text1"/>
                <w:sz w:val="20"/>
                <w:szCs w:val="20"/>
                <w:shd w:val="clear" w:color="auto" w:fill="FFFFFF"/>
                <w:lang w:val="en-US"/>
              </w:rPr>
              <w:t xml:space="preserve"> certificate </w:t>
            </w:r>
            <w:proofErr w:type="spellStart"/>
            <w:r w:rsidRPr="00CE3FB4">
              <w:rPr>
                <w:rFonts w:eastAsia="Arial Unicode MS"/>
                <w:color w:val="000000" w:themeColor="text1"/>
                <w:sz w:val="20"/>
                <w:szCs w:val="20"/>
                <w:shd w:val="clear" w:color="auto" w:fill="FFFFFF"/>
                <w:lang w:val="en-US"/>
              </w:rPr>
              <w:t>distribuite</w:t>
            </w:r>
            <w:proofErr w:type="spellEnd"/>
            <w:r w:rsidRPr="00CE3FB4">
              <w:rPr>
                <w:rFonts w:eastAsia="Arial Unicode MS"/>
                <w:color w:val="000000" w:themeColor="text1"/>
                <w:sz w:val="20"/>
                <w:szCs w:val="20"/>
                <w:shd w:val="clear" w:color="auto" w:fill="FFFFFF"/>
                <w:lang w:val="en-US"/>
              </w:rPr>
              <w:t xml:space="preserve"> din motive de </w:t>
            </w:r>
            <w:proofErr w:type="spellStart"/>
            <w:r w:rsidRPr="00CE3FB4">
              <w:rPr>
                <w:rFonts w:eastAsia="Arial Unicode MS"/>
                <w:color w:val="000000" w:themeColor="text1"/>
                <w:sz w:val="20"/>
                <w:szCs w:val="20"/>
                <w:shd w:val="clear" w:color="auto" w:fill="FFFFFF"/>
                <w:lang w:val="en-US"/>
              </w:rPr>
              <w:t>solidaritate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dezvoltare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interconectare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cadrul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10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w:t>
            </w:r>
            <w:proofErr w:type="spellStart"/>
            <w:r w:rsidRPr="00CE3FB4">
              <w:rPr>
                <w:rFonts w:eastAsia="Arial Unicode MS"/>
                <w:color w:val="000000" w:themeColor="text1"/>
                <w:sz w:val="20"/>
                <w:szCs w:val="20"/>
                <w:shd w:val="clear" w:color="auto" w:fill="FFFFFF"/>
                <w:lang w:val="en-US"/>
              </w:rPr>
              <w:t>litera</w:t>
            </w:r>
            <w:proofErr w:type="spellEnd"/>
            <w:r w:rsidRPr="00CE3FB4">
              <w:rPr>
                <w:rFonts w:eastAsia="Arial Unicode MS"/>
                <w:color w:val="000000" w:themeColor="text1"/>
                <w:sz w:val="20"/>
                <w:szCs w:val="20"/>
                <w:shd w:val="clear" w:color="auto" w:fill="FFFFFF"/>
                <w:lang w:val="en-US"/>
              </w:rPr>
              <w:t xml:space="preserve"> (b),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derogare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(4)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utilizeze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tranzitorie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număr</w:t>
            </w:r>
            <w:proofErr w:type="spellEnd"/>
            <w:r w:rsidRPr="00CE3FB4">
              <w:rPr>
                <w:rFonts w:eastAsia="Arial Unicode MS"/>
                <w:color w:val="000000" w:themeColor="text1"/>
                <w:sz w:val="20"/>
                <w:szCs w:val="20"/>
                <w:shd w:val="clear" w:color="auto" w:fill="FFFFFF"/>
                <w:lang w:val="en-US"/>
              </w:rPr>
              <w:t xml:space="preserve"> total de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60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primite</w:t>
            </w:r>
            <w:proofErr w:type="spellEnd"/>
            <w:r w:rsidRPr="00CE3FB4">
              <w:rPr>
                <w:rFonts w:eastAsia="Arial Unicode MS"/>
                <w:color w:val="000000" w:themeColor="text1"/>
                <w:sz w:val="20"/>
                <w:szCs w:val="20"/>
                <w:shd w:val="clear" w:color="auto" w:fill="FFFFFF"/>
                <w:lang w:val="en-US"/>
              </w:rPr>
              <w:t xml:space="preserve"> în perioada 2021-2030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Pr="00CE3FB4">
              <w:rPr>
                <w:rFonts w:eastAsia="Arial Unicode MS"/>
                <w:color w:val="000000" w:themeColor="text1"/>
                <w:sz w:val="20"/>
                <w:szCs w:val="20"/>
                <w:shd w:val="clear" w:color="auto" w:fill="FFFFFF"/>
                <w:lang w:val="en-US"/>
              </w:rPr>
              <w:t xml:space="preserve"> 10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w:t>
            </w:r>
            <w:proofErr w:type="spellStart"/>
            <w:r w:rsidRPr="00CE3FB4">
              <w:rPr>
                <w:rFonts w:eastAsia="Arial Unicode MS"/>
                <w:color w:val="000000" w:themeColor="text1"/>
                <w:sz w:val="20"/>
                <w:szCs w:val="20"/>
                <w:shd w:val="clear" w:color="auto" w:fill="FFFFFF"/>
                <w:lang w:val="en-US"/>
              </w:rPr>
              <w:t>litera</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utilizând</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cuantum</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corespunzător</w:t>
            </w:r>
            <w:proofErr w:type="spellEnd"/>
            <w:r w:rsidRPr="00CE3FB4">
              <w:rPr>
                <w:rFonts w:eastAsia="Arial Unicode MS"/>
                <w:color w:val="000000" w:themeColor="text1"/>
                <w:sz w:val="20"/>
                <w:szCs w:val="20"/>
                <w:shd w:val="clear" w:color="auto" w:fill="FFFFFF"/>
                <w:lang w:val="en-US"/>
              </w:rPr>
              <w:t xml:space="preserve"> de certificate </w:t>
            </w:r>
            <w:proofErr w:type="spellStart"/>
            <w:r w:rsidRPr="00CE3FB4">
              <w:rPr>
                <w:rFonts w:eastAsia="Arial Unicode MS"/>
                <w:color w:val="000000" w:themeColor="text1"/>
                <w:sz w:val="20"/>
                <w:szCs w:val="20"/>
                <w:shd w:val="clear" w:color="auto" w:fill="FFFFFF"/>
                <w:lang w:val="en-US"/>
              </w:rPr>
              <w:t>distribuite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10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w:t>
            </w:r>
            <w:proofErr w:type="spellStart"/>
            <w:r w:rsidRPr="00CE3FB4">
              <w:rPr>
                <w:rFonts w:eastAsia="Arial Unicode MS"/>
                <w:color w:val="000000" w:themeColor="text1"/>
                <w:sz w:val="20"/>
                <w:szCs w:val="20"/>
                <w:shd w:val="clear" w:color="auto" w:fill="FFFFFF"/>
                <w:lang w:val="en-US"/>
              </w:rPr>
              <w:t>litera</w:t>
            </w:r>
            <w:proofErr w:type="spellEnd"/>
            <w:r w:rsidRPr="00CE3FB4">
              <w:rPr>
                <w:rFonts w:eastAsia="Arial Unicode MS"/>
                <w:color w:val="000000" w:themeColor="text1"/>
                <w:sz w:val="20"/>
                <w:szCs w:val="20"/>
                <w:shd w:val="clear" w:color="auto" w:fill="FFFFFF"/>
                <w:lang w:val="en-US"/>
              </w:rPr>
              <w:t xml:space="preserve"> (b).</w:t>
            </w:r>
          </w:p>
          <w:p w14:paraId="1202CB18" w14:textId="6DC10D49" w:rsidR="00124364" w:rsidRPr="00CE3FB4" w:rsidRDefault="00000000" w:rsidP="00CE3FB4">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Toate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nealocate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prezentului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în 2020 se pot </w:t>
            </w:r>
            <w:proofErr w:type="spellStart"/>
            <w:r w:rsidRPr="00CE3FB4">
              <w:rPr>
                <w:rFonts w:eastAsia="Arial Unicode MS"/>
                <w:color w:val="000000" w:themeColor="text1"/>
                <w:sz w:val="20"/>
                <w:szCs w:val="20"/>
                <w:shd w:val="clear" w:color="auto" w:fill="FFFFFF"/>
                <w:lang w:val="en-US"/>
              </w:rPr>
              <w:t>aloca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2021-2030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selectate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alineatul</w:t>
            </w:r>
            <w:proofErr w:type="spellEnd"/>
            <w:r w:rsidRPr="00CE3FB4">
              <w:rPr>
                <w:rFonts w:eastAsia="Arial Unicode MS"/>
                <w:color w:val="000000" w:themeColor="text1"/>
                <w:sz w:val="20"/>
                <w:szCs w:val="20"/>
                <w:shd w:val="clear" w:color="auto" w:fill="FFFFFF"/>
                <w:lang w:val="en-US"/>
              </w:rPr>
              <w:t xml:space="preserve"> (2), cu </w:t>
            </w:r>
            <w:proofErr w:type="spellStart"/>
            <w:r w:rsidRPr="00CE3FB4">
              <w:rPr>
                <w:rFonts w:eastAsia="Arial Unicode MS"/>
                <w:color w:val="000000" w:themeColor="text1"/>
                <w:sz w:val="20"/>
                <w:szCs w:val="20"/>
                <w:shd w:val="clear" w:color="auto" w:fill="FFFFFF"/>
                <w:lang w:val="en-US"/>
              </w:rPr>
              <w:t>excepția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cazului</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informează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30 </w:t>
            </w:r>
            <w:proofErr w:type="spellStart"/>
            <w:r w:rsidRPr="00CE3FB4">
              <w:rPr>
                <w:rFonts w:eastAsia="Arial Unicode MS"/>
                <w:color w:val="000000" w:themeColor="text1"/>
                <w:sz w:val="20"/>
                <w:szCs w:val="20"/>
                <w:shd w:val="clear" w:color="auto" w:fill="FFFFFF"/>
                <w:lang w:val="en-US"/>
              </w:rPr>
              <w:t>septembrie</w:t>
            </w:r>
            <w:proofErr w:type="spellEnd"/>
            <w:r w:rsidRPr="00CE3FB4">
              <w:rPr>
                <w:rFonts w:eastAsia="Arial Unicode MS"/>
                <w:color w:val="000000" w:themeColor="text1"/>
                <w:sz w:val="20"/>
                <w:szCs w:val="20"/>
                <w:shd w:val="clear" w:color="auto" w:fill="FFFFFF"/>
                <w:lang w:val="en-US"/>
              </w:rPr>
              <w:t xml:space="preserve"> 2019 cu </w:t>
            </w:r>
            <w:proofErr w:type="spellStart"/>
            <w:r w:rsidRPr="00CE3FB4">
              <w:rPr>
                <w:rFonts w:eastAsia="Arial Unicode MS"/>
                <w:color w:val="000000" w:themeColor="text1"/>
                <w:sz w:val="20"/>
                <w:szCs w:val="20"/>
                <w:shd w:val="clear" w:color="auto" w:fill="FFFFFF"/>
                <w:lang w:val="en-US"/>
              </w:rPr>
              <w:t>privire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intenția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w:t>
            </w:r>
            <w:proofErr w:type="spellEnd"/>
            <w:r w:rsidRPr="00CE3FB4">
              <w:rPr>
                <w:rFonts w:eastAsia="Arial Unicode MS"/>
                <w:color w:val="000000" w:themeColor="text1"/>
                <w:sz w:val="20"/>
                <w:szCs w:val="20"/>
                <w:shd w:val="clear" w:color="auto" w:fill="FFFFFF"/>
                <w:lang w:val="en-US"/>
              </w:rPr>
              <w:t xml:space="preserve"> de a </w:t>
            </w:r>
            <w:proofErr w:type="spellStart"/>
            <w:r w:rsidRPr="00CE3FB4">
              <w:rPr>
                <w:rFonts w:eastAsia="Arial Unicode MS"/>
                <w:color w:val="000000" w:themeColor="text1"/>
                <w:sz w:val="20"/>
                <w:szCs w:val="20"/>
                <w:shd w:val="clear" w:color="auto" w:fill="FFFFFF"/>
                <w:lang w:val="en-US"/>
              </w:rPr>
              <w:t>nu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parțial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întregime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respective în perioada 2021-2030 și cu </w:t>
            </w:r>
            <w:proofErr w:type="spellStart"/>
            <w:r w:rsidRPr="00CE3FB4">
              <w:rPr>
                <w:rFonts w:eastAsia="Arial Unicode MS"/>
                <w:color w:val="000000" w:themeColor="text1"/>
                <w:sz w:val="20"/>
                <w:szCs w:val="20"/>
                <w:shd w:val="clear" w:color="auto" w:fill="FFFFFF"/>
                <w:lang w:val="en-US"/>
              </w:rPr>
              <w:t>privire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cuantumul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certificatelor</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urmează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scoase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în 2020.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de certificate se </w:t>
            </w:r>
            <w:proofErr w:type="spellStart"/>
            <w:r w:rsidRPr="00CE3FB4">
              <w:rPr>
                <w:rFonts w:eastAsia="Arial Unicode MS"/>
                <w:color w:val="000000" w:themeColor="text1"/>
                <w:sz w:val="20"/>
                <w:szCs w:val="20"/>
                <w:shd w:val="clear" w:color="auto" w:fill="FFFFFF"/>
                <w:lang w:val="en-US"/>
              </w:rPr>
              <w:t>alocă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2021-2030, </w:t>
            </w:r>
            <w:proofErr w:type="spellStart"/>
            <w:r w:rsidRPr="00CE3FB4">
              <w:rPr>
                <w:rFonts w:eastAsia="Arial Unicode MS"/>
                <w:color w:val="000000" w:themeColor="text1"/>
                <w:sz w:val="20"/>
                <w:szCs w:val="20"/>
                <w:shd w:val="clear" w:color="auto" w:fill="FFFFFF"/>
                <w:lang w:val="en-US"/>
              </w:rPr>
              <w:t>cuantumul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corespunzător</w:t>
            </w:r>
            <w:proofErr w:type="spellEnd"/>
            <w:r w:rsidRPr="00CE3FB4">
              <w:rPr>
                <w:rFonts w:eastAsia="Arial Unicode MS"/>
                <w:color w:val="000000" w:themeColor="text1"/>
                <w:sz w:val="20"/>
                <w:szCs w:val="20"/>
                <w:shd w:val="clear" w:color="auto" w:fill="FFFFFF"/>
                <w:lang w:val="en-US"/>
              </w:rPr>
              <w:t xml:space="preserve"> de certificate se </w:t>
            </w:r>
            <w:proofErr w:type="spellStart"/>
            <w:r w:rsidRPr="00CE3FB4">
              <w:rPr>
                <w:rFonts w:eastAsia="Arial Unicode MS"/>
                <w:color w:val="000000" w:themeColor="text1"/>
                <w:sz w:val="20"/>
                <w:szCs w:val="20"/>
                <w:shd w:val="clear" w:color="auto" w:fill="FFFFFF"/>
                <w:lang w:val="en-US"/>
              </w:rPr>
              <w:t>ia</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considerare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aplicarea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limitei</w:t>
            </w:r>
            <w:proofErr w:type="spellEnd"/>
            <w:r w:rsidRPr="00CE3FB4">
              <w:rPr>
                <w:rFonts w:eastAsia="Arial Unicode MS"/>
                <w:color w:val="000000" w:themeColor="text1"/>
                <w:sz w:val="20"/>
                <w:szCs w:val="20"/>
                <w:shd w:val="clear" w:color="auto" w:fill="FFFFFF"/>
                <w:lang w:val="en-US"/>
              </w:rPr>
              <w:t xml:space="preserve"> de 60</w:t>
            </w:r>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primul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w:t>
            </w:r>
            <w:proofErr w:type="spellEnd"/>
            <w:r w:rsidRPr="00CE3FB4">
              <w:rPr>
                <w:rFonts w:eastAsia="Arial Unicode MS"/>
                <w:color w:val="000000" w:themeColor="text1"/>
                <w:sz w:val="20"/>
                <w:szCs w:val="20"/>
                <w:shd w:val="clear" w:color="auto" w:fill="FFFFFF"/>
                <w:lang w:val="en-US"/>
              </w:rPr>
              <w:t>.</w:t>
            </w:r>
          </w:p>
          <w:p w14:paraId="10360CC5" w14:textId="77777777" w:rsidR="00124364" w:rsidRPr="00CE3FB4" w:rsidRDefault="00000000" w:rsidP="00CE3FB4">
            <w:pPr>
              <w:pStyle w:val="ti-art"/>
              <w:numPr>
                <w:ilvl w:val="0"/>
                <w:numId w:val="6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Alocările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către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operatori</w:t>
            </w:r>
            <w:proofErr w:type="spellEnd"/>
            <w:r w:rsidRPr="00CE3FB4">
              <w:rPr>
                <w:rFonts w:eastAsia="Arial Unicode MS"/>
                <w:color w:val="000000" w:themeColor="text1"/>
                <w:sz w:val="20"/>
                <w:szCs w:val="20"/>
                <w:shd w:val="clear" w:color="auto" w:fill="FFFFFF"/>
                <w:lang w:val="en-US"/>
              </w:rPr>
              <w:t xml:space="preserve"> se efectuează </w:t>
            </w:r>
            <w:proofErr w:type="spellStart"/>
            <w:r w:rsidRPr="00CE3FB4">
              <w:rPr>
                <w:rFonts w:eastAsia="Arial Unicode MS"/>
                <w:color w:val="000000" w:themeColor="text1"/>
                <w:sz w:val="20"/>
                <w:szCs w:val="20"/>
                <w:shd w:val="clear" w:color="auto" w:fill="FFFFFF"/>
                <w:lang w:val="en-US"/>
              </w:rPr>
              <w:t>după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aceștia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demonstrează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o </w:t>
            </w:r>
            <w:proofErr w:type="spellStart"/>
            <w:r w:rsidRPr="00CE3FB4">
              <w:rPr>
                <w:rFonts w:eastAsia="Arial Unicode MS"/>
                <w:color w:val="000000" w:themeColor="text1"/>
                <w:sz w:val="20"/>
                <w:szCs w:val="20"/>
                <w:shd w:val="clear" w:color="auto" w:fill="FFFFFF"/>
                <w:lang w:val="en-US"/>
              </w:rPr>
              <w:t>investiție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selectată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normele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procedurii</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ofertare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concurențiale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fost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efectuată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o </w:t>
            </w:r>
            <w:proofErr w:type="spellStart"/>
            <w:r w:rsidRPr="00CE3FB4">
              <w:rPr>
                <w:rFonts w:eastAsia="Arial Unicode MS"/>
                <w:color w:val="000000" w:themeColor="text1"/>
                <w:sz w:val="20"/>
                <w:szCs w:val="20"/>
                <w:shd w:val="clear" w:color="auto" w:fill="FFFFFF"/>
                <w:lang w:val="en-US"/>
              </w:rPr>
              <w:t>investiție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determină</w:t>
            </w:r>
            <w:proofErr w:type="spellEnd"/>
            <w:r w:rsidRPr="00CE3FB4">
              <w:rPr>
                <w:rFonts w:eastAsia="Arial Unicode MS"/>
                <w:color w:val="000000" w:themeColor="text1"/>
                <w:sz w:val="20"/>
                <w:szCs w:val="20"/>
                <w:shd w:val="clear" w:color="auto" w:fill="FFFFFF"/>
                <w:lang w:val="en-US"/>
              </w:rPr>
              <w:t xml:space="preserve"> o capacitate </w:t>
            </w:r>
            <w:proofErr w:type="spellStart"/>
            <w:r w:rsidRPr="00CE3FB4">
              <w:rPr>
                <w:rFonts w:eastAsia="Arial Unicode MS"/>
                <w:color w:val="000000" w:themeColor="text1"/>
                <w:sz w:val="20"/>
                <w:szCs w:val="20"/>
                <w:shd w:val="clear" w:color="auto" w:fill="FFFFFF"/>
                <w:lang w:val="en-US"/>
              </w:rPr>
              <w:t>suplimentară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producție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electrică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operatorul</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demonstrează</w:t>
            </w:r>
            <w:proofErr w:type="spellEnd"/>
            <w:r w:rsidRPr="00CE3FB4">
              <w:rPr>
                <w:rFonts w:eastAsia="Arial Unicode MS"/>
                <w:color w:val="000000" w:themeColor="text1"/>
                <w:sz w:val="20"/>
                <w:szCs w:val="20"/>
                <w:shd w:val="clear" w:color="auto" w:fill="FFFFFF"/>
                <w:lang w:val="en-US"/>
              </w:rPr>
              <w:t xml:space="preserve">, în plus, </w:t>
            </w:r>
            <w:proofErr w:type="spellStart"/>
            <w:r w:rsidRPr="00CE3FB4">
              <w:rPr>
                <w:rFonts w:eastAsia="Arial Unicode MS"/>
                <w:color w:val="000000" w:themeColor="text1"/>
                <w:sz w:val="20"/>
                <w:szCs w:val="20"/>
                <w:shd w:val="clear" w:color="auto" w:fill="FFFFFF"/>
                <w:lang w:val="en-US"/>
              </w:rPr>
              <w:t>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sau</w:t>
            </w:r>
            <w:proofErr w:type="spellEnd"/>
            <w:r w:rsidRPr="00CE3FB4">
              <w:rPr>
                <w:rFonts w:eastAsia="Arial Unicode MS"/>
                <w:color w:val="000000" w:themeColor="text1"/>
                <w:sz w:val="20"/>
                <w:szCs w:val="20"/>
                <w:shd w:val="clear" w:color="auto" w:fill="FFFFFF"/>
                <w:lang w:val="en-US"/>
              </w:rPr>
              <w:t xml:space="preserve"> un alt operator </w:t>
            </w:r>
            <w:proofErr w:type="spellStart"/>
            <w:r w:rsidRPr="00CE3FB4">
              <w:rPr>
                <w:rFonts w:eastAsia="Arial Unicode MS"/>
                <w:color w:val="000000" w:themeColor="text1"/>
                <w:sz w:val="20"/>
                <w:szCs w:val="20"/>
                <w:shd w:val="clear" w:color="auto" w:fill="FFFFFF"/>
                <w:lang w:val="en-US"/>
              </w:rPr>
              <w:t>asociat</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dezafectat</w:t>
            </w:r>
            <w:proofErr w:type="spellEnd"/>
            <w:r w:rsidRPr="00CE3FB4">
              <w:rPr>
                <w:rFonts w:eastAsia="Arial Unicode MS"/>
                <w:color w:val="000000" w:themeColor="text1"/>
                <w:sz w:val="20"/>
                <w:szCs w:val="20"/>
                <w:shd w:val="clear" w:color="auto" w:fill="FFFFFF"/>
                <w:lang w:val="en-US"/>
              </w:rPr>
              <w:t xml:space="preserve"> un </w:t>
            </w:r>
            <w:proofErr w:type="spellStart"/>
            <w:r w:rsidRPr="00CE3FB4">
              <w:rPr>
                <w:rFonts w:eastAsia="Arial Unicode MS"/>
                <w:color w:val="000000" w:themeColor="text1"/>
                <w:sz w:val="20"/>
                <w:szCs w:val="20"/>
                <w:shd w:val="clear" w:color="auto" w:fill="FFFFFF"/>
                <w:lang w:val="en-US"/>
              </w:rPr>
              <w:t>cuantum</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echivalent</w:t>
            </w:r>
            <w:proofErr w:type="spellEnd"/>
            <w:r w:rsidRPr="00CE3FB4">
              <w:rPr>
                <w:rFonts w:eastAsia="Arial Unicode MS"/>
                <w:color w:val="000000" w:themeColor="text1"/>
                <w:sz w:val="20"/>
                <w:szCs w:val="20"/>
                <w:shd w:val="clear" w:color="auto" w:fill="FFFFFF"/>
                <w:lang w:val="en-US"/>
              </w:rPr>
              <w:t xml:space="preserve"> de capacitate de </w:t>
            </w:r>
            <w:proofErr w:type="spellStart"/>
            <w:r w:rsidRPr="00CE3FB4">
              <w:rPr>
                <w:rFonts w:eastAsia="Arial Unicode MS"/>
                <w:color w:val="000000" w:themeColor="text1"/>
                <w:sz w:val="20"/>
                <w:szCs w:val="20"/>
                <w:shd w:val="clear" w:color="auto" w:fill="FFFFFF"/>
                <w:lang w:val="en-US"/>
              </w:rPr>
              <w:t>producție</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energiei </w:t>
            </w:r>
            <w:proofErr w:type="spellStart"/>
            <w:r w:rsidRPr="00CE3FB4">
              <w:rPr>
                <w:rFonts w:eastAsia="Arial Unicode MS"/>
                <w:color w:val="000000" w:themeColor="text1"/>
                <w:sz w:val="20"/>
                <w:szCs w:val="20"/>
                <w:shd w:val="clear" w:color="auto" w:fill="FFFFFF"/>
                <w:lang w:val="en-US"/>
              </w:rPr>
              <w:t>electrice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nivel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lastRenderedPageBreak/>
              <w:t>ridicat</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emisii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înainte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începutul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funcționării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capacității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suplimentare</w:t>
            </w:r>
            <w:proofErr w:type="spellEnd"/>
            <w:r w:rsidRPr="00CE3FB4">
              <w:rPr>
                <w:rFonts w:eastAsia="Arial Unicode MS"/>
                <w:color w:val="000000" w:themeColor="text1"/>
                <w:sz w:val="20"/>
                <w:szCs w:val="20"/>
                <w:shd w:val="clear" w:color="auto" w:fill="FFFFFF"/>
                <w:lang w:val="en-US"/>
              </w:rPr>
              <w:t>.</w:t>
            </w:r>
          </w:p>
          <w:p w14:paraId="0494AC20"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67" w:tooltip="32023L0959: REPLACED" w:history="1">
              <w:r>
                <w:rPr>
                  <w:rStyle w:val="af3"/>
                  <w:rFonts w:eastAsia="Arial Unicode MS"/>
                  <w:b/>
                  <w:bCs/>
                  <w:color w:val="4472C4" w:themeColor="accent1"/>
                  <w:sz w:val="20"/>
                  <w:szCs w:val="20"/>
                </w:rPr>
                <w:t>▼M15</w:t>
              </w:r>
            </w:hyperlink>
          </w:p>
          <w:p w14:paraId="569BF0D6" w14:textId="3F22115D" w:rsidR="00124364" w:rsidRPr="00CE3FB4" w:rsidRDefault="00000000" w:rsidP="00CE3FB4">
            <w:pPr>
              <w:pStyle w:val="ti-art"/>
              <w:numPr>
                <w:ilvl w:val="0"/>
                <w:numId w:val="6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impun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producătoare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electrică</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operatorilor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rețele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prezinte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data de 28</w:t>
            </w:r>
            <w:r w:rsid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februarie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fiecărui</w:t>
            </w:r>
            <w:proofErr w:type="spellEnd"/>
            <w:r w:rsidRPr="00CE3FB4">
              <w:rPr>
                <w:rFonts w:eastAsia="Arial Unicode MS"/>
                <w:color w:val="000000" w:themeColor="text1"/>
                <w:sz w:val="20"/>
                <w:szCs w:val="20"/>
                <w:shd w:val="clear" w:color="auto" w:fill="FFFFFF"/>
                <w:lang w:val="en-US"/>
              </w:rPr>
              <w:t xml:space="preserve"> an, un </w:t>
            </w:r>
            <w:proofErr w:type="spellStart"/>
            <w:r w:rsidRPr="00CE3FB4">
              <w:rPr>
                <w:rFonts w:eastAsia="Arial Unicode MS"/>
                <w:color w:val="000000" w:themeColor="text1"/>
                <w:sz w:val="20"/>
                <w:szCs w:val="20"/>
                <w:shd w:val="clear" w:color="auto" w:fill="FFFFFF"/>
                <w:lang w:val="en-US"/>
              </w:rPr>
              <w:t>raport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referitor</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punerea</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aplicare</w:t>
            </w:r>
            <w:proofErr w:type="spellEnd"/>
            <w:r w:rsidRPr="00CE3FB4">
              <w:rPr>
                <w:rFonts w:eastAsia="Arial Unicode MS"/>
                <w:color w:val="000000" w:themeColor="text1"/>
                <w:sz w:val="20"/>
                <w:szCs w:val="20"/>
                <w:shd w:val="clear" w:color="auto" w:fill="FFFFFF"/>
                <w:lang w:val="en-US"/>
              </w:rPr>
              <w:t xml:space="preserve"> </w:t>
            </w:r>
            <w:proofErr w:type="gramStart"/>
            <w:r w:rsidRPr="00CE3FB4">
              <w:rPr>
                <w:rFonts w:eastAsia="Arial Unicode MS"/>
                <w:color w:val="000000" w:themeColor="text1"/>
                <w:sz w:val="20"/>
                <w:szCs w:val="20"/>
                <w:shd w:val="clear" w:color="auto" w:fill="FFFFFF"/>
                <w:lang w:val="en-US"/>
              </w:rPr>
              <w:t>a</w:t>
            </w:r>
            <w:proofErr w:type="gram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investițiilor</w:t>
            </w:r>
            <w:proofErr w:type="spellEnd"/>
            <w:r w:rsidRPr="00CE3FB4">
              <w:rPr>
                <w:rFonts w:eastAsia="Arial Unicode MS"/>
                <w:color w:val="000000" w:themeColor="text1"/>
                <w:sz w:val="20"/>
                <w:szCs w:val="20"/>
                <w:shd w:val="clear" w:color="auto" w:fill="FFFFFF"/>
                <w:lang w:val="en-US"/>
              </w:rPr>
              <w:t xml:space="preserve"> lor </w:t>
            </w:r>
            <w:proofErr w:type="spellStart"/>
            <w:r w:rsidRPr="00CE3FB4">
              <w:rPr>
                <w:rFonts w:eastAsia="Arial Unicode MS"/>
                <w:color w:val="000000" w:themeColor="text1"/>
                <w:sz w:val="20"/>
                <w:szCs w:val="20"/>
                <w:shd w:val="clear" w:color="auto" w:fill="FFFFFF"/>
                <w:lang w:val="en-US"/>
              </w:rPr>
              <w:t>selectate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incluzând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soldul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alocării</w:t>
            </w:r>
            <w:proofErr w:type="spellEnd"/>
            <w:r w:rsidRPr="00CE3FB4">
              <w:rPr>
                <w:rFonts w:eastAsia="Arial Unicode MS"/>
                <w:color w:val="000000" w:themeColor="text1"/>
                <w:sz w:val="20"/>
                <w:szCs w:val="20"/>
                <w:shd w:val="clear" w:color="auto" w:fill="FFFFFF"/>
                <w:lang w:val="en-US"/>
              </w:rPr>
              <w:t xml:space="preserve"> de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cheltuielile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suportate</w:t>
            </w:r>
            <w:proofErr w:type="spellEnd"/>
            <w:r w:rsidRPr="00CE3FB4">
              <w:rPr>
                <w:rFonts w:eastAsia="Arial Unicode MS"/>
                <w:color w:val="000000" w:themeColor="text1"/>
                <w:sz w:val="20"/>
                <w:szCs w:val="20"/>
                <w:shd w:val="clear" w:color="auto" w:fill="FFFFFF"/>
                <w:lang w:val="en-US"/>
              </w:rPr>
              <w:t xml:space="preserve">, precum și </w:t>
            </w:r>
            <w:proofErr w:type="spellStart"/>
            <w:r w:rsidRPr="00CE3FB4">
              <w:rPr>
                <w:rFonts w:eastAsia="Arial Unicode MS"/>
                <w:color w:val="000000" w:themeColor="text1"/>
                <w:sz w:val="20"/>
                <w:szCs w:val="20"/>
                <w:shd w:val="clear" w:color="auto" w:fill="FFFFFF"/>
                <w:lang w:val="en-US"/>
              </w:rPr>
              <w:t>tipurile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sprijinite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transmit </w:t>
            </w:r>
            <w:proofErr w:type="spellStart"/>
            <w:r w:rsidRPr="00CE3FB4">
              <w:rPr>
                <w:rFonts w:eastAsia="Arial Unicode MS"/>
                <w:color w:val="000000" w:themeColor="text1"/>
                <w:sz w:val="20"/>
                <w:szCs w:val="20"/>
                <w:shd w:val="clear" w:color="auto" w:fill="FFFFFF"/>
                <w:lang w:val="en-US"/>
              </w:rPr>
              <w:t>Comisiei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rapoarte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acest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sens</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iar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Comisia</w:t>
            </w:r>
            <w:proofErr w:type="spellEnd"/>
            <w:r w:rsidRPr="00CE3FB4">
              <w:rPr>
                <w:rFonts w:eastAsia="Arial Unicode MS"/>
                <w:color w:val="000000" w:themeColor="text1"/>
                <w:sz w:val="20"/>
                <w:szCs w:val="20"/>
                <w:shd w:val="clear" w:color="auto" w:fill="FFFFFF"/>
                <w:lang w:val="en-US"/>
              </w:rPr>
              <w:t xml:space="preserve"> le </w:t>
            </w:r>
            <w:proofErr w:type="spellStart"/>
            <w:r w:rsidRPr="00CE3FB4">
              <w:rPr>
                <w:rFonts w:eastAsia="Arial Unicode MS"/>
                <w:color w:val="000000" w:themeColor="text1"/>
                <w:sz w:val="20"/>
                <w:szCs w:val="20"/>
                <w:shd w:val="clear" w:color="auto" w:fill="FFFFFF"/>
                <w:lang w:val="en-US"/>
              </w:rPr>
              <w:t>publică</w:t>
            </w:r>
            <w:proofErr w:type="spellEnd"/>
            <w:r w:rsidRPr="00CE3FB4">
              <w:rPr>
                <w:rFonts w:eastAsia="Arial Unicode MS"/>
                <w:color w:val="000000" w:themeColor="text1"/>
                <w:sz w:val="20"/>
                <w:szCs w:val="20"/>
                <w:shd w:val="clear" w:color="auto" w:fill="FFFFFF"/>
                <w:lang w:val="en-US"/>
              </w:rPr>
              <w:t>.</w:t>
            </w:r>
          </w:p>
          <w:p w14:paraId="377317D6" w14:textId="77777777" w:rsidR="00124364" w:rsidRDefault="00000000">
            <w:pPr>
              <w:pStyle w:val="ti-art"/>
              <w:shd w:val="clear" w:color="auto" w:fill="FFFFFF"/>
              <w:spacing w:before="0" w:beforeAutospacing="0" w:after="0" w:afterAutospacing="0"/>
              <w:ind w:left="720"/>
              <w:rPr>
                <w:rFonts w:eastAsia="Arial Unicode MS"/>
                <w:color w:val="333333"/>
                <w:sz w:val="20"/>
                <w:szCs w:val="20"/>
                <w:shd w:val="clear" w:color="auto" w:fill="FFFFFF"/>
                <w:lang w:val="en-US"/>
              </w:rPr>
            </w:pPr>
            <w:hyperlink r:id="rId168" w:tooltip="32023L0959: INSERTED" w:history="1">
              <w:r>
                <w:rPr>
                  <w:rStyle w:val="af3"/>
                  <w:rFonts w:eastAsia="Arial Unicode MS"/>
                  <w:b/>
                  <w:bCs/>
                  <w:color w:val="4472C4" w:themeColor="accent1"/>
                  <w:sz w:val="20"/>
                  <w:szCs w:val="20"/>
                </w:rPr>
                <w:t>▼M15</w:t>
              </w:r>
            </w:hyperlink>
          </w:p>
        </w:tc>
        <w:tc>
          <w:tcPr>
            <w:tcW w:w="4394" w:type="dxa"/>
            <w:shd w:val="clear" w:color="auto" w:fill="auto"/>
          </w:tcPr>
          <w:p w14:paraId="55663B4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DFC8754" w14:textId="11471751" w:rsidR="00124364" w:rsidRDefault="00CE3FB4">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6BE0835F"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1F1CB5E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EBDCF00" w14:textId="77777777" w:rsidR="00CE3FB4" w:rsidRPr="0066519A" w:rsidRDefault="00CE3FB4" w:rsidP="00CE3FB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de seră, dar intenționează să le transpună și să instituie un sistem </w:t>
            </w:r>
            <w:r w:rsidRPr="0066519A">
              <w:rPr>
                <w:rFonts w:ascii="Times New Roman" w:eastAsiaTheme="minorHAnsi" w:hAnsi="Times New Roman"/>
                <w:color w:val="000000" w:themeColor="text1"/>
                <w:sz w:val="20"/>
                <w:szCs w:val="20"/>
                <w:lang w:val="ro-RO"/>
              </w:rPr>
              <w:lastRenderedPageBreak/>
              <w:t>regional de comercializare a cotelor, care va fi instituit de către Comunitatea Energetică.</w:t>
            </w:r>
          </w:p>
          <w:p w14:paraId="62BB1887"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3EA8D19A"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2B7AD8B3" w14:textId="359788CA" w:rsidR="00124364" w:rsidRDefault="00124364" w:rsidP="00CE3FB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89B0F5D" w14:textId="77777777" w:rsidR="00124364" w:rsidRDefault="00124364" w:rsidP="00CE3FB4">
            <w:pPr>
              <w:autoSpaceDE w:val="0"/>
              <w:spacing w:after="0" w:line="240" w:lineRule="auto"/>
              <w:rPr>
                <w:rFonts w:ascii="Times New Roman" w:hAnsi="Times New Roman"/>
                <w:sz w:val="20"/>
                <w:szCs w:val="20"/>
                <w:lang w:val="fr-FR"/>
              </w:rPr>
            </w:pPr>
          </w:p>
        </w:tc>
      </w:tr>
      <w:tr w:rsidR="00124364" w14:paraId="7E68CDC4" w14:textId="77777777">
        <w:trPr>
          <w:trHeight w:val="558"/>
        </w:trPr>
        <w:tc>
          <w:tcPr>
            <w:tcW w:w="4957" w:type="dxa"/>
            <w:shd w:val="clear" w:color="auto" w:fill="auto"/>
          </w:tcPr>
          <w:p w14:paraId="2B8D2C08" w14:textId="57079284" w:rsidR="00124364" w:rsidRPr="00CE3FB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CE3FB4">
              <w:rPr>
                <w:rFonts w:eastAsia="Arial Unicode MS"/>
                <w:i/>
                <w:iCs/>
                <w:color w:val="000000" w:themeColor="text1"/>
                <w:sz w:val="20"/>
                <w:szCs w:val="20"/>
                <w:shd w:val="clear" w:color="auto" w:fill="FFFFFF"/>
                <w:lang w:val="en-US"/>
              </w:rPr>
              <w:lastRenderedPageBreak/>
              <w:t>Articolul</w:t>
            </w:r>
            <w:proofErr w:type="spellEnd"/>
            <w:r w:rsidR="00CE3FB4" w:rsidRPr="00CE3FB4">
              <w:rPr>
                <w:rFonts w:eastAsia="Arial Unicode MS"/>
                <w:i/>
                <w:iCs/>
                <w:color w:val="000000" w:themeColor="text1"/>
                <w:sz w:val="20"/>
                <w:szCs w:val="20"/>
                <w:shd w:val="clear" w:color="auto" w:fill="FFFFFF"/>
                <w:lang w:val="en-US"/>
              </w:rPr>
              <w:t xml:space="preserve"> </w:t>
            </w:r>
            <w:r w:rsidRPr="00CE3FB4">
              <w:rPr>
                <w:rFonts w:eastAsia="Arial Unicode MS"/>
                <w:i/>
                <w:iCs/>
                <w:color w:val="000000" w:themeColor="text1"/>
                <w:sz w:val="20"/>
                <w:szCs w:val="20"/>
                <w:shd w:val="clear" w:color="auto" w:fill="FFFFFF"/>
                <w:lang w:val="en-US"/>
              </w:rPr>
              <w:t>10ca</w:t>
            </w:r>
          </w:p>
          <w:p w14:paraId="61DEEA8C" w14:textId="77777777" w:rsidR="00124364" w:rsidRPr="00CE3FB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CE3FB4">
              <w:rPr>
                <w:rFonts w:eastAsia="Arial Unicode MS"/>
                <w:b/>
                <w:bCs/>
                <w:color w:val="000000" w:themeColor="text1"/>
                <w:sz w:val="20"/>
                <w:szCs w:val="20"/>
                <w:shd w:val="clear" w:color="auto" w:fill="FFFFFF"/>
                <w:lang w:val="en-US"/>
              </w:rPr>
              <w:t>Termen-</w:t>
            </w:r>
            <w:proofErr w:type="spellStart"/>
            <w:r w:rsidRPr="00CE3FB4">
              <w:rPr>
                <w:rFonts w:eastAsia="Arial Unicode MS"/>
                <w:b/>
                <w:bCs/>
                <w:color w:val="000000" w:themeColor="text1"/>
                <w:sz w:val="20"/>
                <w:szCs w:val="20"/>
                <w:shd w:val="clear" w:color="auto" w:fill="FFFFFF"/>
                <w:lang w:val="en-US"/>
              </w:rPr>
              <w:t>limită</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pentru</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alocări</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tranzitorii</w:t>
            </w:r>
            <w:proofErr w:type="spellEnd"/>
            <w:r w:rsidRPr="00CE3FB4">
              <w:rPr>
                <w:rFonts w:eastAsia="Arial Unicode MS"/>
                <w:b/>
                <w:bCs/>
                <w:color w:val="000000" w:themeColor="text1"/>
                <w:sz w:val="20"/>
                <w:szCs w:val="20"/>
                <w:shd w:val="clear" w:color="auto" w:fill="FFFFFF"/>
                <w:lang w:val="en-US"/>
              </w:rPr>
              <w:t xml:space="preserve"> de certificate cu </w:t>
            </w:r>
            <w:proofErr w:type="spellStart"/>
            <w:r w:rsidRPr="00CE3FB4">
              <w:rPr>
                <w:rFonts w:eastAsia="Arial Unicode MS"/>
                <w:b/>
                <w:bCs/>
                <w:color w:val="000000" w:themeColor="text1"/>
                <w:sz w:val="20"/>
                <w:szCs w:val="20"/>
                <w:shd w:val="clear" w:color="auto" w:fill="FFFFFF"/>
                <w:lang w:val="en-US"/>
              </w:rPr>
              <w:t>titlu</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gratuit</w:t>
            </w:r>
            <w:proofErr w:type="spellEnd"/>
            <w:r w:rsidRPr="00CE3FB4">
              <w:rPr>
                <w:rFonts w:eastAsia="Arial Unicode MS"/>
                <w:b/>
                <w:bCs/>
                <w:color w:val="000000" w:themeColor="text1"/>
                <w:sz w:val="20"/>
                <w:szCs w:val="20"/>
                <w:shd w:val="clear" w:color="auto" w:fill="FFFFFF"/>
                <w:lang w:val="en-US"/>
              </w:rPr>
              <w:t xml:space="preserve"> în </w:t>
            </w:r>
            <w:proofErr w:type="spellStart"/>
            <w:r w:rsidRPr="00CE3FB4">
              <w:rPr>
                <w:rFonts w:eastAsia="Arial Unicode MS"/>
                <w:b/>
                <w:bCs/>
                <w:color w:val="000000" w:themeColor="text1"/>
                <w:sz w:val="20"/>
                <w:szCs w:val="20"/>
                <w:shd w:val="clear" w:color="auto" w:fill="FFFFFF"/>
                <w:lang w:val="en-US"/>
              </w:rPr>
              <w:t>scopul</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modernizării</w:t>
            </w:r>
            <w:proofErr w:type="spellEnd"/>
            <w:r w:rsidRPr="00CE3FB4">
              <w:rPr>
                <w:rFonts w:eastAsia="Arial Unicode MS"/>
                <w:b/>
                <w:bCs/>
                <w:color w:val="000000" w:themeColor="text1"/>
                <w:sz w:val="20"/>
                <w:szCs w:val="20"/>
                <w:shd w:val="clear" w:color="auto" w:fill="FFFFFF"/>
                <w:lang w:val="en-US"/>
              </w:rPr>
              <w:t xml:space="preserve"> </w:t>
            </w:r>
            <w:proofErr w:type="spellStart"/>
            <w:r w:rsidRPr="00CE3FB4">
              <w:rPr>
                <w:rFonts w:eastAsia="Arial Unicode MS"/>
                <w:b/>
                <w:bCs/>
                <w:color w:val="000000" w:themeColor="text1"/>
                <w:sz w:val="20"/>
                <w:szCs w:val="20"/>
                <w:shd w:val="clear" w:color="auto" w:fill="FFFFFF"/>
                <w:lang w:val="en-US"/>
              </w:rPr>
              <w:t>sectorului</w:t>
            </w:r>
            <w:proofErr w:type="spellEnd"/>
            <w:r w:rsidRPr="00CE3FB4">
              <w:rPr>
                <w:rFonts w:eastAsia="Arial Unicode MS"/>
                <w:b/>
                <w:bCs/>
                <w:color w:val="000000" w:themeColor="text1"/>
                <w:sz w:val="20"/>
                <w:szCs w:val="20"/>
                <w:shd w:val="clear" w:color="auto" w:fill="FFFFFF"/>
                <w:lang w:val="en-US"/>
              </w:rPr>
              <w:t xml:space="preserve"> energetic</w:t>
            </w:r>
          </w:p>
          <w:p w14:paraId="3FD8ED2D" w14:textId="40616DDC"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derogare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10c,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pot </w:t>
            </w:r>
            <w:proofErr w:type="spellStart"/>
            <w:r w:rsidRPr="00CE3FB4">
              <w:rPr>
                <w:rFonts w:eastAsia="Arial Unicode MS"/>
                <w:color w:val="000000" w:themeColor="text1"/>
                <w:sz w:val="20"/>
                <w:szCs w:val="20"/>
                <w:shd w:val="clear" w:color="auto" w:fill="FFFFFF"/>
                <w:lang w:val="en-US"/>
              </w:rPr>
              <w:t>acorda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instalațiilor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alocări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tranzitorii</w:t>
            </w:r>
            <w:proofErr w:type="spellEnd"/>
            <w:r w:rsidRPr="00CE3FB4">
              <w:rPr>
                <w:rFonts w:eastAsia="Arial Unicode MS"/>
                <w:color w:val="000000" w:themeColor="text1"/>
                <w:sz w:val="20"/>
                <w:szCs w:val="20"/>
                <w:shd w:val="clear" w:color="auto" w:fill="FFFFFF"/>
                <w:lang w:val="en-US"/>
              </w:rPr>
              <w:t xml:space="preserve"> de certificate cu </w:t>
            </w:r>
            <w:proofErr w:type="spellStart"/>
            <w:r w:rsidRPr="00CE3FB4">
              <w:rPr>
                <w:rFonts w:eastAsia="Arial Unicode MS"/>
                <w:color w:val="000000" w:themeColor="text1"/>
                <w:sz w:val="20"/>
                <w:szCs w:val="20"/>
                <w:shd w:val="clear" w:color="auto" w:fill="FFFFFF"/>
                <w:lang w:val="en-US"/>
              </w:rPr>
              <w:t>titlu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gratuit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numai</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realizate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31</w:t>
            </w:r>
            <w:r w:rsid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2024. </w:t>
            </w:r>
            <w:proofErr w:type="spellStart"/>
            <w:r w:rsidRPr="00CE3FB4">
              <w:rPr>
                <w:rFonts w:eastAsia="Arial Unicode MS"/>
                <w:color w:val="000000" w:themeColor="text1"/>
                <w:sz w:val="20"/>
                <w:szCs w:val="20"/>
                <w:shd w:val="clear" w:color="auto" w:fill="FFFFFF"/>
                <w:lang w:val="en-US"/>
              </w:rPr>
              <w:t>Orice</w:t>
            </w:r>
            <w:proofErr w:type="spellEnd"/>
            <w:r w:rsidRPr="00CE3FB4">
              <w:rPr>
                <w:rFonts w:eastAsia="Arial Unicode MS"/>
                <w:color w:val="000000" w:themeColor="text1"/>
                <w:sz w:val="20"/>
                <w:szCs w:val="20"/>
                <w:shd w:val="clear" w:color="auto" w:fill="FFFFFF"/>
                <w:lang w:val="en-US"/>
              </w:rPr>
              <w:t xml:space="preserve"> certificate </w:t>
            </w:r>
            <w:proofErr w:type="spellStart"/>
            <w:r w:rsidRPr="00CE3FB4">
              <w:rPr>
                <w:rFonts w:eastAsia="Arial Unicode MS"/>
                <w:color w:val="000000" w:themeColor="text1"/>
                <w:sz w:val="20"/>
                <w:szCs w:val="20"/>
                <w:shd w:val="clear" w:color="auto" w:fill="FFFFFF"/>
                <w:lang w:val="en-US"/>
              </w:rPr>
              <w:t>aflate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dispoziția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statelor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10c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2021-2030 care nu sunt </w:t>
            </w:r>
            <w:proofErr w:type="spellStart"/>
            <w:r w:rsidRPr="00CE3FB4">
              <w:rPr>
                <w:rFonts w:eastAsia="Arial Unicode MS"/>
                <w:color w:val="000000" w:themeColor="text1"/>
                <w:sz w:val="20"/>
                <w:szCs w:val="20"/>
                <w:shd w:val="clear" w:color="auto" w:fill="FFFFFF"/>
                <w:lang w:val="en-US"/>
              </w:rPr>
              <w:t>utilizate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proporția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stabilită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respectiv</w:t>
            </w:r>
            <w:proofErr w:type="spellEnd"/>
            <w:r w:rsidRPr="00CE3FB4">
              <w:rPr>
                <w:rFonts w:eastAsia="Arial Unicode MS"/>
                <w:color w:val="000000" w:themeColor="text1"/>
                <w:sz w:val="20"/>
                <w:szCs w:val="20"/>
                <w:shd w:val="clear" w:color="auto" w:fill="FFFFFF"/>
                <w:lang w:val="en-US"/>
              </w:rPr>
              <w:t>:</w:t>
            </w:r>
          </w:p>
          <w:p w14:paraId="000FBBE8" w14:textId="7F06585F" w:rsidR="00124364" w:rsidRPr="00CE3FB4" w:rsidRDefault="00000000" w:rsidP="00CE3FB4">
            <w:pPr>
              <w:pStyle w:val="ti-art"/>
              <w:numPr>
                <w:ilvl w:val="0"/>
                <w:numId w:val="6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se </w:t>
            </w:r>
            <w:proofErr w:type="spellStart"/>
            <w:r w:rsidRPr="00CE3FB4">
              <w:rPr>
                <w:rFonts w:eastAsia="Arial Unicode MS"/>
                <w:color w:val="000000" w:themeColor="text1"/>
                <w:sz w:val="20"/>
                <w:szCs w:val="20"/>
                <w:shd w:val="clear" w:color="auto" w:fill="FFFFFF"/>
                <w:lang w:val="en-US"/>
              </w:rPr>
              <w:t>adaugă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cantitatea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totală</w:t>
            </w:r>
            <w:proofErr w:type="spellEnd"/>
            <w:r w:rsidRPr="00CE3FB4">
              <w:rPr>
                <w:rFonts w:eastAsia="Arial Unicode MS"/>
                <w:color w:val="000000" w:themeColor="text1"/>
                <w:sz w:val="20"/>
                <w:szCs w:val="20"/>
                <w:shd w:val="clear" w:color="auto" w:fill="FFFFFF"/>
                <w:lang w:val="en-US"/>
              </w:rPr>
              <w:t xml:space="preserve"> de certificate pe care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scoată</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 </w:t>
            </w:r>
            <w:proofErr w:type="spellStart"/>
            <w:r w:rsidRPr="00CE3FB4">
              <w:rPr>
                <w:rFonts w:eastAsia="Arial Unicode MS"/>
                <w:color w:val="000000" w:themeColor="text1"/>
                <w:sz w:val="20"/>
                <w:szCs w:val="20"/>
                <w:shd w:val="clear" w:color="auto" w:fill="FFFFFF"/>
                <w:lang w:val="en-US"/>
              </w:rPr>
              <w:t>sau</w:t>
            </w:r>
            <w:proofErr w:type="spellEnd"/>
          </w:p>
          <w:p w14:paraId="76A85D9D" w14:textId="4598FD53" w:rsidR="00124364" w:rsidRPr="00CE3FB4" w:rsidRDefault="00000000" w:rsidP="00CE3FB4">
            <w:pPr>
              <w:pStyle w:val="ti-art"/>
              <w:numPr>
                <w:ilvl w:val="0"/>
                <w:numId w:val="6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sunt </w:t>
            </w:r>
            <w:proofErr w:type="spellStart"/>
            <w:r w:rsidRPr="00CE3FB4">
              <w:rPr>
                <w:rFonts w:eastAsia="Arial Unicode MS"/>
                <w:color w:val="000000" w:themeColor="text1"/>
                <w:sz w:val="20"/>
                <w:szCs w:val="20"/>
                <w:shd w:val="clear" w:color="auto" w:fill="FFFFFF"/>
                <w:lang w:val="en-US"/>
              </w:rPr>
              <w:t>utilizate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sprijini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cadrul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10d, în conformitate cu </w:t>
            </w:r>
            <w:proofErr w:type="spellStart"/>
            <w:r w:rsidRPr="00CE3FB4">
              <w:rPr>
                <w:rFonts w:eastAsia="Arial Unicode MS"/>
                <w:color w:val="000000" w:themeColor="text1"/>
                <w:sz w:val="20"/>
                <w:szCs w:val="20"/>
                <w:shd w:val="clear" w:color="auto" w:fill="FFFFFF"/>
                <w:lang w:val="en-US"/>
              </w:rPr>
              <w:t>normele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aplicabile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veniturilor</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10d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(4).</w:t>
            </w:r>
          </w:p>
          <w:p w14:paraId="341C41EE" w14:textId="11753981"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Până</w:t>
            </w:r>
            <w:proofErr w:type="spellEnd"/>
            <w:r w:rsidRPr="00CE3FB4">
              <w:rPr>
                <w:rFonts w:eastAsia="Arial Unicode MS"/>
                <w:color w:val="000000" w:themeColor="text1"/>
                <w:sz w:val="20"/>
                <w:szCs w:val="20"/>
                <w:shd w:val="clear" w:color="auto" w:fill="FFFFFF"/>
                <w:lang w:val="en-US"/>
              </w:rPr>
              <w:t xml:space="preserve"> la 15</w:t>
            </w:r>
            <w:r w:rsid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mai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2024, </w:t>
            </w:r>
            <w:proofErr w:type="spellStart"/>
            <w:r w:rsidRPr="00CE3FB4">
              <w:rPr>
                <w:rFonts w:eastAsia="Arial Unicode MS"/>
                <w:color w:val="000000" w:themeColor="text1"/>
                <w:sz w:val="20"/>
                <w:szCs w:val="20"/>
                <w:shd w:val="clear" w:color="auto" w:fill="FFFFFF"/>
                <w:lang w:val="en-US"/>
              </w:rPr>
              <w:t>statul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membru</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cauză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notifică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cuantumurile</w:t>
            </w:r>
            <w:proofErr w:type="spellEnd"/>
            <w:r w:rsidRPr="00CE3FB4">
              <w:rPr>
                <w:rFonts w:eastAsia="Arial Unicode MS"/>
                <w:color w:val="000000" w:themeColor="text1"/>
                <w:sz w:val="20"/>
                <w:szCs w:val="20"/>
                <w:shd w:val="clear" w:color="auto" w:fill="FFFFFF"/>
                <w:lang w:val="en-US"/>
              </w:rPr>
              <w:t xml:space="preserve"> respective de certificate care </w:t>
            </w:r>
            <w:proofErr w:type="spellStart"/>
            <w:r w:rsidRPr="00CE3FB4">
              <w:rPr>
                <w:rFonts w:eastAsia="Arial Unicode MS"/>
                <w:color w:val="000000" w:themeColor="text1"/>
                <w:sz w:val="20"/>
                <w:szCs w:val="20"/>
                <w:shd w:val="clear" w:color="auto" w:fill="FFFFFF"/>
                <w:lang w:val="en-US"/>
              </w:rPr>
              <w:t>urmează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utilizate</w:t>
            </w:r>
            <w:proofErr w:type="spellEnd"/>
            <w:r w:rsidRPr="00CE3FB4">
              <w:rPr>
                <w:rFonts w:eastAsia="Arial Unicode MS"/>
                <w:color w:val="000000" w:themeColor="text1"/>
                <w:sz w:val="20"/>
                <w:szCs w:val="20"/>
                <w:shd w:val="clear" w:color="auto" w:fill="FFFFFF"/>
                <w:lang w:val="en-US"/>
              </w:rPr>
              <w:t xml:space="preserve"> în conformitate cu </w:t>
            </w:r>
            <w:proofErr w:type="spellStart"/>
            <w:r w:rsidRPr="00CE3FB4">
              <w:rPr>
                <w:rFonts w:eastAsia="Arial Unicode MS"/>
                <w:color w:val="000000" w:themeColor="text1"/>
                <w:sz w:val="20"/>
                <w:szCs w:val="20"/>
                <w:shd w:val="clear" w:color="auto" w:fill="FFFFFF"/>
                <w:lang w:val="en-US"/>
              </w:rPr>
              <w:t>articolul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 </w:t>
            </w:r>
            <w:proofErr w:type="spellStart"/>
            <w:r w:rsidRPr="00CE3FB4">
              <w:rPr>
                <w:rFonts w:eastAsia="Arial Unicode MS"/>
                <w:color w:val="000000" w:themeColor="text1"/>
                <w:sz w:val="20"/>
                <w:szCs w:val="20"/>
                <w:shd w:val="clear" w:color="auto" w:fill="FFFFFF"/>
                <w:lang w:val="en-US"/>
              </w:rPr>
              <w:t>primul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litera</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(a), și,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derogare</w:t>
            </w:r>
            <w:proofErr w:type="spellEnd"/>
            <w:r w:rsidRPr="00CE3FB4">
              <w:rPr>
                <w:rFonts w:eastAsia="Arial Unicode MS"/>
                <w:color w:val="000000" w:themeColor="text1"/>
                <w:sz w:val="20"/>
                <w:szCs w:val="20"/>
                <w:shd w:val="clear" w:color="auto" w:fill="FFFFFF"/>
                <w:lang w:val="en-US"/>
              </w:rPr>
              <w:t xml:space="preserve"> de la </w:t>
            </w:r>
            <w:proofErr w:type="spellStart"/>
            <w:r w:rsidRPr="00CE3FB4">
              <w:rPr>
                <w:rFonts w:eastAsia="Arial Unicode MS"/>
                <w:color w:val="000000" w:themeColor="text1"/>
                <w:sz w:val="20"/>
                <w:szCs w:val="20"/>
                <w:shd w:val="clear" w:color="auto" w:fill="FFFFFF"/>
                <w:lang w:val="en-US"/>
              </w:rPr>
              <w:t>articolul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10d </w:t>
            </w:r>
            <w:proofErr w:type="spellStart"/>
            <w:r w:rsidRPr="00CE3FB4">
              <w:rPr>
                <w:rFonts w:eastAsia="Arial Unicode MS"/>
                <w:color w:val="000000" w:themeColor="text1"/>
                <w:sz w:val="20"/>
                <w:szCs w:val="20"/>
                <w:shd w:val="clear" w:color="auto" w:fill="FFFFFF"/>
                <w:lang w:val="en-US"/>
              </w:rPr>
              <w:t>alineatul</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(4) a </w:t>
            </w:r>
            <w:proofErr w:type="spellStart"/>
            <w:r w:rsidRPr="00CE3FB4">
              <w:rPr>
                <w:rFonts w:eastAsia="Arial Unicode MS"/>
                <w:color w:val="000000" w:themeColor="text1"/>
                <w:sz w:val="20"/>
                <w:szCs w:val="20"/>
                <w:shd w:val="clear" w:color="auto" w:fill="FFFFFF"/>
                <w:lang w:val="en-US"/>
              </w:rPr>
              <w:t>doua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teză</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articolului</w:t>
            </w:r>
            <w:proofErr w:type="spellEnd"/>
            <w:r w:rsid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10d.</w:t>
            </w:r>
          </w:p>
          <w:p w14:paraId="3B1A0C2C"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169" w:tooltip="32018L0410: INSERTED" w:history="1">
              <w:r>
                <w:rPr>
                  <w:rStyle w:val="af3"/>
                  <w:rFonts w:eastAsia="Arial Unicode MS"/>
                  <w:b/>
                  <w:bCs/>
                  <w:color w:val="4472C4" w:themeColor="accent1"/>
                  <w:sz w:val="20"/>
                  <w:szCs w:val="20"/>
                </w:rPr>
                <w:t>▼M9</w:t>
              </w:r>
            </w:hyperlink>
          </w:p>
        </w:tc>
        <w:tc>
          <w:tcPr>
            <w:tcW w:w="4394" w:type="dxa"/>
            <w:shd w:val="clear" w:color="auto" w:fill="auto"/>
          </w:tcPr>
          <w:p w14:paraId="7151BD1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7D0E629" w14:textId="35881496" w:rsidR="00124364" w:rsidRDefault="00CE3FB4">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r w:rsidR="00000000">
              <w:rPr>
                <w:rFonts w:ascii="Times New Roman" w:hAnsi="Times New Roman"/>
                <w:bCs/>
                <w:sz w:val="20"/>
                <w:szCs w:val="20"/>
                <w:lang w:val="ro-RO"/>
              </w:rPr>
              <w:t xml:space="preserve"> </w:t>
            </w:r>
          </w:p>
          <w:p w14:paraId="541AB0FF"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1F051B6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F5634BF" w14:textId="77777777" w:rsidR="00CE3FB4" w:rsidRPr="0066519A" w:rsidRDefault="00CE3FB4" w:rsidP="00CE3FB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593277AD"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0025FE18"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21F80B91" w14:textId="0DFDC8B2" w:rsidR="00124364" w:rsidRDefault="00124364" w:rsidP="00CE3FB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63806C7" w14:textId="77777777" w:rsidR="00124364" w:rsidRDefault="00124364" w:rsidP="00CE3FB4">
            <w:pPr>
              <w:autoSpaceDE w:val="0"/>
              <w:spacing w:after="0" w:line="240" w:lineRule="auto"/>
              <w:rPr>
                <w:rFonts w:ascii="Times New Roman" w:hAnsi="Times New Roman"/>
                <w:sz w:val="20"/>
                <w:szCs w:val="20"/>
                <w:lang w:val="fr-FR"/>
              </w:rPr>
            </w:pPr>
          </w:p>
        </w:tc>
      </w:tr>
      <w:tr w:rsidR="00124364" w14:paraId="3CA78834" w14:textId="77777777">
        <w:trPr>
          <w:trHeight w:val="558"/>
        </w:trPr>
        <w:tc>
          <w:tcPr>
            <w:tcW w:w="4957" w:type="dxa"/>
            <w:shd w:val="clear" w:color="auto" w:fill="auto"/>
          </w:tcPr>
          <w:p w14:paraId="15AAD15D" w14:textId="77777777"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t>Articolul</w:t>
            </w:r>
            <w:proofErr w:type="spellEnd"/>
            <w:r w:rsidRPr="00B9573B">
              <w:rPr>
                <w:rFonts w:eastAsia="Arial Unicode MS"/>
                <w:i/>
                <w:iCs/>
                <w:color w:val="333333"/>
                <w:sz w:val="20"/>
                <w:szCs w:val="20"/>
                <w:shd w:val="clear" w:color="auto" w:fill="FFFFFF"/>
                <w:lang w:val="en-US"/>
              </w:rPr>
              <w:t xml:space="preserve"> 10d</w:t>
            </w:r>
          </w:p>
          <w:p w14:paraId="552EABAF" w14:textId="77777777" w:rsidR="00124364" w:rsidRPr="00B9573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B9573B">
              <w:rPr>
                <w:rFonts w:eastAsia="Arial Unicode MS"/>
                <w:b/>
                <w:bCs/>
                <w:color w:val="333333"/>
                <w:sz w:val="20"/>
                <w:szCs w:val="20"/>
                <w:shd w:val="clear" w:color="auto" w:fill="FFFFFF"/>
                <w:lang w:val="en-US"/>
              </w:rPr>
              <w:t>Fondul</w:t>
            </w:r>
            <w:proofErr w:type="spellEnd"/>
            <w:r w:rsidRPr="00B9573B">
              <w:rPr>
                <w:rFonts w:eastAsia="Arial Unicode MS"/>
                <w:b/>
                <w:bCs/>
                <w:color w:val="333333"/>
                <w:sz w:val="20"/>
                <w:szCs w:val="20"/>
                <w:shd w:val="clear" w:color="auto" w:fill="FFFFFF"/>
                <w:lang w:val="en-US"/>
              </w:rPr>
              <w:t xml:space="preserve"> </w:t>
            </w:r>
            <w:proofErr w:type="spellStart"/>
            <w:r w:rsidRPr="00B9573B">
              <w:rPr>
                <w:rFonts w:eastAsia="Arial Unicode MS"/>
                <w:b/>
                <w:bCs/>
                <w:color w:val="333333"/>
                <w:sz w:val="20"/>
                <w:szCs w:val="20"/>
                <w:shd w:val="clear" w:color="auto" w:fill="FFFFFF"/>
                <w:lang w:val="en-US"/>
              </w:rPr>
              <w:t>pentru</w:t>
            </w:r>
            <w:proofErr w:type="spellEnd"/>
            <w:r w:rsidRPr="00B9573B">
              <w:rPr>
                <w:rFonts w:eastAsia="Arial Unicode MS"/>
                <w:b/>
                <w:bCs/>
                <w:color w:val="333333"/>
                <w:sz w:val="20"/>
                <w:szCs w:val="20"/>
                <w:shd w:val="clear" w:color="auto" w:fill="FFFFFF"/>
                <w:lang w:val="en-US"/>
              </w:rPr>
              <w:t xml:space="preserve"> </w:t>
            </w:r>
            <w:proofErr w:type="spellStart"/>
            <w:r w:rsidRPr="00B9573B">
              <w:rPr>
                <w:rFonts w:eastAsia="Arial Unicode MS"/>
                <w:b/>
                <w:bCs/>
                <w:color w:val="333333"/>
                <w:sz w:val="20"/>
                <w:szCs w:val="20"/>
                <w:shd w:val="clear" w:color="auto" w:fill="FFFFFF"/>
                <w:lang w:val="en-US"/>
              </w:rPr>
              <w:t>modernizare</w:t>
            </w:r>
            <w:proofErr w:type="spellEnd"/>
          </w:p>
          <w:p w14:paraId="7A7D3CAD" w14:textId="77777777" w:rsidR="00124364" w:rsidRPr="00B9573B" w:rsidRDefault="00000000">
            <w:pPr>
              <w:pStyle w:val="ti-art"/>
              <w:shd w:val="clear" w:color="auto" w:fill="FFFFFF"/>
              <w:spacing w:before="0" w:beforeAutospacing="0" w:after="0" w:afterAutospacing="0"/>
              <w:rPr>
                <w:color w:val="4472C4" w:themeColor="accent1"/>
                <w:sz w:val="20"/>
                <w:szCs w:val="20"/>
                <w:lang w:val="en-US"/>
              </w:rPr>
            </w:pPr>
            <w:hyperlink r:id="rId170" w:tooltip="32023L0959: REPLACED" w:history="1">
              <w:r w:rsidRPr="00B9573B">
                <w:rPr>
                  <w:rStyle w:val="af3"/>
                  <w:rFonts w:eastAsia="Arial Unicode MS"/>
                  <w:b/>
                  <w:bCs/>
                  <w:color w:val="4472C4" w:themeColor="accent1"/>
                  <w:sz w:val="20"/>
                  <w:szCs w:val="20"/>
                  <w:lang w:val="en-US"/>
                </w:rPr>
                <w:t>▼M15</w:t>
              </w:r>
            </w:hyperlink>
          </w:p>
          <w:p w14:paraId="318DAC77" w14:textId="7AE5137B" w:rsidR="00124364" w:rsidRPr="00CE3FB4" w:rsidRDefault="00000000" w:rsidP="00CE3FB4">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perioada 2021-2030, se </w:t>
            </w:r>
            <w:proofErr w:type="spellStart"/>
            <w:r w:rsidRPr="00CE3FB4">
              <w:rPr>
                <w:rFonts w:eastAsia="Arial Unicode MS"/>
                <w:color w:val="000000" w:themeColor="text1"/>
                <w:sz w:val="20"/>
                <w:szCs w:val="20"/>
                <w:shd w:val="clear" w:color="auto" w:fill="FFFFFF"/>
                <w:lang w:val="en-US"/>
              </w:rPr>
              <w:t>instituie</w:t>
            </w:r>
            <w:proofErr w:type="spellEnd"/>
            <w:r w:rsidRPr="00CE3FB4">
              <w:rPr>
                <w:rFonts w:eastAsia="Arial Unicode MS"/>
                <w:color w:val="000000" w:themeColor="text1"/>
                <w:sz w:val="20"/>
                <w:szCs w:val="20"/>
                <w:shd w:val="clear" w:color="auto" w:fill="FFFFFF"/>
                <w:lang w:val="en-US"/>
              </w:rPr>
              <w:t xml:space="preserve"> un fond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sprijini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propuse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beneficiare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inclusiv</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finanțarea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proiectelor</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mică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anvergură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sis</w:t>
            </w:r>
            <w:r w:rsidRPr="00CE3FB4">
              <w:rPr>
                <w:rFonts w:eastAsia="Arial Unicode MS"/>
                <w:color w:val="000000" w:themeColor="text1"/>
                <w:sz w:val="20"/>
                <w:szCs w:val="20"/>
                <w:shd w:val="clear" w:color="auto" w:fill="FFFFFF"/>
                <w:lang w:val="en-US"/>
              </w:rPr>
              <w:lastRenderedPageBreak/>
              <w:t>temelor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energetice</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îmbunătățirea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eficienței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energetice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denumit</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continuare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finanțat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scoaterea</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certificatelor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astfel</w:t>
            </w:r>
            <w:proofErr w:type="spellEnd"/>
            <w:r w:rsidRPr="00CE3FB4">
              <w:rPr>
                <w:rFonts w:eastAsia="Arial Unicode MS"/>
                <w:color w:val="000000" w:themeColor="text1"/>
                <w:sz w:val="20"/>
                <w:szCs w:val="20"/>
                <w:shd w:val="clear" w:color="auto" w:fill="FFFFFF"/>
                <w:lang w:val="en-US"/>
              </w:rPr>
              <w:t xml:space="preserve"> cum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prevăzut</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beneficiare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prevăzute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articolul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w:t>
            </w:r>
            <w:proofErr w:type="spellEnd"/>
            <w:r w:rsidRPr="00CE3FB4">
              <w:rPr>
                <w:rFonts w:eastAsia="Arial Unicode MS"/>
                <w:color w:val="000000" w:themeColor="text1"/>
                <w:sz w:val="20"/>
                <w:szCs w:val="20"/>
                <w:shd w:val="clear" w:color="auto" w:fill="FFFFFF"/>
                <w:lang w:val="en-US"/>
              </w:rPr>
              <w:t>.</w:t>
            </w:r>
          </w:p>
          <w:p w14:paraId="231E0F33" w14:textId="595FD62F"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beneficiază</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sprijin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trebuie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conforme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obiectivele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prezentei</w:t>
            </w:r>
            <w:proofErr w:type="spellEnd"/>
            <w:r w:rsidRPr="00CE3FB4">
              <w:rPr>
                <w:rFonts w:eastAsia="Arial Unicode MS"/>
                <w:color w:val="000000" w:themeColor="text1"/>
                <w:sz w:val="20"/>
                <w:szCs w:val="20"/>
                <w:shd w:val="clear" w:color="auto" w:fill="FFFFFF"/>
                <w:lang w:val="en-US"/>
              </w:rPr>
              <w:t xml:space="preserve"> directive, cu </w:t>
            </w:r>
            <w:proofErr w:type="spellStart"/>
            <w:r w:rsidRPr="00CE3FB4">
              <w:rPr>
                <w:rFonts w:eastAsia="Arial Unicode MS"/>
                <w:color w:val="000000" w:themeColor="text1"/>
                <w:sz w:val="20"/>
                <w:szCs w:val="20"/>
                <w:shd w:val="clear" w:color="auto" w:fill="FFFFFF"/>
                <w:lang w:val="en-US"/>
              </w:rPr>
              <w:t>obiectivele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exprimate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Comunicarea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Comisiei</w:t>
            </w:r>
            <w:proofErr w:type="spellEnd"/>
            <w:r w:rsidRPr="00CE3FB4">
              <w:rPr>
                <w:rFonts w:eastAsia="Arial Unicode MS"/>
                <w:color w:val="000000" w:themeColor="text1"/>
                <w:sz w:val="20"/>
                <w:szCs w:val="20"/>
                <w:shd w:val="clear" w:color="auto" w:fill="FFFFFF"/>
                <w:lang w:val="en-US"/>
              </w:rPr>
              <w:t xml:space="preserve"> din 11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2019 </w:t>
            </w:r>
            <w:proofErr w:type="spellStart"/>
            <w:r w:rsidRPr="00CE3FB4">
              <w:rPr>
                <w:rFonts w:eastAsia="Arial Unicode MS"/>
                <w:color w:val="000000" w:themeColor="text1"/>
                <w:sz w:val="20"/>
                <w:szCs w:val="20"/>
                <w:shd w:val="clear" w:color="auto" w:fill="FFFFFF"/>
                <w:lang w:val="en-US"/>
              </w:rPr>
              <w:t>privind</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Pactul</w:t>
            </w:r>
            <w:proofErr w:type="spellEnd"/>
            <w:r w:rsidRPr="00CE3FB4">
              <w:rPr>
                <w:rFonts w:eastAsia="Arial Unicode MS"/>
                <w:color w:val="000000" w:themeColor="text1"/>
                <w:sz w:val="20"/>
                <w:szCs w:val="20"/>
                <w:shd w:val="clear" w:color="auto" w:fill="FFFFFF"/>
                <w:lang w:val="en-US"/>
              </w:rPr>
              <w:t xml:space="preserve"> ecologic </w:t>
            </w:r>
            <w:proofErr w:type="spellStart"/>
            <w:r w:rsidRPr="00CE3FB4">
              <w:rPr>
                <w:rFonts w:eastAsia="Arial Unicode MS"/>
                <w:color w:val="000000" w:themeColor="text1"/>
                <w:sz w:val="20"/>
                <w:szCs w:val="20"/>
                <w:shd w:val="clear" w:color="auto" w:fill="FFFFFF"/>
                <w:lang w:val="en-US"/>
              </w:rPr>
              <w:t>european</w:t>
            </w:r>
            <w:proofErr w:type="spellEnd"/>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Regulamentul</w:t>
            </w:r>
            <w:proofErr w:type="spellEnd"/>
            <w:r w:rsidRPr="00CE3FB4">
              <w:rPr>
                <w:rFonts w:eastAsia="Arial Unicode MS"/>
                <w:color w:val="000000" w:themeColor="text1"/>
                <w:sz w:val="20"/>
                <w:szCs w:val="20"/>
                <w:shd w:val="clear" w:color="auto" w:fill="FFFFFF"/>
                <w:lang w:val="en-US"/>
              </w:rPr>
              <w:t xml:space="preserve"> (UE)</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2021/1119, precum și cu </w:t>
            </w:r>
            <w:proofErr w:type="spellStart"/>
            <w:r w:rsidRPr="00CE3FB4">
              <w:rPr>
                <w:rFonts w:eastAsia="Arial Unicode MS"/>
                <w:color w:val="000000" w:themeColor="text1"/>
                <w:sz w:val="20"/>
                <w:szCs w:val="20"/>
                <w:shd w:val="clear" w:color="auto" w:fill="FFFFFF"/>
                <w:lang w:val="en-US"/>
              </w:rPr>
              <w:t>obiectivele</w:t>
            </w:r>
            <w:proofErr w:type="spellEnd"/>
            <w:r w:rsidRPr="00CE3FB4">
              <w:rPr>
                <w:rFonts w:eastAsia="Arial Unicode MS"/>
                <w:color w:val="000000" w:themeColor="text1"/>
                <w:sz w:val="20"/>
                <w:szCs w:val="20"/>
                <w:shd w:val="clear" w:color="auto" w:fill="FFFFFF"/>
                <w:lang w:val="en-US"/>
              </w:rPr>
              <w:t xml:space="preserve"> pe termen lung </w:t>
            </w:r>
            <w:proofErr w:type="spellStart"/>
            <w:r w:rsidRPr="00CE3FB4">
              <w:rPr>
                <w:rFonts w:eastAsia="Arial Unicode MS"/>
                <w:color w:val="000000" w:themeColor="text1"/>
                <w:sz w:val="20"/>
                <w:szCs w:val="20"/>
                <w:shd w:val="clear" w:color="auto" w:fill="FFFFFF"/>
                <w:lang w:val="en-US"/>
              </w:rPr>
              <w:t>exprimate</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Acordul</w:t>
            </w:r>
            <w:proofErr w:type="spellEnd"/>
            <w:r w:rsidRPr="00CE3FB4">
              <w:rPr>
                <w:rFonts w:eastAsia="Arial Unicode MS"/>
                <w:color w:val="000000" w:themeColor="text1"/>
                <w:sz w:val="20"/>
                <w:szCs w:val="20"/>
                <w:shd w:val="clear" w:color="auto" w:fill="FFFFFF"/>
                <w:lang w:val="en-US"/>
              </w:rPr>
              <w:t xml:space="preserve"> de la Paris. </w:t>
            </w:r>
            <w:proofErr w:type="spellStart"/>
            <w:r w:rsidRPr="00CE3FB4">
              <w:rPr>
                <w:rFonts w:eastAsia="Arial Unicode MS"/>
                <w:color w:val="000000" w:themeColor="text1"/>
                <w:sz w:val="20"/>
                <w:szCs w:val="20"/>
                <w:shd w:val="clear" w:color="auto" w:fill="FFFFFF"/>
                <w:lang w:val="en-US"/>
              </w:rPr>
              <w:t>Statele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membre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beneficiare</w:t>
            </w:r>
            <w:proofErr w:type="spellEnd"/>
            <w:r w:rsidRPr="00CE3FB4">
              <w:rPr>
                <w:rFonts w:eastAsia="Arial Unicode MS"/>
                <w:color w:val="000000" w:themeColor="text1"/>
                <w:sz w:val="20"/>
                <w:szCs w:val="20"/>
                <w:shd w:val="clear" w:color="auto" w:fill="FFFFFF"/>
                <w:lang w:val="en-US"/>
              </w:rPr>
              <w:t xml:space="preserve"> pot, </w:t>
            </w:r>
            <w:proofErr w:type="spellStart"/>
            <w:r w:rsidRPr="00CE3FB4">
              <w:rPr>
                <w:rFonts w:eastAsia="Arial Unicode MS"/>
                <w:color w:val="000000" w:themeColor="text1"/>
                <w:sz w:val="20"/>
                <w:szCs w:val="20"/>
                <w:shd w:val="clear" w:color="auto" w:fill="FFFFFF"/>
                <w:lang w:val="en-US"/>
              </w:rPr>
              <w:t>după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caz</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utilizeze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resursele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Fondului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finanța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implică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regiunile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frontaliere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adiacente</w:t>
            </w:r>
            <w:proofErr w:type="spellEnd"/>
            <w:r w:rsidRPr="00CE3FB4">
              <w:rPr>
                <w:rFonts w:eastAsia="Arial Unicode MS"/>
                <w:color w:val="000000" w:themeColor="text1"/>
                <w:sz w:val="20"/>
                <w:szCs w:val="20"/>
                <w:shd w:val="clear" w:color="auto" w:fill="FFFFFF"/>
                <w:lang w:val="en-US"/>
              </w:rPr>
              <w:t xml:space="preserve"> ale </w:t>
            </w:r>
            <w:proofErr w:type="spellStart"/>
            <w:r w:rsidRPr="00CE3FB4">
              <w:rPr>
                <w:rFonts w:eastAsia="Arial Unicode MS"/>
                <w:color w:val="000000" w:themeColor="text1"/>
                <w:sz w:val="20"/>
                <w:szCs w:val="20"/>
                <w:shd w:val="clear" w:color="auto" w:fill="FFFFFF"/>
                <w:lang w:val="en-US"/>
              </w:rPr>
              <w:t>Uniunii</w:t>
            </w:r>
            <w:proofErr w:type="spellEnd"/>
            <w:r w:rsidRPr="00CE3FB4">
              <w:rPr>
                <w:rFonts w:eastAsia="Arial Unicode MS"/>
                <w:color w:val="000000" w:themeColor="text1"/>
                <w:sz w:val="20"/>
                <w:szCs w:val="20"/>
                <w:shd w:val="clear" w:color="auto" w:fill="FFFFFF"/>
                <w:lang w:val="en-US"/>
              </w:rPr>
              <w:t xml:space="preserve">. Nu se </w:t>
            </w:r>
            <w:proofErr w:type="spellStart"/>
            <w:r w:rsidRPr="00CE3FB4">
              <w:rPr>
                <w:rFonts w:eastAsia="Arial Unicode MS"/>
                <w:color w:val="000000" w:themeColor="text1"/>
                <w:sz w:val="20"/>
                <w:szCs w:val="20"/>
                <w:shd w:val="clear" w:color="auto" w:fill="FFFFFF"/>
                <w:lang w:val="en-US"/>
              </w:rPr>
              <w:t>acordă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niciun</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sprijin</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Fondul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modernizare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unităților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producătoare</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utilizează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combustibili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fosili</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toate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acestea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veniturile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provenite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care fac </w:t>
            </w:r>
            <w:proofErr w:type="spellStart"/>
            <w:r w:rsidRPr="00CE3FB4">
              <w:rPr>
                <w:rFonts w:eastAsia="Arial Unicode MS"/>
                <w:color w:val="000000" w:themeColor="text1"/>
                <w:sz w:val="20"/>
                <w:szCs w:val="20"/>
                <w:shd w:val="clear" w:color="auto" w:fill="FFFFFF"/>
                <w:lang w:val="en-US"/>
              </w:rPr>
              <w:t>obiectul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unei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notificări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alineatului</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(4) de la </w:t>
            </w:r>
            <w:proofErr w:type="spellStart"/>
            <w:r w:rsidRPr="00CE3FB4">
              <w:rPr>
                <w:rFonts w:eastAsia="Arial Unicode MS"/>
                <w:color w:val="000000" w:themeColor="text1"/>
                <w:sz w:val="20"/>
                <w:szCs w:val="20"/>
                <w:shd w:val="clear" w:color="auto" w:fill="FFFFFF"/>
                <w:lang w:val="en-US"/>
              </w:rPr>
              <w:t>prezentul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articol</w:t>
            </w:r>
            <w:proofErr w:type="spellEnd"/>
            <w:r w:rsidRPr="00CE3FB4">
              <w:rPr>
                <w:rFonts w:eastAsia="Arial Unicode MS"/>
                <w:color w:val="000000" w:themeColor="text1"/>
                <w:sz w:val="20"/>
                <w:szCs w:val="20"/>
                <w:shd w:val="clear" w:color="auto" w:fill="FFFFFF"/>
                <w:lang w:val="en-US"/>
              </w:rPr>
              <w:t xml:space="preserve"> pot fi </w:t>
            </w:r>
            <w:proofErr w:type="spellStart"/>
            <w:r w:rsidRPr="00CE3FB4">
              <w:rPr>
                <w:rFonts w:eastAsia="Arial Unicode MS"/>
                <w:color w:val="000000" w:themeColor="text1"/>
                <w:sz w:val="20"/>
                <w:szCs w:val="20"/>
                <w:shd w:val="clear" w:color="auto" w:fill="FFFFFF"/>
                <w:lang w:val="en-US"/>
              </w:rPr>
              <w:t>utilizate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implică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combustibili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fosili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gazoși</w:t>
            </w:r>
            <w:proofErr w:type="spellEnd"/>
            <w:r w:rsidRPr="00CE3FB4">
              <w:rPr>
                <w:rFonts w:eastAsia="Arial Unicode MS"/>
                <w:color w:val="000000" w:themeColor="text1"/>
                <w:sz w:val="20"/>
                <w:szCs w:val="20"/>
                <w:shd w:val="clear" w:color="auto" w:fill="FFFFFF"/>
                <w:lang w:val="en-US"/>
              </w:rPr>
              <w:t>.</w:t>
            </w:r>
          </w:p>
          <w:p w14:paraId="5339D352" w14:textId="317CC729" w:rsidR="00124364" w:rsidRPr="00CE3FB4" w:rsidRDefault="00000000" w:rsidP="00CE3FB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CE3FB4">
              <w:rPr>
                <w:rFonts w:eastAsia="Arial Unicode MS"/>
                <w:color w:val="000000" w:themeColor="text1"/>
                <w:sz w:val="20"/>
                <w:szCs w:val="20"/>
                <w:shd w:val="clear" w:color="auto" w:fill="FFFFFF"/>
                <w:lang w:val="en-US"/>
              </w:rPr>
              <w:t xml:space="preserve">De </w:t>
            </w:r>
            <w:proofErr w:type="spellStart"/>
            <w:r w:rsidRPr="00CE3FB4">
              <w:rPr>
                <w:rFonts w:eastAsia="Arial Unicode MS"/>
                <w:color w:val="000000" w:themeColor="text1"/>
                <w:sz w:val="20"/>
                <w:szCs w:val="20"/>
                <w:shd w:val="clear" w:color="auto" w:fill="FFFFFF"/>
                <w:lang w:val="en-US"/>
              </w:rPr>
              <w:t>asemenea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veniturile</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menționate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articolul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10 </w:t>
            </w:r>
            <w:proofErr w:type="spellStart"/>
            <w:r w:rsidRPr="00CE3FB4">
              <w:rPr>
                <w:rFonts w:eastAsia="Arial Unicode MS"/>
                <w:color w:val="000000" w:themeColor="text1"/>
                <w:sz w:val="20"/>
                <w:szCs w:val="20"/>
                <w:shd w:val="clear" w:color="auto" w:fill="FFFFFF"/>
                <w:lang w:val="en-US"/>
              </w:rPr>
              <w:t>alineatul</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(1) al </w:t>
            </w:r>
            <w:proofErr w:type="spellStart"/>
            <w:r w:rsidRPr="00CE3FB4">
              <w:rPr>
                <w:rFonts w:eastAsia="Arial Unicode MS"/>
                <w:color w:val="000000" w:themeColor="text1"/>
                <w:sz w:val="20"/>
                <w:szCs w:val="20"/>
                <w:shd w:val="clear" w:color="auto" w:fill="FFFFFF"/>
                <w:lang w:val="en-US"/>
              </w:rPr>
              <w:t>treilea</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paragraf</w:t>
            </w:r>
            <w:proofErr w:type="spellEnd"/>
            <w:r w:rsidRPr="00CE3FB4">
              <w:rPr>
                <w:rFonts w:eastAsia="Arial Unicode MS"/>
                <w:color w:val="000000" w:themeColor="text1"/>
                <w:sz w:val="20"/>
                <w:szCs w:val="20"/>
                <w:shd w:val="clear" w:color="auto" w:fill="FFFFFF"/>
                <w:lang w:val="en-US"/>
              </w:rPr>
              <w:t xml:space="preserve"> din prezenta </w:t>
            </w:r>
            <w:proofErr w:type="spellStart"/>
            <w:r w:rsidRPr="00CE3FB4">
              <w:rPr>
                <w:rFonts w:eastAsia="Arial Unicode MS"/>
                <w:color w:val="000000" w:themeColor="text1"/>
                <w:sz w:val="20"/>
                <w:szCs w:val="20"/>
                <w:shd w:val="clear" w:color="auto" w:fill="FFFFFF"/>
                <w:lang w:val="en-US"/>
              </w:rPr>
              <w:t>directivă</w:t>
            </w:r>
            <w:proofErr w:type="spellEnd"/>
            <w:r w:rsidRPr="00CE3FB4">
              <w:rPr>
                <w:rFonts w:eastAsia="Arial Unicode MS"/>
                <w:color w:val="000000" w:themeColor="text1"/>
                <w:sz w:val="20"/>
                <w:szCs w:val="20"/>
                <w:shd w:val="clear" w:color="auto" w:fill="FFFFFF"/>
                <w:lang w:val="en-US"/>
              </w:rPr>
              <w:t xml:space="preserve"> pot fi </w:t>
            </w:r>
            <w:proofErr w:type="spellStart"/>
            <w:r w:rsidRPr="00CE3FB4">
              <w:rPr>
                <w:rFonts w:eastAsia="Arial Unicode MS"/>
                <w:color w:val="000000" w:themeColor="text1"/>
                <w:sz w:val="20"/>
                <w:szCs w:val="20"/>
                <w:shd w:val="clear" w:color="auto" w:fill="FFFFFF"/>
                <w:lang w:val="en-US"/>
              </w:rPr>
              <w:t>utilizate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implică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combustibili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fosili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gazoși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cazul</w:t>
            </w:r>
            <w:proofErr w:type="spellEnd"/>
            <w:r w:rsidRPr="00CE3FB4">
              <w:rPr>
                <w:rFonts w:eastAsia="Arial Unicode MS"/>
                <w:color w:val="000000" w:themeColor="text1"/>
                <w:sz w:val="20"/>
                <w:szCs w:val="20"/>
                <w:shd w:val="clear" w:color="auto" w:fill="FFFFFF"/>
                <w:lang w:val="en-US"/>
              </w:rPr>
              <w:t xml:space="preserve"> în care </w:t>
            </w:r>
            <w:proofErr w:type="spellStart"/>
            <w:r w:rsidRPr="00CE3FB4">
              <w:rPr>
                <w:rFonts w:eastAsia="Arial Unicode MS"/>
                <w:color w:val="000000" w:themeColor="text1"/>
                <w:sz w:val="20"/>
                <w:szCs w:val="20"/>
                <w:shd w:val="clear" w:color="auto" w:fill="FFFFFF"/>
                <w:lang w:val="en-US"/>
              </w:rPr>
              <w:t>activitatea</w:t>
            </w:r>
            <w:proofErr w:type="spellEnd"/>
            <w:r w:rsidRPr="00CE3FB4">
              <w:rPr>
                <w:rFonts w:eastAsia="Arial Unicode MS"/>
                <w:color w:val="000000" w:themeColor="text1"/>
                <w:sz w:val="20"/>
                <w:szCs w:val="20"/>
                <w:shd w:val="clear" w:color="auto" w:fill="FFFFFF"/>
                <w:lang w:val="en-US"/>
              </w:rPr>
              <w:t xml:space="preserve"> se </w:t>
            </w:r>
            <w:proofErr w:type="spellStart"/>
            <w:r w:rsidRPr="00CE3FB4">
              <w:rPr>
                <w:rFonts w:eastAsia="Arial Unicode MS"/>
                <w:color w:val="000000" w:themeColor="text1"/>
                <w:sz w:val="20"/>
                <w:szCs w:val="20"/>
                <w:shd w:val="clear" w:color="auto" w:fill="FFFFFF"/>
                <w:lang w:val="en-US"/>
              </w:rPr>
              <w:t>califică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drept</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durabilă</w:t>
            </w:r>
            <w:proofErr w:type="spellEnd"/>
            <w:r w:rsidRPr="00CE3FB4">
              <w:rPr>
                <w:rFonts w:eastAsia="Arial Unicode MS"/>
                <w:color w:val="000000" w:themeColor="text1"/>
                <w:sz w:val="20"/>
                <w:szCs w:val="20"/>
                <w:shd w:val="clear" w:color="auto" w:fill="FFFFFF"/>
                <w:lang w:val="en-US"/>
              </w:rPr>
              <w:t xml:space="preserve"> din </w:t>
            </w:r>
            <w:proofErr w:type="spellStart"/>
            <w:r w:rsidRPr="00CE3FB4">
              <w:rPr>
                <w:rFonts w:eastAsia="Arial Unicode MS"/>
                <w:color w:val="000000" w:themeColor="text1"/>
                <w:sz w:val="20"/>
                <w:szCs w:val="20"/>
                <w:shd w:val="clear" w:color="auto" w:fill="FFFFFF"/>
                <w:lang w:val="en-US"/>
              </w:rPr>
              <w:t>punctul</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vedere</w:t>
            </w:r>
            <w:proofErr w:type="spellEnd"/>
            <w:r w:rsidRPr="00CE3FB4">
              <w:rPr>
                <w:rFonts w:eastAsia="Arial Unicode MS"/>
                <w:color w:val="000000" w:themeColor="text1"/>
                <w:sz w:val="20"/>
                <w:szCs w:val="20"/>
                <w:shd w:val="clear" w:color="auto" w:fill="FFFFFF"/>
                <w:lang w:val="en-US"/>
              </w:rPr>
              <w:t xml:space="preserve"> al </w:t>
            </w:r>
            <w:proofErr w:type="spellStart"/>
            <w:r w:rsidRPr="00CE3FB4">
              <w:rPr>
                <w:rFonts w:eastAsia="Arial Unicode MS"/>
                <w:color w:val="000000" w:themeColor="text1"/>
                <w:sz w:val="20"/>
                <w:szCs w:val="20"/>
                <w:shd w:val="clear" w:color="auto" w:fill="FFFFFF"/>
                <w:lang w:val="en-US"/>
              </w:rPr>
              <w:t>mediului</w:t>
            </w:r>
            <w:proofErr w:type="spellEnd"/>
            <w:r w:rsidRPr="00CE3FB4">
              <w:rPr>
                <w:rFonts w:eastAsia="Arial Unicode MS"/>
                <w:color w:val="000000" w:themeColor="text1"/>
                <w:sz w:val="20"/>
                <w:szCs w:val="20"/>
                <w:shd w:val="clear" w:color="auto" w:fill="FFFFFF"/>
                <w:lang w:val="en-US"/>
              </w:rPr>
              <w:t xml:space="preserve"> în </w:t>
            </w:r>
            <w:proofErr w:type="spellStart"/>
            <w:r w:rsidRPr="00CE3FB4">
              <w:rPr>
                <w:rFonts w:eastAsia="Arial Unicode MS"/>
                <w:color w:val="000000" w:themeColor="text1"/>
                <w:sz w:val="20"/>
                <w:szCs w:val="20"/>
                <w:shd w:val="clear" w:color="auto" w:fill="FFFFFF"/>
                <w:lang w:val="en-US"/>
              </w:rPr>
              <w:t>temeiul</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Regulamentului</w:t>
            </w:r>
            <w:proofErr w:type="spellEnd"/>
            <w:r w:rsidRPr="00CE3FB4">
              <w:rPr>
                <w:rFonts w:eastAsia="Arial Unicode MS"/>
                <w:color w:val="000000" w:themeColor="text1"/>
                <w:sz w:val="20"/>
                <w:szCs w:val="20"/>
                <w:shd w:val="clear" w:color="auto" w:fill="FFFFFF"/>
                <w:lang w:val="en-US"/>
              </w:rPr>
              <w:t xml:space="preserve"> (UE)</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2020/852 al </w:t>
            </w:r>
            <w:proofErr w:type="spellStart"/>
            <w:r w:rsidRPr="00CE3FB4">
              <w:rPr>
                <w:rFonts w:eastAsia="Arial Unicode MS"/>
                <w:color w:val="000000" w:themeColor="text1"/>
                <w:sz w:val="20"/>
                <w:szCs w:val="20"/>
                <w:shd w:val="clear" w:color="auto" w:fill="FFFFFF"/>
                <w:lang w:val="en-US"/>
              </w:rPr>
              <w:t>Parlamentului</w:t>
            </w:r>
            <w:proofErr w:type="spellEnd"/>
            <w:r w:rsidRPr="00CE3FB4">
              <w:rPr>
                <w:rFonts w:eastAsia="Arial Unicode MS"/>
                <w:color w:val="000000" w:themeColor="text1"/>
                <w:sz w:val="20"/>
                <w:szCs w:val="20"/>
                <w:shd w:val="clear" w:color="auto" w:fill="FFFFFF"/>
                <w:lang w:val="en-US"/>
              </w:rPr>
              <w:t xml:space="preserve"> European și al </w:t>
            </w:r>
            <w:proofErr w:type="spellStart"/>
            <w:r w:rsidRPr="00CE3FB4">
              <w:rPr>
                <w:rFonts w:eastAsia="Arial Unicode MS"/>
                <w:color w:val="000000" w:themeColor="text1"/>
                <w:sz w:val="20"/>
                <w:szCs w:val="20"/>
                <w:shd w:val="clear" w:color="auto" w:fill="FFFFFF"/>
                <w:lang w:val="en-US"/>
              </w:rPr>
              <w:t>Consiliului</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w:t>
            </w:r>
            <w:hyperlink r:id="rId171" w:anchor="E0024" w:history="1">
              <w:r w:rsidRPr="00CE3FB4">
                <w:rPr>
                  <w:rStyle w:val="superscript"/>
                  <w:rFonts w:eastAsia="Arial Unicode MS"/>
                  <w:color w:val="000000" w:themeColor="text1"/>
                  <w:sz w:val="20"/>
                  <w:szCs w:val="20"/>
                  <w:vertAlign w:val="superscript"/>
                  <w:lang w:val="en-US"/>
                </w:rPr>
                <w:t>23</w:t>
              </w:r>
            </w:hyperlink>
            <w:r w:rsidR="00CE3FB4" w:rsidRPr="00CE3FB4">
              <w:rPr>
                <w:rStyle w:val="apple-converted-space"/>
                <w:rFonts w:eastAsia="Arial Unicode MS"/>
                <w:color w:val="000000" w:themeColor="text1"/>
                <w:sz w:val="20"/>
                <w:szCs w:val="20"/>
                <w:lang w:val="en-US"/>
              </w:rPr>
              <w:t xml:space="preserve"> </w:t>
            </w:r>
            <w:r w:rsidRPr="00CE3FB4">
              <w:rPr>
                <w:rFonts w:eastAsia="Arial Unicode MS"/>
                <w:color w:val="000000" w:themeColor="text1"/>
                <w:sz w:val="20"/>
                <w:szCs w:val="20"/>
                <w:shd w:val="clear" w:color="auto" w:fill="FFFFFF"/>
                <w:lang w:val="en-US"/>
              </w:rPr>
              <w:t xml:space="preserve">) și </w:t>
            </w:r>
            <w:proofErr w:type="spellStart"/>
            <w:r w:rsidRPr="00CE3FB4">
              <w:rPr>
                <w:rFonts w:eastAsia="Arial Unicode MS"/>
                <w:color w:val="000000" w:themeColor="text1"/>
                <w:sz w:val="20"/>
                <w:szCs w:val="20"/>
                <w:shd w:val="clear" w:color="auto" w:fill="FFFFFF"/>
                <w:lang w:val="en-US"/>
              </w:rPr>
              <w:t>este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justificată</w:t>
            </w:r>
            <w:proofErr w:type="spellEnd"/>
            <w:r w:rsidRPr="00CE3FB4">
              <w:rPr>
                <w:rFonts w:eastAsia="Arial Unicode MS"/>
                <w:color w:val="000000" w:themeColor="text1"/>
                <w:sz w:val="20"/>
                <w:szCs w:val="20"/>
                <w:shd w:val="clear" w:color="auto" w:fill="FFFFFF"/>
                <w:lang w:val="en-US"/>
              </w:rPr>
              <w:t xml:space="preserve"> în mod </w:t>
            </w:r>
            <w:proofErr w:type="spellStart"/>
            <w:r w:rsidRPr="00CE3FB4">
              <w:rPr>
                <w:rFonts w:eastAsia="Arial Unicode MS"/>
                <w:color w:val="000000" w:themeColor="text1"/>
                <w:sz w:val="20"/>
                <w:szCs w:val="20"/>
                <w:shd w:val="clear" w:color="auto" w:fill="FFFFFF"/>
                <w:lang w:val="en-US"/>
              </w:rPr>
              <w:t>corespunzător</w:t>
            </w:r>
            <w:proofErr w:type="spellEnd"/>
            <w:r w:rsidRPr="00CE3FB4">
              <w:rPr>
                <w:rFonts w:eastAsia="Arial Unicode MS"/>
                <w:color w:val="000000" w:themeColor="text1"/>
                <w:sz w:val="20"/>
                <w:szCs w:val="20"/>
                <w:shd w:val="clear" w:color="auto" w:fill="FFFFFF"/>
                <w:lang w:val="en-US"/>
              </w:rPr>
              <w:t xml:space="preserve"> din motive de </w:t>
            </w:r>
            <w:proofErr w:type="spellStart"/>
            <w:r w:rsidRPr="00CE3FB4">
              <w:rPr>
                <w:rFonts w:eastAsia="Arial Unicode MS"/>
                <w:color w:val="000000" w:themeColor="text1"/>
                <w:sz w:val="20"/>
                <w:szCs w:val="20"/>
                <w:shd w:val="clear" w:color="auto" w:fill="FFFFFF"/>
                <w:lang w:val="en-US"/>
              </w:rPr>
              <w:t>asigurare</w:t>
            </w:r>
            <w:proofErr w:type="spellEnd"/>
            <w:r w:rsidRPr="00CE3FB4">
              <w:rPr>
                <w:rFonts w:eastAsia="Arial Unicode MS"/>
                <w:color w:val="000000" w:themeColor="text1"/>
                <w:sz w:val="20"/>
                <w:szCs w:val="20"/>
                <w:shd w:val="clear" w:color="auto" w:fill="FFFFFF"/>
                <w:lang w:val="en-US"/>
              </w:rPr>
              <w:t xml:space="preserve"> a </w:t>
            </w:r>
            <w:proofErr w:type="spellStart"/>
            <w:r w:rsidRPr="00CE3FB4">
              <w:rPr>
                <w:rFonts w:eastAsia="Arial Unicode MS"/>
                <w:color w:val="000000" w:themeColor="text1"/>
                <w:sz w:val="20"/>
                <w:szCs w:val="20"/>
                <w:shd w:val="clear" w:color="auto" w:fill="FFFFFF"/>
                <w:lang w:val="en-US"/>
              </w:rPr>
              <w:t>securității</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energetice</w:t>
            </w:r>
            <w:proofErr w:type="spellEnd"/>
            <w:r w:rsidRPr="00CE3FB4">
              <w:rPr>
                <w:rFonts w:eastAsia="Arial Unicode MS"/>
                <w:color w:val="000000" w:themeColor="text1"/>
                <w:sz w:val="20"/>
                <w:szCs w:val="20"/>
                <w:shd w:val="clear" w:color="auto" w:fill="FFFFFF"/>
                <w:lang w:val="en-US"/>
              </w:rPr>
              <w:t xml:space="preserve">, cu </w:t>
            </w:r>
            <w:proofErr w:type="spellStart"/>
            <w:r w:rsidRPr="00CE3FB4">
              <w:rPr>
                <w:rFonts w:eastAsia="Arial Unicode MS"/>
                <w:color w:val="000000" w:themeColor="text1"/>
                <w:sz w:val="20"/>
                <w:szCs w:val="20"/>
                <w:shd w:val="clear" w:color="auto" w:fill="FFFFFF"/>
                <w:lang w:val="en-US"/>
              </w:rPr>
              <w:t>condiția</w:t>
            </w:r>
            <w:proofErr w:type="spellEnd"/>
            <w:r w:rsidRPr="00CE3FB4">
              <w:rPr>
                <w:rFonts w:eastAsia="Arial Unicode MS"/>
                <w:color w:val="000000" w:themeColor="text1"/>
                <w:sz w:val="20"/>
                <w:szCs w:val="20"/>
                <w:shd w:val="clear" w:color="auto" w:fill="FFFFFF"/>
                <w:lang w:val="en-US"/>
              </w:rPr>
              <w:t xml:space="preserve"> ca,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producerea</w:t>
            </w:r>
            <w:proofErr w:type="spellEnd"/>
            <w:r w:rsidRPr="00CE3FB4">
              <w:rPr>
                <w:rFonts w:eastAsia="Arial Unicode MS"/>
                <w:color w:val="000000" w:themeColor="text1"/>
                <w:sz w:val="20"/>
                <w:szCs w:val="20"/>
                <w:shd w:val="clear" w:color="auto" w:fill="FFFFFF"/>
                <w:lang w:val="en-US"/>
              </w:rPr>
              <w:t xml:space="preserve"> de </w:t>
            </w:r>
            <w:proofErr w:type="spellStart"/>
            <w:r w:rsidRPr="00CE3FB4">
              <w:rPr>
                <w:rFonts w:eastAsia="Arial Unicode MS"/>
                <w:color w:val="000000" w:themeColor="text1"/>
                <w:sz w:val="20"/>
                <w:szCs w:val="20"/>
                <w:shd w:val="clear" w:color="auto" w:fill="FFFFFF"/>
                <w:lang w:val="en-US"/>
              </w:rPr>
              <w:t>energie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scoase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înainte</w:t>
            </w:r>
            <w:proofErr w:type="spellEnd"/>
            <w:r w:rsidRPr="00CE3FB4">
              <w:rPr>
                <w:rFonts w:eastAsia="Arial Unicode MS"/>
                <w:color w:val="000000" w:themeColor="text1"/>
                <w:sz w:val="20"/>
                <w:szCs w:val="20"/>
                <w:shd w:val="clear" w:color="auto" w:fill="FFFFFF"/>
                <w:lang w:val="en-US"/>
              </w:rPr>
              <w:t xml:space="preserve"> de</w:t>
            </w:r>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 xml:space="preserve">2027 și, </w:t>
            </w:r>
            <w:proofErr w:type="spellStart"/>
            <w:r w:rsidRPr="00CE3FB4">
              <w:rPr>
                <w:rFonts w:eastAsia="Arial Unicode MS"/>
                <w:color w:val="000000" w:themeColor="text1"/>
                <w:sz w:val="20"/>
                <w:szCs w:val="20"/>
                <w:shd w:val="clear" w:color="auto" w:fill="FFFFFF"/>
                <w:lang w:val="en-US"/>
              </w:rPr>
              <w:t>pentru</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investițiile</w:t>
            </w:r>
            <w:proofErr w:type="spellEnd"/>
            <w:r w:rsidRPr="00CE3FB4">
              <w:rPr>
                <w:rFonts w:eastAsia="Arial Unicode MS"/>
                <w:color w:val="000000" w:themeColor="text1"/>
                <w:sz w:val="20"/>
                <w:szCs w:val="20"/>
                <w:shd w:val="clear" w:color="auto" w:fill="FFFFFF"/>
                <w:lang w:val="en-US"/>
              </w:rPr>
              <w:t xml:space="preserve"> care </w:t>
            </w:r>
            <w:proofErr w:type="spellStart"/>
            <w:r w:rsidRPr="00CE3FB4">
              <w:rPr>
                <w:rFonts w:eastAsia="Arial Unicode MS"/>
                <w:color w:val="000000" w:themeColor="text1"/>
                <w:sz w:val="20"/>
                <w:szCs w:val="20"/>
                <w:shd w:val="clear" w:color="auto" w:fill="FFFFFF"/>
                <w:lang w:val="en-US"/>
              </w:rPr>
              <w:t>implică</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utilizări</w:t>
            </w:r>
            <w:proofErr w:type="spellEnd"/>
            <w:r w:rsidRPr="00CE3FB4">
              <w:rPr>
                <w:rFonts w:eastAsia="Arial Unicode MS"/>
                <w:color w:val="000000" w:themeColor="text1"/>
                <w:sz w:val="20"/>
                <w:szCs w:val="20"/>
                <w:shd w:val="clear" w:color="auto" w:fill="FFFFFF"/>
                <w:lang w:val="en-US"/>
              </w:rPr>
              <w:t xml:space="preserve"> în aval ale </w:t>
            </w:r>
            <w:proofErr w:type="spellStart"/>
            <w:r w:rsidRPr="00CE3FB4">
              <w:rPr>
                <w:rFonts w:eastAsia="Arial Unicode MS"/>
                <w:color w:val="000000" w:themeColor="text1"/>
                <w:sz w:val="20"/>
                <w:szCs w:val="20"/>
                <w:shd w:val="clear" w:color="auto" w:fill="FFFFFF"/>
                <w:lang w:val="en-US"/>
              </w:rPr>
              <w:t>gazelor</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certificatele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să</w:t>
            </w:r>
            <w:proofErr w:type="spellEnd"/>
            <w:r w:rsidRPr="00CE3FB4">
              <w:rPr>
                <w:rFonts w:eastAsia="Arial Unicode MS"/>
                <w:color w:val="000000" w:themeColor="text1"/>
                <w:sz w:val="20"/>
                <w:szCs w:val="20"/>
                <w:shd w:val="clear" w:color="auto" w:fill="FFFFFF"/>
                <w:lang w:val="en-US"/>
              </w:rPr>
              <w:t xml:space="preserve"> fie </w:t>
            </w:r>
            <w:proofErr w:type="spellStart"/>
            <w:r w:rsidRPr="00CE3FB4">
              <w:rPr>
                <w:rFonts w:eastAsia="Arial Unicode MS"/>
                <w:color w:val="000000" w:themeColor="text1"/>
                <w:sz w:val="20"/>
                <w:szCs w:val="20"/>
                <w:shd w:val="clear" w:color="auto" w:fill="FFFFFF"/>
                <w:lang w:val="en-US"/>
              </w:rPr>
              <w:t>scoase</w:t>
            </w:r>
            <w:proofErr w:type="spellEnd"/>
            <w:r w:rsidRPr="00CE3FB4">
              <w:rPr>
                <w:rFonts w:eastAsia="Arial Unicode MS"/>
                <w:color w:val="000000" w:themeColor="text1"/>
                <w:sz w:val="20"/>
                <w:szCs w:val="20"/>
                <w:shd w:val="clear" w:color="auto" w:fill="FFFFFF"/>
                <w:lang w:val="en-US"/>
              </w:rPr>
              <w:t xml:space="preserve"> la </w:t>
            </w:r>
            <w:proofErr w:type="spellStart"/>
            <w:r w:rsidRPr="00CE3FB4">
              <w:rPr>
                <w:rFonts w:eastAsia="Arial Unicode MS"/>
                <w:color w:val="000000" w:themeColor="text1"/>
                <w:sz w:val="20"/>
                <w:szCs w:val="20"/>
                <w:shd w:val="clear" w:color="auto" w:fill="FFFFFF"/>
                <w:lang w:val="en-US"/>
              </w:rPr>
              <w:t>licitație</w:t>
            </w:r>
            <w:proofErr w:type="spellEnd"/>
            <w:r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înainte</w:t>
            </w:r>
            <w:proofErr w:type="spellEnd"/>
            <w:r w:rsidRPr="00CE3FB4">
              <w:rPr>
                <w:rFonts w:eastAsia="Arial Unicode MS"/>
                <w:color w:val="000000" w:themeColor="text1"/>
                <w:sz w:val="20"/>
                <w:szCs w:val="20"/>
                <w:shd w:val="clear" w:color="auto" w:fill="FFFFFF"/>
                <w:lang w:val="en-US"/>
              </w:rPr>
              <w:t xml:space="preserve"> de 31</w:t>
            </w:r>
            <w:r w:rsidR="00CE3FB4" w:rsidRPr="00CE3FB4">
              <w:rPr>
                <w:rFonts w:eastAsia="Arial Unicode MS"/>
                <w:color w:val="000000" w:themeColor="text1"/>
                <w:sz w:val="20"/>
                <w:szCs w:val="20"/>
                <w:shd w:val="clear" w:color="auto" w:fill="FFFFFF"/>
                <w:lang w:val="en-US"/>
              </w:rPr>
              <w:t xml:space="preserve"> </w:t>
            </w:r>
            <w:proofErr w:type="spellStart"/>
            <w:r w:rsidRPr="00CE3FB4">
              <w:rPr>
                <w:rFonts w:eastAsia="Arial Unicode MS"/>
                <w:color w:val="000000" w:themeColor="text1"/>
                <w:sz w:val="20"/>
                <w:szCs w:val="20"/>
                <w:shd w:val="clear" w:color="auto" w:fill="FFFFFF"/>
                <w:lang w:val="en-US"/>
              </w:rPr>
              <w:t>decembrie</w:t>
            </w:r>
            <w:proofErr w:type="spellEnd"/>
            <w:r w:rsidR="00CE3FB4" w:rsidRPr="00CE3FB4">
              <w:rPr>
                <w:rFonts w:eastAsia="Arial Unicode MS"/>
                <w:color w:val="000000" w:themeColor="text1"/>
                <w:sz w:val="20"/>
                <w:szCs w:val="20"/>
                <w:shd w:val="clear" w:color="auto" w:fill="FFFFFF"/>
                <w:lang w:val="en-US"/>
              </w:rPr>
              <w:t xml:space="preserve"> </w:t>
            </w:r>
            <w:r w:rsidRPr="00CE3FB4">
              <w:rPr>
                <w:rFonts w:eastAsia="Arial Unicode MS"/>
                <w:color w:val="000000" w:themeColor="text1"/>
                <w:sz w:val="20"/>
                <w:szCs w:val="20"/>
                <w:shd w:val="clear" w:color="auto" w:fill="FFFFFF"/>
                <w:lang w:val="en-US"/>
              </w:rPr>
              <w:t>2028.</w:t>
            </w:r>
          </w:p>
          <w:p w14:paraId="6C6CC8AD" w14:textId="5DDECAFF"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Cel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puțin</w:t>
            </w:r>
            <w:proofErr w:type="spellEnd"/>
            <w:r w:rsidRPr="004A0338">
              <w:rPr>
                <w:rFonts w:eastAsia="Arial Unicode MS"/>
                <w:color w:val="000000" w:themeColor="text1"/>
                <w:sz w:val="20"/>
                <w:szCs w:val="20"/>
                <w:shd w:val="clear" w:color="auto" w:fill="FFFFFF"/>
                <w:lang w:val="en-US"/>
              </w:rPr>
              <w:t xml:space="preserve"> 80</w:t>
            </w:r>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veniturile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provenite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certificatele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articolul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10 </w:t>
            </w:r>
            <w:proofErr w:type="spellStart"/>
            <w:r w:rsidRPr="004A0338">
              <w:rPr>
                <w:rFonts w:eastAsia="Arial Unicode MS"/>
                <w:color w:val="000000" w:themeColor="text1"/>
                <w:sz w:val="20"/>
                <w:szCs w:val="20"/>
                <w:shd w:val="clear" w:color="auto" w:fill="FFFFFF"/>
                <w:lang w:val="en-US"/>
              </w:rPr>
              <w:t>alineatul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(1) al </w:t>
            </w:r>
            <w:proofErr w:type="spellStart"/>
            <w:r w:rsidRPr="004A0338">
              <w:rPr>
                <w:rFonts w:eastAsia="Arial Unicode MS"/>
                <w:color w:val="000000" w:themeColor="text1"/>
                <w:sz w:val="20"/>
                <w:szCs w:val="20"/>
                <w:shd w:val="clear" w:color="auto" w:fill="FFFFFF"/>
                <w:lang w:val="en-US"/>
              </w:rPr>
              <w:t>treilea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paragraf</w:t>
            </w:r>
            <w:proofErr w:type="spellEnd"/>
            <w:r w:rsidRPr="004A0338">
              <w:rPr>
                <w:rFonts w:eastAsia="Arial Unicode MS"/>
                <w:color w:val="000000" w:themeColor="text1"/>
                <w:sz w:val="20"/>
                <w:szCs w:val="20"/>
                <w:shd w:val="clear" w:color="auto" w:fill="FFFFFF"/>
                <w:lang w:val="en-US"/>
              </w:rPr>
              <w:t xml:space="preserve"> și din </w:t>
            </w:r>
            <w:proofErr w:type="spellStart"/>
            <w:r w:rsidRPr="004A0338">
              <w:rPr>
                <w:rFonts w:eastAsia="Arial Unicode MS"/>
                <w:color w:val="000000" w:themeColor="text1"/>
                <w:sz w:val="20"/>
                <w:szCs w:val="20"/>
                <w:shd w:val="clear" w:color="auto" w:fill="FFFFFF"/>
                <w:lang w:val="en-US"/>
              </w:rPr>
              <w:t>certificatele</w:t>
            </w:r>
            <w:proofErr w:type="spellEnd"/>
            <w:r w:rsidRPr="004A0338">
              <w:rPr>
                <w:rFonts w:eastAsia="Arial Unicode MS"/>
                <w:color w:val="000000" w:themeColor="text1"/>
                <w:sz w:val="20"/>
                <w:szCs w:val="20"/>
                <w:shd w:val="clear" w:color="auto" w:fill="FFFFFF"/>
                <w:lang w:val="en-US"/>
              </w:rPr>
              <w:t xml:space="preserve"> care fac </w:t>
            </w:r>
            <w:proofErr w:type="spellStart"/>
            <w:r w:rsidRPr="004A0338">
              <w:rPr>
                <w:rFonts w:eastAsia="Arial Unicode MS"/>
                <w:color w:val="000000" w:themeColor="text1"/>
                <w:sz w:val="20"/>
                <w:szCs w:val="20"/>
                <w:shd w:val="clear" w:color="auto" w:fill="FFFFFF"/>
                <w:lang w:val="en-US"/>
              </w:rPr>
              <w:t>obiectul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unei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notificări</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temeiul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alineatului</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(4) de la </w:t>
            </w:r>
            <w:proofErr w:type="spellStart"/>
            <w:r w:rsidRPr="004A0338">
              <w:rPr>
                <w:rFonts w:eastAsia="Arial Unicode MS"/>
                <w:color w:val="000000" w:themeColor="text1"/>
                <w:sz w:val="20"/>
                <w:szCs w:val="20"/>
                <w:shd w:val="clear" w:color="auto" w:fill="FFFFFF"/>
                <w:lang w:val="en-US"/>
              </w:rPr>
              <w:t>prezentul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articol</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cel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puțin</w:t>
            </w:r>
            <w:proofErr w:type="spellEnd"/>
            <w:r w:rsidRPr="004A0338">
              <w:rPr>
                <w:rFonts w:eastAsia="Arial Unicode MS"/>
                <w:color w:val="000000" w:themeColor="text1"/>
                <w:sz w:val="20"/>
                <w:szCs w:val="20"/>
                <w:shd w:val="clear" w:color="auto" w:fill="FFFFFF"/>
                <w:lang w:val="en-US"/>
              </w:rPr>
              <w:t xml:space="preserve"> 90</w:t>
            </w:r>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veniturile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provenite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certificatele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articolul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10 </w:t>
            </w:r>
            <w:proofErr w:type="spellStart"/>
            <w:r w:rsidRPr="004A0338">
              <w:rPr>
                <w:rFonts w:eastAsia="Arial Unicode MS"/>
                <w:color w:val="000000" w:themeColor="text1"/>
                <w:sz w:val="20"/>
                <w:szCs w:val="20"/>
                <w:shd w:val="clear" w:color="auto" w:fill="FFFFFF"/>
                <w:lang w:val="en-US"/>
              </w:rPr>
              <w:t>alineatul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(1) al </w:t>
            </w:r>
            <w:proofErr w:type="spellStart"/>
            <w:r w:rsidRPr="004A0338">
              <w:rPr>
                <w:rFonts w:eastAsia="Arial Unicode MS"/>
                <w:color w:val="000000" w:themeColor="text1"/>
                <w:sz w:val="20"/>
                <w:szCs w:val="20"/>
                <w:shd w:val="clear" w:color="auto" w:fill="FFFFFF"/>
                <w:lang w:val="en-US"/>
              </w:rPr>
              <w:t>patrulea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paragraf</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utilizează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sprijini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investițiile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următoarele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acțiuni</w:t>
            </w:r>
            <w:proofErr w:type="spellEnd"/>
            <w:r w:rsidRPr="004A0338">
              <w:rPr>
                <w:rFonts w:eastAsia="Arial Unicode MS"/>
                <w:color w:val="000000" w:themeColor="text1"/>
                <w:sz w:val="20"/>
                <w:szCs w:val="20"/>
                <w:shd w:val="clear" w:color="auto" w:fill="FFFFFF"/>
                <w:lang w:val="en-US"/>
              </w:rPr>
              <w:t>:</w:t>
            </w:r>
          </w:p>
          <w:p w14:paraId="245B9786" w14:textId="77777777"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producția</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utilizarea</w:t>
            </w:r>
            <w:proofErr w:type="spellEnd"/>
            <w:r w:rsidRPr="004A0338">
              <w:rPr>
                <w:rFonts w:eastAsia="Arial Unicode MS"/>
                <w:color w:val="000000" w:themeColor="text1"/>
                <w:sz w:val="20"/>
                <w:szCs w:val="20"/>
                <w:shd w:val="clear" w:color="auto" w:fill="FFFFFF"/>
                <w:lang w:val="en-US"/>
              </w:rPr>
              <w:t xml:space="preserve"> energiei </w:t>
            </w:r>
            <w:proofErr w:type="spellStart"/>
            <w:r w:rsidRPr="004A0338">
              <w:rPr>
                <w:rFonts w:eastAsia="Arial Unicode MS"/>
                <w:color w:val="000000" w:themeColor="text1"/>
                <w:sz w:val="20"/>
                <w:szCs w:val="20"/>
                <w:shd w:val="clear" w:color="auto" w:fill="FFFFFF"/>
                <w:lang w:val="en-US"/>
              </w:rPr>
              <w:t>electrice</w:t>
            </w:r>
            <w:proofErr w:type="spellEnd"/>
            <w:r w:rsidRPr="004A0338">
              <w:rPr>
                <w:rFonts w:eastAsia="Arial Unicode MS"/>
                <w:color w:val="000000" w:themeColor="text1"/>
                <w:sz w:val="20"/>
                <w:szCs w:val="20"/>
                <w:shd w:val="clear" w:color="auto" w:fill="FFFFFF"/>
                <w:lang w:val="en-US"/>
              </w:rPr>
              <w:t xml:space="preserve"> din surse </w:t>
            </w:r>
            <w:proofErr w:type="spellStart"/>
            <w:r w:rsidRPr="004A0338">
              <w:rPr>
                <w:rFonts w:eastAsia="Arial Unicode MS"/>
                <w:color w:val="000000" w:themeColor="text1"/>
                <w:sz w:val="20"/>
                <w:szCs w:val="20"/>
                <w:shd w:val="clear" w:color="auto" w:fill="FFFFFF"/>
                <w:lang w:val="en-US"/>
              </w:rPr>
              <w:t>regenerabile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inclusiv</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hidrogenului</w:t>
            </w:r>
            <w:proofErr w:type="spellEnd"/>
            <w:r w:rsidRPr="004A0338">
              <w:rPr>
                <w:rFonts w:eastAsia="Arial Unicode MS"/>
                <w:color w:val="000000" w:themeColor="text1"/>
                <w:sz w:val="20"/>
                <w:szCs w:val="20"/>
                <w:shd w:val="clear" w:color="auto" w:fill="FFFFFF"/>
                <w:lang w:val="en-US"/>
              </w:rPr>
              <w:t xml:space="preserve"> din surse </w:t>
            </w:r>
            <w:proofErr w:type="spellStart"/>
            <w:r w:rsidRPr="004A0338">
              <w:rPr>
                <w:rFonts w:eastAsia="Arial Unicode MS"/>
                <w:color w:val="000000" w:themeColor="text1"/>
                <w:sz w:val="20"/>
                <w:szCs w:val="20"/>
                <w:shd w:val="clear" w:color="auto" w:fill="FFFFFF"/>
                <w:lang w:val="en-US"/>
              </w:rPr>
              <w:t>regenerabile</w:t>
            </w:r>
            <w:proofErr w:type="spellEnd"/>
            <w:r w:rsidRPr="004A0338">
              <w:rPr>
                <w:rFonts w:eastAsia="Arial Unicode MS"/>
                <w:color w:val="000000" w:themeColor="text1"/>
                <w:sz w:val="20"/>
                <w:szCs w:val="20"/>
                <w:shd w:val="clear" w:color="auto" w:fill="FFFFFF"/>
                <w:lang w:val="en-US"/>
              </w:rPr>
              <w:t>;</w:t>
            </w:r>
          </w:p>
          <w:p w14:paraId="68D0C120" w14:textId="77777777"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încălzirea</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răcirea</w:t>
            </w:r>
            <w:proofErr w:type="spellEnd"/>
            <w:r w:rsidRPr="004A0338">
              <w:rPr>
                <w:rFonts w:eastAsia="Arial Unicode MS"/>
                <w:color w:val="000000" w:themeColor="text1"/>
                <w:sz w:val="20"/>
                <w:szCs w:val="20"/>
                <w:shd w:val="clear" w:color="auto" w:fill="FFFFFF"/>
                <w:lang w:val="en-US"/>
              </w:rPr>
              <w:t xml:space="preserve"> din surse </w:t>
            </w:r>
            <w:proofErr w:type="spellStart"/>
            <w:r w:rsidRPr="004A0338">
              <w:rPr>
                <w:rFonts w:eastAsia="Arial Unicode MS"/>
                <w:color w:val="000000" w:themeColor="text1"/>
                <w:sz w:val="20"/>
                <w:szCs w:val="20"/>
                <w:shd w:val="clear" w:color="auto" w:fill="FFFFFF"/>
                <w:lang w:val="en-US"/>
              </w:rPr>
              <w:t>regenerabile</w:t>
            </w:r>
            <w:proofErr w:type="spellEnd"/>
            <w:r w:rsidRPr="004A0338">
              <w:rPr>
                <w:rFonts w:eastAsia="Arial Unicode MS"/>
                <w:color w:val="000000" w:themeColor="text1"/>
                <w:sz w:val="20"/>
                <w:szCs w:val="20"/>
                <w:shd w:val="clear" w:color="auto" w:fill="FFFFFF"/>
                <w:lang w:val="en-US"/>
              </w:rPr>
              <w:t>;</w:t>
            </w:r>
          </w:p>
          <w:p w14:paraId="2B8DD379" w14:textId="77777777"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lastRenderedPageBreak/>
              <w:t>reducerea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consumului</w:t>
            </w:r>
            <w:proofErr w:type="spellEnd"/>
            <w:r w:rsidRPr="004A0338">
              <w:rPr>
                <w:rFonts w:eastAsia="Arial Unicode MS"/>
                <w:color w:val="000000" w:themeColor="text1"/>
                <w:sz w:val="20"/>
                <w:szCs w:val="20"/>
                <w:shd w:val="clear" w:color="auto" w:fill="FFFFFF"/>
                <w:lang w:val="en-US"/>
              </w:rPr>
              <w:t xml:space="preserve"> total de </w:t>
            </w:r>
            <w:proofErr w:type="spellStart"/>
            <w:r w:rsidRPr="004A0338">
              <w:rPr>
                <w:rFonts w:eastAsia="Arial Unicode MS"/>
                <w:color w:val="000000" w:themeColor="text1"/>
                <w:sz w:val="20"/>
                <w:szCs w:val="20"/>
                <w:shd w:val="clear" w:color="auto" w:fill="FFFFFF"/>
                <w:lang w:val="en-US"/>
              </w:rPr>
              <w:t>energie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eficiență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inclusiv</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sectorul</w:t>
            </w:r>
            <w:proofErr w:type="spellEnd"/>
            <w:r w:rsidRPr="004A0338">
              <w:rPr>
                <w:rFonts w:eastAsia="Arial Unicode MS"/>
                <w:color w:val="000000" w:themeColor="text1"/>
                <w:sz w:val="20"/>
                <w:szCs w:val="20"/>
                <w:shd w:val="clear" w:color="auto" w:fill="FFFFFF"/>
                <w:lang w:val="en-US"/>
              </w:rPr>
              <w:t xml:space="preserve"> industrial, al </w:t>
            </w:r>
            <w:proofErr w:type="spellStart"/>
            <w:r w:rsidRPr="004A0338">
              <w:rPr>
                <w:rFonts w:eastAsia="Arial Unicode MS"/>
                <w:color w:val="000000" w:themeColor="text1"/>
                <w:sz w:val="20"/>
                <w:szCs w:val="20"/>
                <w:shd w:val="clear" w:color="auto" w:fill="FFFFFF"/>
                <w:lang w:val="en-US"/>
              </w:rPr>
              <w:t>transporturilor</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clădirilor</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agriculturii</w:t>
            </w:r>
            <w:proofErr w:type="spellEnd"/>
            <w:r w:rsidRPr="004A0338">
              <w:rPr>
                <w:rFonts w:eastAsia="Arial Unicode MS"/>
                <w:color w:val="000000" w:themeColor="text1"/>
                <w:sz w:val="20"/>
                <w:szCs w:val="20"/>
                <w:shd w:val="clear" w:color="auto" w:fill="FFFFFF"/>
                <w:lang w:val="en-US"/>
              </w:rPr>
              <w:t xml:space="preserve"> și al </w:t>
            </w:r>
            <w:proofErr w:type="spellStart"/>
            <w:r w:rsidRPr="004A0338">
              <w:rPr>
                <w:rFonts w:eastAsia="Arial Unicode MS"/>
                <w:color w:val="000000" w:themeColor="text1"/>
                <w:sz w:val="20"/>
                <w:szCs w:val="20"/>
                <w:shd w:val="clear" w:color="auto" w:fill="FFFFFF"/>
                <w:lang w:val="en-US"/>
              </w:rPr>
              <w:t>deșeurilor</w:t>
            </w:r>
            <w:proofErr w:type="spellEnd"/>
            <w:r w:rsidRPr="004A0338">
              <w:rPr>
                <w:rFonts w:eastAsia="Arial Unicode MS"/>
                <w:color w:val="000000" w:themeColor="text1"/>
                <w:sz w:val="20"/>
                <w:szCs w:val="20"/>
                <w:shd w:val="clear" w:color="auto" w:fill="FFFFFF"/>
                <w:lang w:val="en-US"/>
              </w:rPr>
              <w:t>;</w:t>
            </w:r>
          </w:p>
          <w:p w14:paraId="7AF6A38B" w14:textId="77777777"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stocarea</w:t>
            </w:r>
            <w:proofErr w:type="spellEnd"/>
            <w:r w:rsidRPr="004A0338">
              <w:rPr>
                <w:rFonts w:eastAsia="Arial Unicode MS"/>
                <w:color w:val="000000" w:themeColor="text1"/>
                <w:sz w:val="20"/>
                <w:szCs w:val="20"/>
                <w:shd w:val="clear" w:color="auto" w:fill="FFFFFF"/>
                <w:lang w:val="en-US"/>
              </w:rPr>
              <w:t xml:space="preserve"> energiei și </w:t>
            </w:r>
            <w:proofErr w:type="spellStart"/>
            <w:r w:rsidRPr="004A0338">
              <w:rPr>
                <w:rFonts w:eastAsia="Arial Unicode MS"/>
                <w:color w:val="000000" w:themeColor="text1"/>
                <w:sz w:val="20"/>
                <w:szCs w:val="20"/>
                <w:shd w:val="clear" w:color="auto" w:fill="FFFFFF"/>
                <w:lang w:val="en-US"/>
              </w:rPr>
              <w:t>modernizarea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rețelelor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inclusiv</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managementului</w:t>
            </w:r>
            <w:proofErr w:type="spellEnd"/>
            <w:r w:rsidRPr="004A0338">
              <w:rPr>
                <w:rFonts w:eastAsia="Arial Unicode MS"/>
                <w:color w:val="000000" w:themeColor="text1"/>
                <w:sz w:val="20"/>
                <w:szCs w:val="20"/>
                <w:shd w:val="clear" w:color="auto" w:fill="FFFFFF"/>
                <w:lang w:val="en-US"/>
              </w:rPr>
              <w:t xml:space="preserve"> pe </w:t>
            </w:r>
            <w:proofErr w:type="spellStart"/>
            <w:r w:rsidRPr="004A0338">
              <w:rPr>
                <w:rFonts w:eastAsia="Arial Unicode MS"/>
                <w:color w:val="000000" w:themeColor="text1"/>
                <w:sz w:val="20"/>
                <w:szCs w:val="20"/>
                <w:shd w:val="clear" w:color="auto" w:fill="FFFFFF"/>
                <w:lang w:val="en-US"/>
              </w:rPr>
              <w:t>parte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cerere</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conductelor</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termoficare</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rețelelor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transportul</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electricitate</w:t>
            </w:r>
            <w:proofErr w:type="spellEnd"/>
            <w:r w:rsidRPr="004A0338">
              <w:rPr>
                <w:rFonts w:eastAsia="Arial Unicode MS"/>
                <w:color w:val="000000" w:themeColor="text1"/>
                <w:sz w:val="20"/>
                <w:szCs w:val="20"/>
                <w:shd w:val="clear" w:color="auto" w:fill="FFFFFF"/>
                <w:lang w:val="en-US"/>
              </w:rPr>
              <w:t xml:space="preserve">, precum și </w:t>
            </w:r>
            <w:proofErr w:type="spellStart"/>
            <w:r w:rsidRPr="004A0338">
              <w:rPr>
                <w:rFonts w:eastAsia="Arial Unicode MS"/>
                <w:color w:val="000000" w:themeColor="text1"/>
                <w:sz w:val="20"/>
                <w:szCs w:val="20"/>
                <w:shd w:val="clear" w:color="auto" w:fill="FFFFFF"/>
                <w:lang w:val="en-US"/>
              </w:rPr>
              <w:t>creșterea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interconectărilor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dintre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și </w:t>
            </w:r>
            <w:proofErr w:type="gramStart"/>
            <w:r w:rsidRPr="004A0338">
              <w:rPr>
                <w:rFonts w:eastAsia="Arial Unicode MS"/>
                <w:color w:val="000000" w:themeColor="text1"/>
                <w:sz w:val="20"/>
                <w:szCs w:val="20"/>
                <w:shd w:val="clear" w:color="auto" w:fill="FFFFFF"/>
                <w:lang w:val="en-US"/>
              </w:rPr>
              <w:t>a</w:t>
            </w:r>
            <w:proofErr w:type="gram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infrastructurii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mobilitate</w:t>
            </w:r>
            <w:proofErr w:type="spellEnd"/>
            <w:r w:rsidRPr="004A0338">
              <w:rPr>
                <w:rFonts w:eastAsia="Arial Unicode MS"/>
                <w:color w:val="000000" w:themeColor="text1"/>
                <w:sz w:val="20"/>
                <w:szCs w:val="20"/>
                <w:shd w:val="clear" w:color="auto" w:fill="FFFFFF"/>
                <w:lang w:val="en-US"/>
              </w:rPr>
              <w:t xml:space="preserve"> cu zero </w:t>
            </w:r>
            <w:proofErr w:type="spellStart"/>
            <w:r w:rsidRPr="004A0338">
              <w:rPr>
                <w:rFonts w:eastAsia="Arial Unicode MS"/>
                <w:color w:val="000000" w:themeColor="text1"/>
                <w:sz w:val="20"/>
                <w:szCs w:val="20"/>
                <w:shd w:val="clear" w:color="auto" w:fill="FFFFFF"/>
                <w:lang w:val="en-US"/>
              </w:rPr>
              <w:t>emisii</w:t>
            </w:r>
            <w:proofErr w:type="spellEnd"/>
            <w:r w:rsidRPr="004A0338">
              <w:rPr>
                <w:rFonts w:eastAsia="Arial Unicode MS"/>
                <w:color w:val="000000" w:themeColor="text1"/>
                <w:sz w:val="20"/>
                <w:szCs w:val="20"/>
                <w:shd w:val="clear" w:color="auto" w:fill="FFFFFF"/>
                <w:lang w:val="en-US"/>
              </w:rPr>
              <w:t>;</w:t>
            </w:r>
          </w:p>
          <w:p w14:paraId="62ECFC7C" w14:textId="77777777"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sprijinirea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gospodăriilor</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venituri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mici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inclusiv</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zonele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rurale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îndepărtate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combaterea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sărăciei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sistemelor</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încălzire</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acestora</w:t>
            </w:r>
            <w:proofErr w:type="spellEnd"/>
            <w:r w:rsidRPr="004A0338">
              <w:rPr>
                <w:rFonts w:eastAsia="Arial Unicode MS"/>
                <w:color w:val="000000" w:themeColor="text1"/>
                <w:sz w:val="20"/>
                <w:szCs w:val="20"/>
                <w:shd w:val="clear" w:color="auto" w:fill="FFFFFF"/>
                <w:lang w:val="en-US"/>
              </w:rPr>
              <w:t>; și</w:t>
            </w:r>
          </w:p>
          <w:p w14:paraId="389F1DF4" w14:textId="0C3AFA2D" w:rsidR="00124364" w:rsidRPr="004A0338" w:rsidRDefault="00000000" w:rsidP="004A0338">
            <w:pPr>
              <w:pStyle w:val="ti-art"/>
              <w:numPr>
                <w:ilvl w:val="0"/>
                <w:numId w:val="6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A0338">
              <w:rPr>
                <w:rFonts w:eastAsia="Arial Unicode MS"/>
                <w:color w:val="000000" w:themeColor="text1"/>
                <w:sz w:val="20"/>
                <w:szCs w:val="20"/>
                <w:shd w:val="clear" w:color="auto" w:fill="FFFFFF"/>
                <w:lang w:val="en-US"/>
              </w:rPr>
              <w:t xml:space="preserve">o </w:t>
            </w:r>
            <w:proofErr w:type="spellStart"/>
            <w:r w:rsidRPr="004A0338">
              <w:rPr>
                <w:rFonts w:eastAsia="Arial Unicode MS"/>
                <w:color w:val="000000" w:themeColor="text1"/>
                <w:sz w:val="20"/>
                <w:szCs w:val="20"/>
                <w:shd w:val="clear" w:color="auto" w:fill="FFFFFF"/>
                <w:lang w:val="en-US"/>
              </w:rPr>
              <w:t>tranziție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justă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regiunile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dependente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emisiile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dioxid</w:t>
            </w:r>
            <w:proofErr w:type="spellEnd"/>
            <w:r w:rsidRPr="004A0338">
              <w:rPr>
                <w:rFonts w:eastAsia="Arial Unicode MS"/>
                <w:color w:val="000000" w:themeColor="text1"/>
                <w:sz w:val="20"/>
                <w:szCs w:val="20"/>
                <w:shd w:val="clear" w:color="auto" w:fill="FFFFFF"/>
                <w:lang w:val="en-US"/>
              </w:rPr>
              <w:t xml:space="preserve"> de carbon din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astfel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încât</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sprijine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realocarea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recalificarea</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îmbunătățirea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competențelor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lucrătorilor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educația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inițiativele</w:t>
            </w:r>
            <w:proofErr w:type="spellEnd"/>
            <w:r w:rsidRPr="004A0338">
              <w:rPr>
                <w:rFonts w:eastAsia="Arial Unicode MS"/>
                <w:color w:val="000000" w:themeColor="text1"/>
                <w:sz w:val="20"/>
                <w:szCs w:val="20"/>
                <w:shd w:val="clear" w:color="auto" w:fill="FFFFFF"/>
                <w:lang w:val="en-US"/>
              </w:rPr>
              <w:t xml:space="preserve"> legate de </w:t>
            </w:r>
            <w:proofErr w:type="spellStart"/>
            <w:r w:rsidRPr="004A0338">
              <w:rPr>
                <w:rFonts w:eastAsia="Arial Unicode MS"/>
                <w:color w:val="000000" w:themeColor="text1"/>
                <w:sz w:val="20"/>
                <w:szCs w:val="20"/>
                <w:shd w:val="clear" w:color="auto" w:fill="FFFFFF"/>
                <w:lang w:val="en-US"/>
              </w:rPr>
              <w:t>căutarea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unui</w:t>
            </w:r>
            <w:proofErr w:type="spellEnd"/>
            <w:r w:rsidRPr="004A0338">
              <w:rPr>
                <w:rFonts w:eastAsia="Arial Unicode MS"/>
                <w:color w:val="000000" w:themeColor="text1"/>
                <w:sz w:val="20"/>
                <w:szCs w:val="20"/>
                <w:shd w:val="clear" w:color="auto" w:fill="FFFFFF"/>
                <w:lang w:val="en-US"/>
              </w:rPr>
              <w:t xml:space="preserve"> loc de </w:t>
            </w:r>
            <w:proofErr w:type="spellStart"/>
            <w:r w:rsidRPr="004A0338">
              <w:rPr>
                <w:rFonts w:eastAsia="Arial Unicode MS"/>
                <w:color w:val="000000" w:themeColor="text1"/>
                <w:sz w:val="20"/>
                <w:szCs w:val="20"/>
                <w:shd w:val="clear" w:color="auto" w:fill="FFFFFF"/>
                <w:lang w:val="en-US"/>
              </w:rPr>
              <w:t>muncă</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întreprinderile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nou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înființate</w:t>
            </w:r>
            <w:proofErr w:type="spellEnd"/>
            <w:r w:rsidRPr="004A0338">
              <w:rPr>
                <w:rFonts w:eastAsia="Arial Unicode MS"/>
                <w:color w:val="000000" w:themeColor="text1"/>
                <w:sz w:val="20"/>
                <w:szCs w:val="20"/>
                <w:shd w:val="clear" w:color="auto" w:fill="FFFFFF"/>
                <w:lang w:val="en-US"/>
              </w:rPr>
              <w:t xml:space="preserve">, în dialog cu </w:t>
            </w:r>
            <w:proofErr w:type="spellStart"/>
            <w:r w:rsidRPr="004A0338">
              <w:rPr>
                <w:rFonts w:eastAsia="Arial Unicode MS"/>
                <w:color w:val="000000" w:themeColor="text1"/>
                <w:sz w:val="20"/>
                <w:szCs w:val="20"/>
                <w:shd w:val="clear" w:color="auto" w:fill="FFFFFF"/>
                <w:lang w:val="en-US"/>
              </w:rPr>
              <w:t>societatea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civilă</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partenerii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sociali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într</w:t>
            </w:r>
            <w:proofErr w:type="spellEnd"/>
            <w:r w:rsidRPr="004A0338">
              <w:rPr>
                <w:rFonts w:eastAsia="Arial Unicode MS"/>
                <w:color w:val="000000" w:themeColor="text1"/>
                <w:sz w:val="20"/>
                <w:szCs w:val="20"/>
                <w:shd w:val="clear" w:color="auto" w:fill="FFFFFF"/>
                <w:lang w:val="en-US"/>
              </w:rPr>
              <w:t xml:space="preserve">-o </w:t>
            </w:r>
            <w:proofErr w:type="spellStart"/>
            <w:r w:rsidRPr="004A0338">
              <w:rPr>
                <w:rFonts w:eastAsia="Arial Unicode MS"/>
                <w:color w:val="000000" w:themeColor="text1"/>
                <w:sz w:val="20"/>
                <w:szCs w:val="20"/>
                <w:shd w:val="clear" w:color="auto" w:fill="FFFFFF"/>
                <w:lang w:val="en-US"/>
              </w:rPr>
              <w:t>manieră</w:t>
            </w:r>
            <w:proofErr w:type="spellEnd"/>
            <w:r w:rsidRPr="004A0338">
              <w:rPr>
                <w:rFonts w:eastAsia="Arial Unicode MS"/>
                <w:color w:val="000000" w:themeColor="text1"/>
                <w:sz w:val="20"/>
                <w:szCs w:val="20"/>
                <w:shd w:val="clear" w:color="auto" w:fill="FFFFFF"/>
                <w:lang w:val="en-US"/>
              </w:rPr>
              <w:t xml:space="preserve"> care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concordanță</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acțiunile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relevante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planurile</w:t>
            </w:r>
            <w:proofErr w:type="spellEnd"/>
            <w:r w:rsidRPr="004A0338">
              <w:rPr>
                <w:rFonts w:eastAsia="Arial Unicode MS"/>
                <w:color w:val="000000" w:themeColor="text1"/>
                <w:sz w:val="20"/>
                <w:szCs w:val="20"/>
                <w:shd w:val="clear" w:color="auto" w:fill="FFFFFF"/>
                <w:lang w:val="en-US"/>
              </w:rPr>
              <w:t xml:space="preserve"> lor </w:t>
            </w:r>
            <w:proofErr w:type="spellStart"/>
            <w:r w:rsidRPr="004A0338">
              <w:rPr>
                <w:rFonts w:eastAsia="Arial Unicode MS"/>
                <w:color w:val="000000" w:themeColor="text1"/>
                <w:sz w:val="20"/>
                <w:szCs w:val="20"/>
                <w:shd w:val="clear" w:color="auto" w:fill="FFFFFF"/>
                <w:lang w:val="en-US"/>
              </w:rPr>
              <w:t>teritoriale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tranziție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justă</w:t>
            </w:r>
            <w:proofErr w:type="spellEnd"/>
            <w:r w:rsidRPr="004A0338">
              <w:rPr>
                <w:rFonts w:eastAsia="Arial Unicode MS"/>
                <w:color w:val="000000" w:themeColor="text1"/>
                <w:sz w:val="20"/>
                <w:szCs w:val="20"/>
                <w:shd w:val="clear" w:color="auto" w:fill="FFFFFF"/>
                <w:lang w:val="en-US"/>
              </w:rPr>
              <w:t xml:space="preserve"> și care </w:t>
            </w:r>
            <w:proofErr w:type="spellStart"/>
            <w:r w:rsidRPr="004A0338">
              <w:rPr>
                <w:rFonts w:eastAsia="Arial Unicode MS"/>
                <w:color w:val="000000" w:themeColor="text1"/>
                <w:sz w:val="20"/>
                <w:szCs w:val="20"/>
                <w:shd w:val="clear" w:color="auto" w:fill="FFFFFF"/>
                <w:lang w:val="en-US"/>
              </w:rPr>
              <w:t>contribuie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acestea</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articolul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8 </w:t>
            </w:r>
            <w:proofErr w:type="spellStart"/>
            <w:r w:rsidRPr="004A0338">
              <w:rPr>
                <w:rFonts w:eastAsia="Arial Unicode MS"/>
                <w:color w:val="000000" w:themeColor="text1"/>
                <w:sz w:val="20"/>
                <w:szCs w:val="20"/>
                <w:shd w:val="clear" w:color="auto" w:fill="FFFFFF"/>
                <w:lang w:val="en-US"/>
              </w:rPr>
              <w:t>alineatul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(2) </w:t>
            </w:r>
            <w:proofErr w:type="spellStart"/>
            <w:r w:rsidRPr="004A0338">
              <w:rPr>
                <w:rFonts w:eastAsia="Arial Unicode MS"/>
                <w:color w:val="000000" w:themeColor="text1"/>
                <w:sz w:val="20"/>
                <w:szCs w:val="20"/>
                <w:shd w:val="clear" w:color="auto" w:fill="FFFFFF"/>
                <w:lang w:val="en-US"/>
              </w:rPr>
              <w:t>primul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paragraf</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litera</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(k) din </w:t>
            </w:r>
            <w:proofErr w:type="spellStart"/>
            <w:r w:rsidRPr="004A0338">
              <w:rPr>
                <w:rFonts w:eastAsia="Arial Unicode MS"/>
                <w:color w:val="000000" w:themeColor="text1"/>
                <w:sz w:val="20"/>
                <w:szCs w:val="20"/>
                <w:shd w:val="clear" w:color="auto" w:fill="FFFFFF"/>
                <w:lang w:val="en-US"/>
              </w:rPr>
              <w:t>Regulamentul</w:t>
            </w:r>
            <w:proofErr w:type="spellEnd"/>
            <w:r w:rsidRPr="004A0338">
              <w:rPr>
                <w:rFonts w:eastAsia="Arial Unicode MS"/>
                <w:color w:val="000000" w:themeColor="text1"/>
                <w:sz w:val="20"/>
                <w:szCs w:val="20"/>
                <w:shd w:val="clear" w:color="auto" w:fill="FFFFFF"/>
                <w:lang w:val="en-US"/>
              </w:rPr>
              <w:t xml:space="preserve"> (UE)</w:t>
            </w:r>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2021/1056, </w:t>
            </w:r>
            <w:proofErr w:type="spellStart"/>
            <w:r w:rsidRPr="004A0338">
              <w:rPr>
                <w:rFonts w:eastAsia="Arial Unicode MS"/>
                <w:color w:val="000000" w:themeColor="text1"/>
                <w:sz w:val="20"/>
                <w:szCs w:val="20"/>
                <w:shd w:val="clear" w:color="auto" w:fill="FFFFFF"/>
                <w:lang w:val="en-US"/>
              </w:rPr>
              <w:t>după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caz</w:t>
            </w:r>
            <w:proofErr w:type="spellEnd"/>
            <w:r w:rsidRPr="004A0338">
              <w:rPr>
                <w:rFonts w:eastAsia="Arial Unicode MS"/>
                <w:color w:val="000000" w:themeColor="text1"/>
                <w:sz w:val="20"/>
                <w:szCs w:val="20"/>
                <w:shd w:val="clear" w:color="auto" w:fill="FFFFFF"/>
                <w:lang w:val="en-US"/>
              </w:rPr>
              <w:t>.</w:t>
            </w:r>
          </w:p>
          <w:p w14:paraId="4B4CEB9D" w14:textId="77777777" w:rsidR="00124364" w:rsidRDefault="00000000">
            <w:pPr>
              <w:pStyle w:val="ti-art"/>
              <w:shd w:val="clear" w:color="auto" w:fill="FFFFFF"/>
              <w:spacing w:before="0" w:beforeAutospacing="0" w:after="0" w:afterAutospacing="0"/>
              <w:ind w:left="1080"/>
              <w:rPr>
                <w:color w:val="4472C4" w:themeColor="accent1"/>
                <w:sz w:val="20"/>
                <w:szCs w:val="20"/>
              </w:rPr>
            </w:pPr>
            <w:hyperlink r:id="rId172" w:tooltip="32018L0410: INSERTED" w:history="1">
              <w:r>
                <w:rPr>
                  <w:rStyle w:val="af3"/>
                  <w:rFonts w:eastAsia="Arial Unicode MS"/>
                  <w:b/>
                  <w:bCs/>
                  <w:color w:val="4472C4" w:themeColor="accent1"/>
                  <w:sz w:val="20"/>
                  <w:szCs w:val="20"/>
                </w:rPr>
                <w:t>▼M9</w:t>
              </w:r>
            </w:hyperlink>
          </w:p>
          <w:p w14:paraId="60F7B4EF" w14:textId="77777777"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funcționează</w:t>
            </w:r>
            <w:proofErr w:type="spellEnd"/>
            <w:r w:rsidRPr="004A0338">
              <w:rPr>
                <w:rFonts w:eastAsia="Arial Unicode MS"/>
                <w:color w:val="000000" w:themeColor="text1"/>
                <w:sz w:val="20"/>
                <w:szCs w:val="20"/>
                <w:shd w:val="clear" w:color="auto" w:fill="FFFFFF"/>
                <w:lang w:val="en-US"/>
              </w:rPr>
              <w:t xml:space="preserve"> sub </w:t>
            </w:r>
            <w:proofErr w:type="spellStart"/>
            <w:r w:rsidRPr="004A0338">
              <w:rPr>
                <w:rFonts w:eastAsia="Arial Unicode MS"/>
                <w:color w:val="000000" w:themeColor="text1"/>
                <w:sz w:val="20"/>
                <w:szCs w:val="20"/>
                <w:shd w:val="clear" w:color="auto" w:fill="FFFFFF"/>
                <w:lang w:val="en-US"/>
              </w:rPr>
              <w:t>responsabilitatea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beneficiare</w:t>
            </w:r>
            <w:proofErr w:type="spellEnd"/>
            <w:r w:rsidRPr="004A0338">
              <w:rPr>
                <w:rFonts w:eastAsia="Arial Unicode MS"/>
                <w:color w:val="000000" w:themeColor="text1"/>
                <w:sz w:val="20"/>
                <w:szCs w:val="20"/>
                <w:shd w:val="clear" w:color="auto" w:fill="FFFFFF"/>
                <w:lang w:val="en-US"/>
              </w:rPr>
              <w:t xml:space="preserve">. BEI se </w:t>
            </w:r>
            <w:proofErr w:type="spellStart"/>
            <w:r w:rsidRPr="004A0338">
              <w:rPr>
                <w:rFonts w:eastAsia="Arial Unicode MS"/>
                <w:color w:val="000000" w:themeColor="text1"/>
                <w:sz w:val="20"/>
                <w:szCs w:val="20"/>
                <w:shd w:val="clear" w:color="auto" w:fill="FFFFFF"/>
                <w:lang w:val="en-US"/>
              </w:rPr>
              <w:t>asigură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certificatele</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licitează</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principiile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modalitățile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descrise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(4) și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responsabilă</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gestionarea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veniturilor</w:t>
            </w:r>
            <w:proofErr w:type="spellEnd"/>
            <w:r w:rsidRPr="004A0338">
              <w:rPr>
                <w:rFonts w:eastAsia="Arial Unicode MS"/>
                <w:color w:val="000000" w:themeColor="text1"/>
                <w:sz w:val="20"/>
                <w:szCs w:val="20"/>
                <w:shd w:val="clear" w:color="auto" w:fill="FFFFFF"/>
                <w:lang w:val="en-US"/>
              </w:rPr>
              <w:t xml:space="preserve">. BEI </w:t>
            </w:r>
            <w:proofErr w:type="spellStart"/>
            <w:r w:rsidRPr="004A0338">
              <w:rPr>
                <w:rFonts w:eastAsia="Arial Unicode MS"/>
                <w:color w:val="000000" w:themeColor="text1"/>
                <w:sz w:val="20"/>
                <w:szCs w:val="20"/>
                <w:shd w:val="clear" w:color="auto" w:fill="FFFFFF"/>
                <w:lang w:val="en-US"/>
              </w:rPr>
              <w:t>transmite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veniturile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către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după</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decizie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plată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emisă</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Comisie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în care </w:t>
            </w:r>
            <w:proofErr w:type="spellStart"/>
            <w:r w:rsidRPr="004A0338">
              <w:rPr>
                <w:rFonts w:eastAsia="Arial Unicode MS"/>
                <w:color w:val="000000" w:themeColor="text1"/>
                <w:sz w:val="20"/>
                <w:szCs w:val="20"/>
                <w:shd w:val="clear" w:color="auto" w:fill="FFFFFF"/>
                <w:lang w:val="en-US"/>
              </w:rPr>
              <w:t>această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plată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de la </w:t>
            </w:r>
            <w:proofErr w:type="spellStart"/>
            <w:r w:rsidRPr="004A0338">
              <w:rPr>
                <w:rFonts w:eastAsia="Arial Unicode MS"/>
                <w:color w:val="000000" w:themeColor="text1"/>
                <w:sz w:val="20"/>
                <w:szCs w:val="20"/>
                <w:shd w:val="clear" w:color="auto" w:fill="FFFFFF"/>
                <w:lang w:val="en-US"/>
              </w:rPr>
              <w:t>prezentul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articol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în care </w:t>
            </w:r>
            <w:proofErr w:type="spellStart"/>
            <w:r w:rsidRPr="004A0338">
              <w:rPr>
                <w:rFonts w:eastAsia="Arial Unicode MS"/>
                <w:color w:val="000000" w:themeColor="text1"/>
                <w:sz w:val="20"/>
                <w:szCs w:val="20"/>
                <w:shd w:val="clear" w:color="auto" w:fill="FFFFFF"/>
                <w:lang w:val="en-US"/>
              </w:rPr>
              <w:t>investițiile</w:t>
            </w:r>
            <w:proofErr w:type="spellEnd"/>
            <w:r w:rsidRPr="004A0338">
              <w:rPr>
                <w:rFonts w:eastAsia="Arial Unicode MS"/>
                <w:color w:val="000000" w:themeColor="text1"/>
                <w:sz w:val="20"/>
                <w:szCs w:val="20"/>
                <w:shd w:val="clear" w:color="auto" w:fill="FFFFFF"/>
                <w:lang w:val="en-US"/>
              </w:rPr>
              <w:t xml:space="preserve"> nu se </w:t>
            </w:r>
            <w:proofErr w:type="spellStart"/>
            <w:r w:rsidRPr="004A0338">
              <w:rPr>
                <w:rFonts w:eastAsia="Arial Unicode MS"/>
                <w:color w:val="000000" w:themeColor="text1"/>
                <w:sz w:val="20"/>
                <w:szCs w:val="20"/>
                <w:shd w:val="clear" w:color="auto" w:fill="FFFFFF"/>
                <w:lang w:val="en-US"/>
              </w:rPr>
              <w:t>încadrează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domeniile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de la </w:t>
            </w:r>
            <w:proofErr w:type="spellStart"/>
            <w:r w:rsidRPr="004A0338">
              <w:rPr>
                <w:rFonts w:eastAsia="Arial Unicode MS"/>
                <w:color w:val="000000" w:themeColor="text1"/>
                <w:sz w:val="20"/>
                <w:szCs w:val="20"/>
                <w:shd w:val="clear" w:color="auto" w:fill="FFFFFF"/>
                <w:lang w:val="en-US"/>
              </w:rPr>
              <w:t>prezentul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articol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plata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recomandările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Comisia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adoptă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decizia</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promptitudine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Veniturile</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lastRenderedPageBreak/>
              <w:t>distribuie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între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și în </w:t>
            </w:r>
            <w:proofErr w:type="spellStart"/>
            <w:r w:rsidRPr="004A0338">
              <w:rPr>
                <w:rFonts w:eastAsia="Arial Unicode MS"/>
                <w:color w:val="000000" w:themeColor="text1"/>
                <w:sz w:val="20"/>
                <w:szCs w:val="20"/>
                <w:shd w:val="clear" w:color="auto" w:fill="FFFFFF"/>
                <w:lang w:val="en-US"/>
              </w:rPr>
              <w:t>funcție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proporțiile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stabilite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anexa</w:t>
            </w:r>
            <w:proofErr w:type="spellEnd"/>
            <w:r w:rsidRPr="004A0338">
              <w:rPr>
                <w:rFonts w:eastAsia="Arial Unicode MS"/>
                <w:color w:val="000000" w:themeColor="text1"/>
                <w:sz w:val="20"/>
                <w:szCs w:val="20"/>
                <w:shd w:val="clear" w:color="auto" w:fill="FFFFFF"/>
                <w:lang w:val="en-US"/>
              </w:rPr>
              <w:t xml:space="preserve"> IIb, în conformitate cu </w:t>
            </w:r>
            <w:proofErr w:type="spellStart"/>
            <w:r w:rsidRPr="004A0338">
              <w:rPr>
                <w:rFonts w:eastAsia="Arial Unicode MS"/>
                <w:color w:val="000000" w:themeColor="text1"/>
                <w:sz w:val="20"/>
                <w:szCs w:val="20"/>
                <w:shd w:val="clear" w:color="auto" w:fill="FFFFFF"/>
                <w:lang w:val="en-US"/>
              </w:rPr>
              <w:t>alineatele</w:t>
            </w:r>
            <w:proofErr w:type="spellEnd"/>
            <w:r w:rsidRPr="004A0338">
              <w:rPr>
                <w:rFonts w:eastAsia="Arial Unicode MS"/>
                <w:color w:val="000000" w:themeColor="text1"/>
                <w:sz w:val="20"/>
                <w:szCs w:val="20"/>
                <w:shd w:val="clear" w:color="auto" w:fill="FFFFFF"/>
                <w:lang w:val="en-US"/>
              </w:rPr>
              <w:t xml:space="preserve"> (6)-(12) de la </w:t>
            </w:r>
            <w:proofErr w:type="spellStart"/>
            <w:r w:rsidRPr="004A0338">
              <w:rPr>
                <w:rFonts w:eastAsia="Arial Unicode MS"/>
                <w:color w:val="000000" w:themeColor="text1"/>
                <w:sz w:val="20"/>
                <w:szCs w:val="20"/>
                <w:shd w:val="clear" w:color="auto" w:fill="FFFFFF"/>
                <w:lang w:val="en-US"/>
              </w:rPr>
              <w:t>prezentul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articol</w:t>
            </w:r>
            <w:proofErr w:type="spellEnd"/>
            <w:r w:rsidRPr="004A0338">
              <w:rPr>
                <w:rFonts w:eastAsia="Arial Unicode MS"/>
                <w:color w:val="000000" w:themeColor="text1"/>
                <w:sz w:val="20"/>
                <w:szCs w:val="20"/>
                <w:shd w:val="clear" w:color="auto" w:fill="FFFFFF"/>
                <w:lang w:val="en-US"/>
              </w:rPr>
              <w:t>.</w:t>
            </w:r>
          </w:p>
          <w:p w14:paraId="19E518EE" w14:textId="008C3430"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Orice</w:t>
            </w:r>
            <w:proofErr w:type="spellEnd"/>
            <w:r w:rsidRPr="004A0338">
              <w:rPr>
                <w:rFonts w:eastAsia="Arial Unicode MS"/>
                <w:color w:val="000000" w:themeColor="text1"/>
                <w:sz w:val="20"/>
                <w:szCs w:val="20"/>
                <w:shd w:val="clear" w:color="auto" w:fill="FFFFFF"/>
                <w:lang w:val="en-US"/>
              </w:rPr>
              <w:t xml:space="preserve"> stat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cauză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poate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utiliza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toată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alocarea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acordată</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titlu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gratuit</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temeiul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articolului</w:t>
            </w:r>
            <w:proofErr w:type="spellEnd"/>
            <w:r w:rsidRPr="004A0338">
              <w:rPr>
                <w:rFonts w:eastAsia="Arial Unicode MS"/>
                <w:color w:val="000000" w:themeColor="text1"/>
                <w:sz w:val="20"/>
                <w:szCs w:val="20"/>
                <w:shd w:val="clear" w:color="auto" w:fill="FFFFFF"/>
                <w:lang w:val="en-US"/>
              </w:rPr>
              <w:t xml:space="preserve"> 10c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(4)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parte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alocarea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respectivă</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cuantumul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certificatelor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distribuite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solidaritate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dezvoltare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interconectare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cadrul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Uniunii</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w:t>
            </w:r>
            <w:proofErr w:type="spellStart"/>
            <w:r w:rsidRPr="004A0338">
              <w:rPr>
                <w:rFonts w:eastAsia="Arial Unicode MS"/>
                <w:color w:val="000000" w:themeColor="text1"/>
                <w:sz w:val="20"/>
                <w:szCs w:val="20"/>
                <w:shd w:val="clear" w:color="auto" w:fill="FFFFFF"/>
                <w:lang w:val="en-US"/>
              </w:rPr>
              <w:t>litera</w:t>
            </w:r>
            <w:proofErr w:type="spellEnd"/>
            <w:r w:rsidRPr="004A0338">
              <w:rPr>
                <w:rFonts w:eastAsia="Arial Unicode MS"/>
                <w:color w:val="000000" w:themeColor="text1"/>
                <w:sz w:val="20"/>
                <w:szCs w:val="20"/>
                <w:shd w:val="clear" w:color="auto" w:fill="FFFFFF"/>
                <w:lang w:val="en-US"/>
              </w:rPr>
              <w:t xml:space="preserve"> (b),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parte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cuantumul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respectiv</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10d,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sprijini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investițiile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cadrul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fondului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contribuind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astfel</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creșterea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resurselor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distribuite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respectiv</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Până</w:t>
            </w:r>
            <w:proofErr w:type="spellEnd"/>
            <w:r w:rsidRPr="004A0338">
              <w:rPr>
                <w:rFonts w:eastAsia="Arial Unicode MS"/>
                <w:color w:val="000000" w:themeColor="text1"/>
                <w:sz w:val="20"/>
                <w:szCs w:val="20"/>
                <w:shd w:val="clear" w:color="auto" w:fill="FFFFFF"/>
                <w:lang w:val="en-US"/>
              </w:rPr>
              <w:t xml:space="preserve"> la 30</w:t>
            </w:r>
            <w:r w:rsid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septembrie</w:t>
            </w:r>
            <w:proofErr w:type="spellEnd"/>
            <w:r w:rsidRPr="004A0338">
              <w:rPr>
                <w:rFonts w:eastAsia="Arial Unicode MS"/>
                <w:color w:val="000000" w:themeColor="text1"/>
                <w:sz w:val="20"/>
                <w:szCs w:val="20"/>
                <w:shd w:val="clear" w:color="auto" w:fill="FFFFFF"/>
                <w:lang w:val="en-US"/>
              </w:rPr>
              <w:t xml:space="preserve"> 2019, </w:t>
            </w:r>
            <w:proofErr w:type="spellStart"/>
            <w:r w:rsidRPr="004A0338">
              <w:rPr>
                <w:rFonts w:eastAsia="Arial Unicode MS"/>
                <w:color w:val="000000" w:themeColor="text1"/>
                <w:sz w:val="20"/>
                <w:szCs w:val="20"/>
                <w:shd w:val="clear" w:color="auto" w:fill="FFFFFF"/>
                <w:lang w:val="en-US"/>
              </w:rPr>
              <w:t>statul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cauză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notifică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Comisiei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cuantumurile</w:t>
            </w:r>
            <w:proofErr w:type="spellEnd"/>
            <w:r w:rsidRPr="004A0338">
              <w:rPr>
                <w:rFonts w:eastAsia="Arial Unicode MS"/>
                <w:color w:val="000000" w:themeColor="text1"/>
                <w:sz w:val="20"/>
                <w:szCs w:val="20"/>
                <w:shd w:val="clear" w:color="auto" w:fill="FFFFFF"/>
                <w:lang w:val="en-US"/>
              </w:rPr>
              <w:t xml:space="preserve"> respective de certificate care </w:t>
            </w:r>
            <w:proofErr w:type="spellStart"/>
            <w:r w:rsidRPr="004A0338">
              <w:rPr>
                <w:rFonts w:eastAsia="Arial Unicode MS"/>
                <w:color w:val="000000" w:themeColor="text1"/>
                <w:sz w:val="20"/>
                <w:szCs w:val="20"/>
                <w:shd w:val="clear" w:color="auto" w:fill="FFFFFF"/>
                <w:lang w:val="en-US"/>
              </w:rPr>
              <w:t>urmează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fie </w:t>
            </w:r>
            <w:proofErr w:type="spellStart"/>
            <w:r w:rsidRPr="004A0338">
              <w:rPr>
                <w:rFonts w:eastAsia="Arial Unicode MS"/>
                <w:color w:val="000000" w:themeColor="text1"/>
                <w:sz w:val="20"/>
                <w:szCs w:val="20"/>
                <w:shd w:val="clear" w:color="auto" w:fill="FFFFFF"/>
                <w:lang w:val="en-US"/>
              </w:rPr>
              <w:t>utilizate</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w:t>
            </w:r>
            <w:proofErr w:type="spellStart"/>
            <w:r w:rsidRPr="004A0338">
              <w:rPr>
                <w:rFonts w:eastAsia="Arial Unicode MS"/>
                <w:color w:val="000000" w:themeColor="text1"/>
                <w:sz w:val="20"/>
                <w:szCs w:val="20"/>
                <w:shd w:val="clear" w:color="auto" w:fill="FFFFFF"/>
                <w:lang w:val="en-US"/>
              </w:rPr>
              <w:t>litera</w:t>
            </w:r>
            <w:proofErr w:type="spellEnd"/>
            <w:r w:rsidRPr="004A0338">
              <w:rPr>
                <w:rFonts w:eastAsia="Arial Unicode MS"/>
                <w:color w:val="000000" w:themeColor="text1"/>
                <w:sz w:val="20"/>
                <w:szCs w:val="20"/>
                <w:shd w:val="clear" w:color="auto" w:fill="FFFFFF"/>
                <w:lang w:val="en-US"/>
              </w:rPr>
              <w:t xml:space="preserve"> (b), cu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10c și cu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10d.</w:t>
            </w:r>
          </w:p>
          <w:p w14:paraId="04FA2FB7" w14:textId="77777777"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A0338">
              <w:rPr>
                <w:rFonts w:eastAsia="Arial Unicode MS"/>
                <w:color w:val="000000" w:themeColor="text1"/>
                <w:sz w:val="20"/>
                <w:szCs w:val="20"/>
                <w:shd w:val="clear" w:color="auto" w:fill="FFFFFF"/>
                <w:lang w:val="en-US"/>
              </w:rPr>
              <w:t xml:space="preserve">Se </w:t>
            </w:r>
            <w:proofErr w:type="spellStart"/>
            <w:r w:rsidRPr="004A0338">
              <w:rPr>
                <w:rFonts w:eastAsia="Arial Unicode MS"/>
                <w:color w:val="000000" w:themeColor="text1"/>
                <w:sz w:val="20"/>
                <w:szCs w:val="20"/>
                <w:shd w:val="clear" w:color="auto" w:fill="FFFFFF"/>
                <w:lang w:val="en-US"/>
              </w:rPr>
              <w:t>instituie</w:t>
            </w:r>
            <w:proofErr w:type="spellEnd"/>
            <w:r w:rsidRPr="004A0338">
              <w:rPr>
                <w:rFonts w:eastAsia="Arial Unicode MS"/>
                <w:color w:val="000000" w:themeColor="text1"/>
                <w:sz w:val="20"/>
                <w:szCs w:val="20"/>
                <w:shd w:val="clear" w:color="auto" w:fill="FFFFFF"/>
                <w:lang w:val="en-US"/>
              </w:rPr>
              <w:t xml:space="preserve"> un </w:t>
            </w:r>
            <w:proofErr w:type="spellStart"/>
            <w:r w:rsidRPr="004A0338">
              <w:rPr>
                <w:rFonts w:eastAsia="Arial Unicode MS"/>
                <w:color w:val="000000" w:themeColor="text1"/>
                <w:sz w:val="20"/>
                <w:szCs w:val="20"/>
                <w:shd w:val="clear" w:color="auto" w:fill="FFFFFF"/>
                <w:lang w:val="en-US"/>
              </w:rPr>
              <w:t>comitet</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compune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câte</w:t>
            </w:r>
            <w:proofErr w:type="spellEnd"/>
            <w:r w:rsidRPr="004A0338">
              <w:rPr>
                <w:rFonts w:eastAsia="Arial Unicode MS"/>
                <w:color w:val="000000" w:themeColor="text1"/>
                <w:sz w:val="20"/>
                <w:szCs w:val="20"/>
                <w:shd w:val="clear" w:color="auto" w:fill="FFFFFF"/>
                <w:lang w:val="en-US"/>
              </w:rPr>
              <w:t xml:space="preserve"> un </w:t>
            </w:r>
            <w:proofErr w:type="spellStart"/>
            <w:r w:rsidRPr="004A0338">
              <w:rPr>
                <w:rFonts w:eastAsia="Arial Unicode MS"/>
                <w:color w:val="000000" w:themeColor="text1"/>
                <w:sz w:val="20"/>
                <w:szCs w:val="20"/>
                <w:shd w:val="clear" w:color="auto" w:fill="FFFFFF"/>
                <w:lang w:val="en-US"/>
              </w:rPr>
              <w:t>reprezentant</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fiecărui</w:t>
            </w:r>
            <w:proofErr w:type="spellEnd"/>
            <w:r w:rsidRPr="004A0338">
              <w:rPr>
                <w:rFonts w:eastAsia="Arial Unicode MS"/>
                <w:color w:val="000000" w:themeColor="text1"/>
                <w:sz w:val="20"/>
                <w:szCs w:val="20"/>
                <w:shd w:val="clear" w:color="auto" w:fill="FFFFFF"/>
                <w:lang w:val="en-US"/>
              </w:rPr>
              <w:t xml:space="preserve"> stat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Comisiei</w:t>
            </w:r>
            <w:proofErr w:type="spellEnd"/>
            <w:r w:rsidRPr="004A0338">
              <w:rPr>
                <w:rFonts w:eastAsia="Arial Unicode MS"/>
                <w:color w:val="000000" w:themeColor="text1"/>
                <w:sz w:val="20"/>
                <w:szCs w:val="20"/>
                <w:shd w:val="clear" w:color="auto" w:fill="FFFFFF"/>
                <w:lang w:val="en-US"/>
              </w:rPr>
              <w:t xml:space="preserve"> și al BEI și din </w:t>
            </w:r>
            <w:proofErr w:type="spellStart"/>
            <w:r w:rsidRPr="004A0338">
              <w:rPr>
                <w:rFonts w:eastAsia="Arial Unicode MS"/>
                <w:color w:val="000000" w:themeColor="text1"/>
                <w:sz w:val="20"/>
                <w:szCs w:val="20"/>
                <w:shd w:val="clear" w:color="auto" w:fill="FFFFFF"/>
                <w:lang w:val="en-US"/>
              </w:rPr>
              <w:t>trei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reprezentanți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aleși</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către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celelalte</w:t>
            </w:r>
            <w:proofErr w:type="spellEnd"/>
            <w:r w:rsidRPr="004A0338">
              <w:rPr>
                <w:rFonts w:eastAsia="Arial Unicode MS"/>
                <w:color w:val="000000" w:themeColor="text1"/>
                <w:sz w:val="20"/>
                <w:szCs w:val="20"/>
                <w:shd w:val="clear" w:color="auto" w:fill="FFFFFF"/>
                <w:lang w:val="en-US"/>
              </w:rPr>
              <w:t xml:space="preserve"> state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perioadă</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cinci</w:t>
            </w:r>
            <w:proofErr w:type="spellEnd"/>
            <w:r w:rsidRPr="004A0338">
              <w:rPr>
                <w:rFonts w:eastAsia="Arial Unicode MS"/>
                <w:color w:val="000000" w:themeColor="text1"/>
                <w:sz w:val="20"/>
                <w:szCs w:val="20"/>
                <w:shd w:val="clear" w:color="auto" w:fill="FFFFFF"/>
                <w:lang w:val="en-US"/>
              </w:rPr>
              <w:t xml:space="preserve"> ani. El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prezidat</w:t>
            </w:r>
            <w:proofErr w:type="spellEnd"/>
            <w:r w:rsidRPr="004A0338">
              <w:rPr>
                <w:rFonts w:eastAsia="Arial Unicode MS"/>
                <w:color w:val="000000" w:themeColor="text1"/>
                <w:sz w:val="20"/>
                <w:szCs w:val="20"/>
                <w:shd w:val="clear" w:color="auto" w:fill="FFFFFF"/>
                <w:lang w:val="en-US"/>
              </w:rPr>
              <w:t xml:space="preserve"> de un </w:t>
            </w:r>
            <w:proofErr w:type="spellStart"/>
            <w:r w:rsidRPr="004A0338">
              <w:rPr>
                <w:rFonts w:eastAsia="Arial Unicode MS"/>
                <w:color w:val="000000" w:themeColor="text1"/>
                <w:sz w:val="20"/>
                <w:szCs w:val="20"/>
                <w:shd w:val="clear" w:color="auto" w:fill="FFFFFF"/>
                <w:lang w:val="en-US"/>
              </w:rPr>
              <w:t>reprezentant</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Comisiei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Câte</w:t>
            </w:r>
            <w:proofErr w:type="spellEnd"/>
            <w:r w:rsidRPr="004A0338">
              <w:rPr>
                <w:rFonts w:eastAsia="Arial Unicode MS"/>
                <w:color w:val="000000" w:themeColor="text1"/>
                <w:sz w:val="20"/>
                <w:szCs w:val="20"/>
                <w:shd w:val="clear" w:color="auto" w:fill="FFFFFF"/>
                <w:lang w:val="en-US"/>
              </w:rPr>
              <w:t xml:space="preserve"> un </w:t>
            </w:r>
            <w:proofErr w:type="spellStart"/>
            <w:r w:rsidRPr="004A0338">
              <w:rPr>
                <w:rFonts w:eastAsia="Arial Unicode MS"/>
                <w:color w:val="000000" w:themeColor="text1"/>
                <w:sz w:val="20"/>
                <w:szCs w:val="20"/>
                <w:shd w:val="clear" w:color="auto" w:fill="FFFFFF"/>
                <w:lang w:val="en-US"/>
              </w:rPr>
              <w:t>reprezentant</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fiecărui</w:t>
            </w:r>
            <w:proofErr w:type="spellEnd"/>
            <w:r w:rsidRPr="004A0338">
              <w:rPr>
                <w:rFonts w:eastAsia="Arial Unicode MS"/>
                <w:color w:val="000000" w:themeColor="text1"/>
                <w:sz w:val="20"/>
                <w:szCs w:val="20"/>
                <w:shd w:val="clear" w:color="auto" w:fill="FFFFFF"/>
                <w:lang w:val="en-US"/>
              </w:rPr>
              <w:t xml:space="preserve"> stat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care nu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al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poate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participa</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calitate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observator</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reuniunile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w:t>
            </w:r>
          </w:p>
          <w:p w14:paraId="0D053D60" w14:textId="77777777" w:rsidR="00124364" w:rsidRPr="004A0338" w:rsidRDefault="00000000" w:rsidP="004A03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acționează</w:t>
            </w:r>
            <w:proofErr w:type="spellEnd"/>
            <w:r w:rsidRPr="004A0338">
              <w:rPr>
                <w:rFonts w:eastAsia="Arial Unicode MS"/>
                <w:color w:val="000000" w:themeColor="text1"/>
                <w:sz w:val="20"/>
                <w:szCs w:val="20"/>
                <w:shd w:val="clear" w:color="auto" w:fill="FFFFFF"/>
                <w:lang w:val="en-US"/>
              </w:rPr>
              <w:t xml:space="preserve"> în mod transparent. </w:t>
            </w:r>
            <w:proofErr w:type="spellStart"/>
            <w:r w:rsidRPr="004A0338">
              <w:rPr>
                <w:rFonts w:eastAsia="Arial Unicode MS"/>
                <w:color w:val="000000" w:themeColor="text1"/>
                <w:sz w:val="20"/>
                <w:szCs w:val="20"/>
                <w:shd w:val="clear" w:color="auto" w:fill="FFFFFF"/>
                <w:lang w:val="en-US"/>
              </w:rPr>
              <w:t>Componența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curricula vitae și </w:t>
            </w:r>
            <w:proofErr w:type="spellStart"/>
            <w:r w:rsidRPr="004A0338">
              <w:rPr>
                <w:rFonts w:eastAsia="Arial Unicode MS"/>
                <w:color w:val="000000" w:themeColor="text1"/>
                <w:sz w:val="20"/>
                <w:szCs w:val="20"/>
                <w:shd w:val="clear" w:color="auto" w:fill="FFFFFF"/>
                <w:lang w:val="en-US"/>
              </w:rPr>
              <w:t>declarațiile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interese</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membrilor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acestuia</w:t>
            </w:r>
            <w:proofErr w:type="spellEnd"/>
            <w:r w:rsidRPr="004A0338">
              <w:rPr>
                <w:rFonts w:eastAsia="Arial Unicode MS"/>
                <w:color w:val="000000" w:themeColor="text1"/>
                <w:sz w:val="20"/>
                <w:szCs w:val="20"/>
                <w:shd w:val="clear" w:color="auto" w:fill="FFFFFF"/>
                <w:lang w:val="en-US"/>
              </w:rPr>
              <w:t xml:space="preserve"> se pun la </w:t>
            </w:r>
            <w:proofErr w:type="spellStart"/>
            <w:r w:rsidRPr="004A0338">
              <w:rPr>
                <w:rFonts w:eastAsia="Arial Unicode MS"/>
                <w:color w:val="000000" w:themeColor="text1"/>
                <w:sz w:val="20"/>
                <w:szCs w:val="20"/>
                <w:shd w:val="clear" w:color="auto" w:fill="FFFFFF"/>
                <w:lang w:val="en-US"/>
              </w:rPr>
              <w:t>dispoziția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publicului</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dacă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necesar</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actualizează</w:t>
            </w:r>
            <w:proofErr w:type="spellEnd"/>
            <w:r w:rsidRPr="004A0338">
              <w:rPr>
                <w:rFonts w:eastAsia="Arial Unicode MS"/>
                <w:color w:val="000000" w:themeColor="text1"/>
                <w:sz w:val="20"/>
                <w:szCs w:val="20"/>
                <w:shd w:val="clear" w:color="auto" w:fill="FFFFFF"/>
                <w:lang w:val="en-US"/>
              </w:rPr>
              <w:t>.</w:t>
            </w:r>
          </w:p>
          <w:p w14:paraId="1D1040B4" w14:textId="161A35AF"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Înainte</w:t>
            </w:r>
            <w:proofErr w:type="spellEnd"/>
            <w:r w:rsidRPr="004A0338">
              <w:rPr>
                <w:rFonts w:eastAsia="Arial Unicode MS"/>
                <w:color w:val="000000" w:themeColor="text1"/>
                <w:sz w:val="20"/>
                <w:szCs w:val="20"/>
                <w:shd w:val="clear" w:color="auto" w:fill="FFFFFF"/>
                <w:lang w:val="en-US"/>
              </w:rPr>
              <w:t xml:space="preserve"> de a decide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finanțeze</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investiție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procentajul</w:t>
            </w:r>
            <w:proofErr w:type="spellEnd"/>
            <w:r w:rsidRPr="004A0338">
              <w:rPr>
                <w:rFonts w:eastAsia="Arial Unicode MS"/>
                <w:color w:val="000000" w:themeColor="text1"/>
                <w:sz w:val="20"/>
                <w:szCs w:val="20"/>
                <w:shd w:val="clear" w:color="auto" w:fill="FFFFFF"/>
                <w:lang w:val="en-US"/>
              </w:rPr>
              <w:t xml:space="preserve"> care le </w:t>
            </w:r>
            <w:proofErr w:type="spellStart"/>
            <w:r w:rsidRPr="004A0338">
              <w:rPr>
                <w:rFonts w:eastAsia="Arial Unicode MS"/>
                <w:color w:val="000000" w:themeColor="text1"/>
                <w:sz w:val="20"/>
                <w:szCs w:val="20"/>
                <w:shd w:val="clear" w:color="auto" w:fill="FFFFFF"/>
                <w:lang w:val="en-US"/>
              </w:rPr>
              <w:t>revine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prezintă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proiectul</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și BEI. 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în care BEI </w:t>
            </w:r>
            <w:proofErr w:type="spellStart"/>
            <w:r w:rsidRPr="004A0338">
              <w:rPr>
                <w:rFonts w:eastAsia="Arial Unicode MS"/>
                <w:color w:val="000000" w:themeColor="text1"/>
                <w:sz w:val="20"/>
                <w:szCs w:val="20"/>
                <w:shd w:val="clear" w:color="auto" w:fill="FFFFFF"/>
                <w:lang w:val="en-US"/>
              </w:rPr>
              <w:t>confirmă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că</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investiție</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încadrează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domeniile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incluse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alineatul</w:t>
            </w:r>
            <w:proofErr w:type="spellEnd"/>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(2), </w:t>
            </w:r>
            <w:proofErr w:type="spellStart"/>
            <w:r w:rsidRPr="004A0338">
              <w:rPr>
                <w:rFonts w:eastAsia="Arial Unicode MS"/>
                <w:color w:val="000000" w:themeColor="text1"/>
                <w:sz w:val="20"/>
                <w:szCs w:val="20"/>
                <w:shd w:val="clear" w:color="auto" w:fill="FFFFFF"/>
                <w:lang w:val="en-US"/>
              </w:rPr>
              <w:t>statul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poate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trece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finanțarea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proiectului</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procentajul</w:t>
            </w:r>
            <w:proofErr w:type="spellEnd"/>
            <w:r w:rsidRPr="004A0338">
              <w:rPr>
                <w:rFonts w:eastAsia="Arial Unicode MS"/>
                <w:color w:val="000000" w:themeColor="text1"/>
                <w:sz w:val="20"/>
                <w:szCs w:val="20"/>
                <w:shd w:val="clear" w:color="auto" w:fill="FFFFFF"/>
                <w:lang w:val="en-US"/>
              </w:rPr>
              <w:t xml:space="preserve"> care </w:t>
            </w:r>
            <w:proofErr w:type="spellStart"/>
            <w:r w:rsidRPr="004A0338">
              <w:rPr>
                <w:rFonts w:eastAsia="Arial Unicode MS"/>
                <w:color w:val="000000" w:themeColor="text1"/>
                <w:sz w:val="20"/>
                <w:szCs w:val="20"/>
                <w:shd w:val="clear" w:color="auto" w:fill="FFFFFF"/>
                <w:lang w:val="en-US"/>
              </w:rPr>
              <w:t>îi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revine</w:t>
            </w:r>
            <w:proofErr w:type="spellEnd"/>
            <w:r w:rsidRPr="004A0338">
              <w:rPr>
                <w:rFonts w:eastAsia="Arial Unicode MS"/>
                <w:color w:val="000000" w:themeColor="text1"/>
                <w:sz w:val="20"/>
                <w:szCs w:val="20"/>
                <w:shd w:val="clear" w:color="auto" w:fill="FFFFFF"/>
                <w:lang w:val="en-US"/>
              </w:rPr>
              <w:t>.</w:t>
            </w:r>
          </w:p>
          <w:p w14:paraId="138EEF0B" w14:textId="514A7C12" w:rsidR="00124364" w:rsidRPr="004A0338" w:rsidRDefault="00000000" w:rsidP="004A03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A0338">
              <w:rPr>
                <w:rFonts w:eastAsia="Arial Unicode MS"/>
                <w:color w:val="000000" w:themeColor="text1"/>
                <w:sz w:val="20"/>
                <w:szCs w:val="20"/>
                <w:shd w:val="clear" w:color="auto" w:fill="FFFFFF"/>
                <w:lang w:val="en-US"/>
              </w:rPr>
              <w:t xml:space="preserve">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în care o </w:t>
            </w:r>
            <w:proofErr w:type="spellStart"/>
            <w:r w:rsidRPr="004A0338">
              <w:rPr>
                <w:rFonts w:eastAsia="Arial Unicode MS"/>
                <w:color w:val="000000" w:themeColor="text1"/>
                <w:sz w:val="20"/>
                <w:szCs w:val="20"/>
                <w:shd w:val="clear" w:color="auto" w:fill="FFFFFF"/>
                <w:lang w:val="en-US"/>
              </w:rPr>
              <w:t>investiție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modernizarea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sistemelor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energetice</w:t>
            </w:r>
            <w:proofErr w:type="spellEnd"/>
            <w:r w:rsidRPr="004A0338">
              <w:rPr>
                <w:rFonts w:eastAsia="Arial Unicode MS"/>
                <w:color w:val="000000" w:themeColor="text1"/>
                <w:sz w:val="20"/>
                <w:szCs w:val="20"/>
                <w:shd w:val="clear" w:color="auto" w:fill="FFFFFF"/>
                <w:lang w:val="en-US"/>
              </w:rPr>
              <w:t xml:space="preserve">, care </w:t>
            </w:r>
            <w:proofErr w:type="spellStart"/>
            <w:r w:rsidRPr="004A0338">
              <w:rPr>
                <w:rFonts w:eastAsia="Arial Unicode MS"/>
                <w:color w:val="000000" w:themeColor="text1"/>
                <w:sz w:val="20"/>
                <w:szCs w:val="20"/>
                <w:shd w:val="clear" w:color="auto" w:fill="FFFFFF"/>
                <w:lang w:val="en-US"/>
              </w:rPr>
              <w:t>este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propusă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fie </w:t>
            </w:r>
            <w:proofErr w:type="spellStart"/>
            <w:r w:rsidRPr="004A0338">
              <w:rPr>
                <w:rFonts w:eastAsia="Arial Unicode MS"/>
                <w:color w:val="000000" w:themeColor="text1"/>
                <w:sz w:val="20"/>
                <w:szCs w:val="20"/>
                <w:shd w:val="clear" w:color="auto" w:fill="FFFFFF"/>
                <w:lang w:val="en-US"/>
              </w:rPr>
              <w:t>finanțată</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nu se </w:t>
            </w:r>
            <w:proofErr w:type="spellStart"/>
            <w:r w:rsidRPr="004A0338">
              <w:rPr>
                <w:rFonts w:eastAsia="Arial Unicode MS"/>
                <w:color w:val="000000" w:themeColor="text1"/>
                <w:sz w:val="20"/>
                <w:szCs w:val="20"/>
                <w:shd w:val="clear" w:color="auto" w:fill="FFFFFF"/>
                <w:lang w:val="en-US"/>
              </w:rPr>
              <w:t>încadrează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domeniile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w:t>
            </w: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evaluează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viabilitatea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tehnică</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financiară</w:t>
            </w:r>
            <w:proofErr w:type="spellEnd"/>
            <w:r w:rsidRPr="004A0338">
              <w:rPr>
                <w:rFonts w:eastAsia="Arial Unicode MS"/>
                <w:color w:val="000000" w:themeColor="text1"/>
                <w:sz w:val="20"/>
                <w:szCs w:val="20"/>
                <w:shd w:val="clear" w:color="auto" w:fill="FFFFFF"/>
                <w:lang w:val="en-US"/>
              </w:rPr>
              <w:t xml:space="preserve"> </w:t>
            </w:r>
            <w:proofErr w:type="gramStart"/>
            <w:r w:rsidRPr="004A0338">
              <w:rPr>
                <w:rFonts w:eastAsia="Arial Unicode MS"/>
                <w:color w:val="000000" w:themeColor="text1"/>
                <w:sz w:val="20"/>
                <w:szCs w:val="20"/>
                <w:shd w:val="clear" w:color="auto" w:fill="FFFFFF"/>
                <w:lang w:val="en-US"/>
              </w:rPr>
              <w:t>a</w:t>
            </w:r>
            <w:proofErr w:type="gram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investiției</w:t>
            </w:r>
            <w:proofErr w:type="spellEnd"/>
            <w:r w:rsidRPr="004A0338">
              <w:rPr>
                <w:rFonts w:eastAsia="Arial Unicode MS"/>
                <w:color w:val="000000" w:themeColor="text1"/>
                <w:sz w:val="20"/>
                <w:szCs w:val="20"/>
                <w:shd w:val="clear" w:color="auto" w:fill="FFFFFF"/>
                <w:lang w:val="en-US"/>
              </w:rPr>
              <w:t xml:space="preserve"> respective, </w:t>
            </w:r>
            <w:proofErr w:type="spellStart"/>
            <w:r w:rsidRPr="004A0338">
              <w:rPr>
                <w:rFonts w:eastAsia="Arial Unicode MS"/>
                <w:color w:val="000000" w:themeColor="text1"/>
                <w:sz w:val="20"/>
                <w:szCs w:val="20"/>
                <w:shd w:val="clear" w:color="auto" w:fill="FFFFFF"/>
                <w:lang w:val="en-US"/>
              </w:rPr>
              <w:t>inclusiv</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reducerile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emisii</w:t>
            </w:r>
            <w:proofErr w:type="spellEnd"/>
            <w:r w:rsidRPr="004A0338">
              <w:rPr>
                <w:rFonts w:eastAsia="Arial Unicode MS"/>
                <w:color w:val="000000" w:themeColor="text1"/>
                <w:sz w:val="20"/>
                <w:szCs w:val="20"/>
                <w:shd w:val="clear" w:color="auto" w:fill="FFFFFF"/>
                <w:lang w:val="en-US"/>
              </w:rPr>
              <w:t xml:space="preserve"> pe care le </w:t>
            </w:r>
            <w:proofErr w:type="spellStart"/>
            <w:r w:rsidRPr="004A0338">
              <w:rPr>
                <w:rFonts w:eastAsia="Arial Unicode MS"/>
                <w:color w:val="000000" w:themeColor="text1"/>
                <w:sz w:val="20"/>
                <w:szCs w:val="20"/>
                <w:shd w:val="clear" w:color="auto" w:fill="FFFFFF"/>
                <w:lang w:val="en-US"/>
              </w:rPr>
              <w:t>realizează</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emite</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recomandare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investiției</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lastRenderedPageBreak/>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asigură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orice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legată</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termoficare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realizează</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îmbunătățire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substanțială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materie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eficiență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energetică</w:t>
            </w:r>
            <w:proofErr w:type="spellEnd"/>
            <w:r w:rsidRPr="004A0338">
              <w:rPr>
                <w:rFonts w:eastAsia="Arial Unicode MS"/>
                <w:color w:val="000000" w:themeColor="text1"/>
                <w:sz w:val="20"/>
                <w:szCs w:val="20"/>
                <w:shd w:val="clear" w:color="auto" w:fill="FFFFFF"/>
                <w:lang w:val="en-US"/>
              </w:rPr>
              <w:t xml:space="preserve"> și de </w:t>
            </w:r>
            <w:proofErr w:type="spellStart"/>
            <w:r w:rsidRPr="004A0338">
              <w:rPr>
                <w:rFonts w:eastAsia="Arial Unicode MS"/>
                <w:color w:val="000000" w:themeColor="text1"/>
                <w:sz w:val="20"/>
                <w:szCs w:val="20"/>
                <w:shd w:val="clear" w:color="auto" w:fill="FFFFFF"/>
                <w:lang w:val="en-US"/>
              </w:rPr>
              <w:t>reducere</w:t>
            </w:r>
            <w:proofErr w:type="spellEnd"/>
            <w:r w:rsidRPr="004A0338">
              <w:rPr>
                <w:rFonts w:eastAsia="Arial Unicode MS"/>
                <w:color w:val="000000" w:themeColor="text1"/>
                <w:sz w:val="20"/>
                <w:szCs w:val="20"/>
                <w:shd w:val="clear" w:color="auto" w:fill="FFFFFF"/>
                <w:lang w:val="en-US"/>
              </w:rPr>
              <w:t xml:space="preserve"> </w:t>
            </w:r>
            <w:proofErr w:type="gramStart"/>
            <w:r w:rsidRPr="004A0338">
              <w:rPr>
                <w:rFonts w:eastAsia="Arial Unicode MS"/>
                <w:color w:val="000000" w:themeColor="text1"/>
                <w:sz w:val="20"/>
                <w:szCs w:val="20"/>
                <w:shd w:val="clear" w:color="auto" w:fill="FFFFFF"/>
                <w:lang w:val="en-US"/>
              </w:rPr>
              <w:t>a</w:t>
            </w:r>
            <w:proofErr w:type="gram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emisiilor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Recomandarea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respectivă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poate</w:t>
            </w:r>
            <w:proofErr w:type="spellEnd"/>
            <w:r w:rsidRPr="004A0338">
              <w:rPr>
                <w:rFonts w:eastAsia="Arial Unicode MS"/>
                <w:color w:val="000000" w:themeColor="text1"/>
                <w:sz w:val="20"/>
                <w:szCs w:val="20"/>
                <w:shd w:val="clear" w:color="auto" w:fill="FFFFFF"/>
                <w:lang w:val="en-US"/>
              </w:rPr>
              <w:t xml:space="preserve"> include </w:t>
            </w:r>
            <w:proofErr w:type="spellStart"/>
            <w:r w:rsidRPr="004A0338">
              <w:rPr>
                <w:rFonts w:eastAsia="Arial Unicode MS"/>
                <w:color w:val="000000" w:themeColor="text1"/>
                <w:sz w:val="20"/>
                <w:szCs w:val="20"/>
                <w:shd w:val="clear" w:color="auto" w:fill="FFFFFF"/>
                <w:lang w:val="en-US"/>
              </w:rPr>
              <w:t>propuneri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instrumente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finanțare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adecvate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Până</w:t>
            </w:r>
            <w:proofErr w:type="spellEnd"/>
            <w:r w:rsidRPr="004A0338">
              <w:rPr>
                <w:rFonts w:eastAsia="Arial Unicode MS"/>
                <w:color w:val="000000" w:themeColor="text1"/>
                <w:sz w:val="20"/>
                <w:szCs w:val="20"/>
                <w:shd w:val="clear" w:color="auto" w:fill="FFFFFF"/>
                <w:lang w:val="en-US"/>
              </w:rPr>
              <w:t xml:space="preserve"> la 70</w:t>
            </w:r>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costurile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relevante</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unei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care nu se </w:t>
            </w:r>
            <w:proofErr w:type="spellStart"/>
            <w:r w:rsidRPr="004A0338">
              <w:rPr>
                <w:rFonts w:eastAsia="Arial Unicode MS"/>
                <w:color w:val="000000" w:themeColor="text1"/>
                <w:sz w:val="20"/>
                <w:szCs w:val="20"/>
                <w:shd w:val="clear" w:color="auto" w:fill="FFFFFF"/>
                <w:lang w:val="en-US"/>
              </w:rPr>
              <w:t>încadrează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domeniile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 pot fi </w:t>
            </w:r>
            <w:proofErr w:type="spellStart"/>
            <w:r w:rsidRPr="004A0338">
              <w:rPr>
                <w:rFonts w:eastAsia="Arial Unicode MS"/>
                <w:color w:val="000000" w:themeColor="text1"/>
                <w:sz w:val="20"/>
                <w:szCs w:val="20"/>
                <w:shd w:val="clear" w:color="auto" w:fill="FFFFFF"/>
                <w:lang w:val="en-US"/>
              </w:rPr>
              <w:t>asigurate</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resurse</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fondului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condiția</w:t>
            </w:r>
            <w:proofErr w:type="spellEnd"/>
            <w:r w:rsidRPr="004A0338">
              <w:rPr>
                <w:rFonts w:eastAsia="Arial Unicode MS"/>
                <w:color w:val="000000" w:themeColor="text1"/>
                <w:sz w:val="20"/>
                <w:szCs w:val="20"/>
                <w:shd w:val="clear" w:color="auto" w:fill="FFFFFF"/>
                <w:lang w:val="en-US"/>
              </w:rPr>
              <w:t xml:space="preserve"> ca </w:t>
            </w:r>
            <w:proofErr w:type="spellStart"/>
            <w:r w:rsidRPr="004A0338">
              <w:rPr>
                <w:rFonts w:eastAsia="Arial Unicode MS"/>
                <w:color w:val="000000" w:themeColor="text1"/>
                <w:sz w:val="20"/>
                <w:szCs w:val="20"/>
                <w:shd w:val="clear" w:color="auto" w:fill="FFFFFF"/>
                <w:lang w:val="en-US"/>
              </w:rPr>
              <w:t>restul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costurilor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fie </w:t>
            </w:r>
            <w:proofErr w:type="spellStart"/>
            <w:r w:rsidRPr="004A0338">
              <w:rPr>
                <w:rFonts w:eastAsia="Arial Unicode MS"/>
                <w:color w:val="000000" w:themeColor="text1"/>
                <w:sz w:val="20"/>
                <w:szCs w:val="20"/>
                <w:shd w:val="clear" w:color="auto" w:fill="FFFFFF"/>
                <w:lang w:val="en-US"/>
              </w:rPr>
              <w:t>finanțate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entități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juridice</w:t>
            </w:r>
            <w:proofErr w:type="spellEnd"/>
            <w:r w:rsidRPr="004A0338">
              <w:rPr>
                <w:rFonts w:eastAsia="Arial Unicode MS"/>
                <w:color w:val="000000" w:themeColor="text1"/>
                <w:sz w:val="20"/>
                <w:szCs w:val="20"/>
                <w:shd w:val="clear" w:color="auto" w:fill="FFFFFF"/>
                <w:lang w:val="en-US"/>
              </w:rPr>
              <w:t xml:space="preserve"> private.</w:t>
            </w:r>
          </w:p>
          <w:p w14:paraId="6D752E91" w14:textId="087DAF9B"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încearcă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își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adopte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recomandările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consens</w:t>
            </w:r>
            <w:proofErr w:type="spellEnd"/>
            <w:r w:rsidRPr="004A0338">
              <w:rPr>
                <w:rFonts w:eastAsia="Arial Unicode MS"/>
                <w:color w:val="000000" w:themeColor="text1"/>
                <w:sz w:val="20"/>
                <w:szCs w:val="20"/>
                <w:shd w:val="clear" w:color="auto" w:fill="FFFFFF"/>
                <w:lang w:val="en-US"/>
              </w:rPr>
              <w:t>.</w:t>
            </w:r>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în care nu </w:t>
            </w:r>
            <w:proofErr w:type="spellStart"/>
            <w:r w:rsidRPr="004A0338">
              <w:rPr>
                <w:rFonts w:eastAsia="Arial Unicode MS"/>
                <w:color w:val="000000" w:themeColor="text1"/>
                <w:sz w:val="20"/>
                <w:szCs w:val="20"/>
                <w:shd w:val="clear" w:color="auto" w:fill="FFFFFF"/>
                <w:lang w:val="en-US"/>
              </w:rPr>
              <w:t>poate</w:t>
            </w:r>
            <w:proofErr w:type="spellEnd"/>
            <w:r w:rsidRPr="004A0338">
              <w:rPr>
                <w:rFonts w:eastAsia="Arial Unicode MS"/>
                <w:color w:val="000000" w:themeColor="text1"/>
                <w:sz w:val="20"/>
                <w:szCs w:val="20"/>
                <w:shd w:val="clear" w:color="auto" w:fill="FFFFFF"/>
                <w:lang w:val="en-US"/>
              </w:rPr>
              <w:t xml:space="preserve"> decide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consens</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termenul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stabilit</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către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președinte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adoptă</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decizie</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majoritate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simplă</w:t>
            </w:r>
            <w:proofErr w:type="spellEnd"/>
            <w:r w:rsidRPr="004A0338">
              <w:rPr>
                <w:rFonts w:eastAsia="Arial Unicode MS"/>
                <w:color w:val="000000" w:themeColor="text1"/>
                <w:sz w:val="20"/>
                <w:szCs w:val="20"/>
                <w:shd w:val="clear" w:color="auto" w:fill="FFFFFF"/>
                <w:lang w:val="en-US"/>
              </w:rPr>
              <w:t>.</w:t>
            </w:r>
          </w:p>
          <w:p w14:paraId="43886C02" w14:textId="44835A65" w:rsidR="00124364" w:rsidRPr="004A0338" w:rsidRDefault="00000000" w:rsidP="004A0338">
            <w:pPr>
              <w:pStyle w:val="ti-art"/>
              <w:shd w:val="clear" w:color="auto" w:fill="FFFFFF"/>
              <w:spacing w:before="0" w:beforeAutospacing="0" w:after="0" w:afterAutospacing="0"/>
              <w:ind w:left="720"/>
              <w:jc w:val="both"/>
              <w:rPr>
                <w:rFonts w:ascii="Arial Unicode MS" w:eastAsia="Arial Unicode MS" w:hAnsi="Arial Unicode MS" w:cs="Arial Unicode MS"/>
                <w:color w:val="000000" w:themeColor="text1"/>
                <w:sz w:val="21"/>
                <w:szCs w:val="21"/>
                <w:shd w:val="clear" w:color="auto" w:fill="FFFFFF"/>
                <w:lang w:val="en-US"/>
              </w:rPr>
            </w:pPr>
            <w:proofErr w:type="spellStart"/>
            <w:r w:rsidRPr="004A0338">
              <w:rPr>
                <w:rFonts w:eastAsia="Arial Unicode MS"/>
                <w:color w:val="000000" w:themeColor="text1"/>
                <w:sz w:val="20"/>
                <w:szCs w:val="20"/>
                <w:shd w:val="clear" w:color="auto" w:fill="FFFFFF"/>
                <w:lang w:val="en-US"/>
              </w:rPr>
              <w:t>Dacă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reprezentantul</w:t>
            </w:r>
            <w:proofErr w:type="spellEnd"/>
            <w:r w:rsidRPr="004A0338">
              <w:rPr>
                <w:rFonts w:eastAsia="Arial Unicode MS"/>
                <w:color w:val="000000" w:themeColor="text1"/>
                <w:sz w:val="20"/>
                <w:szCs w:val="20"/>
                <w:shd w:val="clear" w:color="auto" w:fill="FFFFFF"/>
                <w:lang w:val="en-US"/>
              </w:rPr>
              <w:t xml:space="preserve"> BEI nu </w:t>
            </w:r>
            <w:proofErr w:type="spellStart"/>
            <w:r w:rsidRPr="004A0338">
              <w:rPr>
                <w:rFonts w:eastAsia="Arial Unicode MS"/>
                <w:color w:val="000000" w:themeColor="text1"/>
                <w:sz w:val="20"/>
                <w:szCs w:val="20"/>
                <w:shd w:val="clear" w:color="auto" w:fill="FFFFFF"/>
                <w:lang w:val="en-US"/>
              </w:rPr>
              <w:t>aprobă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unei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recomandare</w:t>
            </w:r>
            <w:proofErr w:type="spellEnd"/>
            <w:r w:rsidRPr="004A0338">
              <w:rPr>
                <w:rFonts w:eastAsia="Arial Unicode MS"/>
                <w:color w:val="000000" w:themeColor="text1"/>
                <w:sz w:val="20"/>
                <w:szCs w:val="20"/>
                <w:shd w:val="clear" w:color="auto" w:fill="FFFFFF"/>
                <w:lang w:val="en-US"/>
              </w:rPr>
              <w:t xml:space="preserve"> se </w:t>
            </w:r>
            <w:proofErr w:type="spellStart"/>
            <w:r w:rsidRPr="004A0338">
              <w:rPr>
                <w:rFonts w:eastAsia="Arial Unicode MS"/>
                <w:color w:val="000000" w:themeColor="text1"/>
                <w:sz w:val="20"/>
                <w:szCs w:val="20"/>
                <w:shd w:val="clear" w:color="auto" w:fill="FFFFFF"/>
                <w:lang w:val="en-US"/>
              </w:rPr>
              <w:t>adoptă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doar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dacă</w:t>
            </w:r>
            <w:proofErr w:type="spellEnd"/>
            <w:r w:rsidRPr="004A0338">
              <w:rPr>
                <w:rFonts w:eastAsia="Arial Unicode MS"/>
                <w:color w:val="000000" w:themeColor="text1"/>
                <w:sz w:val="20"/>
                <w:szCs w:val="20"/>
                <w:shd w:val="clear" w:color="auto" w:fill="FFFFFF"/>
                <w:lang w:val="en-US"/>
              </w:rPr>
              <w:t xml:space="preserve"> o </w:t>
            </w:r>
            <w:proofErr w:type="spellStart"/>
            <w:r w:rsidRPr="004A0338">
              <w:rPr>
                <w:rFonts w:eastAsia="Arial Unicode MS"/>
                <w:color w:val="000000" w:themeColor="text1"/>
                <w:sz w:val="20"/>
                <w:szCs w:val="20"/>
                <w:shd w:val="clear" w:color="auto" w:fill="FFFFFF"/>
                <w:lang w:val="en-US"/>
              </w:rPr>
              <w:t>majoritate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două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treimi</w:t>
            </w:r>
            <w:proofErr w:type="spellEnd"/>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toți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votează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acest</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caz</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reprezentantul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în care </w:t>
            </w:r>
            <w:proofErr w:type="spellStart"/>
            <w:r w:rsidRPr="004A0338">
              <w:rPr>
                <w:rFonts w:eastAsia="Arial Unicode MS"/>
                <w:color w:val="000000" w:themeColor="text1"/>
                <w:sz w:val="20"/>
                <w:szCs w:val="20"/>
                <w:shd w:val="clear" w:color="auto" w:fill="FFFFFF"/>
                <w:lang w:val="en-US"/>
              </w:rPr>
              <w:t>urmează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aibă</w:t>
            </w:r>
            <w:proofErr w:type="spellEnd"/>
            <w:r w:rsidRPr="004A0338">
              <w:rPr>
                <w:rFonts w:eastAsia="Arial Unicode MS"/>
                <w:color w:val="000000" w:themeColor="text1"/>
                <w:sz w:val="20"/>
                <w:szCs w:val="20"/>
                <w:shd w:val="clear" w:color="auto" w:fill="FFFFFF"/>
                <w:lang w:val="en-US"/>
              </w:rPr>
              <w:t xml:space="preserve"> loc </w:t>
            </w:r>
            <w:proofErr w:type="spellStart"/>
            <w:r w:rsidRPr="004A0338">
              <w:rPr>
                <w:rFonts w:eastAsia="Arial Unicode MS"/>
                <w:color w:val="000000" w:themeColor="text1"/>
                <w:sz w:val="20"/>
                <w:szCs w:val="20"/>
                <w:shd w:val="clear" w:color="auto" w:fill="FFFFFF"/>
                <w:lang w:val="en-US"/>
              </w:rPr>
              <w:t>investiția</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reprezentantul</w:t>
            </w:r>
            <w:proofErr w:type="spellEnd"/>
            <w:r w:rsidRPr="004A0338">
              <w:rPr>
                <w:rFonts w:eastAsia="Arial Unicode MS"/>
                <w:color w:val="000000" w:themeColor="text1"/>
                <w:sz w:val="20"/>
                <w:szCs w:val="20"/>
                <w:shd w:val="clear" w:color="auto" w:fill="FFFFFF"/>
                <w:lang w:val="en-US"/>
              </w:rPr>
              <w:t xml:space="preserve"> BEI nu au </w:t>
            </w:r>
            <w:proofErr w:type="spellStart"/>
            <w:r w:rsidRPr="004A0338">
              <w:rPr>
                <w:rFonts w:eastAsia="Arial Unicode MS"/>
                <w:color w:val="000000" w:themeColor="text1"/>
                <w:sz w:val="20"/>
                <w:szCs w:val="20"/>
                <w:shd w:val="clear" w:color="auto" w:fill="FFFFFF"/>
                <w:lang w:val="en-US"/>
              </w:rPr>
              <w:t>dreptul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voteze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Prezentul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paragraf</w:t>
            </w:r>
            <w:proofErr w:type="spellEnd"/>
            <w:r w:rsidRPr="004A0338">
              <w:rPr>
                <w:rFonts w:eastAsia="Arial Unicode MS"/>
                <w:color w:val="000000" w:themeColor="text1"/>
                <w:sz w:val="20"/>
                <w:szCs w:val="20"/>
                <w:shd w:val="clear" w:color="auto" w:fill="FFFFFF"/>
                <w:lang w:val="en-US"/>
              </w:rPr>
              <w:t xml:space="preserve"> nu se </w:t>
            </w:r>
            <w:proofErr w:type="spellStart"/>
            <w:r w:rsidRPr="004A0338">
              <w:rPr>
                <w:rFonts w:eastAsia="Arial Unicode MS"/>
                <w:color w:val="000000" w:themeColor="text1"/>
                <w:sz w:val="20"/>
                <w:szCs w:val="20"/>
                <w:shd w:val="clear" w:color="auto" w:fill="FFFFFF"/>
                <w:lang w:val="en-US"/>
              </w:rPr>
              <w:t>aplică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cazul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proiectelor</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mici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dimensiuni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împrumuturi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acordate</w:t>
            </w:r>
            <w:proofErr w:type="spellEnd"/>
            <w:r w:rsidRPr="004A0338">
              <w:rPr>
                <w:rFonts w:eastAsia="Arial Unicode MS"/>
                <w:color w:val="000000" w:themeColor="text1"/>
                <w:sz w:val="20"/>
                <w:szCs w:val="20"/>
                <w:shd w:val="clear" w:color="auto" w:fill="FFFFFF"/>
                <w:lang w:val="en-US"/>
              </w:rPr>
              <w:t xml:space="preserve"> de o </w:t>
            </w:r>
            <w:proofErr w:type="spellStart"/>
            <w:r w:rsidRPr="004A0338">
              <w:rPr>
                <w:rFonts w:eastAsia="Arial Unicode MS"/>
                <w:color w:val="000000" w:themeColor="text1"/>
                <w:sz w:val="20"/>
                <w:szCs w:val="20"/>
                <w:shd w:val="clear" w:color="auto" w:fill="FFFFFF"/>
                <w:lang w:val="en-US"/>
              </w:rPr>
              <w:t>bancă</w:t>
            </w:r>
            <w:proofErr w:type="spellEnd"/>
            <w:r w:rsidRPr="004A0338">
              <w:rPr>
                <w:rFonts w:eastAsia="Arial Unicode MS"/>
                <w:color w:val="000000" w:themeColor="text1"/>
                <w:sz w:val="20"/>
                <w:szCs w:val="20"/>
                <w:shd w:val="clear" w:color="auto" w:fill="FFFFFF"/>
                <w:lang w:val="en-US"/>
              </w:rPr>
              <w:t xml:space="preserve"> națională de </w:t>
            </w:r>
            <w:proofErr w:type="spellStart"/>
            <w:r w:rsidRPr="004A0338">
              <w:rPr>
                <w:rFonts w:eastAsia="Arial Unicode MS"/>
                <w:color w:val="000000" w:themeColor="text1"/>
                <w:sz w:val="20"/>
                <w:szCs w:val="20"/>
                <w:shd w:val="clear" w:color="auto" w:fill="FFFFFF"/>
                <w:lang w:val="en-US"/>
              </w:rPr>
              <w:t>promovare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granturi</w:t>
            </w:r>
            <w:proofErr w:type="spellEnd"/>
            <w:r w:rsidRPr="004A0338">
              <w:rPr>
                <w:rFonts w:eastAsia="Arial Unicode MS"/>
                <w:color w:val="000000" w:themeColor="text1"/>
                <w:sz w:val="20"/>
                <w:szCs w:val="20"/>
                <w:shd w:val="clear" w:color="auto" w:fill="FFFFFF"/>
                <w:lang w:val="en-US"/>
              </w:rPr>
              <w:t xml:space="preserve"> care </w:t>
            </w:r>
            <w:proofErr w:type="spellStart"/>
            <w:r w:rsidRPr="004A0338">
              <w:rPr>
                <w:rFonts w:eastAsia="Arial Unicode MS"/>
                <w:color w:val="000000" w:themeColor="text1"/>
                <w:sz w:val="20"/>
                <w:szCs w:val="20"/>
                <w:shd w:val="clear" w:color="auto" w:fill="FFFFFF"/>
                <w:lang w:val="en-US"/>
              </w:rPr>
              <w:t>contribuie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punerea</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aplicare</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unui</w:t>
            </w:r>
            <w:proofErr w:type="spellEnd"/>
            <w:r w:rsidRPr="004A0338">
              <w:rPr>
                <w:rFonts w:eastAsia="Arial Unicode MS"/>
                <w:color w:val="000000" w:themeColor="text1"/>
                <w:sz w:val="20"/>
                <w:szCs w:val="20"/>
                <w:shd w:val="clear" w:color="auto" w:fill="FFFFFF"/>
                <w:lang w:val="en-US"/>
              </w:rPr>
              <w:t xml:space="preserve"> program </w:t>
            </w:r>
            <w:proofErr w:type="spellStart"/>
            <w:r w:rsidRPr="004A0338">
              <w:rPr>
                <w:rFonts w:eastAsia="Arial Unicode MS"/>
                <w:color w:val="000000" w:themeColor="text1"/>
                <w:sz w:val="20"/>
                <w:szCs w:val="20"/>
                <w:shd w:val="clear" w:color="auto" w:fill="FFFFFF"/>
                <w:lang w:val="en-US"/>
              </w:rPr>
              <w:t>național</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obiective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specifice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conforme</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obiectivele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fondului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cu </w:t>
            </w:r>
            <w:proofErr w:type="spellStart"/>
            <w:r w:rsidRPr="004A0338">
              <w:rPr>
                <w:rFonts w:eastAsia="Arial Unicode MS"/>
                <w:color w:val="000000" w:themeColor="text1"/>
                <w:sz w:val="20"/>
                <w:szCs w:val="20"/>
                <w:shd w:val="clear" w:color="auto" w:fill="FFFFFF"/>
                <w:lang w:val="en-US"/>
              </w:rPr>
              <w:t>condiția</w:t>
            </w:r>
            <w:proofErr w:type="spellEnd"/>
            <w:r w:rsidRPr="004A0338">
              <w:rPr>
                <w:rFonts w:eastAsia="Arial Unicode MS"/>
                <w:color w:val="000000" w:themeColor="text1"/>
                <w:sz w:val="20"/>
                <w:szCs w:val="20"/>
                <w:shd w:val="clear" w:color="auto" w:fill="FFFFFF"/>
                <w:lang w:val="en-US"/>
              </w:rPr>
              <w:t xml:space="preserve"> ca în </w:t>
            </w:r>
            <w:proofErr w:type="spellStart"/>
            <w:r w:rsidRPr="004A0338">
              <w:rPr>
                <w:rFonts w:eastAsia="Arial Unicode MS"/>
                <w:color w:val="000000" w:themeColor="text1"/>
                <w:sz w:val="20"/>
                <w:szCs w:val="20"/>
                <w:shd w:val="clear" w:color="auto" w:fill="FFFFFF"/>
                <w:lang w:val="en-US"/>
              </w:rPr>
              <w:t>cadrul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programului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să</w:t>
            </w:r>
            <w:proofErr w:type="spellEnd"/>
            <w:r w:rsidRPr="004A0338">
              <w:rPr>
                <w:rFonts w:eastAsia="Arial Unicode MS"/>
                <w:color w:val="000000" w:themeColor="text1"/>
                <w:sz w:val="20"/>
                <w:szCs w:val="20"/>
                <w:shd w:val="clear" w:color="auto" w:fill="FFFFFF"/>
                <w:lang w:val="en-US"/>
              </w:rPr>
              <w:t xml:space="preserve"> nu se </w:t>
            </w:r>
            <w:proofErr w:type="spellStart"/>
            <w:r w:rsidRPr="004A0338">
              <w:rPr>
                <w:rFonts w:eastAsia="Arial Unicode MS"/>
                <w:color w:val="000000" w:themeColor="text1"/>
                <w:sz w:val="20"/>
                <w:szCs w:val="20"/>
                <w:shd w:val="clear" w:color="auto" w:fill="FFFFFF"/>
                <w:lang w:val="en-US"/>
              </w:rPr>
              <w:t>utilizeze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mai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mult</w:t>
            </w:r>
            <w:proofErr w:type="spellEnd"/>
            <w:r w:rsidRPr="004A0338">
              <w:rPr>
                <w:rFonts w:eastAsia="Arial Unicode MS"/>
                <w:color w:val="000000" w:themeColor="text1"/>
                <w:sz w:val="20"/>
                <w:szCs w:val="20"/>
                <w:shd w:val="clear" w:color="auto" w:fill="FFFFFF"/>
                <w:lang w:val="en-US"/>
              </w:rPr>
              <w:t xml:space="preserve"> de 10</w:t>
            </w:r>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 din </w:t>
            </w:r>
            <w:proofErr w:type="spellStart"/>
            <w:r w:rsidRPr="004A0338">
              <w:rPr>
                <w:rFonts w:eastAsia="Arial Unicode MS"/>
                <w:color w:val="000000" w:themeColor="text1"/>
                <w:sz w:val="20"/>
                <w:szCs w:val="20"/>
                <w:shd w:val="clear" w:color="auto" w:fill="FFFFFF"/>
                <w:lang w:val="en-US"/>
              </w:rPr>
              <w:t>proporția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aferentă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statelor</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prevăzută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anexa</w:t>
            </w:r>
            <w:proofErr w:type="spellEnd"/>
            <w:r w:rsidRPr="004A0338">
              <w:rPr>
                <w:rFonts w:eastAsia="Arial Unicode MS"/>
                <w:color w:val="000000" w:themeColor="text1"/>
                <w:sz w:val="20"/>
                <w:szCs w:val="20"/>
                <w:shd w:val="clear" w:color="auto" w:fill="FFFFFF"/>
                <w:lang w:val="en-US"/>
              </w:rPr>
              <w:t xml:space="preserve"> IIb</w:t>
            </w:r>
            <w:r w:rsidRPr="004A0338">
              <w:rPr>
                <w:rFonts w:ascii="Arial Unicode MS" w:eastAsia="Arial Unicode MS" w:hAnsi="Arial Unicode MS" w:cs="Arial Unicode MS" w:hint="eastAsia"/>
                <w:color w:val="000000" w:themeColor="text1"/>
                <w:sz w:val="21"/>
                <w:szCs w:val="21"/>
                <w:shd w:val="clear" w:color="auto" w:fill="FFFFFF"/>
                <w:lang w:val="en-US"/>
              </w:rPr>
              <w:t>.</w:t>
            </w:r>
          </w:p>
          <w:p w14:paraId="63A461D0" w14:textId="02179DA6"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Toate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recomandările</w:t>
            </w:r>
            <w:proofErr w:type="spellEnd"/>
            <w:r w:rsidRPr="004A0338">
              <w:rPr>
                <w:rFonts w:eastAsia="Arial Unicode MS"/>
                <w:color w:val="000000" w:themeColor="text1"/>
                <w:sz w:val="20"/>
                <w:szCs w:val="20"/>
                <w:shd w:val="clear" w:color="auto" w:fill="FFFFFF"/>
                <w:lang w:val="en-US"/>
              </w:rPr>
              <w:t xml:space="preserve"> BEI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adoptate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temeiul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alineatelor</w:t>
            </w:r>
            <w:proofErr w:type="spellEnd"/>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(6) și</w:t>
            </w:r>
            <w:r w:rsid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(7) se fac cu </w:t>
            </w:r>
            <w:proofErr w:type="spellStart"/>
            <w:r w:rsidRPr="004A0338">
              <w:rPr>
                <w:rFonts w:eastAsia="Arial Unicode MS"/>
                <w:color w:val="000000" w:themeColor="text1"/>
                <w:sz w:val="20"/>
                <w:szCs w:val="20"/>
                <w:shd w:val="clear" w:color="auto" w:fill="FFFFFF"/>
                <w:lang w:val="en-US"/>
              </w:rPr>
              <w:t>promptitudine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precizează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motivele</w:t>
            </w:r>
            <w:proofErr w:type="spellEnd"/>
            <w:r w:rsidRPr="004A0338">
              <w:rPr>
                <w:rFonts w:eastAsia="Arial Unicode MS"/>
                <w:color w:val="000000" w:themeColor="text1"/>
                <w:sz w:val="20"/>
                <w:szCs w:val="20"/>
                <w:shd w:val="clear" w:color="auto" w:fill="FFFFFF"/>
                <w:lang w:val="en-US"/>
              </w:rPr>
              <w:t xml:space="preserve"> pe care se </w:t>
            </w:r>
            <w:proofErr w:type="spellStart"/>
            <w:r w:rsidRPr="004A0338">
              <w:rPr>
                <w:rFonts w:eastAsia="Arial Unicode MS"/>
                <w:color w:val="000000" w:themeColor="text1"/>
                <w:sz w:val="20"/>
                <w:szCs w:val="20"/>
                <w:shd w:val="clear" w:color="auto" w:fill="FFFFFF"/>
                <w:lang w:val="en-US"/>
              </w:rPr>
              <w:t>bazează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Astfel</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acte</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recomandări</w:t>
            </w:r>
            <w:proofErr w:type="spellEnd"/>
            <w:r w:rsidRPr="004A0338">
              <w:rPr>
                <w:rFonts w:eastAsia="Arial Unicode MS"/>
                <w:color w:val="000000" w:themeColor="text1"/>
                <w:sz w:val="20"/>
                <w:szCs w:val="20"/>
                <w:shd w:val="clear" w:color="auto" w:fill="FFFFFF"/>
                <w:lang w:val="en-US"/>
              </w:rPr>
              <w:t xml:space="preserve"> sunt </w:t>
            </w:r>
            <w:proofErr w:type="spellStart"/>
            <w:r w:rsidRPr="004A0338">
              <w:rPr>
                <w:rFonts w:eastAsia="Arial Unicode MS"/>
                <w:color w:val="000000" w:themeColor="text1"/>
                <w:sz w:val="20"/>
                <w:szCs w:val="20"/>
                <w:shd w:val="clear" w:color="auto" w:fill="FFFFFF"/>
                <w:lang w:val="en-US"/>
              </w:rPr>
              <w:t>făcute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publice</w:t>
            </w:r>
            <w:proofErr w:type="spellEnd"/>
            <w:r w:rsidRPr="004A0338">
              <w:rPr>
                <w:rFonts w:eastAsia="Arial Unicode MS"/>
                <w:color w:val="000000" w:themeColor="text1"/>
                <w:sz w:val="20"/>
                <w:szCs w:val="20"/>
                <w:shd w:val="clear" w:color="auto" w:fill="FFFFFF"/>
                <w:lang w:val="en-US"/>
              </w:rPr>
              <w:t>.</w:t>
            </w:r>
          </w:p>
          <w:p w14:paraId="344967A4" w14:textId="77777777"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beneficiare</w:t>
            </w:r>
            <w:proofErr w:type="spellEnd"/>
            <w:r w:rsidRPr="004A0338">
              <w:rPr>
                <w:rFonts w:eastAsia="Arial Unicode MS"/>
                <w:color w:val="000000" w:themeColor="text1"/>
                <w:sz w:val="20"/>
                <w:szCs w:val="20"/>
                <w:shd w:val="clear" w:color="auto" w:fill="FFFFFF"/>
                <w:lang w:val="en-US"/>
              </w:rPr>
              <w:t xml:space="preserve"> sunt </w:t>
            </w:r>
            <w:proofErr w:type="spellStart"/>
            <w:r w:rsidRPr="004A0338">
              <w:rPr>
                <w:rFonts w:eastAsia="Arial Unicode MS"/>
                <w:color w:val="000000" w:themeColor="text1"/>
                <w:sz w:val="20"/>
                <w:szCs w:val="20"/>
                <w:shd w:val="clear" w:color="auto" w:fill="FFFFFF"/>
                <w:lang w:val="en-US"/>
              </w:rPr>
              <w:t>responsabile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acțiunile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ulterioare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punerii</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aplicare</w:t>
            </w:r>
            <w:proofErr w:type="spellEnd"/>
            <w:r w:rsidRPr="004A0338">
              <w:rPr>
                <w:rFonts w:eastAsia="Arial Unicode MS"/>
                <w:color w:val="000000" w:themeColor="text1"/>
                <w:sz w:val="20"/>
                <w:szCs w:val="20"/>
                <w:shd w:val="clear" w:color="auto" w:fill="FFFFFF"/>
                <w:lang w:val="en-US"/>
              </w:rPr>
              <w:t xml:space="preserve"> legate de </w:t>
            </w:r>
            <w:proofErr w:type="spellStart"/>
            <w:r w:rsidRPr="004A0338">
              <w:rPr>
                <w:rFonts w:eastAsia="Arial Unicode MS"/>
                <w:color w:val="000000" w:themeColor="text1"/>
                <w:sz w:val="20"/>
                <w:szCs w:val="20"/>
                <w:shd w:val="clear" w:color="auto" w:fill="FFFFFF"/>
                <w:lang w:val="en-US"/>
              </w:rPr>
              <w:t>proiectele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selectate</w:t>
            </w:r>
            <w:proofErr w:type="spellEnd"/>
            <w:r w:rsidRPr="004A0338">
              <w:rPr>
                <w:rFonts w:eastAsia="Arial Unicode MS"/>
                <w:color w:val="000000" w:themeColor="text1"/>
                <w:sz w:val="20"/>
                <w:szCs w:val="20"/>
                <w:shd w:val="clear" w:color="auto" w:fill="FFFFFF"/>
                <w:lang w:val="en-US"/>
              </w:rPr>
              <w:t>.</w:t>
            </w:r>
          </w:p>
          <w:p w14:paraId="7F19DAD0" w14:textId="77777777" w:rsidR="00124364" w:rsidRPr="004A0338" w:rsidRDefault="00000000" w:rsidP="004A0338">
            <w:pPr>
              <w:pStyle w:val="ti-art"/>
              <w:numPr>
                <w:ilvl w:val="0"/>
                <w:numId w:val="6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Statele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membre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prezintă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anual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Comisiei</w:t>
            </w:r>
            <w:proofErr w:type="spellEnd"/>
            <w:r w:rsidRPr="004A0338">
              <w:rPr>
                <w:rFonts w:eastAsia="Arial Unicode MS"/>
                <w:color w:val="000000" w:themeColor="text1"/>
                <w:sz w:val="20"/>
                <w:szCs w:val="20"/>
                <w:shd w:val="clear" w:color="auto" w:fill="FFFFFF"/>
                <w:lang w:val="en-US"/>
              </w:rPr>
              <w:t xml:space="preserve"> un </w:t>
            </w:r>
            <w:proofErr w:type="spellStart"/>
            <w:r w:rsidRPr="004A0338">
              <w:rPr>
                <w:rFonts w:eastAsia="Arial Unicode MS"/>
                <w:color w:val="000000" w:themeColor="text1"/>
                <w:sz w:val="20"/>
                <w:szCs w:val="20"/>
                <w:shd w:val="clear" w:color="auto" w:fill="FFFFFF"/>
                <w:lang w:val="en-US"/>
              </w:rPr>
              <w:t>raport</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finanțate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fondul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rPr>
              <w:t>Raportul</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se</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publică</w:t>
            </w:r>
            <w:proofErr w:type="spellEnd"/>
            <w:r w:rsidRPr="004A0338">
              <w:rPr>
                <w:rFonts w:eastAsia="Arial Unicode MS"/>
                <w:color w:val="000000" w:themeColor="text1"/>
                <w:sz w:val="20"/>
                <w:szCs w:val="20"/>
                <w:shd w:val="clear" w:color="auto" w:fill="FFFFFF"/>
              </w:rPr>
              <w:t xml:space="preserve"> și </w:t>
            </w:r>
            <w:proofErr w:type="spellStart"/>
            <w:r w:rsidRPr="004A0338">
              <w:rPr>
                <w:rFonts w:eastAsia="Arial Unicode MS"/>
                <w:color w:val="000000" w:themeColor="text1"/>
                <w:sz w:val="20"/>
                <w:szCs w:val="20"/>
                <w:shd w:val="clear" w:color="auto" w:fill="FFFFFF"/>
              </w:rPr>
              <w:t>include</w:t>
            </w:r>
            <w:proofErr w:type="spellEnd"/>
            <w:r w:rsidRPr="004A0338">
              <w:rPr>
                <w:rFonts w:eastAsia="Arial Unicode MS"/>
                <w:color w:val="000000" w:themeColor="text1"/>
                <w:sz w:val="20"/>
                <w:szCs w:val="20"/>
                <w:shd w:val="clear" w:color="auto" w:fill="FFFFFF"/>
              </w:rPr>
              <w:t>:</w:t>
            </w:r>
          </w:p>
          <w:p w14:paraId="1DEC4E68" w14:textId="77777777" w:rsidR="00124364" w:rsidRPr="004A0338" w:rsidRDefault="00000000" w:rsidP="004A0338">
            <w:pPr>
              <w:pStyle w:val="ti-art"/>
              <w:numPr>
                <w:ilvl w:val="0"/>
                <w:numId w:val="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informații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finanțate</w:t>
            </w:r>
            <w:proofErr w:type="spellEnd"/>
            <w:r w:rsidRPr="004A0338">
              <w:rPr>
                <w:rFonts w:eastAsia="Arial Unicode MS"/>
                <w:color w:val="000000" w:themeColor="text1"/>
                <w:sz w:val="20"/>
                <w:szCs w:val="20"/>
                <w:shd w:val="clear" w:color="auto" w:fill="FFFFFF"/>
                <w:lang w:val="en-US"/>
              </w:rPr>
              <w:t xml:space="preserve"> per stat </w:t>
            </w:r>
            <w:proofErr w:type="spellStart"/>
            <w:r w:rsidRPr="004A0338">
              <w:rPr>
                <w:rFonts w:eastAsia="Arial Unicode MS"/>
                <w:color w:val="000000" w:themeColor="text1"/>
                <w:sz w:val="20"/>
                <w:szCs w:val="20"/>
                <w:shd w:val="clear" w:color="auto" w:fill="FFFFFF"/>
                <w:lang w:val="en-US"/>
              </w:rPr>
              <w:t>membru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beneficiar</w:t>
            </w:r>
            <w:proofErr w:type="spellEnd"/>
            <w:r w:rsidRPr="004A0338">
              <w:rPr>
                <w:rFonts w:eastAsia="Arial Unicode MS"/>
                <w:color w:val="000000" w:themeColor="text1"/>
                <w:sz w:val="20"/>
                <w:szCs w:val="20"/>
                <w:shd w:val="clear" w:color="auto" w:fill="FFFFFF"/>
                <w:lang w:val="en-US"/>
              </w:rPr>
              <w:t>;</w:t>
            </w:r>
          </w:p>
          <w:p w14:paraId="0D88B464" w14:textId="77777777" w:rsidR="00124364" w:rsidRPr="004A0338" w:rsidRDefault="00000000" w:rsidP="004A0338">
            <w:pPr>
              <w:pStyle w:val="ti-art"/>
              <w:numPr>
                <w:ilvl w:val="0"/>
                <w:numId w:val="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A0338">
              <w:rPr>
                <w:rFonts w:eastAsia="Arial Unicode MS"/>
                <w:color w:val="000000" w:themeColor="text1"/>
                <w:sz w:val="20"/>
                <w:szCs w:val="20"/>
                <w:shd w:val="clear" w:color="auto" w:fill="FFFFFF"/>
                <w:lang w:val="en-US"/>
              </w:rPr>
              <w:lastRenderedPageBreak/>
              <w:t xml:space="preserve">o </w:t>
            </w:r>
            <w:proofErr w:type="spellStart"/>
            <w:r w:rsidRPr="004A0338">
              <w:rPr>
                <w:rFonts w:eastAsia="Arial Unicode MS"/>
                <w:color w:val="000000" w:themeColor="text1"/>
                <w:sz w:val="20"/>
                <w:szCs w:val="20"/>
                <w:shd w:val="clear" w:color="auto" w:fill="FFFFFF"/>
                <w:lang w:val="en-US"/>
              </w:rPr>
              <w:t>evaluare</w:t>
            </w:r>
            <w:proofErr w:type="spellEnd"/>
            <w:r w:rsidRPr="004A0338">
              <w:rPr>
                <w:rFonts w:eastAsia="Arial Unicode MS"/>
                <w:color w:val="000000" w:themeColor="text1"/>
                <w:sz w:val="20"/>
                <w:szCs w:val="20"/>
                <w:shd w:val="clear" w:color="auto" w:fill="FFFFFF"/>
                <w:lang w:val="en-US"/>
              </w:rPr>
              <w:t xml:space="preserve"> a </w:t>
            </w:r>
            <w:proofErr w:type="spellStart"/>
            <w:r w:rsidRPr="004A0338">
              <w:rPr>
                <w:rFonts w:eastAsia="Arial Unicode MS"/>
                <w:color w:val="000000" w:themeColor="text1"/>
                <w:sz w:val="20"/>
                <w:szCs w:val="20"/>
                <w:shd w:val="clear" w:color="auto" w:fill="FFFFFF"/>
                <w:lang w:val="en-US"/>
              </w:rPr>
              <w:t>valorii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adăugate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ceea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privește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eficiența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energetică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sau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sistemului</w:t>
            </w:r>
            <w:proofErr w:type="spellEnd"/>
            <w:r w:rsidRPr="004A0338">
              <w:rPr>
                <w:rFonts w:eastAsia="Arial Unicode MS"/>
                <w:color w:val="000000" w:themeColor="text1"/>
                <w:sz w:val="20"/>
                <w:szCs w:val="20"/>
                <w:shd w:val="clear" w:color="auto" w:fill="FFFFFF"/>
                <w:lang w:val="en-US"/>
              </w:rPr>
              <w:t xml:space="preserve"> energetic, </w:t>
            </w:r>
            <w:proofErr w:type="spellStart"/>
            <w:r w:rsidRPr="004A0338">
              <w:rPr>
                <w:rFonts w:eastAsia="Arial Unicode MS"/>
                <w:color w:val="000000" w:themeColor="text1"/>
                <w:sz w:val="20"/>
                <w:szCs w:val="20"/>
                <w:shd w:val="clear" w:color="auto" w:fill="FFFFFF"/>
                <w:lang w:val="en-US"/>
              </w:rPr>
              <w:t>realizată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prin</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investiție</w:t>
            </w:r>
            <w:proofErr w:type="spellEnd"/>
            <w:r w:rsidRPr="004A0338">
              <w:rPr>
                <w:rFonts w:ascii="Arial Unicode MS" w:eastAsia="Arial Unicode MS" w:hAnsi="Arial Unicode MS" w:cs="Arial Unicode MS" w:hint="eastAsia"/>
                <w:color w:val="000000" w:themeColor="text1"/>
                <w:sz w:val="21"/>
                <w:szCs w:val="21"/>
                <w:shd w:val="clear" w:color="auto" w:fill="FFFFFF"/>
                <w:lang w:val="en-US"/>
              </w:rPr>
              <w:t>.</w:t>
            </w:r>
          </w:p>
          <w:p w14:paraId="507D142E" w14:textId="77777777" w:rsidR="00124364" w:rsidRDefault="00000000">
            <w:pPr>
              <w:pStyle w:val="ti-art"/>
              <w:shd w:val="clear" w:color="auto" w:fill="FFFFFF"/>
              <w:spacing w:before="0" w:beforeAutospacing="0" w:after="0" w:afterAutospacing="0"/>
              <w:rPr>
                <w:color w:val="4472C4" w:themeColor="accent1"/>
                <w:sz w:val="20"/>
                <w:szCs w:val="20"/>
              </w:rPr>
            </w:pPr>
            <w:hyperlink r:id="rId173" w:tooltip="32023L0959: REPLACED" w:history="1">
              <w:r>
                <w:rPr>
                  <w:rStyle w:val="af3"/>
                  <w:rFonts w:eastAsia="Arial Unicode MS"/>
                  <w:b/>
                  <w:bCs/>
                  <w:color w:val="4472C4" w:themeColor="accent1"/>
                  <w:sz w:val="20"/>
                  <w:szCs w:val="20"/>
                </w:rPr>
                <w:t>▼M15</w:t>
              </w:r>
            </w:hyperlink>
          </w:p>
          <w:p w14:paraId="697BF6DC" w14:textId="73C9BD47" w:rsidR="00124364" w:rsidRPr="004A0338" w:rsidRDefault="00000000" w:rsidP="004A0338">
            <w:pPr>
              <w:pStyle w:val="ti-art"/>
              <w:numPr>
                <w:ilvl w:val="0"/>
                <w:numId w:val="7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raportează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anual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Comisiei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experiența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dobândită</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ceea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privește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evaluarea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investițiilor</w:t>
            </w:r>
            <w:proofErr w:type="spellEnd"/>
            <w:r w:rsidRPr="004A0338">
              <w:rPr>
                <w:rFonts w:eastAsia="Arial Unicode MS"/>
                <w:color w:val="000000" w:themeColor="text1"/>
                <w:sz w:val="20"/>
                <w:szCs w:val="20"/>
                <w:shd w:val="clear" w:color="auto" w:fill="FFFFFF"/>
                <w:lang w:val="en-US"/>
              </w:rPr>
              <w:t xml:space="preserve">, în special în </w:t>
            </w:r>
            <w:proofErr w:type="spellStart"/>
            <w:r w:rsidRPr="004A0338">
              <w:rPr>
                <w:rFonts w:eastAsia="Arial Unicode MS"/>
                <w:color w:val="000000" w:themeColor="text1"/>
                <w:sz w:val="20"/>
                <w:szCs w:val="20"/>
                <w:shd w:val="clear" w:color="auto" w:fill="FFFFFF"/>
                <w:lang w:val="en-US"/>
              </w:rPr>
              <w:t>ceea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privește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reducerile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emisiilor</w:t>
            </w:r>
            <w:proofErr w:type="spellEnd"/>
            <w:r w:rsidRPr="004A0338">
              <w:rPr>
                <w:rFonts w:eastAsia="Arial Unicode MS"/>
                <w:color w:val="000000" w:themeColor="text1"/>
                <w:sz w:val="20"/>
                <w:szCs w:val="20"/>
                <w:shd w:val="clear" w:color="auto" w:fill="FFFFFF"/>
                <w:lang w:val="en-US"/>
              </w:rPr>
              <w:t xml:space="preserve"> și </w:t>
            </w:r>
            <w:proofErr w:type="spellStart"/>
            <w:r w:rsidRPr="004A0338">
              <w:rPr>
                <w:rFonts w:eastAsia="Arial Unicode MS"/>
                <w:color w:val="000000" w:themeColor="text1"/>
                <w:sz w:val="20"/>
                <w:szCs w:val="20"/>
                <w:shd w:val="clear" w:color="auto" w:fill="FFFFFF"/>
                <w:lang w:val="en-US"/>
              </w:rPr>
              <w:t>costurile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reducere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Până</w:t>
            </w:r>
            <w:proofErr w:type="spellEnd"/>
            <w:r w:rsidRPr="004A0338">
              <w:rPr>
                <w:rFonts w:eastAsia="Arial Unicode MS"/>
                <w:color w:val="000000" w:themeColor="text1"/>
                <w:sz w:val="20"/>
                <w:szCs w:val="20"/>
                <w:shd w:val="clear" w:color="auto" w:fill="FFFFFF"/>
                <w:lang w:val="en-US"/>
              </w:rPr>
              <w:t xml:space="preserve"> la 31</w:t>
            </w:r>
            <w:r w:rsidR="004A0338"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decembrie</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2024, </w:t>
            </w:r>
            <w:proofErr w:type="spellStart"/>
            <w:r w:rsidRPr="004A0338">
              <w:rPr>
                <w:rFonts w:eastAsia="Arial Unicode MS"/>
                <w:color w:val="000000" w:themeColor="text1"/>
                <w:sz w:val="20"/>
                <w:szCs w:val="20"/>
                <w:shd w:val="clear" w:color="auto" w:fill="FFFFFF"/>
                <w:lang w:val="en-US"/>
              </w:rPr>
              <w:t>ținând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cont</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constatările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Comisia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revizuiește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domeniile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proiectele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menționate</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alineatul</w:t>
            </w:r>
            <w:proofErr w:type="spellEnd"/>
            <w:r w:rsidR="004A0338" w:rsidRPr="004A0338">
              <w:rPr>
                <w:rFonts w:eastAsia="Arial Unicode MS"/>
                <w:color w:val="000000" w:themeColor="text1"/>
                <w:sz w:val="20"/>
                <w:szCs w:val="20"/>
                <w:shd w:val="clear" w:color="auto" w:fill="FFFFFF"/>
                <w:lang w:val="en-US"/>
              </w:rPr>
              <w:t xml:space="preserve"> </w:t>
            </w:r>
            <w:r w:rsidRPr="004A0338">
              <w:rPr>
                <w:rFonts w:eastAsia="Arial Unicode MS"/>
                <w:color w:val="000000" w:themeColor="text1"/>
                <w:sz w:val="20"/>
                <w:szCs w:val="20"/>
                <w:shd w:val="clear" w:color="auto" w:fill="FFFFFF"/>
                <w:lang w:val="en-US"/>
              </w:rPr>
              <w:t xml:space="preserve">(2) și </w:t>
            </w:r>
            <w:proofErr w:type="spellStart"/>
            <w:r w:rsidRPr="004A0338">
              <w:rPr>
                <w:rFonts w:eastAsia="Arial Unicode MS"/>
                <w:color w:val="000000" w:themeColor="text1"/>
                <w:sz w:val="20"/>
                <w:szCs w:val="20"/>
                <w:shd w:val="clear" w:color="auto" w:fill="FFFFFF"/>
                <w:lang w:val="en-US"/>
              </w:rPr>
              <w:t>criteriile</w:t>
            </w:r>
            <w:proofErr w:type="spellEnd"/>
            <w:r w:rsidRPr="004A0338">
              <w:rPr>
                <w:rFonts w:eastAsia="Arial Unicode MS"/>
                <w:color w:val="000000" w:themeColor="text1"/>
                <w:sz w:val="20"/>
                <w:szCs w:val="20"/>
                <w:shd w:val="clear" w:color="auto" w:fill="FFFFFF"/>
                <w:lang w:val="en-US"/>
              </w:rPr>
              <w:t xml:space="preserve"> pe </w:t>
            </w:r>
            <w:proofErr w:type="spellStart"/>
            <w:r w:rsidRPr="004A0338">
              <w:rPr>
                <w:rFonts w:eastAsia="Arial Unicode MS"/>
                <w:color w:val="000000" w:themeColor="text1"/>
                <w:sz w:val="20"/>
                <w:szCs w:val="20"/>
                <w:shd w:val="clear" w:color="auto" w:fill="FFFFFF"/>
                <w:lang w:val="en-US"/>
              </w:rPr>
              <w:t>baza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cărora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își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întemeiază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recomandările</w:t>
            </w:r>
            <w:proofErr w:type="spellEnd"/>
            <w:r w:rsidRPr="004A0338">
              <w:rPr>
                <w:rFonts w:eastAsia="Arial Unicode MS"/>
                <w:color w:val="000000" w:themeColor="text1"/>
                <w:sz w:val="20"/>
                <w:szCs w:val="20"/>
                <w:shd w:val="clear" w:color="auto" w:fill="FFFFFF"/>
                <w:lang w:val="en-US"/>
              </w:rPr>
              <w:t>.</w:t>
            </w:r>
          </w:p>
          <w:p w14:paraId="53BA4112" w14:textId="77777777" w:rsidR="00124364" w:rsidRPr="004A0338" w:rsidRDefault="00000000" w:rsidP="004A0338">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rPr>
            </w:pPr>
            <w:proofErr w:type="spellStart"/>
            <w:r w:rsidRPr="004A0338">
              <w:rPr>
                <w:rFonts w:eastAsia="Arial Unicode MS"/>
                <w:color w:val="000000" w:themeColor="text1"/>
                <w:sz w:val="20"/>
                <w:szCs w:val="20"/>
                <w:shd w:val="clear" w:color="auto" w:fill="FFFFFF"/>
                <w:lang w:val="en-US"/>
              </w:rPr>
              <w:t>Comitetul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investiții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asigură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publicarea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raportului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anual</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rPr>
              <w:t>Comisia</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transmite</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raportul</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anual</w:t>
            </w:r>
            <w:proofErr w:type="spellEnd"/>
            <w:r w:rsidRPr="004A0338">
              <w:rPr>
                <w:rFonts w:eastAsia="Arial Unicode MS"/>
                <w:color w:val="000000" w:themeColor="text1"/>
                <w:sz w:val="20"/>
                <w:szCs w:val="20"/>
                <w:shd w:val="clear" w:color="auto" w:fill="FFFFFF"/>
              </w:rPr>
              <w:t xml:space="preserve"> </w:t>
            </w:r>
            <w:proofErr w:type="spellStart"/>
            <w:r w:rsidRPr="004A0338">
              <w:rPr>
                <w:rFonts w:eastAsia="Arial Unicode MS"/>
                <w:color w:val="000000" w:themeColor="text1"/>
                <w:sz w:val="20"/>
                <w:szCs w:val="20"/>
                <w:shd w:val="clear" w:color="auto" w:fill="FFFFFF"/>
              </w:rPr>
              <w:t>Parlamentului</w:t>
            </w:r>
            <w:proofErr w:type="spellEnd"/>
            <w:r w:rsidRPr="004A0338">
              <w:rPr>
                <w:rFonts w:eastAsia="Arial Unicode MS"/>
                <w:color w:val="000000" w:themeColor="text1"/>
                <w:sz w:val="20"/>
                <w:szCs w:val="20"/>
                <w:shd w:val="clear" w:color="auto" w:fill="FFFFFF"/>
              </w:rPr>
              <w:t xml:space="preserve"> European și </w:t>
            </w:r>
            <w:proofErr w:type="spellStart"/>
            <w:r w:rsidRPr="004A0338">
              <w:rPr>
                <w:rFonts w:eastAsia="Arial Unicode MS"/>
                <w:color w:val="000000" w:themeColor="text1"/>
                <w:sz w:val="20"/>
                <w:szCs w:val="20"/>
                <w:shd w:val="clear" w:color="auto" w:fill="FFFFFF"/>
              </w:rPr>
              <w:t>Consiliului</w:t>
            </w:r>
            <w:proofErr w:type="spellEnd"/>
            <w:r w:rsidRPr="004A0338">
              <w:rPr>
                <w:rFonts w:eastAsia="Arial Unicode MS"/>
                <w:color w:val="000000" w:themeColor="text1"/>
                <w:sz w:val="20"/>
                <w:szCs w:val="20"/>
                <w:shd w:val="clear" w:color="auto" w:fill="FFFFFF"/>
              </w:rPr>
              <w:t>.</w:t>
            </w:r>
          </w:p>
          <w:p w14:paraId="2B5F1FA4"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74" w:tooltip="32018L0410: INSERTED" w:history="1">
              <w:r>
                <w:rPr>
                  <w:rStyle w:val="af3"/>
                  <w:rFonts w:eastAsia="Arial Unicode MS"/>
                  <w:b/>
                  <w:bCs/>
                  <w:color w:val="4472C4" w:themeColor="accent1"/>
                  <w:sz w:val="20"/>
                  <w:szCs w:val="20"/>
                </w:rPr>
                <w:t>▼M9</w:t>
              </w:r>
            </w:hyperlink>
          </w:p>
          <w:p w14:paraId="7B4D90B8" w14:textId="77777777" w:rsidR="00124364" w:rsidRPr="004A0338" w:rsidRDefault="00000000" w:rsidP="004A0338">
            <w:pPr>
              <w:pStyle w:val="ti-art"/>
              <w:numPr>
                <w:ilvl w:val="0"/>
                <w:numId w:val="7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A0338">
              <w:rPr>
                <w:rFonts w:eastAsia="Arial Unicode MS"/>
                <w:color w:val="000000" w:themeColor="text1"/>
                <w:sz w:val="20"/>
                <w:szCs w:val="20"/>
                <w:shd w:val="clear" w:color="auto" w:fill="FFFFFF"/>
                <w:lang w:val="en-US"/>
              </w:rPr>
              <w:t>Comisia</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adoptă</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acte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punere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aplicare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privind</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normele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detaliate</w:t>
            </w:r>
            <w:proofErr w:type="spellEnd"/>
            <w:r w:rsidRPr="004A0338">
              <w:rPr>
                <w:rFonts w:eastAsia="Arial Unicode MS"/>
                <w:color w:val="000000" w:themeColor="text1"/>
                <w:sz w:val="20"/>
                <w:szCs w:val="20"/>
                <w:shd w:val="clear" w:color="auto" w:fill="FFFFFF"/>
                <w:lang w:val="en-US"/>
              </w:rPr>
              <w:t xml:space="preserve"> ale </w:t>
            </w:r>
            <w:proofErr w:type="spellStart"/>
            <w:r w:rsidRPr="004A0338">
              <w:rPr>
                <w:rFonts w:eastAsia="Arial Unicode MS"/>
                <w:color w:val="000000" w:themeColor="text1"/>
                <w:sz w:val="20"/>
                <w:szCs w:val="20"/>
                <w:shd w:val="clear" w:color="auto" w:fill="FFFFFF"/>
                <w:lang w:val="en-US"/>
              </w:rPr>
              <w:t>funcționării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fondului</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pentru</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modernizare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Actele</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punere</w:t>
            </w:r>
            <w:proofErr w:type="spellEnd"/>
            <w:r w:rsidRPr="004A0338">
              <w:rPr>
                <w:rFonts w:eastAsia="Arial Unicode MS"/>
                <w:color w:val="000000" w:themeColor="text1"/>
                <w:sz w:val="20"/>
                <w:szCs w:val="20"/>
                <w:shd w:val="clear" w:color="auto" w:fill="FFFFFF"/>
                <w:lang w:val="en-US"/>
              </w:rPr>
              <w:t xml:space="preserve"> în </w:t>
            </w:r>
            <w:proofErr w:type="spellStart"/>
            <w:r w:rsidRPr="004A0338">
              <w:rPr>
                <w:rFonts w:eastAsia="Arial Unicode MS"/>
                <w:color w:val="000000" w:themeColor="text1"/>
                <w:sz w:val="20"/>
                <w:szCs w:val="20"/>
                <w:shd w:val="clear" w:color="auto" w:fill="FFFFFF"/>
                <w:lang w:val="en-US"/>
              </w:rPr>
              <w:t>aplicare</w:t>
            </w:r>
            <w:proofErr w:type="spellEnd"/>
            <w:r w:rsidRPr="004A0338">
              <w:rPr>
                <w:rFonts w:eastAsia="Arial Unicode MS"/>
                <w:color w:val="000000" w:themeColor="text1"/>
                <w:sz w:val="20"/>
                <w:szCs w:val="20"/>
                <w:shd w:val="clear" w:color="auto" w:fill="FFFFFF"/>
                <w:lang w:val="en-US"/>
              </w:rPr>
              <w:t xml:space="preserve"> respective se </w:t>
            </w:r>
            <w:proofErr w:type="spellStart"/>
            <w:r w:rsidRPr="004A0338">
              <w:rPr>
                <w:rFonts w:eastAsia="Arial Unicode MS"/>
                <w:color w:val="000000" w:themeColor="text1"/>
                <w:sz w:val="20"/>
                <w:szCs w:val="20"/>
                <w:shd w:val="clear" w:color="auto" w:fill="FFFFFF"/>
                <w:lang w:val="en-US"/>
              </w:rPr>
              <w:t>adoptă</w:t>
            </w:r>
            <w:proofErr w:type="spellEnd"/>
            <w:r w:rsidRPr="004A0338">
              <w:rPr>
                <w:rFonts w:eastAsia="Arial Unicode MS"/>
                <w:color w:val="000000" w:themeColor="text1"/>
                <w:sz w:val="20"/>
                <w:szCs w:val="20"/>
                <w:shd w:val="clear" w:color="auto" w:fill="FFFFFF"/>
                <w:lang w:val="en-US"/>
              </w:rPr>
              <w:t xml:space="preserve"> în conformitate cu </w:t>
            </w:r>
            <w:proofErr w:type="spellStart"/>
            <w:r w:rsidRPr="004A0338">
              <w:rPr>
                <w:rFonts w:eastAsia="Arial Unicode MS"/>
                <w:color w:val="000000" w:themeColor="text1"/>
                <w:sz w:val="20"/>
                <w:szCs w:val="20"/>
                <w:shd w:val="clear" w:color="auto" w:fill="FFFFFF"/>
                <w:lang w:val="en-US"/>
              </w:rPr>
              <w:t>procedura</w:t>
            </w:r>
            <w:proofErr w:type="spellEnd"/>
            <w:r w:rsidRPr="004A0338">
              <w:rPr>
                <w:rFonts w:eastAsia="Arial Unicode MS"/>
                <w:color w:val="000000" w:themeColor="text1"/>
                <w:sz w:val="20"/>
                <w:szCs w:val="20"/>
                <w:shd w:val="clear" w:color="auto" w:fill="FFFFFF"/>
                <w:lang w:val="en-US"/>
              </w:rPr>
              <w:t xml:space="preserve"> de </w:t>
            </w:r>
            <w:proofErr w:type="spellStart"/>
            <w:r w:rsidRPr="004A0338">
              <w:rPr>
                <w:rFonts w:eastAsia="Arial Unicode MS"/>
                <w:color w:val="000000" w:themeColor="text1"/>
                <w:sz w:val="20"/>
                <w:szCs w:val="20"/>
                <w:shd w:val="clear" w:color="auto" w:fill="FFFFFF"/>
                <w:lang w:val="en-US"/>
              </w:rPr>
              <w:t>examinare</w:t>
            </w:r>
            <w:proofErr w:type="spellEnd"/>
            <w:r w:rsidRPr="004A0338">
              <w:rPr>
                <w:rFonts w:eastAsia="Arial Unicode MS"/>
                <w:color w:val="000000" w:themeColor="text1"/>
                <w:sz w:val="20"/>
                <w:szCs w:val="20"/>
                <w:shd w:val="clear" w:color="auto" w:fill="FFFFFF"/>
                <w:lang w:val="en-US"/>
              </w:rPr>
              <w:t xml:space="preserve"> </w:t>
            </w:r>
            <w:proofErr w:type="spellStart"/>
            <w:r w:rsidRPr="004A0338">
              <w:rPr>
                <w:rFonts w:eastAsia="Arial Unicode MS"/>
                <w:color w:val="000000" w:themeColor="text1"/>
                <w:sz w:val="20"/>
                <w:szCs w:val="20"/>
                <w:shd w:val="clear" w:color="auto" w:fill="FFFFFF"/>
                <w:lang w:val="en-US"/>
              </w:rPr>
              <w:t>menționată</w:t>
            </w:r>
            <w:proofErr w:type="spellEnd"/>
            <w:r w:rsidRPr="004A0338">
              <w:rPr>
                <w:rFonts w:eastAsia="Arial Unicode MS"/>
                <w:color w:val="000000" w:themeColor="text1"/>
                <w:sz w:val="20"/>
                <w:szCs w:val="20"/>
                <w:shd w:val="clear" w:color="auto" w:fill="FFFFFF"/>
                <w:lang w:val="en-US"/>
              </w:rPr>
              <w:t xml:space="preserve"> la </w:t>
            </w:r>
            <w:proofErr w:type="spellStart"/>
            <w:r w:rsidRPr="004A0338">
              <w:rPr>
                <w:rFonts w:eastAsia="Arial Unicode MS"/>
                <w:color w:val="000000" w:themeColor="text1"/>
                <w:sz w:val="20"/>
                <w:szCs w:val="20"/>
                <w:shd w:val="clear" w:color="auto" w:fill="FFFFFF"/>
                <w:lang w:val="en-US"/>
              </w:rPr>
              <w:t>articolul</w:t>
            </w:r>
            <w:proofErr w:type="spellEnd"/>
            <w:r w:rsidRPr="004A0338">
              <w:rPr>
                <w:rFonts w:eastAsia="Arial Unicode MS"/>
                <w:color w:val="000000" w:themeColor="text1"/>
                <w:sz w:val="20"/>
                <w:szCs w:val="20"/>
                <w:shd w:val="clear" w:color="auto" w:fill="FFFFFF"/>
                <w:lang w:val="en-US"/>
              </w:rPr>
              <w:t xml:space="preserve"> 22a </w:t>
            </w:r>
            <w:proofErr w:type="spellStart"/>
            <w:r w:rsidRPr="004A0338">
              <w:rPr>
                <w:rFonts w:eastAsia="Arial Unicode MS"/>
                <w:color w:val="000000" w:themeColor="text1"/>
                <w:sz w:val="20"/>
                <w:szCs w:val="20"/>
                <w:shd w:val="clear" w:color="auto" w:fill="FFFFFF"/>
                <w:lang w:val="en-US"/>
              </w:rPr>
              <w:t>alineatul</w:t>
            </w:r>
            <w:proofErr w:type="spellEnd"/>
            <w:r w:rsidRPr="004A0338">
              <w:rPr>
                <w:rFonts w:eastAsia="Arial Unicode MS"/>
                <w:color w:val="000000" w:themeColor="text1"/>
                <w:sz w:val="20"/>
                <w:szCs w:val="20"/>
                <w:shd w:val="clear" w:color="auto" w:fill="FFFFFF"/>
                <w:lang w:val="en-US"/>
              </w:rPr>
              <w:t xml:space="preserve"> (2).</w:t>
            </w:r>
          </w:p>
          <w:p w14:paraId="69B5E13F"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175" w:tooltip="32023R0435: INSERTED" w:history="1">
              <w:r>
                <w:rPr>
                  <w:rStyle w:val="af3"/>
                  <w:rFonts w:eastAsia="Arial Unicode MS"/>
                  <w:b/>
                  <w:bCs/>
                  <w:color w:val="4472C4" w:themeColor="accent1"/>
                  <w:sz w:val="20"/>
                  <w:szCs w:val="20"/>
                </w:rPr>
                <w:t>▼M13</w:t>
              </w:r>
            </w:hyperlink>
          </w:p>
        </w:tc>
        <w:tc>
          <w:tcPr>
            <w:tcW w:w="4394" w:type="dxa"/>
            <w:shd w:val="clear" w:color="auto" w:fill="auto"/>
          </w:tcPr>
          <w:p w14:paraId="54405372" w14:textId="5279BB93" w:rsidR="00560C39" w:rsidRPr="00560C39" w:rsidRDefault="00560C39" w:rsidP="00560C39">
            <w:pPr>
              <w:suppressAutoHyphens w:val="0"/>
              <w:autoSpaceDN/>
              <w:spacing w:after="0" w:line="240" w:lineRule="auto"/>
              <w:jc w:val="both"/>
              <w:textAlignment w:val="auto"/>
              <w:rPr>
                <w:rFonts w:ascii="Times New Roman" w:hAnsi="Times New Roman"/>
                <w:bCs/>
                <w:color w:val="000000" w:themeColor="text1"/>
                <w:sz w:val="20"/>
                <w:szCs w:val="20"/>
                <w:lang w:val="ro-MD"/>
              </w:rPr>
            </w:pPr>
            <w:r w:rsidRPr="00560C39">
              <w:rPr>
                <w:rFonts w:ascii="Times New Roman" w:hAnsi="Times New Roman"/>
                <w:b/>
                <w:color w:val="000000" w:themeColor="text1"/>
                <w:sz w:val="20"/>
                <w:szCs w:val="20"/>
                <w:lang w:val="ro-MD"/>
              </w:rPr>
              <w:lastRenderedPageBreak/>
              <w:t>Articolul 61</w:t>
            </w:r>
            <w:r>
              <w:rPr>
                <w:rFonts w:ascii="Times New Roman" w:hAnsi="Times New Roman"/>
                <w:bCs/>
                <w:color w:val="000000" w:themeColor="text1"/>
                <w:sz w:val="20"/>
                <w:szCs w:val="20"/>
                <w:lang w:val="ro-MD"/>
              </w:rPr>
              <w:t>. Utilizarea veniturilor din prețul pentru emisiile de carbon</w:t>
            </w:r>
          </w:p>
          <w:p w14:paraId="215D69BA" w14:textId="7FD61DC0" w:rsidR="00560C39" w:rsidRPr="00560C39" w:rsidRDefault="00560C39" w:rsidP="00560C39">
            <w:pPr>
              <w:pStyle w:val="af8"/>
              <w:numPr>
                <w:ilvl w:val="0"/>
                <w:numId w:val="247"/>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 xml:space="preserve">Resursele financiare colectate în urma aplicării </w:t>
            </w:r>
            <w:r w:rsidRPr="00560C39">
              <w:rPr>
                <w:rFonts w:ascii="Times New Roman" w:hAnsi="Times New Roman"/>
                <w:color w:val="000000" w:themeColor="text1"/>
                <w:sz w:val="20"/>
                <w:szCs w:val="20"/>
                <w:shd w:val="clear" w:color="auto" w:fill="FFFFFF"/>
                <w:lang w:val="ro-MD"/>
              </w:rPr>
              <w:t xml:space="preserve">mecanismului de stabilire a prețului </w:t>
            </w:r>
            <w:r w:rsidRPr="00560C39">
              <w:rPr>
                <w:rFonts w:ascii="Times New Roman" w:hAnsi="Times New Roman"/>
                <w:color w:val="000000" w:themeColor="text1"/>
                <w:sz w:val="20"/>
                <w:szCs w:val="20"/>
                <w:lang w:val="ro-MD"/>
              </w:rPr>
              <w:t>pentru emisiile de dioxid de carbon</w:t>
            </w:r>
            <w:r w:rsidRPr="00560C39">
              <w:rPr>
                <w:rFonts w:ascii="Times New Roman" w:hAnsi="Times New Roman"/>
                <w:color w:val="000000" w:themeColor="text1"/>
                <w:sz w:val="20"/>
                <w:szCs w:val="20"/>
                <w:shd w:val="clear" w:color="auto" w:fill="FFFFFF"/>
                <w:lang w:val="ro-MD"/>
              </w:rPr>
              <w:t xml:space="preserve"> </w:t>
            </w:r>
            <w:r w:rsidRPr="00560C39">
              <w:rPr>
                <w:rFonts w:ascii="Times New Roman" w:hAnsi="Times New Roman"/>
                <w:bCs/>
                <w:color w:val="000000" w:themeColor="text1"/>
                <w:sz w:val="20"/>
                <w:szCs w:val="20"/>
                <w:lang w:val="ro-MD"/>
              </w:rPr>
              <w:t>sunt utilizate pentru:</w:t>
            </w:r>
          </w:p>
          <w:p w14:paraId="17ADC6F6"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implementarea activităților pentru reducerea emisiilor de GES;</w:t>
            </w:r>
          </w:p>
          <w:p w14:paraId="00B67C4D"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lastRenderedPageBreak/>
              <w:t xml:space="preserve">implementarea activităților pentru </w:t>
            </w:r>
            <w:r w:rsidRPr="00560C39">
              <w:rPr>
                <w:rFonts w:ascii="Times New Roman" w:hAnsi="Times New Roman"/>
                <w:color w:val="000000" w:themeColor="text1"/>
                <w:sz w:val="20"/>
                <w:szCs w:val="20"/>
                <w:lang w:val="ro-MD" w:eastAsia="ro-RO" w:bidi="or-IN"/>
              </w:rPr>
              <w:t xml:space="preserve">sporirea reținerii </w:t>
            </w:r>
            <w:r w:rsidRPr="00560C39">
              <w:rPr>
                <w:rFonts w:ascii="Times New Roman" w:hAnsi="Times New Roman"/>
                <w:bCs/>
                <w:color w:val="000000" w:themeColor="text1"/>
                <w:sz w:val="20"/>
                <w:szCs w:val="20"/>
                <w:lang w:val="ro-MD"/>
              </w:rPr>
              <w:t>emisiilor de GES</w:t>
            </w:r>
            <w:r w:rsidRPr="00560C39">
              <w:rPr>
                <w:rFonts w:ascii="Times New Roman" w:hAnsi="Times New Roman"/>
                <w:color w:val="000000" w:themeColor="text1"/>
                <w:sz w:val="20"/>
                <w:szCs w:val="20"/>
                <w:lang w:val="ro-MD" w:eastAsia="ro-RO" w:bidi="or-IN"/>
              </w:rPr>
              <w:t xml:space="preserve"> prin </w:t>
            </w:r>
            <w:r w:rsidRPr="00560C39">
              <w:rPr>
                <w:rFonts w:ascii="Times New Roman" w:hAnsi="Times New Roman"/>
                <w:color w:val="000000" w:themeColor="text1"/>
                <w:sz w:val="20"/>
                <w:szCs w:val="20"/>
                <w:shd w:val="clear" w:color="auto" w:fill="FFFFFF"/>
                <w:lang w:val="ro-MD"/>
              </w:rPr>
              <w:t>sechestrare</w:t>
            </w:r>
            <w:r w:rsidRPr="00560C39">
              <w:rPr>
                <w:rFonts w:ascii="Times New Roman" w:hAnsi="Times New Roman"/>
                <w:color w:val="000000" w:themeColor="text1"/>
                <w:sz w:val="20"/>
                <w:szCs w:val="20"/>
                <w:lang w:val="ro-MD"/>
              </w:rPr>
              <w:t>a acestora;</w:t>
            </w:r>
          </w:p>
          <w:p w14:paraId="73CB3A89"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color w:val="000000" w:themeColor="text1"/>
                <w:sz w:val="20"/>
                <w:szCs w:val="20"/>
                <w:shd w:val="clear" w:color="auto" w:fill="FFFFFF"/>
                <w:lang w:val="ro-MD"/>
              </w:rPr>
              <w:t>creșterea ponderii energiei provenite din surse regenerabile și promovarea tehnologiilor inovative pentru a contribui la tranziția către o economie sigură și durabilă cu emisii scăzute de carbon;</w:t>
            </w:r>
          </w:p>
          <w:p w14:paraId="56918C2F"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color w:val="000000" w:themeColor="text1"/>
                <w:sz w:val="20"/>
                <w:szCs w:val="20"/>
                <w:shd w:val="clear" w:color="auto" w:fill="FFFFFF"/>
                <w:lang w:val="ro-MD"/>
              </w:rPr>
              <w:t>stimularea creșterii eficienței energetice;</w:t>
            </w:r>
          </w:p>
          <w:p w14:paraId="28BBDA64"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 xml:space="preserve">sporirea capacității de sechestrare a emisiilor de GES din </w:t>
            </w:r>
            <w:r w:rsidRPr="00560C39">
              <w:rPr>
                <w:rFonts w:ascii="Times New Roman" w:hAnsi="Times New Roman"/>
                <w:color w:val="000000" w:themeColor="text1"/>
                <w:sz w:val="20"/>
                <w:szCs w:val="20"/>
                <w:lang w:val="ro-MD"/>
              </w:rPr>
              <w:t xml:space="preserve">sectorul </w:t>
            </w:r>
            <w:r w:rsidRPr="00560C39">
              <w:rPr>
                <w:rFonts w:ascii="Times New Roman" w:hAnsi="Times New Roman"/>
                <w:bCs/>
                <w:color w:val="000000" w:themeColor="text1"/>
                <w:sz w:val="20"/>
                <w:szCs w:val="20"/>
                <w:lang w:val="ro-MD"/>
              </w:rPr>
              <w:t>FTSCFTS;</w:t>
            </w:r>
          </w:p>
          <w:p w14:paraId="49B5F6B5"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combaterea defrișărilor și sporirea capacității de regenerare și împădurire;</w:t>
            </w:r>
          </w:p>
          <w:p w14:paraId="64C6696D"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 xml:space="preserve">implementarea activităților pentru </w:t>
            </w:r>
            <w:r w:rsidRPr="00560C39">
              <w:rPr>
                <w:rFonts w:ascii="Times New Roman" w:hAnsi="Times New Roman"/>
                <w:color w:val="000000" w:themeColor="text1"/>
                <w:sz w:val="20"/>
                <w:szCs w:val="20"/>
                <w:lang w:val="ro-MD"/>
              </w:rPr>
              <w:t>consolidarea capacității de adaptare la schimbările climatice;</w:t>
            </w:r>
          </w:p>
          <w:p w14:paraId="2AC7551D"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promovarea transportului public cu emisii scăzute;</w:t>
            </w:r>
          </w:p>
          <w:p w14:paraId="3C18FD32"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finanțarea domeniilor de cercetare și dezvoltarea eficienței energetice și tehnologiile curate;</w:t>
            </w:r>
          </w:p>
          <w:p w14:paraId="25B641D4"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 xml:space="preserve">dezvoltarea eficienței energetice, inclusiv sistemului privind </w:t>
            </w:r>
            <w:r w:rsidRPr="00560C39">
              <w:rPr>
                <w:rFonts w:ascii="Times New Roman" w:hAnsi="Times New Roman"/>
                <w:color w:val="000000" w:themeColor="text1"/>
                <w:sz w:val="20"/>
                <w:szCs w:val="20"/>
                <w:shd w:val="clear" w:color="auto" w:fill="FFFFFF"/>
                <w:lang w:val="ro-MD"/>
              </w:rPr>
              <w:t>energie termică și izolare sau oferirea sprijinului financiar gospodăriilor mici și mijlocii;</w:t>
            </w:r>
          </w:p>
          <w:p w14:paraId="5C08339C"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color w:val="000000" w:themeColor="text1"/>
                <w:sz w:val="20"/>
                <w:szCs w:val="20"/>
                <w:shd w:val="clear" w:color="auto" w:fill="FFFFFF"/>
                <w:lang w:val="ro-MD"/>
              </w:rPr>
              <w:t xml:space="preserve">promovarea și utilizarea tehnologiilor eficiente energetic, inclusiv </w:t>
            </w:r>
            <w:r w:rsidRPr="00560C39">
              <w:rPr>
                <w:rFonts w:ascii="Times New Roman" w:hAnsi="Times New Roman"/>
                <w:color w:val="000000" w:themeColor="text1"/>
                <w:sz w:val="20"/>
                <w:szCs w:val="20"/>
                <w:lang w:val="ro-MD"/>
              </w:rPr>
              <w:t>cogenerarea - producția combinată de căldură și energie (CHP) și trigenerarea - producția combinată de răcire, căldură și energie (CCHP), în scopul de sprijin financiar pentru abordarea aspectelor sociale generate de schimbările climatice în gospodăriile cu venituri mici și medii;</w:t>
            </w:r>
          </w:p>
          <w:p w14:paraId="41B0E075"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contribuirea la formarea competențelor și realocarea forței de muncă pentru o tranziție justă spre o economie cu emisii scăzute de carbon, în special în regiunile cele mai vulnerabile, în strânsă coordonare cu partenerii sociali;</w:t>
            </w:r>
          </w:p>
          <w:p w14:paraId="399FBADA"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color w:val="000000" w:themeColor="text1"/>
                <w:sz w:val="20"/>
                <w:szCs w:val="20"/>
                <w:lang w:val="ro-MD"/>
              </w:rPr>
            </w:pPr>
            <w:r w:rsidRPr="00560C39">
              <w:rPr>
                <w:rFonts w:ascii="Times New Roman" w:hAnsi="Times New Roman"/>
                <w:color w:val="000000" w:themeColor="text1"/>
                <w:sz w:val="20"/>
                <w:szCs w:val="20"/>
                <w:shd w:val="clear" w:color="auto" w:fill="FFFFFF"/>
                <w:lang w:val="ro-MD"/>
              </w:rPr>
              <w:t>promovarea captării și stocării geologice a carbonului în condiții de siguranță pentru mediul înconjurător din sectoarele și subsectoarele industriale;</w:t>
            </w:r>
          </w:p>
          <w:p w14:paraId="3FD00893"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color w:val="000000" w:themeColor="text1"/>
                <w:sz w:val="20"/>
                <w:szCs w:val="20"/>
                <w:shd w:val="clear" w:color="auto" w:fill="FFFFFF"/>
                <w:lang w:val="ro-MD"/>
              </w:rPr>
              <w:t xml:space="preserve">susținerea în îndeplinirea angajamentelor </w:t>
            </w:r>
            <w:r w:rsidRPr="00560C39">
              <w:rPr>
                <w:rFonts w:ascii="Times New Roman" w:hAnsi="Times New Roman"/>
                <w:color w:val="000000" w:themeColor="text1"/>
                <w:sz w:val="20"/>
                <w:szCs w:val="20"/>
                <w:lang w:val="ro-MD" w:eastAsia="ro-RO" w:bidi="or-IN"/>
              </w:rPr>
              <w:t xml:space="preserve">în cadrul Tratatului de constituire a Comunității Energetice, sprijinirea autorităților administrației publice locale în implementarea </w:t>
            </w:r>
            <w:r w:rsidRPr="00560C39">
              <w:rPr>
                <w:rFonts w:ascii="Times New Roman" w:hAnsi="Times New Roman"/>
                <w:color w:val="000000" w:themeColor="text1"/>
                <w:sz w:val="20"/>
                <w:szCs w:val="20"/>
                <w:lang w:val="ro-MD" w:eastAsia="ro-RO" w:bidi="or-IN"/>
              </w:rPr>
              <w:lastRenderedPageBreak/>
              <w:t>prevederilor Convenției primarilor pentru Climă și Energie;</w:t>
            </w:r>
          </w:p>
          <w:p w14:paraId="2AE5BEE7"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monitorizarea și raportarea emisiilor de GES;</w:t>
            </w:r>
          </w:p>
          <w:p w14:paraId="4AD9730B" w14:textId="77777777" w:rsidR="00560C39" w:rsidRPr="00560C39" w:rsidRDefault="00560C39" w:rsidP="00560C39">
            <w:pPr>
              <w:pStyle w:val="af8"/>
              <w:numPr>
                <w:ilvl w:val="0"/>
                <w:numId w:val="24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560C39">
              <w:rPr>
                <w:rFonts w:ascii="Times New Roman" w:hAnsi="Times New Roman"/>
                <w:bCs/>
                <w:color w:val="000000" w:themeColor="text1"/>
                <w:sz w:val="20"/>
                <w:szCs w:val="20"/>
                <w:lang w:val="ro-MD"/>
              </w:rPr>
              <w:t xml:space="preserve">desfășurarea activităților Secretariatului </w:t>
            </w:r>
            <w:r w:rsidRPr="00560C39">
              <w:rPr>
                <w:rFonts w:ascii="Times New Roman" w:hAnsi="Times New Roman"/>
                <w:color w:val="000000" w:themeColor="text1"/>
                <w:sz w:val="20"/>
                <w:szCs w:val="20"/>
                <w:shd w:val="clear" w:color="auto" w:fill="FFFFFF"/>
                <w:lang w:val="ro-MD"/>
              </w:rPr>
              <w:t>CNSC prevăzut la art.5.</w:t>
            </w:r>
          </w:p>
          <w:p w14:paraId="018F1837"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9A09FCA" w14:textId="592BB6E5" w:rsidR="00124364" w:rsidRDefault="00124364">
            <w:pPr>
              <w:pStyle w:val="ColorfulList-Accent11"/>
              <w:spacing w:after="0" w:line="240" w:lineRule="auto"/>
              <w:ind w:left="0"/>
              <w:jc w:val="center"/>
              <w:rPr>
                <w:rFonts w:ascii="Times New Roman" w:hAnsi="Times New Roman"/>
                <w:bCs/>
                <w:sz w:val="20"/>
                <w:szCs w:val="20"/>
                <w:lang w:val="ro-RO"/>
              </w:rPr>
            </w:pPr>
          </w:p>
          <w:p w14:paraId="521EEFDC" w14:textId="64F5CF8B" w:rsidR="00124364" w:rsidRDefault="004A0338">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compatibil</w:t>
            </w:r>
          </w:p>
        </w:tc>
        <w:tc>
          <w:tcPr>
            <w:tcW w:w="1275" w:type="dxa"/>
            <w:shd w:val="clear" w:color="auto" w:fill="auto"/>
          </w:tcPr>
          <w:p w14:paraId="07E4AA4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D144F65" w14:textId="77777777" w:rsidR="00CE3FB4" w:rsidRPr="0066519A" w:rsidRDefault="00CE3FB4" w:rsidP="00CE3FB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w:t>
            </w:r>
            <w:r w:rsidRPr="0066519A">
              <w:rPr>
                <w:rFonts w:ascii="Times New Roman" w:eastAsiaTheme="minorHAnsi" w:hAnsi="Times New Roman"/>
                <w:color w:val="000000" w:themeColor="text1"/>
                <w:sz w:val="20"/>
                <w:szCs w:val="20"/>
                <w:lang w:val="ro-RO"/>
              </w:rPr>
              <w:lastRenderedPageBreak/>
              <w:t>de seră, dar intenționează să le transpună și să instituie un sistem regional de comercializare a cotelor, care va fi instituit de către Comunitatea Energetică.</w:t>
            </w:r>
          </w:p>
          <w:p w14:paraId="0F36DE97" w14:textId="77777777" w:rsidR="00CE3FB4" w:rsidRDefault="00CE3FB4" w:rsidP="00CE3FB4">
            <w:pPr>
              <w:autoSpaceDE w:val="0"/>
              <w:spacing w:after="0" w:line="240" w:lineRule="auto"/>
              <w:rPr>
                <w:rFonts w:ascii="Times New Roman" w:eastAsia="Times New Roman" w:hAnsi="Times New Roman"/>
                <w:sz w:val="20"/>
                <w:szCs w:val="20"/>
                <w:lang w:val="ro-RO"/>
              </w:rPr>
            </w:pPr>
          </w:p>
          <w:p w14:paraId="6A6654F0" w14:textId="4775F8A9" w:rsidR="00124364" w:rsidRDefault="00124364" w:rsidP="00CE3FB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5A9621D" w14:textId="77777777" w:rsidR="00124364" w:rsidRDefault="004A0338" w:rsidP="00CE3FB4">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lastRenderedPageBreak/>
              <w:t>Ministerul</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Mediului</w:t>
            </w:r>
            <w:proofErr w:type="spellEnd"/>
            <w:r>
              <w:rPr>
                <w:rFonts w:ascii="Times New Roman" w:hAnsi="Times New Roman"/>
                <w:sz w:val="20"/>
                <w:szCs w:val="20"/>
                <w:lang w:val="fr-FR"/>
              </w:rPr>
              <w:t xml:space="preserve"> </w:t>
            </w:r>
          </w:p>
          <w:p w14:paraId="08161D80" w14:textId="77777777" w:rsidR="004A0338" w:rsidRDefault="004A0338" w:rsidP="00CE3FB4">
            <w:pPr>
              <w:autoSpaceDE w:val="0"/>
              <w:spacing w:after="0" w:line="240" w:lineRule="auto"/>
              <w:rPr>
                <w:rFonts w:ascii="Times New Roman" w:hAnsi="Times New Roman"/>
                <w:sz w:val="20"/>
                <w:szCs w:val="20"/>
                <w:lang w:val="fr-FR"/>
              </w:rPr>
            </w:pPr>
          </w:p>
          <w:p w14:paraId="0324FA6B" w14:textId="291AE6D4" w:rsidR="004A0338" w:rsidRDefault="004A0338" w:rsidP="00CE3FB4">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42C6199A" w14:textId="77777777">
        <w:trPr>
          <w:trHeight w:val="558"/>
        </w:trPr>
        <w:tc>
          <w:tcPr>
            <w:tcW w:w="4957" w:type="dxa"/>
            <w:shd w:val="clear" w:color="auto" w:fill="auto"/>
          </w:tcPr>
          <w:p w14:paraId="0221089D" w14:textId="68A01D3D" w:rsidR="00124364" w:rsidRPr="00980A4B"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80A4B">
              <w:rPr>
                <w:rFonts w:eastAsia="Arial Unicode MS"/>
                <w:i/>
                <w:iCs/>
                <w:color w:val="000000" w:themeColor="text1"/>
                <w:sz w:val="20"/>
                <w:szCs w:val="20"/>
                <w:shd w:val="clear" w:color="auto" w:fill="FFFFFF"/>
                <w:lang w:val="en-US"/>
              </w:rPr>
              <w:lastRenderedPageBreak/>
              <w:t>Articolul</w:t>
            </w:r>
            <w:proofErr w:type="spellEnd"/>
            <w:r w:rsidR="00980A4B" w:rsidRPr="00980A4B">
              <w:rPr>
                <w:rFonts w:eastAsia="Arial Unicode MS"/>
                <w:i/>
                <w:iCs/>
                <w:color w:val="000000" w:themeColor="text1"/>
                <w:sz w:val="20"/>
                <w:szCs w:val="20"/>
                <w:shd w:val="clear" w:color="auto" w:fill="FFFFFF"/>
                <w:lang w:val="en-US"/>
              </w:rPr>
              <w:t xml:space="preserve"> </w:t>
            </w:r>
            <w:r w:rsidRPr="00980A4B">
              <w:rPr>
                <w:rFonts w:eastAsia="Arial Unicode MS"/>
                <w:i/>
                <w:iCs/>
                <w:color w:val="000000" w:themeColor="text1"/>
                <w:sz w:val="20"/>
                <w:szCs w:val="20"/>
                <w:shd w:val="clear" w:color="auto" w:fill="FFFFFF"/>
                <w:lang w:val="en-US"/>
              </w:rPr>
              <w:t>10e</w:t>
            </w:r>
          </w:p>
          <w:p w14:paraId="485431B9" w14:textId="77777777" w:rsidR="00124364" w:rsidRPr="00980A4B"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80A4B">
              <w:rPr>
                <w:rFonts w:eastAsia="Arial Unicode MS"/>
                <w:b/>
                <w:bCs/>
                <w:color w:val="000000" w:themeColor="text1"/>
                <w:sz w:val="20"/>
                <w:szCs w:val="20"/>
                <w:shd w:val="clear" w:color="auto" w:fill="FFFFFF"/>
                <w:lang w:val="en-US"/>
              </w:rPr>
              <w:t>Mecanismul</w:t>
            </w:r>
            <w:proofErr w:type="spellEnd"/>
            <w:r w:rsidRPr="00980A4B">
              <w:rPr>
                <w:rFonts w:eastAsia="Arial Unicode MS"/>
                <w:b/>
                <w:bCs/>
                <w:color w:val="000000" w:themeColor="text1"/>
                <w:sz w:val="20"/>
                <w:szCs w:val="20"/>
                <w:shd w:val="clear" w:color="auto" w:fill="FFFFFF"/>
                <w:lang w:val="en-US"/>
              </w:rPr>
              <w:t xml:space="preserve"> de </w:t>
            </w:r>
            <w:proofErr w:type="spellStart"/>
            <w:r w:rsidRPr="00980A4B">
              <w:rPr>
                <w:rFonts w:eastAsia="Arial Unicode MS"/>
                <w:b/>
                <w:bCs/>
                <w:color w:val="000000" w:themeColor="text1"/>
                <w:sz w:val="20"/>
                <w:szCs w:val="20"/>
                <w:shd w:val="clear" w:color="auto" w:fill="FFFFFF"/>
                <w:lang w:val="en-US"/>
              </w:rPr>
              <w:t>redresare</w:t>
            </w:r>
            <w:proofErr w:type="spellEnd"/>
            <w:r w:rsidRPr="00980A4B">
              <w:rPr>
                <w:rFonts w:eastAsia="Arial Unicode MS"/>
                <w:b/>
                <w:bCs/>
                <w:color w:val="000000" w:themeColor="text1"/>
                <w:sz w:val="20"/>
                <w:szCs w:val="20"/>
                <w:shd w:val="clear" w:color="auto" w:fill="FFFFFF"/>
                <w:lang w:val="en-US"/>
              </w:rPr>
              <w:t xml:space="preserve"> și </w:t>
            </w:r>
            <w:proofErr w:type="spellStart"/>
            <w:r w:rsidRPr="00980A4B">
              <w:rPr>
                <w:rFonts w:eastAsia="Arial Unicode MS"/>
                <w:b/>
                <w:bCs/>
                <w:color w:val="000000" w:themeColor="text1"/>
                <w:sz w:val="20"/>
                <w:szCs w:val="20"/>
                <w:shd w:val="clear" w:color="auto" w:fill="FFFFFF"/>
                <w:lang w:val="en-US"/>
              </w:rPr>
              <w:t>reziliență</w:t>
            </w:r>
            <w:proofErr w:type="spellEnd"/>
          </w:p>
          <w:p w14:paraId="61045302" w14:textId="2CAC0B8F"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0A4B">
              <w:rPr>
                <w:rFonts w:eastAsia="Arial Unicode MS"/>
                <w:color w:val="000000" w:themeColor="text1"/>
                <w:sz w:val="20"/>
                <w:szCs w:val="20"/>
                <w:shd w:val="clear" w:color="auto" w:fill="FFFFFF"/>
                <w:lang w:val="en-US"/>
              </w:rPr>
              <w:t xml:space="preserve">Ca </w:t>
            </w:r>
            <w:proofErr w:type="spellStart"/>
            <w:r w:rsidRPr="00980A4B">
              <w:rPr>
                <w:rFonts w:eastAsia="Arial Unicode MS"/>
                <w:color w:val="000000" w:themeColor="text1"/>
                <w:sz w:val="20"/>
                <w:szCs w:val="20"/>
                <w:shd w:val="clear" w:color="auto" w:fill="FFFFFF"/>
                <w:lang w:val="en-US"/>
              </w:rPr>
              <w:t>măsură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extraordinară</w:t>
            </w:r>
            <w:proofErr w:type="spellEnd"/>
            <w:r w:rsidRPr="00980A4B">
              <w:rPr>
                <w:rFonts w:eastAsia="Arial Unicode MS"/>
                <w:color w:val="000000" w:themeColor="text1"/>
                <w:sz w:val="20"/>
                <w:szCs w:val="20"/>
                <w:shd w:val="clear" w:color="auto" w:fill="FFFFFF"/>
                <w:lang w:val="en-US"/>
              </w:rPr>
              <w:t xml:space="preserve"> și </w:t>
            </w:r>
            <w:proofErr w:type="spellStart"/>
            <w:r w:rsidRPr="00980A4B">
              <w:rPr>
                <w:rFonts w:eastAsia="Arial Unicode MS"/>
                <w:color w:val="000000" w:themeColor="text1"/>
                <w:sz w:val="20"/>
                <w:szCs w:val="20"/>
                <w:shd w:val="clear" w:color="auto" w:fill="FFFFFF"/>
                <w:lang w:val="en-US"/>
              </w:rPr>
              <w:t>unică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31</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august</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2026, </w:t>
            </w:r>
            <w:proofErr w:type="spellStart"/>
            <w:r w:rsidRPr="00980A4B">
              <w:rPr>
                <w:rFonts w:eastAsia="Arial Unicode MS"/>
                <w:color w:val="000000" w:themeColor="text1"/>
                <w:sz w:val="20"/>
                <w:szCs w:val="20"/>
                <w:shd w:val="clear" w:color="auto" w:fill="FFFFFF"/>
                <w:lang w:val="en-US"/>
              </w:rPr>
              <w:t>certificatele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scoase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temeiul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alineatelor</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(2) și</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(3) de la </w:t>
            </w:r>
            <w:proofErr w:type="spellStart"/>
            <w:r w:rsidRPr="00980A4B">
              <w:rPr>
                <w:rFonts w:eastAsia="Arial Unicode MS"/>
                <w:color w:val="000000" w:themeColor="text1"/>
                <w:sz w:val="20"/>
                <w:szCs w:val="20"/>
                <w:shd w:val="clear" w:color="auto" w:fill="FFFFFF"/>
                <w:lang w:val="en-US"/>
              </w:rPr>
              <w:t>prezentul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w:t>
            </w:r>
            <w:proofErr w:type="spellEnd"/>
            <w:r w:rsidRPr="00980A4B">
              <w:rPr>
                <w:rFonts w:eastAsia="Arial Unicode MS"/>
                <w:color w:val="000000" w:themeColor="text1"/>
                <w:sz w:val="20"/>
                <w:szCs w:val="20"/>
                <w:shd w:val="clear" w:color="auto" w:fill="FFFFFF"/>
                <w:lang w:val="en-US"/>
              </w:rPr>
              <w:t xml:space="preserve"> se </w:t>
            </w:r>
            <w:proofErr w:type="spellStart"/>
            <w:r w:rsidRPr="00980A4B">
              <w:rPr>
                <w:rFonts w:eastAsia="Arial Unicode MS"/>
                <w:color w:val="000000" w:themeColor="text1"/>
                <w:sz w:val="20"/>
                <w:szCs w:val="20"/>
                <w:shd w:val="clear" w:color="auto" w:fill="FFFFFF"/>
                <w:lang w:val="en-US"/>
              </w:rPr>
              <w:t>scot</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când</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cuantumul</w:t>
            </w:r>
            <w:proofErr w:type="spellEnd"/>
            <w:r w:rsidRPr="00980A4B">
              <w:rPr>
                <w:rFonts w:eastAsia="Arial Unicode MS"/>
                <w:color w:val="000000" w:themeColor="text1"/>
                <w:sz w:val="20"/>
                <w:szCs w:val="20"/>
                <w:shd w:val="clear" w:color="auto" w:fill="FFFFFF"/>
                <w:lang w:val="en-US"/>
              </w:rPr>
              <w:t xml:space="preserve"> total al </w:t>
            </w:r>
            <w:proofErr w:type="spellStart"/>
            <w:r w:rsidRPr="00980A4B">
              <w:rPr>
                <w:rFonts w:eastAsia="Arial Unicode MS"/>
                <w:color w:val="000000" w:themeColor="text1"/>
                <w:sz w:val="20"/>
                <w:szCs w:val="20"/>
                <w:shd w:val="clear" w:color="auto" w:fill="FFFFFF"/>
                <w:lang w:val="en-US"/>
              </w:rPr>
              <w:t>veniturilor</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obținute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astfel</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licitații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ajunge</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20</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de </w:t>
            </w:r>
            <w:proofErr w:type="spellStart"/>
            <w:r w:rsidRPr="00980A4B">
              <w:rPr>
                <w:rFonts w:eastAsia="Arial Unicode MS"/>
                <w:color w:val="000000" w:themeColor="text1"/>
                <w:sz w:val="20"/>
                <w:szCs w:val="20"/>
                <w:shd w:val="clear" w:color="auto" w:fill="FFFFFF"/>
                <w:lang w:val="en-US"/>
              </w:rPr>
              <w:t>miliarde</w:t>
            </w:r>
            <w:proofErr w:type="spellEnd"/>
            <w:r w:rsidRPr="00980A4B">
              <w:rPr>
                <w:rFonts w:eastAsia="Arial Unicode MS"/>
                <w:color w:val="000000" w:themeColor="text1"/>
                <w:sz w:val="20"/>
                <w:szCs w:val="20"/>
                <w:shd w:val="clear" w:color="auto" w:fill="FFFFFF"/>
                <w:lang w:val="en-US"/>
              </w:rPr>
              <w:t xml:space="preserve"> EUR. </w:t>
            </w:r>
            <w:proofErr w:type="spellStart"/>
            <w:r w:rsidRPr="00980A4B">
              <w:rPr>
                <w:rFonts w:eastAsia="Arial Unicode MS"/>
                <w:color w:val="000000" w:themeColor="text1"/>
                <w:sz w:val="20"/>
                <w:szCs w:val="20"/>
                <w:shd w:val="clear" w:color="auto" w:fill="FFFFFF"/>
                <w:lang w:val="en-US"/>
              </w:rPr>
              <w:t>Respectivele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venituri</w:t>
            </w:r>
            <w:proofErr w:type="spellEnd"/>
            <w:r w:rsidRPr="00980A4B">
              <w:rPr>
                <w:rFonts w:eastAsia="Arial Unicode MS"/>
                <w:color w:val="000000" w:themeColor="text1"/>
                <w:sz w:val="20"/>
                <w:szCs w:val="20"/>
                <w:shd w:val="clear" w:color="auto" w:fill="FFFFFF"/>
                <w:lang w:val="en-US"/>
              </w:rPr>
              <w:t xml:space="preserve"> sunt </w:t>
            </w:r>
            <w:proofErr w:type="spellStart"/>
            <w:r w:rsidRPr="00980A4B">
              <w:rPr>
                <w:rFonts w:eastAsia="Arial Unicode MS"/>
                <w:color w:val="000000" w:themeColor="text1"/>
                <w:sz w:val="20"/>
                <w:szCs w:val="20"/>
                <w:shd w:val="clear" w:color="auto" w:fill="FFFFFF"/>
                <w:lang w:val="en-US"/>
              </w:rPr>
              <w:t>puse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dispoziția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Mecanismului</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redresare</w:t>
            </w:r>
            <w:proofErr w:type="spellEnd"/>
            <w:r w:rsidRPr="00980A4B">
              <w:rPr>
                <w:rFonts w:eastAsia="Arial Unicode MS"/>
                <w:color w:val="000000" w:themeColor="text1"/>
                <w:sz w:val="20"/>
                <w:szCs w:val="20"/>
                <w:shd w:val="clear" w:color="auto" w:fill="FFFFFF"/>
                <w:lang w:val="en-US"/>
              </w:rPr>
              <w:t xml:space="preserve"> și </w:t>
            </w:r>
            <w:proofErr w:type="spellStart"/>
            <w:r w:rsidRPr="00980A4B">
              <w:rPr>
                <w:rFonts w:eastAsia="Arial Unicode MS"/>
                <w:color w:val="000000" w:themeColor="text1"/>
                <w:sz w:val="20"/>
                <w:szCs w:val="20"/>
                <w:shd w:val="clear" w:color="auto" w:fill="FFFFFF"/>
                <w:lang w:val="en-US"/>
              </w:rPr>
              <w:t>reziliență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instituit</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prin</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2021/241 al </w:t>
            </w:r>
            <w:proofErr w:type="spellStart"/>
            <w:r w:rsidRPr="00980A4B">
              <w:rPr>
                <w:rFonts w:eastAsia="Arial Unicode MS"/>
                <w:color w:val="000000" w:themeColor="text1"/>
                <w:sz w:val="20"/>
                <w:szCs w:val="20"/>
                <w:shd w:val="clear" w:color="auto" w:fill="FFFFFF"/>
                <w:lang w:val="en-US"/>
              </w:rPr>
              <w:t>Parlamentului</w:t>
            </w:r>
            <w:proofErr w:type="spellEnd"/>
            <w:r w:rsidRPr="00980A4B">
              <w:rPr>
                <w:rFonts w:eastAsia="Arial Unicode MS"/>
                <w:color w:val="000000" w:themeColor="text1"/>
                <w:sz w:val="20"/>
                <w:szCs w:val="20"/>
                <w:shd w:val="clear" w:color="auto" w:fill="FFFFFF"/>
                <w:lang w:val="en-US"/>
              </w:rPr>
              <w:t xml:space="preserve"> European și al </w:t>
            </w:r>
            <w:proofErr w:type="spellStart"/>
            <w:r w:rsidRPr="00980A4B">
              <w:rPr>
                <w:rFonts w:eastAsia="Arial Unicode MS"/>
                <w:color w:val="000000" w:themeColor="text1"/>
                <w:sz w:val="20"/>
                <w:szCs w:val="20"/>
                <w:shd w:val="clear" w:color="auto" w:fill="FFFFFF"/>
                <w:lang w:val="en-US"/>
              </w:rPr>
              <w:t>Consiliului</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w:t>
            </w:r>
            <w:hyperlink r:id="rId176" w:anchor="E0025" w:history="1">
              <w:r w:rsidR="00980A4B" w:rsidRPr="00980A4B">
                <w:rPr>
                  <w:rStyle w:val="apple-converted-space"/>
                  <w:rFonts w:eastAsia="Arial Unicode MS"/>
                  <w:color w:val="000000" w:themeColor="text1"/>
                  <w:sz w:val="20"/>
                  <w:szCs w:val="20"/>
                  <w:lang w:val="en-US"/>
                </w:rPr>
                <w:t xml:space="preserve"> </w:t>
              </w:r>
              <w:r w:rsidRPr="00980A4B">
                <w:rPr>
                  <w:rStyle w:val="superscript"/>
                  <w:rFonts w:eastAsia="Arial Unicode MS"/>
                  <w:color w:val="000000" w:themeColor="text1"/>
                  <w:sz w:val="20"/>
                  <w:szCs w:val="20"/>
                  <w:vertAlign w:val="superscript"/>
                  <w:lang w:val="en-US"/>
                </w:rPr>
                <w:t>24</w:t>
              </w:r>
            </w:hyperlink>
            <w:r w:rsidRPr="00980A4B">
              <w:rPr>
                <w:rFonts w:eastAsia="Arial Unicode MS"/>
                <w:color w:val="000000" w:themeColor="text1"/>
                <w:sz w:val="20"/>
                <w:szCs w:val="20"/>
                <w:shd w:val="clear" w:color="auto" w:fill="FFFFFF"/>
                <w:lang w:val="en-US"/>
              </w:rPr>
              <w:t xml:space="preserve">) și se </w:t>
            </w:r>
            <w:proofErr w:type="spellStart"/>
            <w:r w:rsidRPr="00980A4B">
              <w:rPr>
                <w:rFonts w:eastAsia="Arial Unicode MS"/>
                <w:color w:val="000000" w:themeColor="text1"/>
                <w:sz w:val="20"/>
                <w:szCs w:val="20"/>
                <w:shd w:val="clear" w:color="auto" w:fill="FFFFFF"/>
                <w:lang w:val="en-US"/>
              </w:rPr>
              <w:t>execută</w:t>
            </w:r>
            <w:proofErr w:type="spellEnd"/>
            <w:r w:rsidRPr="00980A4B">
              <w:rPr>
                <w:rFonts w:eastAsia="Arial Unicode MS"/>
                <w:color w:val="000000" w:themeColor="text1"/>
                <w:sz w:val="20"/>
                <w:szCs w:val="20"/>
                <w:shd w:val="clear" w:color="auto" w:fill="FFFFFF"/>
                <w:lang w:val="en-US"/>
              </w:rPr>
              <w:t xml:space="preserve"> în conformitate cu </w:t>
            </w:r>
            <w:proofErr w:type="spellStart"/>
            <w:r w:rsidRPr="00980A4B">
              <w:rPr>
                <w:rFonts w:eastAsia="Arial Unicode MS"/>
                <w:color w:val="000000" w:themeColor="text1"/>
                <w:sz w:val="20"/>
                <w:szCs w:val="20"/>
                <w:shd w:val="clear" w:color="auto" w:fill="FFFFFF"/>
                <w:lang w:val="en-US"/>
              </w:rPr>
              <w:t>dispozițiile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regulamentului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respectiv</w:t>
            </w:r>
            <w:proofErr w:type="spellEnd"/>
            <w:r w:rsidRPr="00980A4B">
              <w:rPr>
                <w:rFonts w:eastAsia="Arial Unicode MS"/>
                <w:color w:val="000000" w:themeColor="text1"/>
                <w:sz w:val="20"/>
                <w:szCs w:val="20"/>
                <w:shd w:val="clear" w:color="auto" w:fill="FFFFFF"/>
                <w:lang w:val="en-US"/>
              </w:rPr>
              <w:t>.</w:t>
            </w:r>
          </w:p>
          <w:p w14:paraId="7DF16B89" w14:textId="7451EFB1"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0A4B">
              <w:rPr>
                <w:rFonts w:eastAsia="Arial Unicode MS"/>
                <w:color w:val="000000" w:themeColor="text1"/>
                <w:sz w:val="20"/>
                <w:szCs w:val="20"/>
                <w:shd w:val="clear" w:color="auto" w:fill="FFFFFF"/>
                <w:lang w:val="en-US"/>
              </w:rPr>
              <w:t>Prin</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derogare</w:t>
            </w:r>
            <w:proofErr w:type="spellEnd"/>
            <w:r w:rsidRPr="00980A4B">
              <w:rPr>
                <w:rFonts w:eastAsia="Arial Unicode MS"/>
                <w:color w:val="000000" w:themeColor="text1"/>
                <w:sz w:val="20"/>
                <w:szCs w:val="20"/>
                <w:shd w:val="clear" w:color="auto" w:fill="FFFFFF"/>
                <w:lang w:val="en-US"/>
              </w:rPr>
              <w:t xml:space="preserve"> de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10a </w:t>
            </w:r>
            <w:proofErr w:type="spellStart"/>
            <w:proofErr w:type="gram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w:t>
            </w:r>
            <w:proofErr w:type="gramEnd"/>
            <w:r w:rsidRPr="00980A4B">
              <w:rPr>
                <w:rFonts w:eastAsia="Arial Unicode MS"/>
                <w:color w:val="000000" w:themeColor="text1"/>
                <w:sz w:val="20"/>
                <w:szCs w:val="20"/>
                <w:shd w:val="clear" w:color="auto" w:fill="FFFFFF"/>
                <w:lang w:val="en-US"/>
              </w:rPr>
              <w:t xml:space="preserve">8),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31</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august</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2026, o </w:t>
            </w:r>
            <w:proofErr w:type="spellStart"/>
            <w:r w:rsidRPr="00980A4B">
              <w:rPr>
                <w:rFonts w:eastAsia="Arial Unicode MS"/>
                <w:color w:val="000000" w:themeColor="text1"/>
                <w:sz w:val="20"/>
                <w:szCs w:val="20"/>
                <w:shd w:val="clear" w:color="auto" w:fill="FFFFFF"/>
                <w:lang w:val="en-US"/>
              </w:rPr>
              <w:t>parte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certificatele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menționate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alineatul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respectiv</w:t>
            </w:r>
            <w:proofErr w:type="spellEnd"/>
            <w:r w:rsidRPr="00980A4B">
              <w:rPr>
                <w:rFonts w:eastAsia="Arial Unicode MS"/>
                <w:color w:val="000000" w:themeColor="text1"/>
                <w:sz w:val="20"/>
                <w:szCs w:val="20"/>
                <w:shd w:val="clear" w:color="auto" w:fill="FFFFFF"/>
                <w:lang w:val="en-US"/>
              </w:rPr>
              <w:t xml:space="preserve"> se </w:t>
            </w:r>
            <w:proofErr w:type="spellStart"/>
            <w:r w:rsidRPr="00980A4B">
              <w:rPr>
                <w:rFonts w:eastAsia="Arial Unicode MS"/>
                <w:color w:val="000000" w:themeColor="text1"/>
                <w:sz w:val="20"/>
                <w:szCs w:val="20"/>
                <w:shd w:val="clear" w:color="auto" w:fill="FFFFFF"/>
                <w:lang w:val="en-US"/>
              </w:rPr>
              <w:t>scot</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a </w:t>
            </w:r>
            <w:proofErr w:type="spellStart"/>
            <w:r w:rsidRPr="00980A4B">
              <w:rPr>
                <w:rFonts w:eastAsia="Arial Unicode MS"/>
                <w:color w:val="000000" w:themeColor="text1"/>
                <w:sz w:val="20"/>
                <w:szCs w:val="20"/>
                <w:shd w:val="clear" w:color="auto" w:fill="FFFFFF"/>
                <w:lang w:val="en-US"/>
              </w:rPr>
              <w:t>sprijini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obiectivele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prevăzute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21c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(3) </w:t>
            </w:r>
            <w:proofErr w:type="spellStart"/>
            <w:r w:rsidRPr="00980A4B">
              <w:rPr>
                <w:rFonts w:eastAsia="Arial Unicode MS"/>
                <w:color w:val="000000" w:themeColor="text1"/>
                <w:sz w:val="20"/>
                <w:szCs w:val="20"/>
                <w:shd w:val="clear" w:color="auto" w:fill="FFFFFF"/>
                <w:lang w:val="en-US"/>
              </w:rPr>
              <w:t>literele</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(b)-(f)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2021/241,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când</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cuantumul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veniturilor</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obținute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astfel</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licitații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ajunge</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12</w:t>
            </w:r>
            <w:r w:rsidR="00980A4B"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miliarde</w:t>
            </w:r>
            <w:proofErr w:type="spellEnd"/>
            <w:r w:rsidRPr="00980A4B">
              <w:rPr>
                <w:rFonts w:eastAsia="Arial Unicode MS"/>
                <w:color w:val="000000" w:themeColor="text1"/>
                <w:sz w:val="20"/>
                <w:szCs w:val="20"/>
                <w:shd w:val="clear" w:color="auto" w:fill="FFFFFF"/>
                <w:lang w:val="en-US"/>
              </w:rPr>
              <w:t xml:space="preserve"> EUR.</w:t>
            </w:r>
          </w:p>
          <w:p w14:paraId="31B7519E" w14:textId="234001F2"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31</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august</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2026, se </w:t>
            </w:r>
            <w:proofErr w:type="spellStart"/>
            <w:r w:rsidRPr="00980A4B">
              <w:rPr>
                <w:rFonts w:eastAsia="Arial Unicode MS"/>
                <w:color w:val="000000" w:themeColor="text1"/>
                <w:sz w:val="20"/>
                <w:szCs w:val="20"/>
                <w:shd w:val="clear" w:color="auto" w:fill="FFFFFF"/>
                <w:lang w:val="en-US"/>
              </w:rPr>
              <w:t>scot</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un </w:t>
            </w:r>
            <w:proofErr w:type="spellStart"/>
            <w:r w:rsidRPr="00980A4B">
              <w:rPr>
                <w:rFonts w:eastAsia="Arial Unicode MS"/>
                <w:color w:val="000000" w:themeColor="text1"/>
                <w:sz w:val="20"/>
                <w:szCs w:val="20"/>
                <w:shd w:val="clear" w:color="auto" w:fill="FFFFFF"/>
                <w:lang w:val="en-US"/>
              </w:rPr>
              <w:t>număr</w:t>
            </w:r>
            <w:proofErr w:type="spellEnd"/>
            <w:r w:rsidRPr="00980A4B">
              <w:rPr>
                <w:rFonts w:eastAsia="Arial Unicode MS"/>
                <w:color w:val="000000" w:themeColor="text1"/>
                <w:sz w:val="20"/>
                <w:szCs w:val="20"/>
                <w:shd w:val="clear" w:color="auto" w:fill="FFFFFF"/>
                <w:lang w:val="en-US"/>
              </w:rPr>
              <w:t xml:space="preserve"> de certificate din </w:t>
            </w:r>
            <w:proofErr w:type="spellStart"/>
            <w:r w:rsidRPr="00980A4B">
              <w:rPr>
                <w:rFonts w:eastAsia="Arial Unicode MS"/>
                <w:color w:val="000000" w:themeColor="text1"/>
                <w:sz w:val="20"/>
                <w:szCs w:val="20"/>
                <w:shd w:val="clear" w:color="auto" w:fill="FFFFFF"/>
                <w:lang w:val="en-US"/>
              </w:rPr>
              <w:t>cantitatea</w:t>
            </w:r>
            <w:proofErr w:type="spellEnd"/>
            <w:r w:rsidRPr="00980A4B">
              <w:rPr>
                <w:rFonts w:eastAsia="Arial Unicode MS"/>
                <w:color w:val="000000" w:themeColor="text1"/>
                <w:sz w:val="20"/>
                <w:szCs w:val="20"/>
                <w:shd w:val="clear" w:color="auto" w:fill="FFFFFF"/>
                <w:lang w:val="en-US"/>
              </w:rPr>
              <w:t xml:space="preserve"> care </w:t>
            </w:r>
            <w:proofErr w:type="spellStart"/>
            <w:r w:rsidRPr="00980A4B">
              <w:rPr>
                <w:rFonts w:eastAsia="Arial Unicode MS"/>
                <w:color w:val="000000" w:themeColor="text1"/>
                <w:sz w:val="20"/>
                <w:szCs w:val="20"/>
                <w:shd w:val="clear" w:color="auto" w:fill="FFFFFF"/>
                <w:lang w:val="en-US"/>
              </w:rPr>
              <w:t>altfel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w:t>
            </w:r>
            <w:proofErr w:type="spellEnd"/>
            <w:r w:rsidRPr="00980A4B">
              <w:rPr>
                <w:rFonts w:eastAsia="Arial Unicode MS"/>
                <w:color w:val="000000" w:themeColor="text1"/>
                <w:sz w:val="20"/>
                <w:szCs w:val="20"/>
                <w:shd w:val="clear" w:color="auto" w:fill="FFFFFF"/>
                <w:lang w:val="en-US"/>
              </w:rPr>
              <w:t xml:space="preserve"> fi </w:t>
            </w:r>
            <w:proofErr w:type="spellStart"/>
            <w:r w:rsidRPr="00980A4B">
              <w:rPr>
                <w:rFonts w:eastAsia="Arial Unicode MS"/>
                <w:color w:val="000000" w:themeColor="text1"/>
                <w:sz w:val="20"/>
                <w:szCs w:val="20"/>
                <w:shd w:val="clear" w:color="auto" w:fill="FFFFFF"/>
                <w:lang w:val="en-US"/>
              </w:rPr>
              <w:lastRenderedPageBreak/>
              <w:t>licitată</w:t>
            </w:r>
            <w:proofErr w:type="spellEnd"/>
            <w:r w:rsidRPr="00980A4B">
              <w:rPr>
                <w:rFonts w:eastAsia="Arial Unicode MS"/>
                <w:color w:val="000000" w:themeColor="text1"/>
                <w:sz w:val="20"/>
                <w:szCs w:val="20"/>
                <w:shd w:val="clear" w:color="auto" w:fill="FFFFFF"/>
                <w:lang w:val="en-US"/>
              </w:rPr>
              <w:t xml:space="preserve"> de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1</w:t>
            </w:r>
            <w:r w:rsidR="00980A4B"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ianuarie</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2027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31</w:t>
            </w:r>
            <w:r w:rsidR="00980A4B"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decembrie</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2030 de </w:t>
            </w:r>
            <w:proofErr w:type="spellStart"/>
            <w:r w:rsidRPr="00980A4B">
              <w:rPr>
                <w:rFonts w:eastAsia="Arial Unicode MS"/>
                <w:color w:val="000000" w:themeColor="text1"/>
                <w:sz w:val="20"/>
                <w:szCs w:val="20"/>
                <w:shd w:val="clear" w:color="auto" w:fill="FFFFFF"/>
                <w:lang w:val="en-US"/>
              </w:rPr>
              <w:t>statele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membre</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temeiul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articolului</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 </w:t>
            </w:r>
            <w:proofErr w:type="spellStart"/>
            <w:r w:rsidRPr="00980A4B">
              <w:rPr>
                <w:rFonts w:eastAsia="Arial Unicode MS"/>
                <w:color w:val="000000" w:themeColor="text1"/>
                <w:sz w:val="20"/>
                <w:szCs w:val="20"/>
                <w:shd w:val="clear" w:color="auto" w:fill="FFFFFF"/>
                <w:lang w:val="en-US"/>
              </w:rPr>
              <w:t>litera</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(a),</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a </w:t>
            </w:r>
            <w:proofErr w:type="spellStart"/>
            <w:r w:rsidRPr="00980A4B">
              <w:rPr>
                <w:rFonts w:eastAsia="Arial Unicode MS"/>
                <w:color w:val="000000" w:themeColor="text1"/>
                <w:sz w:val="20"/>
                <w:szCs w:val="20"/>
                <w:shd w:val="clear" w:color="auto" w:fill="FFFFFF"/>
                <w:lang w:val="en-US"/>
              </w:rPr>
              <w:t>sprijini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obiectivele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prevăzute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21c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(3) </w:t>
            </w:r>
            <w:proofErr w:type="spellStart"/>
            <w:r w:rsidRPr="00980A4B">
              <w:rPr>
                <w:rFonts w:eastAsia="Arial Unicode MS"/>
                <w:color w:val="000000" w:themeColor="text1"/>
                <w:sz w:val="20"/>
                <w:szCs w:val="20"/>
                <w:shd w:val="clear" w:color="auto" w:fill="FFFFFF"/>
                <w:lang w:val="en-US"/>
              </w:rPr>
              <w:t>literele</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(b)-(f)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2021/241,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când</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cuantumul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veniturilor</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obținute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astfel</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licitații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ajunge</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8</w:t>
            </w:r>
            <w:r w:rsidR="00980A4B"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miliarde</w:t>
            </w:r>
            <w:proofErr w:type="spellEnd"/>
            <w:r w:rsidRPr="00980A4B">
              <w:rPr>
                <w:rFonts w:eastAsia="Arial Unicode MS"/>
                <w:color w:val="000000" w:themeColor="text1"/>
                <w:sz w:val="20"/>
                <w:szCs w:val="20"/>
                <w:shd w:val="clear" w:color="auto" w:fill="FFFFFF"/>
                <w:lang w:val="en-US"/>
              </w:rPr>
              <w:t xml:space="preserve"> EUR. </w:t>
            </w:r>
            <w:proofErr w:type="spellStart"/>
            <w:r w:rsidRPr="00980A4B">
              <w:rPr>
                <w:rFonts w:eastAsia="Arial Unicode MS"/>
                <w:color w:val="000000" w:themeColor="text1"/>
                <w:sz w:val="20"/>
                <w:szCs w:val="20"/>
                <w:shd w:val="clear" w:color="auto" w:fill="FFFFFF"/>
                <w:lang w:val="en-US"/>
              </w:rPr>
              <w:t>Respectivele</w:t>
            </w:r>
            <w:proofErr w:type="spellEnd"/>
            <w:r w:rsidRPr="00980A4B">
              <w:rPr>
                <w:rFonts w:eastAsia="Arial Unicode MS"/>
                <w:color w:val="000000" w:themeColor="text1"/>
                <w:sz w:val="20"/>
                <w:szCs w:val="20"/>
                <w:shd w:val="clear" w:color="auto" w:fill="FFFFFF"/>
                <w:lang w:val="en-US"/>
              </w:rPr>
              <w:t xml:space="preserve"> certificate se </w:t>
            </w:r>
            <w:proofErr w:type="spellStart"/>
            <w:r w:rsidRPr="00980A4B">
              <w:rPr>
                <w:rFonts w:eastAsia="Arial Unicode MS"/>
                <w:color w:val="000000" w:themeColor="text1"/>
                <w:sz w:val="20"/>
                <w:szCs w:val="20"/>
                <w:shd w:val="clear" w:color="auto" w:fill="FFFFFF"/>
                <w:lang w:val="en-US"/>
              </w:rPr>
              <w:t>scot</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principiu</w:t>
            </w:r>
            <w:proofErr w:type="spellEnd"/>
            <w:r w:rsidRPr="00980A4B">
              <w:rPr>
                <w:rFonts w:eastAsia="Arial Unicode MS"/>
                <w:color w:val="000000" w:themeColor="text1"/>
                <w:sz w:val="20"/>
                <w:szCs w:val="20"/>
                <w:shd w:val="clear" w:color="auto" w:fill="FFFFFF"/>
                <w:lang w:val="en-US"/>
              </w:rPr>
              <w:t xml:space="preserve">, în volume </w:t>
            </w:r>
            <w:proofErr w:type="spellStart"/>
            <w:r w:rsidRPr="00980A4B">
              <w:rPr>
                <w:rFonts w:eastAsia="Arial Unicode MS"/>
                <w:color w:val="000000" w:themeColor="text1"/>
                <w:sz w:val="20"/>
                <w:szCs w:val="20"/>
                <w:shd w:val="clear" w:color="auto" w:fill="FFFFFF"/>
                <w:lang w:val="en-US"/>
              </w:rPr>
              <w:t>anuale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egale</w:t>
            </w:r>
            <w:proofErr w:type="spellEnd"/>
            <w:r w:rsidRPr="00980A4B">
              <w:rPr>
                <w:rFonts w:eastAsia="Arial Unicode MS"/>
                <w:color w:val="000000" w:themeColor="text1"/>
                <w:sz w:val="20"/>
                <w:szCs w:val="20"/>
                <w:shd w:val="clear" w:color="auto" w:fill="FFFFFF"/>
                <w:lang w:val="en-US"/>
              </w:rPr>
              <w:t xml:space="preserve"> pe </w:t>
            </w:r>
            <w:proofErr w:type="spellStart"/>
            <w:r w:rsidRPr="00980A4B">
              <w:rPr>
                <w:rFonts w:eastAsia="Arial Unicode MS"/>
                <w:color w:val="000000" w:themeColor="text1"/>
                <w:sz w:val="20"/>
                <w:szCs w:val="20"/>
                <w:shd w:val="clear" w:color="auto" w:fill="FFFFFF"/>
                <w:lang w:val="en-US"/>
              </w:rPr>
              <w:t>parcursul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perioadei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relevante</w:t>
            </w:r>
            <w:proofErr w:type="spellEnd"/>
            <w:r w:rsidRPr="00980A4B">
              <w:rPr>
                <w:rFonts w:eastAsia="Arial Unicode MS"/>
                <w:color w:val="000000" w:themeColor="text1"/>
                <w:sz w:val="20"/>
                <w:szCs w:val="20"/>
                <w:shd w:val="clear" w:color="auto" w:fill="FFFFFF"/>
                <w:lang w:val="en-US"/>
              </w:rPr>
              <w:t>.</w:t>
            </w:r>
          </w:p>
          <w:p w14:paraId="60C2F4FC" w14:textId="4D8FA06B"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0A4B">
              <w:rPr>
                <w:rFonts w:eastAsia="Arial Unicode MS"/>
                <w:color w:val="000000" w:themeColor="text1"/>
                <w:sz w:val="20"/>
                <w:szCs w:val="20"/>
                <w:shd w:val="clear" w:color="auto" w:fill="FFFFFF"/>
                <w:lang w:val="en-US"/>
              </w:rPr>
              <w:t>Prin</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derogare</w:t>
            </w:r>
            <w:proofErr w:type="spellEnd"/>
            <w:r w:rsidRPr="00980A4B">
              <w:rPr>
                <w:rFonts w:eastAsia="Arial Unicode MS"/>
                <w:color w:val="000000" w:themeColor="text1"/>
                <w:sz w:val="20"/>
                <w:szCs w:val="20"/>
                <w:shd w:val="clear" w:color="auto" w:fill="FFFFFF"/>
                <w:lang w:val="en-US"/>
              </w:rPr>
              <w:t xml:space="preserve"> de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(5a) din </w:t>
            </w:r>
            <w:proofErr w:type="spellStart"/>
            <w:r w:rsidRPr="00980A4B">
              <w:rPr>
                <w:rFonts w:eastAsia="Arial Unicode MS"/>
                <w:color w:val="000000" w:themeColor="text1"/>
                <w:sz w:val="20"/>
                <w:szCs w:val="20"/>
                <w:shd w:val="clear" w:color="auto" w:fill="FFFFFF"/>
                <w:lang w:val="en-US"/>
              </w:rPr>
              <w:t>Decizia</w:t>
            </w:r>
            <w:proofErr w:type="spellEnd"/>
            <w:r w:rsidRPr="00980A4B">
              <w:rPr>
                <w:rFonts w:eastAsia="Arial Unicode MS"/>
                <w:color w:val="000000" w:themeColor="text1"/>
                <w:sz w:val="20"/>
                <w:szCs w:val="20"/>
                <w:shd w:val="clear" w:color="auto" w:fill="FFFFFF"/>
                <w:lang w:val="en-US"/>
              </w:rPr>
              <w:t xml:space="preserve"> (UE)</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2015/1814, </w:t>
            </w:r>
            <w:proofErr w:type="spellStart"/>
            <w:r w:rsidRPr="00980A4B">
              <w:rPr>
                <w:rFonts w:eastAsia="Arial Unicode MS"/>
                <w:color w:val="000000" w:themeColor="text1"/>
                <w:sz w:val="20"/>
                <w:szCs w:val="20"/>
                <w:shd w:val="clear" w:color="auto" w:fill="FFFFFF"/>
                <w:lang w:val="en-US"/>
              </w:rPr>
              <w:t>până</w:t>
            </w:r>
            <w:proofErr w:type="spellEnd"/>
            <w:r w:rsidRPr="00980A4B">
              <w:rPr>
                <w:rFonts w:eastAsia="Arial Unicode MS"/>
                <w:color w:val="000000" w:themeColor="text1"/>
                <w:sz w:val="20"/>
                <w:szCs w:val="20"/>
                <w:shd w:val="clear" w:color="auto" w:fill="FFFFFF"/>
                <w:lang w:val="en-US"/>
              </w:rPr>
              <w:t xml:space="preserve"> la</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31</w:t>
            </w:r>
            <w:r w:rsidR="00980A4B"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decembrie</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2030, 27</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de </w:t>
            </w:r>
            <w:proofErr w:type="spellStart"/>
            <w:r w:rsidRPr="00980A4B">
              <w:rPr>
                <w:rFonts w:eastAsia="Arial Unicode MS"/>
                <w:color w:val="000000" w:themeColor="text1"/>
                <w:sz w:val="20"/>
                <w:szCs w:val="20"/>
                <w:shd w:val="clear" w:color="auto" w:fill="FFFFFF"/>
                <w:lang w:val="en-US"/>
              </w:rPr>
              <w:t>milioane</w:t>
            </w:r>
            <w:proofErr w:type="spellEnd"/>
            <w:r w:rsidRPr="00980A4B">
              <w:rPr>
                <w:rFonts w:eastAsia="Arial Unicode MS"/>
                <w:color w:val="000000" w:themeColor="text1"/>
                <w:sz w:val="20"/>
                <w:szCs w:val="20"/>
                <w:shd w:val="clear" w:color="auto" w:fill="FFFFFF"/>
                <w:lang w:val="en-US"/>
              </w:rPr>
              <w:t xml:space="preserve"> de certificate </w:t>
            </w:r>
            <w:proofErr w:type="spellStart"/>
            <w:r w:rsidRPr="00980A4B">
              <w:rPr>
                <w:rFonts w:eastAsia="Arial Unicode MS"/>
                <w:color w:val="000000" w:themeColor="text1"/>
                <w:sz w:val="20"/>
                <w:szCs w:val="20"/>
                <w:shd w:val="clear" w:color="auto" w:fill="FFFFFF"/>
                <w:lang w:val="en-US"/>
              </w:rPr>
              <w:t>nealocate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rezerva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stabilitatea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pieței</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numărul</w:t>
            </w:r>
            <w:proofErr w:type="spellEnd"/>
            <w:r w:rsidRPr="00980A4B">
              <w:rPr>
                <w:rFonts w:eastAsia="Arial Unicode MS"/>
                <w:color w:val="000000" w:themeColor="text1"/>
                <w:sz w:val="20"/>
                <w:szCs w:val="20"/>
                <w:shd w:val="clear" w:color="auto" w:fill="FFFFFF"/>
                <w:lang w:val="en-US"/>
              </w:rPr>
              <w:t xml:space="preserve"> total de certificate care </w:t>
            </w:r>
            <w:proofErr w:type="spellStart"/>
            <w:r w:rsidRPr="00980A4B">
              <w:rPr>
                <w:rFonts w:eastAsia="Arial Unicode MS"/>
                <w:color w:val="000000" w:themeColor="text1"/>
                <w:sz w:val="20"/>
                <w:szCs w:val="20"/>
                <w:shd w:val="clear" w:color="auto" w:fill="FFFFFF"/>
                <w:lang w:val="en-US"/>
              </w:rPr>
              <w:t>altfel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w:t>
            </w:r>
            <w:proofErr w:type="spellEnd"/>
            <w:r w:rsidRPr="00980A4B">
              <w:rPr>
                <w:rFonts w:eastAsia="Arial Unicode MS"/>
                <w:color w:val="000000" w:themeColor="text1"/>
                <w:sz w:val="20"/>
                <w:szCs w:val="20"/>
                <w:shd w:val="clear" w:color="auto" w:fill="FFFFFF"/>
                <w:lang w:val="en-US"/>
              </w:rPr>
              <w:t xml:space="preserve"> fi invalidate, se </w:t>
            </w:r>
            <w:proofErr w:type="spellStart"/>
            <w:r w:rsidRPr="00980A4B">
              <w:rPr>
                <w:rFonts w:eastAsia="Arial Unicode MS"/>
                <w:color w:val="000000" w:themeColor="text1"/>
                <w:sz w:val="20"/>
                <w:szCs w:val="20"/>
                <w:shd w:val="clear" w:color="auto" w:fill="FFFFFF"/>
                <w:lang w:val="en-US"/>
              </w:rPr>
              <w:t>utilizează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a </w:t>
            </w:r>
            <w:proofErr w:type="spellStart"/>
            <w:r w:rsidRPr="00980A4B">
              <w:rPr>
                <w:rFonts w:eastAsia="Arial Unicode MS"/>
                <w:color w:val="000000" w:themeColor="text1"/>
                <w:sz w:val="20"/>
                <w:szCs w:val="20"/>
                <w:shd w:val="clear" w:color="auto" w:fill="FFFFFF"/>
                <w:lang w:val="en-US"/>
              </w:rPr>
              <w:t>sprijini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inovarea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astfel</w:t>
            </w:r>
            <w:proofErr w:type="spellEnd"/>
            <w:r w:rsidRPr="00980A4B">
              <w:rPr>
                <w:rFonts w:eastAsia="Arial Unicode MS"/>
                <w:color w:val="000000" w:themeColor="text1"/>
                <w:sz w:val="20"/>
                <w:szCs w:val="20"/>
                <w:shd w:val="clear" w:color="auto" w:fill="FFFFFF"/>
                <w:lang w:val="en-US"/>
              </w:rPr>
              <w:t xml:space="preserve"> cum se </w:t>
            </w:r>
            <w:proofErr w:type="spellStart"/>
            <w:r w:rsidRPr="00980A4B">
              <w:rPr>
                <w:rFonts w:eastAsia="Arial Unicode MS"/>
                <w:color w:val="000000" w:themeColor="text1"/>
                <w:sz w:val="20"/>
                <w:szCs w:val="20"/>
                <w:shd w:val="clear" w:color="auto" w:fill="FFFFFF"/>
                <w:lang w:val="en-US"/>
              </w:rPr>
              <w:t>menționează</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10a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(8) </w:t>
            </w:r>
            <w:proofErr w:type="spellStart"/>
            <w:r w:rsidRPr="00980A4B">
              <w:rPr>
                <w:rFonts w:eastAsia="Arial Unicode MS"/>
                <w:color w:val="000000" w:themeColor="text1"/>
                <w:sz w:val="20"/>
                <w:szCs w:val="20"/>
                <w:shd w:val="clear" w:color="auto" w:fill="FFFFFF"/>
                <w:lang w:val="en-US"/>
              </w:rPr>
              <w:t>primul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paragraf</w:t>
            </w:r>
            <w:proofErr w:type="spellEnd"/>
            <w:r w:rsidRPr="00980A4B">
              <w:rPr>
                <w:rFonts w:eastAsia="Arial Unicode MS"/>
                <w:color w:val="000000" w:themeColor="text1"/>
                <w:sz w:val="20"/>
                <w:szCs w:val="20"/>
                <w:shd w:val="clear" w:color="auto" w:fill="FFFFFF"/>
                <w:lang w:val="en-US"/>
              </w:rPr>
              <w:t xml:space="preserve"> din prezenta </w:t>
            </w:r>
            <w:proofErr w:type="spellStart"/>
            <w:r w:rsidRPr="00980A4B">
              <w:rPr>
                <w:rFonts w:eastAsia="Arial Unicode MS"/>
                <w:color w:val="000000" w:themeColor="text1"/>
                <w:sz w:val="20"/>
                <w:szCs w:val="20"/>
                <w:shd w:val="clear" w:color="auto" w:fill="FFFFFF"/>
                <w:lang w:val="en-US"/>
              </w:rPr>
              <w:t>directivă</w:t>
            </w:r>
            <w:proofErr w:type="spellEnd"/>
            <w:r w:rsidRPr="00980A4B">
              <w:rPr>
                <w:rFonts w:eastAsia="Arial Unicode MS"/>
                <w:color w:val="000000" w:themeColor="text1"/>
                <w:sz w:val="20"/>
                <w:szCs w:val="20"/>
                <w:shd w:val="clear" w:color="auto" w:fill="FFFFFF"/>
                <w:lang w:val="en-US"/>
              </w:rPr>
              <w:t>.</w:t>
            </w:r>
          </w:p>
          <w:p w14:paraId="323D588A" w14:textId="418B2575"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0A4B">
              <w:rPr>
                <w:rFonts w:eastAsia="Arial Unicode MS"/>
                <w:color w:val="000000" w:themeColor="text1"/>
                <w:sz w:val="20"/>
                <w:szCs w:val="20"/>
                <w:shd w:val="clear" w:color="auto" w:fill="FFFFFF"/>
                <w:lang w:val="en-US"/>
              </w:rPr>
              <w:t>Comisia</w:t>
            </w:r>
            <w:proofErr w:type="spellEnd"/>
            <w:r w:rsidRPr="00980A4B">
              <w:rPr>
                <w:rFonts w:eastAsia="Arial Unicode MS"/>
                <w:color w:val="000000" w:themeColor="text1"/>
                <w:sz w:val="20"/>
                <w:szCs w:val="20"/>
                <w:shd w:val="clear" w:color="auto" w:fill="FFFFFF"/>
                <w:lang w:val="en-US"/>
              </w:rPr>
              <w:t xml:space="preserve"> se </w:t>
            </w:r>
            <w:proofErr w:type="spellStart"/>
            <w:r w:rsidRPr="00980A4B">
              <w:rPr>
                <w:rFonts w:eastAsia="Arial Unicode MS"/>
                <w:color w:val="000000" w:themeColor="text1"/>
                <w:sz w:val="20"/>
                <w:szCs w:val="20"/>
                <w:shd w:val="clear" w:color="auto" w:fill="FFFFFF"/>
                <w:lang w:val="en-US"/>
              </w:rPr>
              <w:t>asigură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certificatele</w:t>
            </w:r>
            <w:proofErr w:type="spellEnd"/>
            <w:r w:rsidRPr="00980A4B">
              <w:rPr>
                <w:rFonts w:eastAsia="Arial Unicode MS"/>
                <w:color w:val="000000" w:themeColor="text1"/>
                <w:sz w:val="20"/>
                <w:szCs w:val="20"/>
                <w:shd w:val="clear" w:color="auto" w:fill="FFFFFF"/>
                <w:lang w:val="en-US"/>
              </w:rPr>
              <w:t xml:space="preserve"> care </w:t>
            </w:r>
            <w:proofErr w:type="spellStart"/>
            <w:r w:rsidRPr="00980A4B">
              <w:rPr>
                <w:rFonts w:eastAsia="Arial Unicode MS"/>
                <w:color w:val="000000" w:themeColor="text1"/>
                <w:sz w:val="20"/>
                <w:szCs w:val="20"/>
                <w:shd w:val="clear" w:color="auto" w:fill="FFFFFF"/>
                <w:lang w:val="en-US"/>
              </w:rPr>
              <w:t>vor</w:t>
            </w:r>
            <w:proofErr w:type="spellEnd"/>
            <w:r w:rsidRPr="00980A4B">
              <w:rPr>
                <w:rFonts w:eastAsia="Arial Unicode MS"/>
                <w:color w:val="000000" w:themeColor="text1"/>
                <w:sz w:val="20"/>
                <w:szCs w:val="20"/>
                <w:shd w:val="clear" w:color="auto" w:fill="FFFFFF"/>
                <w:lang w:val="en-US"/>
              </w:rPr>
              <w:t xml:space="preserve"> fi </w:t>
            </w:r>
            <w:proofErr w:type="spellStart"/>
            <w:r w:rsidRPr="00980A4B">
              <w:rPr>
                <w:rFonts w:eastAsia="Arial Unicode MS"/>
                <w:color w:val="000000" w:themeColor="text1"/>
                <w:sz w:val="20"/>
                <w:szCs w:val="20"/>
                <w:shd w:val="clear" w:color="auto" w:fill="FFFFFF"/>
                <w:lang w:val="en-US"/>
              </w:rPr>
              <w:t>licitate</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temeiul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alineatelor</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(2) și</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(3), </w:t>
            </w:r>
            <w:proofErr w:type="spellStart"/>
            <w:r w:rsidRPr="00980A4B">
              <w:rPr>
                <w:rFonts w:eastAsia="Arial Unicode MS"/>
                <w:color w:val="000000" w:themeColor="text1"/>
                <w:sz w:val="20"/>
                <w:szCs w:val="20"/>
                <w:shd w:val="clear" w:color="auto" w:fill="FFFFFF"/>
                <w:lang w:val="en-US"/>
              </w:rPr>
              <w:t>inclusiv</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după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caz</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cele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plățile</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prefinanțare</w:t>
            </w:r>
            <w:proofErr w:type="spellEnd"/>
            <w:r w:rsidRPr="00980A4B">
              <w:rPr>
                <w:rFonts w:eastAsia="Arial Unicode MS"/>
                <w:color w:val="000000" w:themeColor="text1"/>
                <w:sz w:val="20"/>
                <w:szCs w:val="20"/>
                <w:shd w:val="clear" w:color="auto" w:fill="FFFFFF"/>
                <w:lang w:val="en-US"/>
              </w:rPr>
              <w:t xml:space="preserve">, în conformitate cu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21d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2021/241, sunt </w:t>
            </w:r>
            <w:proofErr w:type="spellStart"/>
            <w:r w:rsidRPr="00980A4B">
              <w:rPr>
                <w:rFonts w:eastAsia="Arial Unicode MS"/>
                <w:color w:val="000000" w:themeColor="text1"/>
                <w:sz w:val="20"/>
                <w:szCs w:val="20"/>
                <w:shd w:val="clear" w:color="auto" w:fill="FFFFFF"/>
                <w:lang w:val="en-US"/>
              </w:rPr>
              <w:t>scoase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în conformitate cu </w:t>
            </w:r>
            <w:proofErr w:type="spellStart"/>
            <w:r w:rsidRPr="00980A4B">
              <w:rPr>
                <w:rFonts w:eastAsia="Arial Unicode MS"/>
                <w:color w:val="000000" w:themeColor="text1"/>
                <w:sz w:val="20"/>
                <w:szCs w:val="20"/>
                <w:shd w:val="clear" w:color="auto" w:fill="FFFFFF"/>
                <w:lang w:val="en-US"/>
              </w:rPr>
              <w:t>principiile</w:t>
            </w:r>
            <w:proofErr w:type="spellEnd"/>
            <w:r w:rsidRPr="00980A4B">
              <w:rPr>
                <w:rFonts w:eastAsia="Arial Unicode MS"/>
                <w:color w:val="000000" w:themeColor="text1"/>
                <w:sz w:val="20"/>
                <w:szCs w:val="20"/>
                <w:shd w:val="clear" w:color="auto" w:fill="FFFFFF"/>
                <w:lang w:val="en-US"/>
              </w:rPr>
              <w:t xml:space="preserve"> și </w:t>
            </w:r>
            <w:proofErr w:type="spellStart"/>
            <w:r w:rsidRPr="00980A4B">
              <w:rPr>
                <w:rFonts w:eastAsia="Arial Unicode MS"/>
                <w:color w:val="000000" w:themeColor="text1"/>
                <w:sz w:val="20"/>
                <w:szCs w:val="20"/>
                <w:shd w:val="clear" w:color="auto" w:fill="FFFFFF"/>
                <w:lang w:val="en-US"/>
              </w:rPr>
              <w:t>modalitățile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prevăzute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(4) din prezenta </w:t>
            </w:r>
            <w:proofErr w:type="spellStart"/>
            <w:r w:rsidRPr="00980A4B">
              <w:rPr>
                <w:rFonts w:eastAsia="Arial Unicode MS"/>
                <w:color w:val="000000" w:themeColor="text1"/>
                <w:sz w:val="20"/>
                <w:szCs w:val="20"/>
                <w:shd w:val="clear" w:color="auto" w:fill="FFFFFF"/>
                <w:lang w:val="en-US"/>
              </w:rPr>
              <w:t>directivă</w:t>
            </w:r>
            <w:proofErr w:type="spellEnd"/>
            <w:r w:rsidRPr="00980A4B">
              <w:rPr>
                <w:rFonts w:eastAsia="Arial Unicode MS"/>
                <w:color w:val="000000" w:themeColor="text1"/>
                <w:sz w:val="20"/>
                <w:szCs w:val="20"/>
                <w:shd w:val="clear" w:color="auto" w:fill="FFFFFF"/>
                <w:lang w:val="en-US"/>
              </w:rPr>
              <w:t xml:space="preserve"> și în conformitate cu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24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 nr.</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1031/2010 al </w:t>
            </w:r>
            <w:proofErr w:type="spellStart"/>
            <w:r w:rsidRPr="00980A4B">
              <w:rPr>
                <w:rFonts w:eastAsia="Arial Unicode MS"/>
                <w:color w:val="000000" w:themeColor="text1"/>
                <w:sz w:val="20"/>
                <w:szCs w:val="20"/>
                <w:shd w:val="clear" w:color="auto" w:fill="FFFFFF"/>
                <w:lang w:val="en-US"/>
              </w:rPr>
              <w:t>Comisiei</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w:t>
            </w:r>
            <w:hyperlink r:id="rId177" w:anchor="E0026" w:history="1">
              <w:r w:rsidR="00980A4B" w:rsidRPr="00980A4B">
                <w:rPr>
                  <w:rStyle w:val="apple-converted-space"/>
                  <w:rFonts w:eastAsia="Arial Unicode MS"/>
                  <w:color w:val="000000" w:themeColor="text1"/>
                  <w:sz w:val="20"/>
                  <w:szCs w:val="20"/>
                  <w:lang w:val="en-US"/>
                </w:rPr>
                <w:t xml:space="preserve"> </w:t>
              </w:r>
              <w:r w:rsidRPr="00980A4B">
                <w:rPr>
                  <w:rStyle w:val="superscript"/>
                  <w:rFonts w:eastAsia="Arial Unicode MS"/>
                  <w:color w:val="000000" w:themeColor="text1"/>
                  <w:sz w:val="20"/>
                  <w:szCs w:val="20"/>
                  <w:vertAlign w:val="superscript"/>
                  <w:lang w:val="en-US"/>
                </w:rPr>
                <w:t>25</w:t>
              </w:r>
            </w:hyperlink>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a se </w:t>
            </w:r>
            <w:proofErr w:type="spellStart"/>
            <w:r w:rsidRPr="00980A4B">
              <w:rPr>
                <w:rFonts w:eastAsia="Arial Unicode MS"/>
                <w:color w:val="000000" w:themeColor="text1"/>
                <w:sz w:val="20"/>
                <w:szCs w:val="20"/>
                <w:shd w:val="clear" w:color="auto" w:fill="FFFFFF"/>
                <w:lang w:val="en-US"/>
              </w:rPr>
              <w:t>asigura</w:t>
            </w:r>
            <w:proofErr w:type="spellEnd"/>
            <w:r w:rsidRPr="00980A4B">
              <w:rPr>
                <w:rFonts w:eastAsia="Arial Unicode MS"/>
                <w:color w:val="000000" w:themeColor="text1"/>
                <w:sz w:val="20"/>
                <w:szCs w:val="20"/>
                <w:shd w:val="clear" w:color="auto" w:fill="FFFFFF"/>
                <w:lang w:val="en-US"/>
              </w:rPr>
              <w:t xml:space="preserve"> o </w:t>
            </w:r>
            <w:proofErr w:type="spellStart"/>
            <w:r w:rsidRPr="00980A4B">
              <w:rPr>
                <w:rFonts w:eastAsia="Arial Unicode MS"/>
                <w:color w:val="000000" w:themeColor="text1"/>
                <w:sz w:val="20"/>
                <w:szCs w:val="20"/>
                <w:shd w:val="clear" w:color="auto" w:fill="FFFFFF"/>
                <w:lang w:val="en-US"/>
              </w:rPr>
              <w:t>cantitate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adecvată</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resurse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fondul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inovare</w:t>
            </w:r>
            <w:proofErr w:type="spellEnd"/>
            <w:r w:rsidRPr="00980A4B">
              <w:rPr>
                <w:rFonts w:eastAsia="Arial Unicode MS"/>
                <w:color w:val="000000" w:themeColor="text1"/>
                <w:sz w:val="20"/>
                <w:szCs w:val="20"/>
                <w:shd w:val="clear" w:color="auto" w:fill="FFFFFF"/>
                <w:lang w:val="en-US"/>
              </w:rPr>
              <w:t xml:space="preserve"> în perioada </w:t>
            </w:r>
            <w:proofErr w:type="spellStart"/>
            <w:r w:rsidRPr="00980A4B">
              <w:rPr>
                <w:rFonts w:eastAsia="Arial Unicode MS"/>
                <w:color w:val="000000" w:themeColor="text1"/>
                <w:sz w:val="20"/>
                <w:szCs w:val="20"/>
                <w:shd w:val="clear" w:color="auto" w:fill="FFFFFF"/>
                <w:lang w:val="en-US"/>
              </w:rPr>
              <w:t>cuprinsă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între</w:t>
            </w:r>
            <w:proofErr w:type="spellEnd"/>
            <w:r w:rsidRPr="00980A4B">
              <w:rPr>
                <w:rFonts w:eastAsia="Arial Unicode MS"/>
                <w:color w:val="000000" w:themeColor="text1"/>
                <w:sz w:val="20"/>
                <w:szCs w:val="20"/>
                <w:shd w:val="clear" w:color="auto" w:fill="FFFFFF"/>
                <w:lang w:val="en-US"/>
              </w:rPr>
              <w:t xml:space="preserve"> 2023 și</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2026. Perioada de </w:t>
            </w:r>
            <w:proofErr w:type="spellStart"/>
            <w:r w:rsidRPr="00980A4B">
              <w:rPr>
                <w:rFonts w:eastAsia="Arial Unicode MS"/>
                <w:color w:val="000000" w:themeColor="text1"/>
                <w:sz w:val="20"/>
                <w:szCs w:val="20"/>
                <w:shd w:val="clear" w:color="auto" w:fill="FFFFFF"/>
                <w:lang w:val="en-US"/>
              </w:rPr>
              <w:t>licitare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menționată</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prezentul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w:t>
            </w:r>
            <w:proofErr w:type="spellEnd"/>
            <w:r w:rsidRPr="00980A4B">
              <w:rPr>
                <w:rFonts w:eastAsia="Arial Unicode MS"/>
                <w:color w:val="000000" w:themeColor="text1"/>
                <w:sz w:val="20"/>
                <w:szCs w:val="20"/>
                <w:shd w:val="clear" w:color="auto" w:fill="FFFFFF"/>
                <w:lang w:val="en-US"/>
              </w:rPr>
              <w:t xml:space="preserve"> se </w:t>
            </w:r>
            <w:proofErr w:type="spellStart"/>
            <w:r w:rsidRPr="00980A4B">
              <w:rPr>
                <w:rFonts w:eastAsia="Arial Unicode MS"/>
                <w:color w:val="000000" w:themeColor="text1"/>
                <w:sz w:val="20"/>
                <w:szCs w:val="20"/>
                <w:shd w:val="clear" w:color="auto" w:fill="FFFFFF"/>
                <w:lang w:val="en-US"/>
              </w:rPr>
              <w:t>revizuiește</w:t>
            </w:r>
            <w:proofErr w:type="spellEnd"/>
            <w:r w:rsidRPr="00980A4B">
              <w:rPr>
                <w:rFonts w:eastAsia="Arial Unicode MS"/>
                <w:color w:val="000000" w:themeColor="text1"/>
                <w:sz w:val="20"/>
                <w:szCs w:val="20"/>
                <w:shd w:val="clear" w:color="auto" w:fill="FFFFFF"/>
                <w:lang w:val="en-US"/>
              </w:rPr>
              <w:t xml:space="preserve"> la un an de la </w:t>
            </w:r>
            <w:proofErr w:type="spellStart"/>
            <w:r w:rsidRPr="00980A4B">
              <w:rPr>
                <w:rFonts w:eastAsia="Arial Unicode MS"/>
                <w:color w:val="000000" w:themeColor="text1"/>
                <w:sz w:val="20"/>
                <w:szCs w:val="20"/>
                <w:shd w:val="clear" w:color="auto" w:fill="FFFFFF"/>
                <w:lang w:val="en-US"/>
              </w:rPr>
              <w:t>începerea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sa</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funcție</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impactul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licitației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prevăzute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prezentul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asupra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pieței</w:t>
            </w:r>
            <w:proofErr w:type="spellEnd"/>
            <w:r w:rsidRPr="00980A4B">
              <w:rPr>
                <w:rFonts w:eastAsia="Arial Unicode MS"/>
                <w:color w:val="000000" w:themeColor="text1"/>
                <w:sz w:val="20"/>
                <w:szCs w:val="20"/>
                <w:shd w:val="clear" w:color="auto" w:fill="FFFFFF"/>
                <w:lang w:val="en-US"/>
              </w:rPr>
              <w:t xml:space="preserve"> carbonului și </w:t>
            </w:r>
            <w:proofErr w:type="spellStart"/>
            <w:r w:rsidRPr="00980A4B">
              <w:rPr>
                <w:rFonts w:eastAsia="Arial Unicode MS"/>
                <w:color w:val="000000" w:themeColor="text1"/>
                <w:sz w:val="20"/>
                <w:szCs w:val="20"/>
                <w:shd w:val="clear" w:color="auto" w:fill="FFFFFF"/>
                <w:lang w:val="en-US"/>
              </w:rPr>
              <w:t>asupra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prețului</w:t>
            </w:r>
            <w:proofErr w:type="spellEnd"/>
            <w:r w:rsidRPr="00980A4B">
              <w:rPr>
                <w:rFonts w:eastAsia="Arial Unicode MS"/>
                <w:color w:val="000000" w:themeColor="text1"/>
                <w:sz w:val="20"/>
                <w:szCs w:val="20"/>
                <w:shd w:val="clear" w:color="auto" w:fill="FFFFFF"/>
                <w:lang w:val="en-US"/>
              </w:rPr>
              <w:t xml:space="preserve"> carbonului.</w:t>
            </w:r>
          </w:p>
          <w:p w14:paraId="767A7CAC" w14:textId="1373D23B"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0A4B">
              <w:rPr>
                <w:rFonts w:eastAsia="Arial Unicode MS"/>
                <w:color w:val="000000" w:themeColor="text1"/>
                <w:sz w:val="20"/>
                <w:szCs w:val="20"/>
                <w:shd w:val="clear" w:color="auto" w:fill="FFFFFF"/>
                <w:lang w:val="en-US"/>
              </w:rPr>
              <w:t xml:space="preserve">BEI </w:t>
            </w:r>
            <w:proofErr w:type="spellStart"/>
            <w:r w:rsidRPr="00980A4B">
              <w:rPr>
                <w:rFonts w:eastAsia="Arial Unicode MS"/>
                <w:color w:val="000000" w:themeColor="text1"/>
                <w:sz w:val="20"/>
                <w:szCs w:val="20"/>
                <w:shd w:val="clear" w:color="auto" w:fill="FFFFFF"/>
                <w:lang w:val="en-US"/>
              </w:rPr>
              <w:t>este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adjudecătorul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pentru</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certificatele</w:t>
            </w:r>
            <w:proofErr w:type="spellEnd"/>
            <w:r w:rsidRPr="00980A4B">
              <w:rPr>
                <w:rFonts w:eastAsia="Arial Unicode MS"/>
                <w:color w:val="000000" w:themeColor="text1"/>
                <w:sz w:val="20"/>
                <w:szCs w:val="20"/>
                <w:shd w:val="clear" w:color="auto" w:fill="FFFFFF"/>
                <w:lang w:val="en-US"/>
              </w:rPr>
              <w:t xml:space="preserve"> care </w:t>
            </w:r>
            <w:proofErr w:type="spellStart"/>
            <w:r w:rsidRPr="00980A4B">
              <w:rPr>
                <w:rFonts w:eastAsia="Arial Unicode MS"/>
                <w:color w:val="000000" w:themeColor="text1"/>
                <w:sz w:val="20"/>
                <w:szCs w:val="20"/>
                <w:shd w:val="clear" w:color="auto" w:fill="FFFFFF"/>
                <w:lang w:val="en-US"/>
              </w:rPr>
              <w:t>urmează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să</w:t>
            </w:r>
            <w:proofErr w:type="spellEnd"/>
            <w:r w:rsidRPr="00980A4B">
              <w:rPr>
                <w:rFonts w:eastAsia="Arial Unicode MS"/>
                <w:color w:val="000000" w:themeColor="text1"/>
                <w:sz w:val="20"/>
                <w:szCs w:val="20"/>
                <w:shd w:val="clear" w:color="auto" w:fill="FFFFFF"/>
                <w:lang w:val="en-US"/>
              </w:rPr>
              <w:t xml:space="preserve"> fie </w:t>
            </w:r>
            <w:proofErr w:type="spellStart"/>
            <w:r w:rsidRPr="00980A4B">
              <w:rPr>
                <w:rFonts w:eastAsia="Arial Unicode MS"/>
                <w:color w:val="000000" w:themeColor="text1"/>
                <w:sz w:val="20"/>
                <w:szCs w:val="20"/>
                <w:shd w:val="clear" w:color="auto" w:fill="FFFFFF"/>
                <w:lang w:val="en-US"/>
              </w:rPr>
              <w:t>scoase</w:t>
            </w:r>
            <w:proofErr w:type="spellEnd"/>
            <w:r w:rsidRPr="00980A4B">
              <w:rPr>
                <w:rFonts w:eastAsia="Arial Unicode MS"/>
                <w:color w:val="000000" w:themeColor="text1"/>
                <w:sz w:val="20"/>
                <w:szCs w:val="20"/>
                <w:shd w:val="clear" w:color="auto" w:fill="FFFFFF"/>
                <w:lang w:val="en-US"/>
              </w:rPr>
              <w:t xml:space="preserve"> la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temeiul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prezentului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w:t>
            </w:r>
            <w:proofErr w:type="spellEnd"/>
            <w:r w:rsidRPr="00980A4B">
              <w:rPr>
                <w:rFonts w:eastAsia="Arial Unicode MS"/>
                <w:color w:val="000000" w:themeColor="text1"/>
                <w:sz w:val="20"/>
                <w:szCs w:val="20"/>
                <w:shd w:val="clear" w:color="auto" w:fill="FFFFFF"/>
                <w:lang w:val="en-US"/>
              </w:rPr>
              <w:t xml:space="preserve"> pe </w:t>
            </w:r>
            <w:proofErr w:type="spellStart"/>
            <w:r w:rsidRPr="00980A4B">
              <w:rPr>
                <w:rFonts w:eastAsia="Arial Unicode MS"/>
                <w:color w:val="000000" w:themeColor="text1"/>
                <w:sz w:val="20"/>
                <w:szCs w:val="20"/>
                <w:shd w:val="clear" w:color="auto" w:fill="FFFFFF"/>
                <w:lang w:val="en-US"/>
              </w:rPr>
              <w:t>platforma</w:t>
            </w:r>
            <w:proofErr w:type="spellEnd"/>
            <w:r w:rsidRPr="00980A4B">
              <w:rPr>
                <w:rFonts w:eastAsia="Arial Unicode MS"/>
                <w:color w:val="000000" w:themeColor="text1"/>
                <w:sz w:val="20"/>
                <w:szCs w:val="20"/>
                <w:shd w:val="clear" w:color="auto" w:fill="FFFFFF"/>
                <w:lang w:val="en-US"/>
              </w:rPr>
              <w:t xml:space="preserve"> de </w:t>
            </w:r>
            <w:proofErr w:type="spellStart"/>
            <w:r w:rsidRPr="00980A4B">
              <w:rPr>
                <w:rFonts w:eastAsia="Arial Unicode MS"/>
                <w:color w:val="000000" w:themeColor="text1"/>
                <w:sz w:val="20"/>
                <w:szCs w:val="20"/>
                <w:shd w:val="clear" w:color="auto" w:fill="FFFFFF"/>
                <w:lang w:val="en-US"/>
              </w:rPr>
              <w:t>licitație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desemnată</w:t>
            </w:r>
            <w:proofErr w:type="spellEnd"/>
            <w:r w:rsidRPr="00980A4B">
              <w:rPr>
                <w:rFonts w:eastAsia="Arial Unicode MS"/>
                <w:color w:val="000000" w:themeColor="text1"/>
                <w:sz w:val="20"/>
                <w:szCs w:val="20"/>
                <w:shd w:val="clear" w:color="auto" w:fill="FFFFFF"/>
                <w:lang w:val="en-US"/>
              </w:rPr>
              <w:t xml:space="preserve"> în </w:t>
            </w:r>
            <w:proofErr w:type="spellStart"/>
            <w:r w:rsidRPr="00980A4B">
              <w:rPr>
                <w:rFonts w:eastAsia="Arial Unicode MS"/>
                <w:color w:val="000000" w:themeColor="text1"/>
                <w:sz w:val="20"/>
                <w:szCs w:val="20"/>
                <w:shd w:val="clear" w:color="auto" w:fill="FFFFFF"/>
                <w:lang w:val="en-US"/>
              </w:rPr>
              <w:t>temeiul</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articolului</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26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 nr.</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1031/2010 și </w:t>
            </w:r>
            <w:proofErr w:type="spellStart"/>
            <w:r w:rsidRPr="00980A4B">
              <w:rPr>
                <w:rFonts w:eastAsia="Arial Unicode MS"/>
                <w:color w:val="000000" w:themeColor="text1"/>
                <w:sz w:val="20"/>
                <w:szCs w:val="20"/>
                <w:shd w:val="clear" w:color="auto" w:fill="FFFFFF"/>
                <w:lang w:val="en-US"/>
              </w:rPr>
              <w:t>îi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furnizează</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Comisiei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veniturile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obținute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licitații</w:t>
            </w:r>
            <w:proofErr w:type="spellEnd"/>
            <w:r w:rsidRPr="00980A4B">
              <w:rPr>
                <w:rFonts w:eastAsia="Arial Unicode MS"/>
                <w:color w:val="000000" w:themeColor="text1"/>
                <w:sz w:val="20"/>
                <w:szCs w:val="20"/>
                <w:shd w:val="clear" w:color="auto" w:fill="FFFFFF"/>
                <w:lang w:val="en-US"/>
              </w:rPr>
              <w:t>.</w:t>
            </w:r>
          </w:p>
          <w:p w14:paraId="540DCAD1" w14:textId="4F8C4C61" w:rsidR="00124364" w:rsidRPr="00980A4B" w:rsidRDefault="00000000" w:rsidP="00980A4B">
            <w:pPr>
              <w:pStyle w:val="ti-art"/>
              <w:numPr>
                <w:ilvl w:val="0"/>
                <w:numId w:val="7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0A4B">
              <w:rPr>
                <w:rFonts w:eastAsia="Arial Unicode MS"/>
                <w:color w:val="000000" w:themeColor="text1"/>
                <w:sz w:val="20"/>
                <w:szCs w:val="20"/>
                <w:shd w:val="clear" w:color="auto" w:fill="FFFFFF"/>
                <w:lang w:val="en-US"/>
              </w:rPr>
              <w:t>Veniturile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obținute</w:t>
            </w:r>
            <w:proofErr w:type="spellEnd"/>
            <w:r w:rsidRPr="00980A4B">
              <w:rPr>
                <w:rFonts w:eastAsia="Arial Unicode MS"/>
                <w:color w:val="000000" w:themeColor="text1"/>
                <w:sz w:val="20"/>
                <w:szCs w:val="20"/>
                <w:shd w:val="clear" w:color="auto" w:fill="FFFFFF"/>
                <w:lang w:val="en-US"/>
              </w:rPr>
              <w:t xml:space="preserve"> din </w:t>
            </w:r>
            <w:proofErr w:type="spellStart"/>
            <w:r w:rsidRPr="00980A4B">
              <w:rPr>
                <w:rFonts w:eastAsia="Arial Unicode MS"/>
                <w:color w:val="000000" w:themeColor="text1"/>
                <w:sz w:val="20"/>
                <w:szCs w:val="20"/>
                <w:shd w:val="clear" w:color="auto" w:fill="FFFFFF"/>
                <w:lang w:val="en-US"/>
              </w:rPr>
              <w:t>licitarea</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certificatelor</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constituie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venituri</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alocate</w:t>
            </w:r>
            <w:proofErr w:type="spellEnd"/>
            <w:r w:rsidRPr="00980A4B">
              <w:rPr>
                <w:rFonts w:eastAsia="Arial Unicode MS"/>
                <w:color w:val="000000" w:themeColor="text1"/>
                <w:sz w:val="20"/>
                <w:szCs w:val="20"/>
                <w:shd w:val="clear" w:color="auto" w:fill="FFFFFF"/>
                <w:lang w:val="en-US"/>
              </w:rPr>
              <w:t xml:space="preserve"> </w:t>
            </w:r>
            <w:proofErr w:type="spellStart"/>
            <w:r w:rsidRPr="00980A4B">
              <w:rPr>
                <w:rFonts w:eastAsia="Arial Unicode MS"/>
                <w:color w:val="000000" w:themeColor="text1"/>
                <w:sz w:val="20"/>
                <w:szCs w:val="20"/>
                <w:shd w:val="clear" w:color="auto" w:fill="FFFFFF"/>
                <w:lang w:val="en-US"/>
              </w:rPr>
              <w:t>externe</w:t>
            </w:r>
            <w:proofErr w:type="spellEnd"/>
            <w:r w:rsidRPr="00980A4B">
              <w:rPr>
                <w:rFonts w:eastAsia="Arial Unicode MS"/>
                <w:color w:val="000000" w:themeColor="text1"/>
                <w:sz w:val="20"/>
                <w:szCs w:val="20"/>
                <w:shd w:val="clear" w:color="auto" w:fill="FFFFFF"/>
                <w:lang w:val="en-US"/>
              </w:rPr>
              <w:t xml:space="preserve">, în conformitate cu </w:t>
            </w:r>
            <w:proofErr w:type="spellStart"/>
            <w:r w:rsidRPr="00980A4B">
              <w:rPr>
                <w:rFonts w:eastAsia="Arial Unicode MS"/>
                <w:color w:val="000000" w:themeColor="text1"/>
                <w:sz w:val="20"/>
                <w:szCs w:val="20"/>
                <w:shd w:val="clear" w:color="auto" w:fill="FFFFFF"/>
                <w:lang w:val="en-US"/>
              </w:rPr>
              <w:t>articolul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21 </w:t>
            </w:r>
            <w:proofErr w:type="spellStart"/>
            <w:r w:rsidRPr="00980A4B">
              <w:rPr>
                <w:rFonts w:eastAsia="Arial Unicode MS"/>
                <w:color w:val="000000" w:themeColor="text1"/>
                <w:sz w:val="20"/>
                <w:szCs w:val="20"/>
                <w:shd w:val="clear" w:color="auto" w:fill="FFFFFF"/>
                <w:lang w:val="en-US"/>
              </w:rPr>
              <w:t>alineatul</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(5) din </w:t>
            </w:r>
            <w:proofErr w:type="spellStart"/>
            <w:r w:rsidRPr="00980A4B">
              <w:rPr>
                <w:rFonts w:eastAsia="Arial Unicode MS"/>
                <w:color w:val="000000" w:themeColor="text1"/>
                <w:sz w:val="20"/>
                <w:szCs w:val="20"/>
                <w:shd w:val="clear" w:color="auto" w:fill="FFFFFF"/>
                <w:lang w:val="en-US"/>
              </w:rPr>
              <w:t>Regulamentul</w:t>
            </w:r>
            <w:proofErr w:type="spellEnd"/>
            <w:r w:rsidRPr="00980A4B">
              <w:rPr>
                <w:rFonts w:eastAsia="Arial Unicode MS"/>
                <w:color w:val="000000" w:themeColor="text1"/>
                <w:sz w:val="20"/>
                <w:szCs w:val="20"/>
                <w:shd w:val="clear" w:color="auto" w:fill="FFFFFF"/>
                <w:lang w:val="en-US"/>
              </w:rPr>
              <w:t xml:space="preserve"> (UE, Euratom)</w:t>
            </w:r>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 xml:space="preserve">2018/1046 al </w:t>
            </w:r>
            <w:proofErr w:type="spellStart"/>
            <w:r w:rsidRPr="00980A4B">
              <w:rPr>
                <w:rFonts w:eastAsia="Arial Unicode MS"/>
                <w:color w:val="000000" w:themeColor="text1"/>
                <w:sz w:val="20"/>
                <w:szCs w:val="20"/>
                <w:shd w:val="clear" w:color="auto" w:fill="FFFFFF"/>
                <w:lang w:val="en-US"/>
              </w:rPr>
              <w:t>Parlamentului</w:t>
            </w:r>
            <w:proofErr w:type="spellEnd"/>
            <w:r w:rsidRPr="00980A4B">
              <w:rPr>
                <w:rFonts w:eastAsia="Arial Unicode MS"/>
                <w:color w:val="000000" w:themeColor="text1"/>
                <w:sz w:val="20"/>
                <w:szCs w:val="20"/>
                <w:shd w:val="clear" w:color="auto" w:fill="FFFFFF"/>
                <w:lang w:val="en-US"/>
              </w:rPr>
              <w:t xml:space="preserve"> European și al </w:t>
            </w:r>
            <w:proofErr w:type="spellStart"/>
            <w:r w:rsidRPr="00980A4B">
              <w:rPr>
                <w:rFonts w:eastAsia="Arial Unicode MS"/>
                <w:color w:val="000000" w:themeColor="text1"/>
                <w:sz w:val="20"/>
                <w:szCs w:val="20"/>
                <w:shd w:val="clear" w:color="auto" w:fill="FFFFFF"/>
                <w:lang w:val="en-US"/>
              </w:rPr>
              <w:t>Consiliului</w:t>
            </w:r>
            <w:proofErr w:type="spellEnd"/>
            <w:r w:rsidR="00980A4B" w:rsidRPr="00980A4B">
              <w:rPr>
                <w:rFonts w:eastAsia="Arial Unicode MS"/>
                <w:color w:val="000000" w:themeColor="text1"/>
                <w:sz w:val="20"/>
                <w:szCs w:val="20"/>
                <w:shd w:val="clear" w:color="auto" w:fill="FFFFFF"/>
                <w:lang w:val="en-US"/>
              </w:rPr>
              <w:t xml:space="preserve"> </w:t>
            </w:r>
            <w:r w:rsidRPr="00980A4B">
              <w:rPr>
                <w:rFonts w:eastAsia="Arial Unicode MS"/>
                <w:color w:val="000000" w:themeColor="text1"/>
                <w:sz w:val="20"/>
                <w:szCs w:val="20"/>
                <w:shd w:val="clear" w:color="auto" w:fill="FFFFFF"/>
                <w:lang w:val="en-US"/>
              </w:rPr>
              <w:t>(</w:t>
            </w:r>
            <w:hyperlink r:id="rId178" w:anchor="E0027" w:history="1">
              <w:r w:rsidR="00980A4B" w:rsidRPr="00980A4B">
                <w:rPr>
                  <w:rStyle w:val="apple-converted-space"/>
                  <w:rFonts w:eastAsia="Arial Unicode MS"/>
                  <w:color w:val="000000" w:themeColor="text1"/>
                  <w:sz w:val="20"/>
                  <w:szCs w:val="20"/>
                  <w:lang w:val="en-US"/>
                </w:rPr>
                <w:t xml:space="preserve"> </w:t>
              </w:r>
              <w:r w:rsidRPr="00980A4B">
                <w:rPr>
                  <w:rStyle w:val="superscript"/>
                  <w:rFonts w:eastAsia="Arial Unicode MS"/>
                  <w:color w:val="000000" w:themeColor="text1"/>
                  <w:sz w:val="20"/>
                  <w:szCs w:val="20"/>
                  <w:vertAlign w:val="superscript"/>
                  <w:lang w:val="en-US"/>
                </w:rPr>
                <w:t>26</w:t>
              </w:r>
            </w:hyperlink>
            <w:r w:rsidR="00980A4B" w:rsidRPr="00980A4B">
              <w:rPr>
                <w:rStyle w:val="apple-converted-space"/>
                <w:rFonts w:eastAsia="Arial Unicode MS"/>
                <w:color w:val="000000" w:themeColor="text1"/>
                <w:sz w:val="20"/>
                <w:szCs w:val="20"/>
                <w:lang w:val="en-US"/>
              </w:rPr>
              <w:t xml:space="preserve"> </w:t>
            </w:r>
            <w:r w:rsidRPr="00980A4B">
              <w:rPr>
                <w:rFonts w:eastAsia="Arial Unicode MS"/>
                <w:color w:val="000000" w:themeColor="text1"/>
                <w:sz w:val="20"/>
                <w:szCs w:val="20"/>
                <w:shd w:val="clear" w:color="auto" w:fill="FFFFFF"/>
                <w:lang w:val="en-US"/>
              </w:rPr>
              <w:t>).</w:t>
            </w:r>
          </w:p>
          <w:p w14:paraId="302AA931"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179" w:tooltip="32023L0959: INSERTED" w:history="1">
              <w:r>
                <w:rPr>
                  <w:rStyle w:val="af3"/>
                  <w:rFonts w:eastAsia="Arial Unicode MS"/>
                  <w:b/>
                  <w:bCs/>
                  <w:color w:val="4472C4" w:themeColor="accent1"/>
                  <w:sz w:val="20"/>
                  <w:szCs w:val="20"/>
                </w:rPr>
                <w:t>▼M15</w:t>
              </w:r>
            </w:hyperlink>
          </w:p>
        </w:tc>
        <w:tc>
          <w:tcPr>
            <w:tcW w:w="4394" w:type="dxa"/>
            <w:shd w:val="clear" w:color="auto" w:fill="auto"/>
          </w:tcPr>
          <w:p w14:paraId="6FA97A8A"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3CEF3BF" w14:textId="2A7920DD" w:rsidR="00124364" w:rsidRDefault="00124364">
            <w:pPr>
              <w:pStyle w:val="ColorfulList-Accent11"/>
              <w:spacing w:after="0" w:line="240" w:lineRule="auto"/>
              <w:ind w:left="0"/>
              <w:jc w:val="center"/>
              <w:rPr>
                <w:rFonts w:ascii="Times New Roman" w:hAnsi="Times New Roman"/>
                <w:bCs/>
                <w:sz w:val="20"/>
                <w:szCs w:val="20"/>
                <w:lang w:val="ro-RO"/>
              </w:rPr>
            </w:pPr>
          </w:p>
          <w:p w14:paraId="4569CAB7" w14:textId="0F9866D8" w:rsidR="00124364" w:rsidRDefault="00980A4B">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0692B0A4"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004E823" w14:textId="77777777" w:rsidR="00980A4B" w:rsidRPr="0066519A" w:rsidRDefault="00980A4B" w:rsidP="00980A4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474A51CB" w14:textId="77777777" w:rsidR="00980A4B" w:rsidRDefault="00980A4B" w:rsidP="00980A4B">
            <w:pPr>
              <w:autoSpaceDE w:val="0"/>
              <w:spacing w:after="0" w:line="240" w:lineRule="auto"/>
              <w:rPr>
                <w:rFonts w:ascii="Times New Roman" w:eastAsia="Times New Roman" w:hAnsi="Times New Roman"/>
                <w:sz w:val="20"/>
                <w:szCs w:val="20"/>
                <w:lang w:val="ro-RO"/>
              </w:rPr>
            </w:pPr>
          </w:p>
          <w:p w14:paraId="448F351B"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C375BB6" w14:textId="77777777" w:rsidR="00124364" w:rsidRDefault="00124364" w:rsidP="00980A4B">
            <w:pPr>
              <w:autoSpaceDE w:val="0"/>
              <w:spacing w:after="0" w:line="240" w:lineRule="auto"/>
              <w:rPr>
                <w:rFonts w:ascii="Times New Roman" w:hAnsi="Times New Roman"/>
                <w:sz w:val="20"/>
                <w:szCs w:val="20"/>
                <w:lang w:val="fr-FR"/>
              </w:rPr>
            </w:pPr>
          </w:p>
        </w:tc>
      </w:tr>
      <w:tr w:rsidR="00124364" w14:paraId="0E94BAE0" w14:textId="77777777">
        <w:trPr>
          <w:trHeight w:val="558"/>
        </w:trPr>
        <w:tc>
          <w:tcPr>
            <w:tcW w:w="4957" w:type="dxa"/>
            <w:shd w:val="clear" w:color="auto" w:fill="auto"/>
          </w:tcPr>
          <w:p w14:paraId="44D10389" w14:textId="43122743" w:rsidR="00124364" w:rsidRPr="001F20B2" w:rsidRDefault="00000000" w:rsidP="001F20B2">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1F20B2">
              <w:rPr>
                <w:rFonts w:eastAsia="Arial Unicode MS"/>
                <w:i/>
                <w:iCs/>
                <w:color w:val="000000" w:themeColor="text1"/>
                <w:sz w:val="20"/>
                <w:szCs w:val="20"/>
                <w:shd w:val="clear" w:color="auto" w:fill="FFFFFF"/>
                <w:lang w:val="en-US"/>
              </w:rPr>
              <w:t>Articolul</w:t>
            </w:r>
            <w:proofErr w:type="spellEnd"/>
            <w:r w:rsidR="00980A4B" w:rsidRPr="001F20B2">
              <w:rPr>
                <w:rFonts w:eastAsia="Arial Unicode MS"/>
                <w:i/>
                <w:iCs/>
                <w:color w:val="000000" w:themeColor="text1"/>
                <w:sz w:val="20"/>
                <w:szCs w:val="20"/>
                <w:shd w:val="clear" w:color="auto" w:fill="FFFFFF"/>
                <w:lang w:val="en-US"/>
              </w:rPr>
              <w:t xml:space="preserve"> </w:t>
            </w:r>
            <w:r w:rsidRPr="001F20B2">
              <w:rPr>
                <w:rFonts w:eastAsia="Arial Unicode MS"/>
                <w:i/>
                <w:iCs/>
                <w:color w:val="000000" w:themeColor="text1"/>
                <w:sz w:val="20"/>
                <w:szCs w:val="20"/>
                <w:shd w:val="clear" w:color="auto" w:fill="FFFFFF"/>
                <w:lang w:val="en-US"/>
              </w:rPr>
              <w:t>10f</w:t>
            </w:r>
          </w:p>
          <w:p w14:paraId="21816966" w14:textId="77777777" w:rsidR="00124364" w:rsidRPr="001F20B2" w:rsidRDefault="00000000" w:rsidP="001F20B2">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1F20B2">
              <w:rPr>
                <w:rFonts w:eastAsia="Arial Unicode MS"/>
                <w:b/>
                <w:bCs/>
                <w:color w:val="000000" w:themeColor="text1"/>
                <w:sz w:val="20"/>
                <w:szCs w:val="20"/>
                <w:shd w:val="clear" w:color="auto" w:fill="FFFFFF"/>
                <w:lang w:val="en-US"/>
              </w:rPr>
              <w:t>Principiul</w:t>
            </w:r>
            <w:proofErr w:type="spellEnd"/>
            <w:r w:rsidRPr="001F20B2">
              <w:rPr>
                <w:rFonts w:eastAsia="Arial Unicode MS"/>
                <w:b/>
                <w:bCs/>
                <w:color w:val="000000" w:themeColor="text1"/>
                <w:sz w:val="20"/>
                <w:szCs w:val="20"/>
                <w:shd w:val="clear" w:color="auto" w:fill="FFFFFF"/>
                <w:lang w:val="en-US"/>
              </w:rPr>
              <w:t xml:space="preserve"> de „a </w:t>
            </w:r>
            <w:proofErr w:type="spellStart"/>
            <w:r w:rsidRPr="001F20B2">
              <w:rPr>
                <w:rFonts w:eastAsia="Arial Unicode MS"/>
                <w:b/>
                <w:bCs/>
                <w:color w:val="000000" w:themeColor="text1"/>
                <w:sz w:val="20"/>
                <w:szCs w:val="20"/>
                <w:shd w:val="clear" w:color="auto" w:fill="FFFFFF"/>
                <w:lang w:val="en-US"/>
              </w:rPr>
              <w:t>nu</w:t>
            </w:r>
            <w:proofErr w:type="spellEnd"/>
            <w:r w:rsidRPr="001F20B2">
              <w:rPr>
                <w:rFonts w:eastAsia="Arial Unicode MS"/>
                <w:b/>
                <w:bCs/>
                <w:color w:val="000000" w:themeColor="text1"/>
                <w:sz w:val="20"/>
                <w:szCs w:val="20"/>
                <w:shd w:val="clear" w:color="auto" w:fill="FFFFFF"/>
                <w:lang w:val="en-US"/>
              </w:rPr>
              <w:t xml:space="preserve"> </w:t>
            </w:r>
            <w:proofErr w:type="spellStart"/>
            <w:r w:rsidRPr="001F20B2">
              <w:rPr>
                <w:rFonts w:eastAsia="Arial Unicode MS"/>
                <w:b/>
                <w:bCs/>
                <w:color w:val="000000" w:themeColor="text1"/>
                <w:sz w:val="20"/>
                <w:szCs w:val="20"/>
                <w:shd w:val="clear" w:color="auto" w:fill="FFFFFF"/>
                <w:lang w:val="en-US"/>
              </w:rPr>
              <w:t>prejudicia</w:t>
            </w:r>
            <w:proofErr w:type="spellEnd"/>
            <w:r w:rsidRPr="001F20B2">
              <w:rPr>
                <w:rFonts w:eastAsia="Arial Unicode MS"/>
                <w:b/>
                <w:bCs/>
                <w:color w:val="000000" w:themeColor="text1"/>
                <w:sz w:val="20"/>
                <w:szCs w:val="20"/>
                <w:shd w:val="clear" w:color="auto" w:fill="FFFFFF"/>
                <w:lang w:val="en-US"/>
              </w:rPr>
              <w:t xml:space="preserve"> în mod </w:t>
            </w:r>
            <w:proofErr w:type="spellStart"/>
            <w:r w:rsidRPr="001F20B2">
              <w:rPr>
                <w:rFonts w:eastAsia="Arial Unicode MS"/>
                <w:b/>
                <w:bCs/>
                <w:color w:val="000000" w:themeColor="text1"/>
                <w:sz w:val="20"/>
                <w:szCs w:val="20"/>
                <w:shd w:val="clear" w:color="auto" w:fill="FFFFFF"/>
                <w:lang w:val="en-US"/>
              </w:rPr>
              <w:t>semnificativ</w:t>
            </w:r>
            <w:proofErr w:type="spellEnd"/>
            <w:r w:rsidRPr="001F20B2">
              <w:rPr>
                <w:rFonts w:eastAsia="Arial Unicode MS"/>
                <w:b/>
                <w:bCs/>
                <w:color w:val="000000" w:themeColor="text1"/>
                <w:sz w:val="20"/>
                <w:szCs w:val="20"/>
                <w:shd w:val="clear" w:color="auto" w:fill="FFFFFF"/>
                <w:lang w:val="en-US"/>
              </w:rPr>
              <w:t>”</w:t>
            </w:r>
          </w:p>
          <w:p w14:paraId="7CB54498" w14:textId="6B397680" w:rsidR="00124364" w:rsidRPr="001F20B2" w:rsidRDefault="00000000" w:rsidP="001F20B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F20B2">
              <w:rPr>
                <w:rFonts w:eastAsia="Arial Unicode MS"/>
                <w:color w:val="000000" w:themeColor="text1"/>
                <w:sz w:val="20"/>
                <w:szCs w:val="20"/>
                <w:shd w:val="clear" w:color="auto" w:fill="FFFFFF"/>
                <w:lang w:val="en-US"/>
              </w:rPr>
              <w:lastRenderedPageBreak/>
              <w:t>Începând</w:t>
            </w:r>
            <w:proofErr w:type="spellEnd"/>
            <w:r w:rsidRPr="001F20B2">
              <w:rPr>
                <w:rFonts w:eastAsia="Arial Unicode MS"/>
                <w:color w:val="000000" w:themeColor="text1"/>
                <w:sz w:val="20"/>
                <w:szCs w:val="20"/>
                <w:shd w:val="clear" w:color="auto" w:fill="FFFFFF"/>
                <w:lang w:val="en-US"/>
              </w:rPr>
              <w:t xml:space="preserve"> din 1</w:t>
            </w:r>
            <w:r w:rsidR="001F20B2"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ianuarie</w:t>
            </w:r>
            <w:proofErr w:type="spellEnd"/>
            <w:r w:rsidRPr="001F20B2">
              <w:rPr>
                <w:rFonts w:eastAsia="Arial Unicode MS"/>
                <w:color w:val="000000" w:themeColor="text1"/>
                <w:sz w:val="20"/>
                <w:szCs w:val="20"/>
                <w:shd w:val="clear" w:color="auto" w:fill="FFFFFF"/>
                <w:lang w:val="en-US"/>
              </w:rPr>
              <w:t xml:space="preserve"> 2025, </w:t>
            </w:r>
            <w:proofErr w:type="spellStart"/>
            <w:r w:rsidRPr="001F20B2">
              <w:rPr>
                <w:rFonts w:eastAsia="Arial Unicode MS"/>
                <w:color w:val="000000" w:themeColor="text1"/>
                <w:sz w:val="20"/>
                <w:szCs w:val="20"/>
                <w:shd w:val="clear" w:color="auto" w:fill="FFFFFF"/>
                <w:lang w:val="en-US"/>
              </w:rPr>
              <w:t>statele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membre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beneficiare</w:t>
            </w:r>
            <w:proofErr w:type="spellEnd"/>
            <w:r w:rsidRPr="001F20B2">
              <w:rPr>
                <w:rFonts w:eastAsia="Arial Unicode MS"/>
                <w:color w:val="000000" w:themeColor="text1"/>
                <w:sz w:val="20"/>
                <w:szCs w:val="20"/>
                <w:shd w:val="clear" w:color="auto" w:fill="FFFFFF"/>
                <w:lang w:val="en-US"/>
              </w:rPr>
              <w:t xml:space="preserve"> și </w:t>
            </w:r>
            <w:proofErr w:type="spellStart"/>
            <w:r w:rsidRPr="001F20B2">
              <w:rPr>
                <w:rFonts w:eastAsia="Arial Unicode MS"/>
                <w:color w:val="000000" w:themeColor="text1"/>
                <w:sz w:val="20"/>
                <w:szCs w:val="20"/>
                <w:shd w:val="clear" w:color="auto" w:fill="FFFFFF"/>
                <w:lang w:val="en-US"/>
              </w:rPr>
              <w:t>Comisia</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utilizează</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veniturile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provenite</w:t>
            </w:r>
            <w:proofErr w:type="spellEnd"/>
            <w:r w:rsidRPr="001F20B2">
              <w:rPr>
                <w:rFonts w:eastAsia="Arial Unicode MS"/>
                <w:color w:val="000000" w:themeColor="text1"/>
                <w:sz w:val="20"/>
                <w:szCs w:val="20"/>
                <w:shd w:val="clear" w:color="auto" w:fill="FFFFFF"/>
                <w:lang w:val="en-US"/>
              </w:rPr>
              <w:t xml:space="preserve"> din </w:t>
            </w:r>
            <w:proofErr w:type="spellStart"/>
            <w:r w:rsidRPr="001F20B2">
              <w:rPr>
                <w:rFonts w:eastAsia="Arial Unicode MS"/>
                <w:color w:val="000000" w:themeColor="text1"/>
                <w:sz w:val="20"/>
                <w:szCs w:val="20"/>
                <w:shd w:val="clear" w:color="auto" w:fill="FFFFFF"/>
                <w:lang w:val="en-US"/>
              </w:rPr>
              <w:t>licitarea</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certificatelor</w:t>
            </w:r>
            <w:proofErr w:type="spellEnd"/>
            <w:r w:rsidRPr="001F20B2">
              <w:rPr>
                <w:rFonts w:eastAsia="Arial Unicode MS"/>
                <w:color w:val="000000" w:themeColor="text1"/>
                <w:sz w:val="20"/>
                <w:szCs w:val="20"/>
                <w:shd w:val="clear" w:color="auto" w:fill="FFFFFF"/>
                <w:lang w:val="en-US"/>
              </w:rPr>
              <w:t xml:space="preserve"> destinate </w:t>
            </w:r>
            <w:proofErr w:type="spellStart"/>
            <w:r w:rsidRPr="001F20B2">
              <w:rPr>
                <w:rFonts w:eastAsia="Arial Unicode MS"/>
                <w:color w:val="000000" w:themeColor="text1"/>
                <w:sz w:val="20"/>
                <w:szCs w:val="20"/>
                <w:shd w:val="clear" w:color="auto" w:fill="FFFFFF"/>
                <w:lang w:val="en-US"/>
              </w:rPr>
              <w:t>Fondului</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pentru</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inovare</w:t>
            </w:r>
            <w:proofErr w:type="spellEnd"/>
            <w:r w:rsidRPr="001F20B2">
              <w:rPr>
                <w:rFonts w:eastAsia="Arial Unicode MS"/>
                <w:color w:val="000000" w:themeColor="text1"/>
                <w:sz w:val="20"/>
                <w:szCs w:val="20"/>
                <w:shd w:val="clear" w:color="auto" w:fill="FFFFFF"/>
                <w:lang w:val="en-US"/>
              </w:rPr>
              <w:t xml:space="preserve"> în </w:t>
            </w:r>
            <w:proofErr w:type="spellStart"/>
            <w:r w:rsidRPr="001F20B2">
              <w:rPr>
                <w:rFonts w:eastAsia="Arial Unicode MS"/>
                <w:color w:val="000000" w:themeColor="text1"/>
                <w:sz w:val="20"/>
                <w:szCs w:val="20"/>
                <w:shd w:val="clear" w:color="auto" w:fill="FFFFFF"/>
                <w:lang w:val="en-US"/>
              </w:rPr>
              <w:t>temeiul</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articolului</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10a </w:t>
            </w:r>
            <w:proofErr w:type="spellStart"/>
            <w:r w:rsidRPr="001F20B2">
              <w:rPr>
                <w:rFonts w:eastAsia="Arial Unicode MS"/>
                <w:color w:val="000000" w:themeColor="text1"/>
                <w:sz w:val="20"/>
                <w:szCs w:val="20"/>
                <w:shd w:val="clear" w:color="auto" w:fill="FFFFFF"/>
                <w:lang w:val="en-US"/>
              </w:rPr>
              <w:t>alineatul</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(8) din prezenta </w:t>
            </w:r>
            <w:proofErr w:type="spellStart"/>
            <w:r w:rsidRPr="001F20B2">
              <w:rPr>
                <w:rFonts w:eastAsia="Arial Unicode MS"/>
                <w:color w:val="000000" w:themeColor="text1"/>
                <w:sz w:val="20"/>
                <w:szCs w:val="20"/>
                <w:shd w:val="clear" w:color="auto" w:fill="FFFFFF"/>
                <w:lang w:val="en-US"/>
              </w:rPr>
              <w:t>directivă</w:t>
            </w:r>
            <w:proofErr w:type="spellEnd"/>
            <w:r w:rsidRPr="001F20B2">
              <w:rPr>
                <w:rFonts w:eastAsia="Arial Unicode MS"/>
                <w:color w:val="000000" w:themeColor="text1"/>
                <w:sz w:val="20"/>
                <w:szCs w:val="20"/>
                <w:shd w:val="clear" w:color="auto" w:fill="FFFFFF"/>
                <w:lang w:val="en-US"/>
              </w:rPr>
              <w:t xml:space="preserve"> și a </w:t>
            </w:r>
            <w:proofErr w:type="spellStart"/>
            <w:r w:rsidRPr="001F20B2">
              <w:rPr>
                <w:rFonts w:eastAsia="Arial Unicode MS"/>
                <w:color w:val="000000" w:themeColor="text1"/>
                <w:sz w:val="20"/>
                <w:szCs w:val="20"/>
                <w:shd w:val="clear" w:color="auto" w:fill="FFFFFF"/>
                <w:lang w:val="en-US"/>
              </w:rPr>
              <w:t>certificatelor</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menționate</w:t>
            </w:r>
            <w:proofErr w:type="spellEnd"/>
            <w:r w:rsidRPr="001F20B2">
              <w:rPr>
                <w:rFonts w:eastAsia="Arial Unicode MS"/>
                <w:color w:val="000000" w:themeColor="text1"/>
                <w:sz w:val="20"/>
                <w:szCs w:val="20"/>
                <w:shd w:val="clear" w:color="auto" w:fill="FFFFFF"/>
                <w:lang w:val="en-US"/>
              </w:rPr>
              <w:t xml:space="preserve"> la </w:t>
            </w:r>
            <w:proofErr w:type="spellStart"/>
            <w:r w:rsidRPr="001F20B2">
              <w:rPr>
                <w:rFonts w:eastAsia="Arial Unicode MS"/>
                <w:color w:val="000000" w:themeColor="text1"/>
                <w:sz w:val="20"/>
                <w:szCs w:val="20"/>
                <w:shd w:val="clear" w:color="auto" w:fill="FFFFFF"/>
                <w:lang w:val="en-US"/>
              </w:rPr>
              <w:t>articolul</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10 </w:t>
            </w:r>
            <w:proofErr w:type="spellStart"/>
            <w:r w:rsidRPr="001F20B2">
              <w:rPr>
                <w:rFonts w:eastAsia="Arial Unicode MS"/>
                <w:color w:val="000000" w:themeColor="text1"/>
                <w:sz w:val="20"/>
                <w:szCs w:val="20"/>
                <w:shd w:val="clear" w:color="auto" w:fill="FFFFFF"/>
                <w:lang w:val="en-US"/>
              </w:rPr>
              <w:t>alineatul</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(1) al </w:t>
            </w:r>
            <w:proofErr w:type="spellStart"/>
            <w:r w:rsidRPr="001F20B2">
              <w:rPr>
                <w:rFonts w:eastAsia="Arial Unicode MS"/>
                <w:color w:val="000000" w:themeColor="text1"/>
                <w:sz w:val="20"/>
                <w:szCs w:val="20"/>
                <w:shd w:val="clear" w:color="auto" w:fill="FFFFFF"/>
                <w:lang w:val="en-US"/>
              </w:rPr>
              <w:t>treilea</w:t>
            </w:r>
            <w:proofErr w:type="spellEnd"/>
            <w:r w:rsidRPr="001F20B2">
              <w:rPr>
                <w:rFonts w:eastAsia="Arial Unicode MS"/>
                <w:color w:val="000000" w:themeColor="text1"/>
                <w:sz w:val="20"/>
                <w:szCs w:val="20"/>
                <w:shd w:val="clear" w:color="auto" w:fill="FFFFFF"/>
                <w:lang w:val="en-US"/>
              </w:rPr>
              <w:t xml:space="preserve"> și al </w:t>
            </w:r>
            <w:proofErr w:type="spellStart"/>
            <w:r w:rsidRPr="001F20B2">
              <w:rPr>
                <w:rFonts w:eastAsia="Arial Unicode MS"/>
                <w:color w:val="000000" w:themeColor="text1"/>
                <w:sz w:val="20"/>
                <w:szCs w:val="20"/>
                <w:shd w:val="clear" w:color="auto" w:fill="FFFFFF"/>
                <w:lang w:val="en-US"/>
              </w:rPr>
              <w:t>patrulea</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paragraf</w:t>
            </w:r>
            <w:proofErr w:type="spellEnd"/>
            <w:r w:rsidRPr="001F20B2">
              <w:rPr>
                <w:rFonts w:eastAsia="Arial Unicode MS"/>
                <w:color w:val="000000" w:themeColor="text1"/>
                <w:sz w:val="20"/>
                <w:szCs w:val="20"/>
                <w:shd w:val="clear" w:color="auto" w:fill="FFFFFF"/>
                <w:lang w:val="en-US"/>
              </w:rPr>
              <w:t xml:space="preserve"> din prezenta </w:t>
            </w:r>
            <w:proofErr w:type="spellStart"/>
            <w:r w:rsidRPr="001F20B2">
              <w:rPr>
                <w:rFonts w:eastAsia="Arial Unicode MS"/>
                <w:color w:val="000000" w:themeColor="text1"/>
                <w:sz w:val="20"/>
                <w:szCs w:val="20"/>
                <w:shd w:val="clear" w:color="auto" w:fill="FFFFFF"/>
                <w:lang w:val="en-US"/>
              </w:rPr>
              <w:t>directivă</w:t>
            </w:r>
            <w:proofErr w:type="spellEnd"/>
            <w:r w:rsidRPr="001F20B2">
              <w:rPr>
                <w:rFonts w:eastAsia="Arial Unicode MS"/>
                <w:color w:val="000000" w:themeColor="text1"/>
                <w:sz w:val="20"/>
                <w:szCs w:val="20"/>
                <w:shd w:val="clear" w:color="auto" w:fill="FFFFFF"/>
                <w:lang w:val="en-US"/>
              </w:rPr>
              <w:t xml:space="preserve">, în conformitate cu </w:t>
            </w:r>
            <w:proofErr w:type="spellStart"/>
            <w:r w:rsidRPr="001F20B2">
              <w:rPr>
                <w:rFonts w:eastAsia="Arial Unicode MS"/>
                <w:color w:val="000000" w:themeColor="text1"/>
                <w:sz w:val="20"/>
                <w:szCs w:val="20"/>
                <w:shd w:val="clear" w:color="auto" w:fill="FFFFFF"/>
                <w:lang w:val="en-US"/>
              </w:rPr>
              <w:t>criteriile</w:t>
            </w:r>
            <w:proofErr w:type="spellEnd"/>
            <w:r w:rsidRPr="001F20B2">
              <w:rPr>
                <w:rFonts w:eastAsia="Arial Unicode MS"/>
                <w:color w:val="000000" w:themeColor="text1"/>
                <w:sz w:val="20"/>
                <w:szCs w:val="20"/>
                <w:shd w:val="clear" w:color="auto" w:fill="FFFFFF"/>
                <w:lang w:val="en-US"/>
              </w:rPr>
              <w:t xml:space="preserve"> de „a </w:t>
            </w:r>
            <w:proofErr w:type="spellStart"/>
            <w:r w:rsidRPr="001F20B2">
              <w:rPr>
                <w:rFonts w:eastAsia="Arial Unicode MS"/>
                <w:color w:val="000000" w:themeColor="text1"/>
                <w:sz w:val="20"/>
                <w:szCs w:val="20"/>
                <w:shd w:val="clear" w:color="auto" w:fill="FFFFFF"/>
                <w:lang w:val="en-US"/>
              </w:rPr>
              <w:t>nu</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prejudicia</w:t>
            </w:r>
            <w:proofErr w:type="spellEnd"/>
            <w:r w:rsidRPr="001F20B2">
              <w:rPr>
                <w:rFonts w:eastAsia="Arial Unicode MS"/>
                <w:color w:val="000000" w:themeColor="text1"/>
                <w:sz w:val="20"/>
                <w:szCs w:val="20"/>
                <w:shd w:val="clear" w:color="auto" w:fill="FFFFFF"/>
                <w:lang w:val="en-US"/>
              </w:rPr>
              <w:t xml:space="preserve"> în mod </w:t>
            </w:r>
            <w:proofErr w:type="spellStart"/>
            <w:r w:rsidRPr="001F20B2">
              <w:rPr>
                <w:rFonts w:eastAsia="Arial Unicode MS"/>
                <w:color w:val="000000" w:themeColor="text1"/>
                <w:sz w:val="20"/>
                <w:szCs w:val="20"/>
                <w:shd w:val="clear" w:color="auto" w:fill="FFFFFF"/>
                <w:lang w:val="en-US"/>
              </w:rPr>
              <w:t>semnificativ</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prevăzute</w:t>
            </w:r>
            <w:proofErr w:type="spellEnd"/>
            <w:r w:rsidRPr="001F20B2">
              <w:rPr>
                <w:rFonts w:eastAsia="Arial Unicode MS"/>
                <w:color w:val="000000" w:themeColor="text1"/>
                <w:sz w:val="20"/>
                <w:szCs w:val="20"/>
                <w:shd w:val="clear" w:color="auto" w:fill="FFFFFF"/>
                <w:lang w:val="en-US"/>
              </w:rPr>
              <w:t xml:space="preserve"> la </w:t>
            </w:r>
            <w:proofErr w:type="spellStart"/>
            <w:r w:rsidRPr="001F20B2">
              <w:rPr>
                <w:rFonts w:eastAsia="Arial Unicode MS"/>
                <w:color w:val="000000" w:themeColor="text1"/>
                <w:sz w:val="20"/>
                <w:szCs w:val="20"/>
                <w:shd w:val="clear" w:color="auto" w:fill="FFFFFF"/>
                <w:lang w:val="en-US"/>
              </w:rPr>
              <w:t>articolul</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17 din </w:t>
            </w:r>
            <w:proofErr w:type="spellStart"/>
            <w:r w:rsidRPr="001F20B2">
              <w:rPr>
                <w:rFonts w:eastAsia="Arial Unicode MS"/>
                <w:color w:val="000000" w:themeColor="text1"/>
                <w:sz w:val="20"/>
                <w:szCs w:val="20"/>
                <w:shd w:val="clear" w:color="auto" w:fill="FFFFFF"/>
                <w:lang w:val="en-US"/>
              </w:rPr>
              <w:t>Regulamentul</w:t>
            </w:r>
            <w:proofErr w:type="spellEnd"/>
            <w:r w:rsidRPr="001F20B2">
              <w:rPr>
                <w:rFonts w:eastAsia="Arial Unicode MS"/>
                <w:color w:val="000000" w:themeColor="text1"/>
                <w:sz w:val="20"/>
                <w:szCs w:val="20"/>
                <w:shd w:val="clear" w:color="auto" w:fill="FFFFFF"/>
                <w:lang w:val="en-US"/>
              </w:rPr>
              <w:t xml:space="preserve"> (UE)</w:t>
            </w:r>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2020/852, în </w:t>
            </w:r>
            <w:proofErr w:type="spellStart"/>
            <w:r w:rsidRPr="001F20B2">
              <w:rPr>
                <w:rFonts w:eastAsia="Arial Unicode MS"/>
                <w:color w:val="000000" w:themeColor="text1"/>
                <w:sz w:val="20"/>
                <w:szCs w:val="20"/>
                <w:shd w:val="clear" w:color="auto" w:fill="FFFFFF"/>
                <w:lang w:val="en-US"/>
              </w:rPr>
              <w:t>cazul</w:t>
            </w:r>
            <w:proofErr w:type="spellEnd"/>
            <w:r w:rsidRPr="001F20B2">
              <w:rPr>
                <w:rFonts w:eastAsia="Arial Unicode MS"/>
                <w:color w:val="000000" w:themeColor="text1"/>
                <w:sz w:val="20"/>
                <w:szCs w:val="20"/>
                <w:shd w:val="clear" w:color="auto" w:fill="FFFFFF"/>
                <w:lang w:val="en-US"/>
              </w:rPr>
              <w:t xml:space="preserve"> în care </w:t>
            </w:r>
            <w:proofErr w:type="spellStart"/>
            <w:r w:rsidRPr="001F20B2">
              <w:rPr>
                <w:rFonts w:eastAsia="Arial Unicode MS"/>
                <w:color w:val="000000" w:themeColor="text1"/>
                <w:sz w:val="20"/>
                <w:szCs w:val="20"/>
                <w:shd w:val="clear" w:color="auto" w:fill="FFFFFF"/>
                <w:lang w:val="en-US"/>
              </w:rPr>
              <w:t>astfel</w:t>
            </w:r>
            <w:proofErr w:type="spellEnd"/>
            <w:r w:rsidRPr="001F20B2">
              <w:rPr>
                <w:rFonts w:eastAsia="Arial Unicode MS"/>
                <w:color w:val="000000" w:themeColor="text1"/>
                <w:sz w:val="20"/>
                <w:szCs w:val="20"/>
                <w:shd w:val="clear" w:color="auto" w:fill="FFFFFF"/>
                <w:lang w:val="en-US"/>
              </w:rPr>
              <w:t xml:space="preserve"> de </w:t>
            </w:r>
            <w:proofErr w:type="spellStart"/>
            <w:r w:rsidRPr="001F20B2">
              <w:rPr>
                <w:rFonts w:eastAsia="Arial Unicode MS"/>
                <w:color w:val="000000" w:themeColor="text1"/>
                <w:sz w:val="20"/>
                <w:szCs w:val="20"/>
                <w:shd w:val="clear" w:color="auto" w:fill="FFFFFF"/>
                <w:lang w:val="en-US"/>
              </w:rPr>
              <w:t>venituri</w:t>
            </w:r>
            <w:proofErr w:type="spellEnd"/>
            <w:r w:rsidRPr="001F20B2">
              <w:rPr>
                <w:rFonts w:eastAsia="Arial Unicode MS"/>
                <w:color w:val="000000" w:themeColor="text1"/>
                <w:sz w:val="20"/>
                <w:szCs w:val="20"/>
                <w:shd w:val="clear" w:color="auto" w:fill="FFFFFF"/>
                <w:lang w:val="en-US"/>
              </w:rPr>
              <w:t xml:space="preserve"> sunt </w:t>
            </w:r>
            <w:proofErr w:type="spellStart"/>
            <w:r w:rsidRPr="001F20B2">
              <w:rPr>
                <w:rFonts w:eastAsia="Arial Unicode MS"/>
                <w:color w:val="000000" w:themeColor="text1"/>
                <w:sz w:val="20"/>
                <w:szCs w:val="20"/>
                <w:shd w:val="clear" w:color="auto" w:fill="FFFFFF"/>
                <w:lang w:val="en-US"/>
              </w:rPr>
              <w:t>utilizate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pentru</w:t>
            </w:r>
            <w:proofErr w:type="spellEnd"/>
            <w:r w:rsidRPr="001F20B2">
              <w:rPr>
                <w:rFonts w:eastAsia="Arial Unicode MS"/>
                <w:color w:val="000000" w:themeColor="text1"/>
                <w:sz w:val="20"/>
                <w:szCs w:val="20"/>
                <w:shd w:val="clear" w:color="auto" w:fill="FFFFFF"/>
                <w:lang w:val="en-US"/>
              </w:rPr>
              <w:t xml:space="preserve"> o </w:t>
            </w:r>
            <w:proofErr w:type="spellStart"/>
            <w:r w:rsidRPr="001F20B2">
              <w:rPr>
                <w:rFonts w:eastAsia="Arial Unicode MS"/>
                <w:color w:val="000000" w:themeColor="text1"/>
                <w:sz w:val="20"/>
                <w:szCs w:val="20"/>
                <w:shd w:val="clear" w:color="auto" w:fill="FFFFFF"/>
                <w:lang w:val="en-US"/>
              </w:rPr>
              <w:t>activitate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economică</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pentru</w:t>
            </w:r>
            <w:proofErr w:type="spellEnd"/>
            <w:r w:rsidRPr="001F20B2">
              <w:rPr>
                <w:rFonts w:eastAsia="Arial Unicode MS"/>
                <w:color w:val="000000" w:themeColor="text1"/>
                <w:sz w:val="20"/>
                <w:szCs w:val="20"/>
                <w:shd w:val="clear" w:color="auto" w:fill="FFFFFF"/>
                <w:lang w:val="en-US"/>
              </w:rPr>
              <w:t xml:space="preserve"> care au </w:t>
            </w:r>
            <w:proofErr w:type="spellStart"/>
            <w:r w:rsidRPr="001F20B2">
              <w:rPr>
                <w:rFonts w:eastAsia="Arial Unicode MS"/>
                <w:color w:val="000000" w:themeColor="text1"/>
                <w:sz w:val="20"/>
                <w:szCs w:val="20"/>
                <w:shd w:val="clear" w:color="auto" w:fill="FFFFFF"/>
                <w:lang w:val="en-US"/>
              </w:rPr>
              <w:t>fost</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stabilite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criterii</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tehnice</w:t>
            </w:r>
            <w:proofErr w:type="spellEnd"/>
            <w:r w:rsidRPr="001F20B2">
              <w:rPr>
                <w:rFonts w:eastAsia="Arial Unicode MS"/>
                <w:color w:val="000000" w:themeColor="text1"/>
                <w:sz w:val="20"/>
                <w:szCs w:val="20"/>
                <w:shd w:val="clear" w:color="auto" w:fill="FFFFFF"/>
                <w:lang w:val="en-US"/>
              </w:rPr>
              <w:t xml:space="preserve"> de </w:t>
            </w:r>
            <w:proofErr w:type="spellStart"/>
            <w:r w:rsidRPr="001F20B2">
              <w:rPr>
                <w:rFonts w:eastAsia="Arial Unicode MS"/>
                <w:color w:val="000000" w:themeColor="text1"/>
                <w:sz w:val="20"/>
                <w:szCs w:val="20"/>
                <w:shd w:val="clear" w:color="auto" w:fill="FFFFFF"/>
                <w:lang w:val="en-US"/>
              </w:rPr>
              <w:t>examinare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pentru</w:t>
            </w:r>
            <w:proofErr w:type="spellEnd"/>
            <w:r w:rsidRPr="001F20B2">
              <w:rPr>
                <w:rFonts w:eastAsia="Arial Unicode MS"/>
                <w:color w:val="000000" w:themeColor="text1"/>
                <w:sz w:val="20"/>
                <w:szCs w:val="20"/>
                <w:shd w:val="clear" w:color="auto" w:fill="FFFFFF"/>
                <w:lang w:val="en-US"/>
              </w:rPr>
              <w:t xml:space="preserve"> a </w:t>
            </w:r>
            <w:proofErr w:type="spellStart"/>
            <w:r w:rsidRPr="001F20B2">
              <w:rPr>
                <w:rFonts w:eastAsia="Arial Unicode MS"/>
                <w:color w:val="000000" w:themeColor="text1"/>
                <w:sz w:val="20"/>
                <w:szCs w:val="20"/>
                <w:shd w:val="clear" w:color="auto" w:fill="FFFFFF"/>
                <w:lang w:val="en-US"/>
              </w:rPr>
              <w:t>stabili</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dacă</w:t>
            </w:r>
            <w:proofErr w:type="spellEnd"/>
            <w:r w:rsidRPr="001F20B2">
              <w:rPr>
                <w:rFonts w:eastAsia="Arial Unicode MS"/>
                <w:color w:val="000000" w:themeColor="text1"/>
                <w:sz w:val="20"/>
                <w:szCs w:val="20"/>
                <w:shd w:val="clear" w:color="auto" w:fill="FFFFFF"/>
                <w:lang w:val="en-US"/>
              </w:rPr>
              <w:t xml:space="preserve"> o </w:t>
            </w:r>
            <w:proofErr w:type="spellStart"/>
            <w:r w:rsidRPr="001F20B2">
              <w:rPr>
                <w:rFonts w:eastAsia="Arial Unicode MS"/>
                <w:color w:val="000000" w:themeColor="text1"/>
                <w:sz w:val="20"/>
                <w:szCs w:val="20"/>
                <w:shd w:val="clear" w:color="auto" w:fill="FFFFFF"/>
                <w:lang w:val="en-US"/>
              </w:rPr>
              <w:t>activitate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economică</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prejudiciază</w:t>
            </w:r>
            <w:proofErr w:type="spellEnd"/>
            <w:r w:rsidRPr="001F20B2">
              <w:rPr>
                <w:rFonts w:eastAsia="Arial Unicode MS"/>
                <w:color w:val="000000" w:themeColor="text1"/>
                <w:sz w:val="20"/>
                <w:szCs w:val="20"/>
                <w:shd w:val="clear" w:color="auto" w:fill="FFFFFF"/>
                <w:lang w:val="en-US"/>
              </w:rPr>
              <w:t xml:space="preserve"> în mod </w:t>
            </w:r>
            <w:proofErr w:type="spellStart"/>
            <w:r w:rsidRPr="001F20B2">
              <w:rPr>
                <w:rFonts w:eastAsia="Arial Unicode MS"/>
                <w:color w:val="000000" w:themeColor="text1"/>
                <w:sz w:val="20"/>
                <w:szCs w:val="20"/>
                <w:shd w:val="clear" w:color="auto" w:fill="FFFFFF"/>
                <w:lang w:val="en-US"/>
              </w:rPr>
              <w:t>semnificativ</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unul</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sau</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mai</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multe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dintre</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obiectivele</w:t>
            </w:r>
            <w:proofErr w:type="spellEnd"/>
            <w:r w:rsidRPr="001F20B2">
              <w:rPr>
                <w:rFonts w:eastAsia="Arial Unicode MS"/>
                <w:color w:val="000000" w:themeColor="text1"/>
                <w:sz w:val="20"/>
                <w:szCs w:val="20"/>
                <w:shd w:val="clear" w:color="auto" w:fill="FFFFFF"/>
                <w:lang w:val="en-US"/>
              </w:rPr>
              <w:t xml:space="preserve"> de </w:t>
            </w:r>
            <w:proofErr w:type="spellStart"/>
            <w:r w:rsidRPr="001F20B2">
              <w:rPr>
                <w:rFonts w:eastAsia="Arial Unicode MS"/>
                <w:color w:val="000000" w:themeColor="text1"/>
                <w:sz w:val="20"/>
                <w:szCs w:val="20"/>
                <w:shd w:val="clear" w:color="auto" w:fill="FFFFFF"/>
                <w:lang w:val="en-US"/>
              </w:rPr>
              <w:t>mediu</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relevante</w:t>
            </w:r>
            <w:proofErr w:type="spellEnd"/>
            <w:r w:rsidRPr="001F20B2">
              <w:rPr>
                <w:rFonts w:eastAsia="Arial Unicode MS"/>
                <w:color w:val="000000" w:themeColor="text1"/>
                <w:sz w:val="20"/>
                <w:szCs w:val="20"/>
                <w:shd w:val="clear" w:color="auto" w:fill="FFFFFF"/>
                <w:lang w:val="en-US"/>
              </w:rPr>
              <w:t xml:space="preserve"> în </w:t>
            </w:r>
            <w:proofErr w:type="spellStart"/>
            <w:r w:rsidRPr="001F20B2">
              <w:rPr>
                <w:rFonts w:eastAsia="Arial Unicode MS"/>
                <w:color w:val="000000" w:themeColor="text1"/>
                <w:sz w:val="20"/>
                <w:szCs w:val="20"/>
                <w:shd w:val="clear" w:color="auto" w:fill="FFFFFF"/>
                <w:lang w:val="en-US"/>
              </w:rPr>
              <w:t>temeiul</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articolului</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10 </w:t>
            </w:r>
            <w:proofErr w:type="spellStart"/>
            <w:r w:rsidRPr="001F20B2">
              <w:rPr>
                <w:rFonts w:eastAsia="Arial Unicode MS"/>
                <w:color w:val="000000" w:themeColor="text1"/>
                <w:sz w:val="20"/>
                <w:szCs w:val="20"/>
                <w:shd w:val="clear" w:color="auto" w:fill="FFFFFF"/>
                <w:lang w:val="en-US"/>
              </w:rPr>
              <w:t>alineatul</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(3) </w:t>
            </w:r>
            <w:proofErr w:type="spellStart"/>
            <w:r w:rsidRPr="001F20B2">
              <w:rPr>
                <w:rFonts w:eastAsia="Arial Unicode MS"/>
                <w:color w:val="000000" w:themeColor="text1"/>
                <w:sz w:val="20"/>
                <w:szCs w:val="20"/>
                <w:shd w:val="clear" w:color="auto" w:fill="FFFFFF"/>
                <w:lang w:val="en-US"/>
              </w:rPr>
              <w:t>litera</w:t>
            </w:r>
            <w:proofErr w:type="spellEnd"/>
            <w:r w:rsidR="001F20B2" w:rsidRPr="001F20B2">
              <w:rPr>
                <w:rFonts w:eastAsia="Arial Unicode MS"/>
                <w:color w:val="000000" w:themeColor="text1"/>
                <w:sz w:val="20"/>
                <w:szCs w:val="20"/>
                <w:shd w:val="clear" w:color="auto" w:fill="FFFFFF"/>
                <w:lang w:val="en-US"/>
              </w:rPr>
              <w:t xml:space="preserve"> </w:t>
            </w:r>
            <w:r w:rsidRPr="001F20B2">
              <w:rPr>
                <w:rFonts w:eastAsia="Arial Unicode MS"/>
                <w:color w:val="000000" w:themeColor="text1"/>
                <w:sz w:val="20"/>
                <w:szCs w:val="20"/>
                <w:shd w:val="clear" w:color="auto" w:fill="FFFFFF"/>
                <w:lang w:val="en-US"/>
              </w:rPr>
              <w:t xml:space="preserve">(b) din </w:t>
            </w:r>
            <w:proofErr w:type="spellStart"/>
            <w:r w:rsidRPr="001F20B2">
              <w:rPr>
                <w:rFonts w:eastAsia="Arial Unicode MS"/>
                <w:color w:val="000000" w:themeColor="text1"/>
                <w:sz w:val="20"/>
                <w:szCs w:val="20"/>
                <w:shd w:val="clear" w:color="auto" w:fill="FFFFFF"/>
                <w:lang w:val="en-US"/>
              </w:rPr>
              <w:t>regulamentul</w:t>
            </w:r>
            <w:proofErr w:type="spellEnd"/>
            <w:r w:rsidRPr="001F20B2">
              <w:rPr>
                <w:rFonts w:eastAsia="Arial Unicode MS"/>
                <w:color w:val="000000" w:themeColor="text1"/>
                <w:sz w:val="20"/>
                <w:szCs w:val="20"/>
                <w:shd w:val="clear" w:color="auto" w:fill="FFFFFF"/>
                <w:lang w:val="en-US"/>
              </w:rPr>
              <w:t xml:space="preserve"> </w:t>
            </w:r>
            <w:proofErr w:type="spellStart"/>
            <w:r w:rsidRPr="001F20B2">
              <w:rPr>
                <w:rFonts w:eastAsia="Arial Unicode MS"/>
                <w:color w:val="000000" w:themeColor="text1"/>
                <w:sz w:val="20"/>
                <w:szCs w:val="20"/>
                <w:shd w:val="clear" w:color="auto" w:fill="FFFFFF"/>
                <w:lang w:val="en-US"/>
              </w:rPr>
              <w:t>respectiv</w:t>
            </w:r>
            <w:proofErr w:type="spellEnd"/>
            <w:r w:rsidRPr="001F20B2">
              <w:rPr>
                <w:rFonts w:eastAsia="Arial Unicode MS"/>
                <w:color w:val="000000" w:themeColor="text1"/>
                <w:sz w:val="20"/>
                <w:szCs w:val="20"/>
                <w:shd w:val="clear" w:color="auto" w:fill="FFFFFF"/>
                <w:lang w:val="en-US"/>
              </w:rPr>
              <w:t>.</w:t>
            </w:r>
          </w:p>
          <w:p w14:paraId="5115738E"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180"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3EFEDD7C"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3BC1F6C" w14:textId="7DA8C2E3" w:rsidR="00124364" w:rsidRDefault="002149D4" w:rsidP="002149D4">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030E302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111CB1F" w14:textId="77777777" w:rsidR="002149D4" w:rsidRPr="0066519A" w:rsidRDefault="002149D4" w:rsidP="002149D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w:t>
            </w:r>
            <w:r w:rsidRPr="00DF1AB5">
              <w:rPr>
                <w:rFonts w:ascii="Times New Roman" w:hAnsi="Times New Roman"/>
                <w:color w:val="000000" w:themeColor="text1"/>
                <w:sz w:val="20"/>
                <w:szCs w:val="20"/>
                <w:lang w:val="ro-RO"/>
              </w:rPr>
              <w:lastRenderedPageBreak/>
              <w:t xml:space="preserve">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72AA284B" w14:textId="77777777" w:rsidR="002149D4" w:rsidRDefault="002149D4" w:rsidP="002149D4">
            <w:pPr>
              <w:autoSpaceDE w:val="0"/>
              <w:spacing w:after="0" w:line="240" w:lineRule="auto"/>
              <w:rPr>
                <w:rFonts w:ascii="Times New Roman" w:eastAsia="Times New Roman" w:hAnsi="Times New Roman"/>
                <w:sz w:val="20"/>
                <w:szCs w:val="20"/>
                <w:lang w:val="ro-RO"/>
              </w:rPr>
            </w:pPr>
          </w:p>
          <w:p w14:paraId="525916D0"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A5BCB57" w14:textId="4E497766" w:rsidR="002149D4" w:rsidRDefault="002149D4" w:rsidP="00023990">
            <w:pPr>
              <w:autoSpaceDE w:val="0"/>
              <w:spacing w:after="0" w:line="240" w:lineRule="auto"/>
              <w:rPr>
                <w:rFonts w:ascii="Times New Roman" w:hAnsi="Times New Roman"/>
                <w:sz w:val="20"/>
                <w:szCs w:val="20"/>
                <w:lang w:val="fr-FR"/>
              </w:rPr>
            </w:pPr>
          </w:p>
        </w:tc>
      </w:tr>
      <w:tr w:rsidR="00124364" w14:paraId="0DB9C253" w14:textId="77777777">
        <w:trPr>
          <w:trHeight w:val="558"/>
        </w:trPr>
        <w:tc>
          <w:tcPr>
            <w:tcW w:w="4957" w:type="dxa"/>
            <w:shd w:val="clear" w:color="auto" w:fill="auto"/>
          </w:tcPr>
          <w:p w14:paraId="7AD1D6EC" w14:textId="1FF420BE" w:rsidR="00124364" w:rsidRPr="002149D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49D4">
              <w:rPr>
                <w:rFonts w:eastAsia="Arial Unicode MS"/>
                <w:i/>
                <w:iCs/>
                <w:color w:val="000000" w:themeColor="text1"/>
                <w:sz w:val="20"/>
                <w:szCs w:val="20"/>
                <w:shd w:val="clear" w:color="auto" w:fill="FFFFFF"/>
                <w:lang w:val="en-US"/>
              </w:rPr>
              <w:t>Articolul</w:t>
            </w:r>
            <w:proofErr w:type="spellEnd"/>
            <w:r w:rsidR="002149D4" w:rsidRPr="002149D4">
              <w:rPr>
                <w:rFonts w:eastAsia="Arial Unicode MS"/>
                <w:i/>
                <w:iCs/>
                <w:color w:val="000000" w:themeColor="text1"/>
                <w:sz w:val="20"/>
                <w:szCs w:val="20"/>
                <w:shd w:val="clear" w:color="auto" w:fill="FFFFFF"/>
                <w:lang w:val="en-US"/>
              </w:rPr>
              <w:t xml:space="preserve"> </w:t>
            </w:r>
            <w:r w:rsidRPr="002149D4">
              <w:rPr>
                <w:rFonts w:eastAsia="Arial Unicode MS"/>
                <w:i/>
                <w:iCs/>
                <w:color w:val="000000" w:themeColor="text1"/>
                <w:sz w:val="20"/>
                <w:szCs w:val="20"/>
                <w:shd w:val="clear" w:color="auto" w:fill="FFFFFF"/>
                <w:lang w:val="en-US"/>
              </w:rPr>
              <w:t>11</w:t>
            </w:r>
          </w:p>
          <w:p w14:paraId="5F2F1ABC" w14:textId="77777777" w:rsidR="00124364" w:rsidRPr="002149D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49D4">
              <w:rPr>
                <w:rFonts w:eastAsia="Arial Unicode MS"/>
                <w:b/>
                <w:bCs/>
                <w:color w:val="000000" w:themeColor="text1"/>
                <w:sz w:val="20"/>
                <w:szCs w:val="20"/>
                <w:shd w:val="clear" w:color="auto" w:fill="FFFFFF"/>
                <w:lang w:val="en-US"/>
              </w:rPr>
              <w:t>Măsuri</w:t>
            </w:r>
            <w:proofErr w:type="spellEnd"/>
            <w:r w:rsidRPr="002149D4">
              <w:rPr>
                <w:rFonts w:eastAsia="Arial Unicode MS"/>
                <w:b/>
                <w:bCs/>
                <w:color w:val="000000" w:themeColor="text1"/>
                <w:sz w:val="20"/>
                <w:szCs w:val="20"/>
                <w:shd w:val="clear" w:color="auto" w:fill="FFFFFF"/>
                <w:lang w:val="en-US"/>
              </w:rPr>
              <w:t xml:space="preserve"> </w:t>
            </w:r>
            <w:proofErr w:type="spellStart"/>
            <w:r w:rsidRPr="002149D4">
              <w:rPr>
                <w:rFonts w:eastAsia="Arial Unicode MS"/>
                <w:b/>
                <w:bCs/>
                <w:color w:val="000000" w:themeColor="text1"/>
                <w:sz w:val="20"/>
                <w:szCs w:val="20"/>
                <w:shd w:val="clear" w:color="auto" w:fill="FFFFFF"/>
                <w:lang w:val="en-US"/>
              </w:rPr>
              <w:t>naționale</w:t>
            </w:r>
            <w:proofErr w:type="spellEnd"/>
            <w:r w:rsidRPr="002149D4">
              <w:rPr>
                <w:rFonts w:eastAsia="Arial Unicode MS"/>
                <w:b/>
                <w:bCs/>
                <w:color w:val="000000" w:themeColor="text1"/>
                <w:sz w:val="20"/>
                <w:szCs w:val="20"/>
                <w:shd w:val="clear" w:color="auto" w:fill="FFFFFF"/>
                <w:lang w:val="en-US"/>
              </w:rPr>
              <w:t xml:space="preserve"> de </w:t>
            </w:r>
            <w:proofErr w:type="spellStart"/>
            <w:r w:rsidRPr="002149D4">
              <w:rPr>
                <w:rFonts w:eastAsia="Arial Unicode MS"/>
                <w:b/>
                <w:bCs/>
                <w:color w:val="000000" w:themeColor="text1"/>
                <w:sz w:val="20"/>
                <w:szCs w:val="20"/>
                <w:shd w:val="clear" w:color="auto" w:fill="FFFFFF"/>
                <w:lang w:val="en-US"/>
              </w:rPr>
              <w:t>punere</w:t>
            </w:r>
            <w:proofErr w:type="spellEnd"/>
            <w:r w:rsidRPr="002149D4">
              <w:rPr>
                <w:rFonts w:eastAsia="Arial Unicode MS"/>
                <w:b/>
                <w:bCs/>
                <w:color w:val="000000" w:themeColor="text1"/>
                <w:sz w:val="20"/>
                <w:szCs w:val="20"/>
                <w:shd w:val="clear" w:color="auto" w:fill="FFFFFF"/>
                <w:lang w:val="en-US"/>
              </w:rPr>
              <w:t xml:space="preserve"> în </w:t>
            </w:r>
            <w:proofErr w:type="spellStart"/>
            <w:r w:rsidRPr="002149D4">
              <w:rPr>
                <w:rFonts w:eastAsia="Arial Unicode MS"/>
                <w:b/>
                <w:bCs/>
                <w:color w:val="000000" w:themeColor="text1"/>
                <w:sz w:val="20"/>
                <w:szCs w:val="20"/>
                <w:shd w:val="clear" w:color="auto" w:fill="FFFFFF"/>
                <w:lang w:val="en-US"/>
              </w:rPr>
              <w:t>aplicare</w:t>
            </w:r>
            <w:proofErr w:type="spellEnd"/>
          </w:p>
          <w:p w14:paraId="2D219A01" w14:textId="3063A3A7" w:rsidR="00124364" w:rsidRPr="002149D4" w:rsidRDefault="00000000" w:rsidP="002149D4">
            <w:pPr>
              <w:pStyle w:val="ti-art"/>
              <w:numPr>
                <w:ilvl w:val="0"/>
                <w:numId w:val="7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Fiecare</w:t>
            </w:r>
            <w:proofErr w:type="spellEnd"/>
            <w:r w:rsidRPr="002149D4">
              <w:rPr>
                <w:rFonts w:eastAsia="Arial Unicode MS"/>
                <w:color w:val="000000" w:themeColor="text1"/>
                <w:sz w:val="20"/>
                <w:szCs w:val="20"/>
                <w:shd w:val="clear" w:color="auto" w:fill="FFFFFF"/>
                <w:lang w:val="en-US"/>
              </w:rPr>
              <w:t xml:space="preserve"> stat </w:t>
            </w:r>
            <w:proofErr w:type="spellStart"/>
            <w:r w:rsidRPr="002149D4">
              <w:rPr>
                <w:rFonts w:eastAsia="Arial Unicode MS"/>
                <w:color w:val="000000" w:themeColor="text1"/>
                <w:sz w:val="20"/>
                <w:szCs w:val="20"/>
                <w:shd w:val="clear" w:color="auto" w:fill="FFFFFF"/>
                <w:lang w:val="en-US"/>
              </w:rPr>
              <w:t>membru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publică</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prezintă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Comisiei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până</w:t>
            </w:r>
            <w:proofErr w:type="spellEnd"/>
            <w:r w:rsidRPr="002149D4">
              <w:rPr>
                <w:rFonts w:eastAsia="Arial Unicode MS"/>
                <w:color w:val="000000" w:themeColor="text1"/>
                <w:sz w:val="20"/>
                <w:szCs w:val="20"/>
                <w:shd w:val="clear" w:color="auto" w:fill="FFFFFF"/>
                <w:lang w:val="en-US"/>
              </w:rPr>
              <w:t xml:space="preserve"> la 30</w:t>
            </w:r>
            <w:r w:rsidR="002149D4"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septembrie</w:t>
            </w:r>
            <w:proofErr w:type="spellEnd"/>
            <w:r w:rsidRPr="002149D4">
              <w:rPr>
                <w:rFonts w:eastAsia="Arial Unicode MS"/>
                <w:color w:val="000000" w:themeColor="text1"/>
                <w:sz w:val="20"/>
                <w:szCs w:val="20"/>
                <w:shd w:val="clear" w:color="auto" w:fill="FFFFFF"/>
                <w:lang w:val="en-US"/>
              </w:rPr>
              <w:t xml:space="preserve"> 2011, </w:t>
            </w:r>
            <w:proofErr w:type="spellStart"/>
            <w:r w:rsidRPr="002149D4">
              <w:rPr>
                <w:rFonts w:eastAsia="Arial Unicode MS"/>
                <w:color w:val="000000" w:themeColor="text1"/>
                <w:sz w:val="20"/>
                <w:szCs w:val="20"/>
                <w:shd w:val="clear" w:color="auto" w:fill="FFFFFF"/>
                <w:lang w:val="en-US"/>
              </w:rPr>
              <w:t>lista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instalațiilor</w:t>
            </w:r>
            <w:proofErr w:type="spellEnd"/>
            <w:r w:rsidRPr="002149D4">
              <w:rPr>
                <w:rFonts w:eastAsia="Arial Unicode MS"/>
                <w:color w:val="000000" w:themeColor="text1"/>
                <w:sz w:val="20"/>
                <w:szCs w:val="20"/>
                <w:shd w:val="clear" w:color="auto" w:fill="FFFFFF"/>
                <w:lang w:val="en-US"/>
              </w:rPr>
              <w:t xml:space="preserve"> de pe </w:t>
            </w:r>
            <w:proofErr w:type="spellStart"/>
            <w:r w:rsidRPr="002149D4">
              <w:rPr>
                <w:rFonts w:eastAsia="Arial Unicode MS"/>
                <w:color w:val="000000" w:themeColor="text1"/>
                <w:sz w:val="20"/>
                <w:szCs w:val="20"/>
                <w:shd w:val="clear" w:color="auto" w:fill="FFFFFF"/>
                <w:lang w:val="en-US"/>
              </w:rPr>
              <w:t>teritoriul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său</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intră</w:t>
            </w:r>
            <w:proofErr w:type="spellEnd"/>
            <w:r w:rsidRPr="002149D4">
              <w:rPr>
                <w:rFonts w:eastAsia="Arial Unicode MS"/>
                <w:color w:val="000000" w:themeColor="text1"/>
                <w:sz w:val="20"/>
                <w:szCs w:val="20"/>
                <w:shd w:val="clear" w:color="auto" w:fill="FFFFFF"/>
                <w:lang w:val="en-US"/>
              </w:rPr>
              <w:t xml:space="preserve"> sub </w:t>
            </w:r>
            <w:proofErr w:type="spellStart"/>
            <w:r w:rsidRPr="002149D4">
              <w:rPr>
                <w:rFonts w:eastAsia="Arial Unicode MS"/>
                <w:color w:val="000000" w:themeColor="text1"/>
                <w:sz w:val="20"/>
                <w:szCs w:val="20"/>
                <w:shd w:val="clear" w:color="auto" w:fill="FFFFFF"/>
                <w:lang w:val="en-US"/>
              </w:rPr>
              <w:t>incidența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prezentei</w:t>
            </w:r>
            <w:proofErr w:type="spellEnd"/>
            <w:r w:rsidRPr="002149D4">
              <w:rPr>
                <w:rFonts w:eastAsia="Arial Unicode MS"/>
                <w:color w:val="000000" w:themeColor="text1"/>
                <w:sz w:val="20"/>
                <w:szCs w:val="20"/>
                <w:shd w:val="clear" w:color="auto" w:fill="FFFFFF"/>
                <w:lang w:val="en-US"/>
              </w:rPr>
              <w:t xml:space="preserve"> directive, precum și </w:t>
            </w:r>
            <w:proofErr w:type="spellStart"/>
            <w:r w:rsidRPr="002149D4">
              <w:rPr>
                <w:rFonts w:eastAsia="Arial Unicode MS"/>
                <w:color w:val="000000" w:themeColor="text1"/>
                <w:sz w:val="20"/>
                <w:szCs w:val="20"/>
                <w:shd w:val="clear" w:color="auto" w:fill="FFFFFF"/>
                <w:lang w:val="en-US"/>
              </w:rPr>
              <w:t>certificatele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alocate</w:t>
            </w:r>
            <w:proofErr w:type="spellEnd"/>
            <w:r w:rsidRPr="002149D4">
              <w:rPr>
                <w:rFonts w:eastAsia="Arial Unicode MS"/>
                <w:color w:val="000000" w:themeColor="text1"/>
                <w:sz w:val="20"/>
                <w:szCs w:val="20"/>
                <w:shd w:val="clear" w:color="auto" w:fill="FFFFFF"/>
                <w:lang w:val="en-US"/>
              </w:rPr>
              <w:t xml:space="preserve"> cu </w:t>
            </w:r>
            <w:proofErr w:type="spellStart"/>
            <w:r w:rsidRPr="002149D4">
              <w:rPr>
                <w:rFonts w:eastAsia="Arial Unicode MS"/>
                <w:color w:val="000000" w:themeColor="text1"/>
                <w:sz w:val="20"/>
                <w:szCs w:val="20"/>
                <w:shd w:val="clear" w:color="auto" w:fill="FFFFFF"/>
                <w:lang w:val="en-US"/>
              </w:rPr>
              <w:t>titlu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gratuit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fiecărei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w:t>
            </w:r>
            <w:proofErr w:type="spellEnd"/>
            <w:r w:rsidRPr="002149D4">
              <w:rPr>
                <w:rFonts w:eastAsia="Arial Unicode MS"/>
                <w:color w:val="000000" w:themeColor="text1"/>
                <w:sz w:val="20"/>
                <w:szCs w:val="20"/>
                <w:shd w:val="clear" w:color="auto" w:fill="FFFFFF"/>
                <w:lang w:val="en-US"/>
              </w:rPr>
              <w:t xml:space="preserve"> de pe </w:t>
            </w:r>
            <w:proofErr w:type="spellStart"/>
            <w:r w:rsidRPr="002149D4">
              <w:rPr>
                <w:rFonts w:eastAsia="Arial Unicode MS"/>
                <w:color w:val="000000" w:themeColor="text1"/>
                <w:sz w:val="20"/>
                <w:szCs w:val="20"/>
                <w:shd w:val="clear" w:color="auto" w:fill="FFFFFF"/>
                <w:lang w:val="en-US"/>
              </w:rPr>
              <w:t>teritoriul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său</w:t>
            </w:r>
            <w:proofErr w:type="spellEnd"/>
            <w:r w:rsidRPr="002149D4">
              <w:rPr>
                <w:rFonts w:eastAsia="Arial Unicode MS"/>
                <w:color w:val="000000" w:themeColor="text1"/>
                <w:sz w:val="20"/>
                <w:szCs w:val="20"/>
                <w:shd w:val="clear" w:color="auto" w:fill="FFFFFF"/>
                <w:lang w:val="en-US"/>
              </w:rPr>
              <w:t xml:space="preserve">, calculate în conformitate cu </w:t>
            </w:r>
            <w:proofErr w:type="spellStart"/>
            <w:r w:rsidRPr="002149D4">
              <w:rPr>
                <w:rFonts w:eastAsia="Arial Unicode MS"/>
                <w:color w:val="000000" w:themeColor="text1"/>
                <w:sz w:val="20"/>
                <w:szCs w:val="20"/>
                <w:shd w:val="clear" w:color="auto" w:fill="FFFFFF"/>
                <w:lang w:val="en-US"/>
              </w:rPr>
              <w:t>normele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articolul</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10a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(1) și la </w:t>
            </w:r>
            <w:proofErr w:type="spellStart"/>
            <w:r w:rsidRPr="002149D4">
              <w:rPr>
                <w:rFonts w:eastAsia="Arial Unicode MS"/>
                <w:color w:val="000000" w:themeColor="text1"/>
                <w:sz w:val="20"/>
                <w:szCs w:val="20"/>
                <w:shd w:val="clear" w:color="auto" w:fill="FFFFFF"/>
                <w:lang w:val="en-US"/>
              </w:rPr>
              <w:t>articolul</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10c.</w:t>
            </w:r>
          </w:p>
          <w:p w14:paraId="7D1DEDEE" w14:textId="77777777" w:rsidR="00124364" w:rsidRPr="00E34C2B" w:rsidRDefault="00000000">
            <w:pPr>
              <w:pStyle w:val="ti-art"/>
              <w:shd w:val="clear" w:color="auto" w:fill="FFFFFF"/>
              <w:spacing w:before="0" w:beforeAutospacing="0" w:after="0" w:afterAutospacing="0"/>
              <w:ind w:left="720"/>
              <w:rPr>
                <w:color w:val="4472C4" w:themeColor="accent1"/>
                <w:sz w:val="20"/>
                <w:szCs w:val="20"/>
                <w:lang w:val="en-US"/>
              </w:rPr>
            </w:pPr>
            <w:hyperlink r:id="rId181" w:tooltip="32018L0410: INSERTED" w:history="1">
              <w:r w:rsidRPr="00E34C2B">
                <w:rPr>
                  <w:rStyle w:val="af3"/>
                  <w:rFonts w:eastAsia="Arial Unicode MS"/>
                  <w:b/>
                  <w:bCs/>
                  <w:color w:val="4472C4" w:themeColor="accent1"/>
                  <w:sz w:val="20"/>
                  <w:szCs w:val="20"/>
                  <w:lang w:val="en-US"/>
                </w:rPr>
                <w:t>▼M9</w:t>
              </w:r>
            </w:hyperlink>
          </w:p>
          <w:p w14:paraId="003DADF0" w14:textId="52FC9CF9" w:rsidR="00124364" w:rsidRPr="002149D4" w:rsidRDefault="00000000" w:rsidP="002149D4">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Până</w:t>
            </w:r>
            <w:proofErr w:type="spellEnd"/>
            <w:r w:rsidRPr="002149D4">
              <w:rPr>
                <w:rFonts w:eastAsia="Arial Unicode MS"/>
                <w:color w:val="000000" w:themeColor="text1"/>
                <w:sz w:val="20"/>
                <w:szCs w:val="20"/>
                <w:shd w:val="clear" w:color="auto" w:fill="FFFFFF"/>
                <w:lang w:val="en-US"/>
              </w:rPr>
              <w:t xml:space="preserve"> la 30</w:t>
            </w:r>
            <w:r w:rsidR="002149D4"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septembrie</w:t>
            </w:r>
            <w:proofErr w:type="spellEnd"/>
            <w:r w:rsidRPr="002149D4">
              <w:rPr>
                <w:rFonts w:eastAsia="Arial Unicode MS"/>
                <w:color w:val="000000" w:themeColor="text1"/>
                <w:sz w:val="20"/>
                <w:szCs w:val="20"/>
                <w:shd w:val="clear" w:color="auto" w:fill="FFFFFF"/>
                <w:lang w:val="en-US"/>
              </w:rPr>
              <w:t xml:space="preserve"> 2019, se </w:t>
            </w:r>
            <w:proofErr w:type="spellStart"/>
            <w:r w:rsidRPr="002149D4">
              <w:rPr>
                <w:rFonts w:eastAsia="Arial Unicode MS"/>
                <w:color w:val="000000" w:themeColor="text1"/>
                <w:sz w:val="20"/>
                <w:szCs w:val="20"/>
                <w:shd w:val="clear" w:color="auto" w:fill="FFFFFF"/>
                <w:lang w:val="en-US"/>
              </w:rPr>
              <w:t>transmite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lista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reglementate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prin</w:t>
            </w:r>
            <w:proofErr w:type="spellEnd"/>
            <w:r w:rsidRPr="002149D4">
              <w:rPr>
                <w:rFonts w:eastAsia="Arial Unicode MS"/>
                <w:color w:val="000000" w:themeColor="text1"/>
                <w:sz w:val="20"/>
                <w:szCs w:val="20"/>
                <w:shd w:val="clear" w:color="auto" w:fill="FFFFFF"/>
                <w:lang w:val="en-US"/>
              </w:rPr>
              <w:t xml:space="preserve"> prezenta </w:t>
            </w:r>
            <w:proofErr w:type="spellStart"/>
            <w:r w:rsidRPr="002149D4">
              <w:rPr>
                <w:rFonts w:eastAsia="Arial Unicode MS"/>
                <w:color w:val="000000" w:themeColor="text1"/>
                <w:sz w:val="20"/>
                <w:szCs w:val="20"/>
                <w:shd w:val="clear" w:color="auto" w:fill="FFFFFF"/>
                <w:lang w:val="en-US"/>
              </w:rPr>
              <w:t>directivă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perioada de </w:t>
            </w:r>
            <w:proofErr w:type="spellStart"/>
            <w:r w:rsidRPr="002149D4">
              <w:rPr>
                <w:rFonts w:eastAsia="Arial Unicode MS"/>
                <w:color w:val="000000" w:themeColor="text1"/>
                <w:sz w:val="20"/>
                <w:szCs w:val="20"/>
                <w:shd w:val="clear" w:color="auto" w:fill="FFFFFF"/>
                <w:lang w:val="en-US"/>
              </w:rPr>
              <w:t>cinci</w:t>
            </w:r>
            <w:proofErr w:type="spellEnd"/>
            <w:r w:rsidRPr="002149D4">
              <w:rPr>
                <w:rFonts w:eastAsia="Arial Unicode MS"/>
                <w:color w:val="000000" w:themeColor="text1"/>
                <w:sz w:val="20"/>
                <w:szCs w:val="20"/>
                <w:shd w:val="clear" w:color="auto" w:fill="FFFFFF"/>
                <w:lang w:val="en-US"/>
              </w:rPr>
              <w:t xml:space="preserve"> ani care </w:t>
            </w:r>
            <w:proofErr w:type="spellStart"/>
            <w:r w:rsidRPr="002149D4">
              <w:rPr>
                <w:rFonts w:eastAsia="Arial Unicode MS"/>
                <w:color w:val="000000" w:themeColor="text1"/>
                <w:sz w:val="20"/>
                <w:szCs w:val="20"/>
                <w:shd w:val="clear" w:color="auto" w:fill="FFFFFF"/>
                <w:lang w:val="en-US"/>
              </w:rPr>
              <w:t>începe</w:t>
            </w:r>
            <w:proofErr w:type="spellEnd"/>
            <w:r w:rsidRPr="002149D4">
              <w:rPr>
                <w:rFonts w:eastAsia="Arial Unicode MS"/>
                <w:color w:val="000000" w:themeColor="text1"/>
                <w:sz w:val="20"/>
                <w:szCs w:val="20"/>
                <w:shd w:val="clear" w:color="auto" w:fill="FFFFFF"/>
                <w:lang w:val="en-US"/>
              </w:rPr>
              <w:t xml:space="preserve"> la 1</w:t>
            </w:r>
            <w:r w:rsidR="002149D4"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ianuarie</w:t>
            </w:r>
            <w:proofErr w:type="spellEnd"/>
            <w:r w:rsidRPr="002149D4">
              <w:rPr>
                <w:rFonts w:eastAsia="Arial Unicode MS"/>
                <w:color w:val="000000" w:themeColor="text1"/>
                <w:sz w:val="20"/>
                <w:szCs w:val="20"/>
                <w:shd w:val="clear" w:color="auto" w:fill="FFFFFF"/>
                <w:lang w:val="en-US"/>
              </w:rPr>
              <w:t xml:space="preserve"> 2021, </w:t>
            </w:r>
            <w:proofErr w:type="spellStart"/>
            <w:r w:rsidRPr="002149D4">
              <w:rPr>
                <w:rFonts w:eastAsia="Arial Unicode MS"/>
                <w:color w:val="000000" w:themeColor="text1"/>
                <w:sz w:val="20"/>
                <w:szCs w:val="20"/>
                <w:shd w:val="clear" w:color="auto" w:fill="FFFFFF"/>
                <w:lang w:val="en-US"/>
              </w:rPr>
              <w:t>iar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listele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fiecare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perioadă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următoare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cinci</w:t>
            </w:r>
            <w:proofErr w:type="spellEnd"/>
            <w:r w:rsidRPr="002149D4">
              <w:rPr>
                <w:rFonts w:eastAsia="Arial Unicode MS"/>
                <w:color w:val="000000" w:themeColor="text1"/>
                <w:sz w:val="20"/>
                <w:szCs w:val="20"/>
                <w:shd w:val="clear" w:color="auto" w:fill="FFFFFF"/>
                <w:lang w:val="en-US"/>
              </w:rPr>
              <w:t xml:space="preserve"> ani se transmit ulterior o </w:t>
            </w:r>
            <w:proofErr w:type="spellStart"/>
            <w:r w:rsidRPr="002149D4">
              <w:rPr>
                <w:rFonts w:eastAsia="Arial Unicode MS"/>
                <w:color w:val="000000" w:themeColor="text1"/>
                <w:sz w:val="20"/>
                <w:szCs w:val="20"/>
                <w:shd w:val="clear" w:color="auto" w:fill="FFFFFF"/>
                <w:lang w:val="en-US"/>
              </w:rPr>
              <w:t>dată</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cinci</w:t>
            </w:r>
            <w:proofErr w:type="spellEnd"/>
            <w:r w:rsidRPr="002149D4">
              <w:rPr>
                <w:rFonts w:eastAsia="Arial Unicode MS"/>
                <w:color w:val="000000" w:themeColor="text1"/>
                <w:sz w:val="20"/>
                <w:szCs w:val="20"/>
                <w:shd w:val="clear" w:color="auto" w:fill="FFFFFF"/>
                <w:lang w:val="en-US"/>
              </w:rPr>
              <w:t xml:space="preserve"> ani. </w:t>
            </w:r>
            <w:proofErr w:type="spellStart"/>
            <w:r w:rsidRPr="002149D4">
              <w:rPr>
                <w:rFonts w:eastAsia="Arial Unicode MS"/>
                <w:color w:val="000000" w:themeColor="text1"/>
                <w:sz w:val="20"/>
                <w:szCs w:val="20"/>
                <w:shd w:val="clear" w:color="auto" w:fill="FFFFFF"/>
                <w:lang w:val="en-US"/>
              </w:rPr>
              <w:t>Fiecare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listă</w:t>
            </w:r>
            <w:proofErr w:type="spellEnd"/>
            <w:r w:rsidRPr="002149D4">
              <w:rPr>
                <w:rFonts w:eastAsia="Arial Unicode MS"/>
                <w:color w:val="000000" w:themeColor="text1"/>
                <w:sz w:val="20"/>
                <w:szCs w:val="20"/>
                <w:shd w:val="clear" w:color="auto" w:fill="FFFFFF"/>
                <w:lang w:val="en-US"/>
              </w:rPr>
              <w:t xml:space="preserve"> include </w:t>
            </w:r>
            <w:proofErr w:type="spellStart"/>
            <w:r w:rsidRPr="002149D4">
              <w:rPr>
                <w:rFonts w:eastAsia="Arial Unicode MS"/>
                <w:color w:val="000000" w:themeColor="text1"/>
                <w:sz w:val="20"/>
                <w:szCs w:val="20"/>
                <w:shd w:val="clear" w:color="auto" w:fill="FFFFFF"/>
                <w:lang w:val="en-US"/>
              </w:rPr>
              <w:t>informații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privind</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activitatea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producție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transferurile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căldură</w:t>
            </w:r>
            <w:proofErr w:type="spellEnd"/>
            <w:r w:rsidRPr="002149D4">
              <w:rPr>
                <w:rFonts w:eastAsia="Arial Unicode MS"/>
                <w:color w:val="000000" w:themeColor="text1"/>
                <w:sz w:val="20"/>
                <w:szCs w:val="20"/>
                <w:shd w:val="clear" w:color="auto" w:fill="FFFFFF"/>
                <w:lang w:val="en-US"/>
              </w:rPr>
              <w:t xml:space="preserve"> și gaze, </w:t>
            </w:r>
            <w:proofErr w:type="spellStart"/>
            <w:r w:rsidRPr="002149D4">
              <w:rPr>
                <w:rFonts w:eastAsia="Arial Unicode MS"/>
                <w:color w:val="000000" w:themeColor="text1"/>
                <w:sz w:val="20"/>
                <w:szCs w:val="20"/>
                <w:shd w:val="clear" w:color="auto" w:fill="FFFFFF"/>
                <w:lang w:val="en-US"/>
              </w:rPr>
              <w:t>producția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energie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electrică</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emisiile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nivel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subinstalație</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cursul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celor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cinci</w:t>
            </w:r>
            <w:proofErr w:type="spellEnd"/>
            <w:r w:rsidRPr="002149D4">
              <w:rPr>
                <w:rFonts w:eastAsia="Arial Unicode MS"/>
                <w:color w:val="000000" w:themeColor="text1"/>
                <w:sz w:val="20"/>
                <w:szCs w:val="20"/>
                <w:shd w:val="clear" w:color="auto" w:fill="FFFFFF"/>
                <w:lang w:val="en-US"/>
              </w:rPr>
              <w:t xml:space="preserve"> ani </w:t>
            </w:r>
            <w:proofErr w:type="spellStart"/>
            <w:r w:rsidRPr="002149D4">
              <w:rPr>
                <w:rFonts w:eastAsia="Arial Unicode MS"/>
                <w:color w:val="000000" w:themeColor="text1"/>
                <w:sz w:val="20"/>
                <w:szCs w:val="20"/>
                <w:shd w:val="clear" w:color="auto" w:fill="FFFFFF"/>
                <w:lang w:val="en-US"/>
              </w:rPr>
              <w:t>calendaristici</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precedă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transmiterea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listei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Alocările</w:t>
            </w:r>
            <w:proofErr w:type="spellEnd"/>
            <w:r w:rsidRPr="002149D4">
              <w:rPr>
                <w:rFonts w:eastAsia="Arial Unicode MS"/>
                <w:color w:val="000000" w:themeColor="text1"/>
                <w:sz w:val="20"/>
                <w:szCs w:val="20"/>
                <w:shd w:val="clear" w:color="auto" w:fill="FFFFFF"/>
                <w:lang w:val="en-US"/>
              </w:rPr>
              <w:t xml:space="preserve"> cu </w:t>
            </w:r>
            <w:proofErr w:type="spellStart"/>
            <w:r w:rsidRPr="002149D4">
              <w:rPr>
                <w:rFonts w:eastAsia="Arial Unicode MS"/>
                <w:color w:val="000000" w:themeColor="text1"/>
                <w:sz w:val="20"/>
                <w:szCs w:val="20"/>
                <w:shd w:val="clear" w:color="auto" w:fill="FFFFFF"/>
                <w:lang w:val="en-US"/>
              </w:rPr>
              <w:t>titlu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gratuit</w:t>
            </w:r>
            <w:proofErr w:type="spellEnd"/>
            <w:r w:rsidRPr="002149D4">
              <w:rPr>
                <w:rFonts w:eastAsia="Arial Unicode MS"/>
                <w:color w:val="000000" w:themeColor="text1"/>
                <w:sz w:val="20"/>
                <w:szCs w:val="20"/>
                <w:shd w:val="clear" w:color="auto" w:fill="FFFFFF"/>
                <w:lang w:val="en-US"/>
              </w:rPr>
              <w:t xml:space="preserve"> se </w:t>
            </w:r>
            <w:proofErr w:type="spellStart"/>
            <w:r w:rsidRPr="002149D4">
              <w:rPr>
                <w:rFonts w:eastAsia="Arial Unicode MS"/>
                <w:color w:val="000000" w:themeColor="text1"/>
                <w:sz w:val="20"/>
                <w:szCs w:val="20"/>
                <w:shd w:val="clear" w:color="auto" w:fill="FFFFFF"/>
                <w:lang w:val="en-US"/>
              </w:rPr>
              <w:t>acordă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numai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care se </w:t>
            </w:r>
            <w:proofErr w:type="spellStart"/>
            <w:r w:rsidRPr="002149D4">
              <w:rPr>
                <w:rFonts w:eastAsia="Arial Unicode MS"/>
                <w:color w:val="000000" w:themeColor="text1"/>
                <w:sz w:val="20"/>
                <w:szCs w:val="20"/>
                <w:shd w:val="clear" w:color="auto" w:fill="FFFFFF"/>
                <w:lang w:val="en-US"/>
              </w:rPr>
              <w:t>furnizează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astfel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informații</w:t>
            </w:r>
            <w:proofErr w:type="spellEnd"/>
            <w:r w:rsidRPr="002149D4">
              <w:rPr>
                <w:rFonts w:eastAsia="Arial Unicode MS"/>
                <w:color w:val="000000" w:themeColor="text1"/>
                <w:sz w:val="20"/>
                <w:szCs w:val="20"/>
                <w:shd w:val="clear" w:color="auto" w:fill="FFFFFF"/>
                <w:lang w:val="en-US"/>
              </w:rPr>
              <w:t>.</w:t>
            </w:r>
          </w:p>
          <w:p w14:paraId="59468802"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182" w:tooltip="32009L0029R(04): REPLACED" w:history="1">
              <w:r>
                <w:rPr>
                  <w:rStyle w:val="af3"/>
                  <w:rFonts w:eastAsia="Arial Unicode MS"/>
                  <w:b/>
                  <w:bCs/>
                  <w:color w:val="4472C4" w:themeColor="accent1"/>
                  <w:sz w:val="20"/>
                  <w:szCs w:val="20"/>
                </w:rPr>
                <w:t>▼C5</w:t>
              </w:r>
            </w:hyperlink>
          </w:p>
          <w:p w14:paraId="01DC9AEF" w14:textId="1FB5670C" w:rsidR="00124364" w:rsidRPr="002149D4" w:rsidRDefault="00000000" w:rsidP="002149D4">
            <w:pPr>
              <w:pStyle w:val="ti-art"/>
              <w:numPr>
                <w:ilvl w:val="0"/>
                <w:numId w:val="7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data de</w:t>
            </w:r>
            <w:r w:rsidR="002149D4">
              <w:rPr>
                <w:rStyle w:val="apple-converted-space"/>
                <w:rFonts w:eastAsia="Arial Unicode MS"/>
                <w:color w:val="333333"/>
                <w:sz w:val="20"/>
                <w:szCs w:val="20"/>
                <w:shd w:val="clear" w:color="auto" w:fill="FFFFFF"/>
                <w:lang w:val="en-US"/>
              </w:rPr>
              <w:t xml:space="preserve"> </w:t>
            </w:r>
            <w:hyperlink r:id="rId183" w:tooltip="32023L0959: REPLACED" w:history="1">
              <w:r>
                <w:rPr>
                  <w:rStyle w:val="boldface"/>
                  <w:rFonts w:eastAsia="Arial Unicode MS"/>
                  <w:b/>
                  <w:bCs/>
                  <w:color w:val="4472C4" w:themeColor="accent1"/>
                  <w:sz w:val="20"/>
                  <w:szCs w:val="20"/>
                  <w:lang w:val="en-US"/>
                </w:rPr>
                <w:t>►M15</w:t>
              </w:r>
            </w:hyperlink>
            <w:r w:rsidR="002149D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30 June</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a </w:t>
            </w:r>
            <w:proofErr w:type="spellStart"/>
            <w:r>
              <w:rPr>
                <w:rFonts w:eastAsia="Arial Unicode MS"/>
                <w:color w:val="333333"/>
                <w:sz w:val="20"/>
                <w:szCs w:val="20"/>
                <w:shd w:val="clear" w:color="auto" w:fill="FFFFFF"/>
                <w:lang w:val="en-US"/>
              </w:rPr>
              <w:t>fiecărui</w:t>
            </w:r>
            <w:proofErr w:type="spellEnd"/>
            <w:r>
              <w:rPr>
                <w:rFonts w:eastAsia="Arial Unicode MS"/>
                <w:color w:val="333333"/>
                <w:sz w:val="20"/>
                <w:szCs w:val="20"/>
                <w:shd w:val="clear" w:color="auto" w:fill="FFFFFF"/>
                <w:lang w:val="en-US"/>
              </w:rPr>
              <w:t xml:space="preserve"> an, </w:t>
            </w:r>
            <w:proofErr w:type="spellStart"/>
            <w:r w:rsidRPr="002149D4">
              <w:rPr>
                <w:rFonts w:eastAsia="Arial Unicode MS"/>
                <w:color w:val="000000" w:themeColor="text1"/>
                <w:sz w:val="20"/>
                <w:szCs w:val="20"/>
                <w:shd w:val="clear" w:color="auto" w:fill="FFFFFF"/>
                <w:lang w:val="en-US"/>
              </w:rPr>
              <w:t>autoritățile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competente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eliberează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cantitatea</w:t>
            </w:r>
            <w:proofErr w:type="spellEnd"/>
            <w:r w:rsidRPr="002149D4">
              <w:rPr>
                <w:rFonts w:eastAsia="Arial Unicode MS"/>
                <w:color w:val="000000" w:themeColor="text1"/>
                <w:sz w:val="20"/>
                <w:szCs w:val="20"/>
                <w:shd w:val="clear" w:color="auto" w:fill="FFFFFF"/>
                <w:lang w:val="en-US"/>
              </w:rPr>
              <w:t xml:space="preserve"> de certificate care </w:t>
            </w:r>
            <w:proofErr w:type="spellStart"/>
            <w:r w:rsidRPr="002149D4">
              <w:rPr>
                <w:rFonts w:eastAsia="Arial Unicode MS"/>
                <w:color w:val="000000" w:themeColor="text1"/>
                <w:sz w:val="20"/>
                <w:szCs w:val="20"/>
                <w:shd w:val="clear" w:color="auto" w:fill="FFFFFF"/>
                <w:lang w:val="en-US"/>
              </w:rPr>
              <w:t>urmează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să</w:t>
            </w:r>
            <w:proofErr w:type="spellEnd"/>
            <w:r w:rsidRPr="002149D4">
              <w:rPr>
                <w:rFonts w:eastAsia="Arial Unicode MS"/>
                <w:color w:val="000000" w:themeColor="text1"/>
                <w:sz w:val="20"/>
                <w:szCs w:val="20"/>
                <w:shd w:val="clear" w:color="auto" w:fill="FFFFFF"/>
                <w:lang w:val="en-US"/>
              </w:rPr>
              <w:t xml:space="preserve"> fie </w:t>
            </w:r>
            <w:proofErr w:type="spellStart"/>
            <w:r w:rsidRPr="002149D4">
              <w:rPr>
                <w:rFonts w:eastAsia="Arial Unicode MS"/>
                <w:color w:val="000000" w:themeColor="text1"/>
                <w:sz w:val="20"/>
                <w:szCs w:val="20"/>
                <w:shd w:val="clear" w:color="auto" w:fill="FFFFFF"/>
                <w:lang w:val="en-US"/>
              </w:rPr>
              <w:t>alocate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anul </w:t>
            </w:r>
            <w:proofErr w:type="spellStart"/>
            <w:r w:rsidRPr="002149D4">
              <w:rPr>
                <w:rFonts w:eastAsia="Arial Unicode MS"/>
                <w:color w:val="000000" w:themeColor="text1"/>
                <w:sz w:val="20"/>
                <w:szCs w:val="20"/>
                <w:shd w:val="clear" w:color="auto" w:fill="FFFFFF"/>
                <w:lang w:val="en-US"/>
              </w:rPr>
              <w:t>respectiv</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calculată</w:t>
            </w:r>
            <w:proofErr w:type="spellEnd"/>
            <w:r w:rsidRPr="002149D4">
              <w:rPr>
                <w:rFonts w:eastAsia="Arial Unicode MS"/>
                <w:color w:val="000000" w:themeColor="text1"/>
                <w:sz w:val="20"/>
                <w:szCs w:val="20"/>
                <w:shd w:val="clear" w:color="auto" w:fill="FFFFFF"/>
                <w:lang w:val="en-US"/>
              </w:rPr>
              <w:t xml:space="preserve"> în conformitate cu </w:t>
            </w:r>
            <w:proofErr w:type="spellStart"/>
            <w:r w:rsidRPr="002149D4">
              <w:rPr>
                <w:rFonts w:eastAsia="Arial Unicode MS"/>
                <w:color w:val="000000" w:themeColor="text1"/>
                <w:sz w:val="20"/>
                <w:szCs w:val="20"/>
                <w:shd w:val="clear" w:color="auto" w:fill="FFFFFF"/>
                <w:lang w:val="en-US"/>
              </w:rPr>
              <w:t>articolele</w:t>
            </w:r>
            <w:proofErr w:type="spellEnd"/>
            <w:r w:rsidRPr="002149D4">
              <w:rPr>
                <w:rFonts w:eastAsia="Arial Unicode MS"/>
                <w:color w:val="000000" w:themeColor="text1"/>
                <w:sz w:val="20"/>
                <w:szCs w:val="20"/>
                <w:shd w:val="clear" w:color="auto" w:fill="FFFFFF"/>
                <w:lang w:val="en-US"/>
              </w:rPr>
              <w:t xml:space="preserve"> 10, 10a și</w:t>
            </w:r>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10c.</w:t>
            </w:r>
          </w:p>
          <w:p w14:paraId="07307B66" w14:textId="77777777" w:rsidR="00124364" w:rsidRPr="002149D4" w:rsidRDefault="00000000" w:rsidP="002149D4">
            <w:pPr>
              <w:pStyle w:val="ti-art"/>
              <w:numPr>
                <w:ilvl w:val="0"/>
                <w:numId w:val="7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nu pot </w:t>
            </w:r>
            <w:proofErr w:type="spellStart"/>
            <w:r w:rsidRPr="002149D4">
              <w:rPr>
                <w:rFonts w:eastAsia="Arial Unicode MS"/>
                <w:color w:val="000000" w:themeColor="text1"/>
                <w:sz w:val="20"/>
                <w:szCs w:val="20"/>
                <w:shd w:val="clear" w:color="auto" w:fill="FFFFFF"/>
                <w:lang w:val="en-US"/>
              </w:rPr>
              <w:t>aloca</w:t>
            </w:r>
            <w:proofErr w:type="spellEnd"/>
            <w:r w:rsidRPr="002149D4">
              <w:rPr>
                <w:rFonts w:eastAsia="Arial Unicode MS"/>
                <w:color w:val="000000" w:themeColor="text1"/>
                <w:sz w:val="20"/>
                <w:szCs w:val="20"/>
                <w:shd w:val="clear" w:color="auto" w:fill="FFFFFF"/>
                <w:lang w:val="en-US"/>
              </w:rPr>
              <w:t xml:space="preserve"> certificate cu </w:t>
            </w:r>
            <w:proofErr w:type="spellStart"/>
            <w:r w:rsidRPr="002149D4">
              <w:rPr>
                <w:rFonts w:eastAsia="Arial Unicode MS"/>
                <w:color w:val="000000" w:themeColor="text1"/>
                <w:sz w:val="20"/>
                <w:szCs w:val="20"/>
                <w:shd w:val="clear" w:color="auto" w:fill="FFFFFF"/>
                <w:lang w:val="en-US"/>
              </w:rPr>
              <w:t>titlu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gratuit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alineatului</w:t>
            </w:r>
            <w:proofErr w:type="spellEnd"/>
            <w:r w:rsidRPr="002149D4">
              <w:rPr>
                <w:rFonts w:eastAsia="Arial Unicode MS"/>
                <w:color w:val="000000" w:themeColor="text1"/>
                <w:sz w:val="20"/>
                <w:szCs w:val="20"/>
                <w:shd w:val="clear" w:color="auto" w:fill="FFFFFF"/>
                <w:lang w:val="en-US"/>
              </w:rPr>
              <w:t xml:space="preserve"> (2) </w:t>
            </w:r>
            <w:proofErr w:type="spellStart"/>
            <w:r w:rsidRPr="002149D4">
              <w:rPr>
                <w:rFonts w:eastAsia="Arial Unicode MS"/>
                <w:color w:val="000000" w:themeColor="text1"/>
                <w:sz w:val="20"/>
                <w:szCs w:val="20"/>
                <w:shd w:val="clear" w:color="auto" w:fill="FFFFFF"/>
                <w:lang w:val="en-US"/>
              </w:rPr>
              <w:t>instalațiilor</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căror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lastRenderedPageBreak/>
              <w:t>înscriere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lista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menționată</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(1) a </w:t>
            </w:r>
            <w:proofErr w:type="spellStart"/>
            <w:r w:rsidRPr="002149D4">
              <w:rPr>
                <w:rFonts w:eastAsia="Arial Unicode MS"/>
                <w:color w:val="000000" w:themeColor="text1"/>
                <w:sz w:val="20"/>
                <w:szCs w:val="20"/>
                <w:shd w:val="clear" w:color="auto" w:fill="FFFFFF"/>
                <w:lang w:val="en-US"/>
              </w:rPr>
              <w:t>fost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respinsă</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către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Comisie</w:t>
            </w:r>
            <w:proofErr w:type="spellEnd"/>
            <w:r w:rsidRPr="002149D4">
              <w:rPr>
                <w:rFonts w:eastAsia="Arial Unicode MS"/>
                <w:color w:val="000000" w:themeColor="text1"/>
                <w:sz w:val="20"/>
                <w:szCs w:val="20"/>
                <w:shd w:val="clear" w:color="auto" w:fill="FFFFFF"/>
                <w:lang w:val="en-US"/>
              </w:rPr>
              <w:t>.</w:t>
            </w:r>
          </w:p>
          <w:p w14:paraId="69FAB0DA"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184" w:tooltip="32008L0101: INSERTED" w:history="1">
              <w:r>
                <w:rPr>
                  <w:rStyle w:val="af3"/>
                  <w:rFonts w:eastAsia="Arial Unicode MS"/>
                  <w:b/>
                  <w:bCs/>
                  <w:color w:val="4472C4" w:themeColor="accent1"/>
                  <w:sz w:val="20"/>
                  <w:szCs w:val="20"/>
                </w:rPr>
                <w:t>▼M2</w:t>
              </w:r>
            </w:hyperlink>
          </w:p>
        </w:tc>
        <w:tc>
          <w:tcPr>
            <w:tcW w:w="4394" w:type="dxa"/>
            <w:shd w:val="clear" w:color="auto" w:fill="auto"/>
          </w:tcPr>
          <w:p w14:paraId="515F7FE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9FE2EE7" w14:textId="636A16DF" w:rsidR="00124364" w:rsidRDefault="002149D4" w:rsidP="002149D4">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475A087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8506FDF" w14:textId="77777777" w:rsidR="002149D4" w:rsidRPr="0066519A" w:rsidRDefault="002149D4" w:rsidP="002149D4">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6402BD8D"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321AB6A" w14:textId="77777777" w:rsidR="00124364" w:rsidRDefault="00124364" w:rsidP="002149D4">
            <w:pPr>
              <w:autoSpaceDE w:val="0"/>
              <w:spacing w:after="0" w:line="240" w:lineRule="auto"/>
              <w:rPr>
                <w:rFonts w:ascii="Times New Roman" w:hAnsi="Times New Roman"/>
                <w:sz w:val="20"/>
                <w:szCs w:val="20"/>
                <w:lang w:val="fr-FR"/>
              </w:rPr>
            </w:pPr>
          </w:p>
        </w:tc>
      </w:tr>
      <w:tr w:rsidR="00124364" w14:paraId="1CFE51AA" w14:textId="77777777">
        <w:trPr>
          <w:trHeight w:val="558"/>
        </w:trPr>
        <w:tc>
          <w:tcPr>
            <w:tcW w:w="4957" w:type="dxa"/>
            <w:shd w:val="clear" w:color="auto" w:fill="auto"/>
          </w:tcPr>
          <w:p w14:paraId="2A60A233" w14:textId="77777777" w:rsidR="00124364" w:rsidRPr="002149D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2149D4">
              <w:rPr>
                <w:rFonts w:eastAsia="Arial Unicode MS"/>
                <w:color w:val="000000" w:themeColor="text1"/>
                <w:sz w:val="20"/>
                <w:szCs w:val="20"/>
                <w:shd w:val="clear" w:color="auto" w:fill="FFFFFF"/>
                <w:lang w:val="en-US"/>
              </w:rPr>
              <w:t>CAPITOLUL IV</w:t>
            </w:r>
          </w:p>
          <w:p w14:paraId="583B5345"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185" w:tooltip="32023L0959: REPLACED" w:history="1">
              <w:r w:rsidRPr="00E34C2B">
                <w:rPr>
                  <w:rStyle w:val="af3"/>
                  <w:rFonts w:eastAsia="Arial Unicode MS"/>
                  <w:b/>
                  <w:bCs/>
                  <w:color w:val="4472C4" w:themeColor="accent1"/>
                  <w:sz w:val="20"/>
                  <w:szCs w:val="20"/>
                  <w:lang w:val="en-US"/>
                </w:rPr>
                <w:t>▼M15</w:t>
              </w:r>
            </w:hyperlink>
          </w:p>
          <w:p w14:paraId="76F6689D" w14:textId="77777777" w:rsidR="00124364" w:rsidRPr="002149D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2149D4">
              <w:rPr>
                <w:rFonts w:eastAsia="Arial Unicode MS"/>
                <w:b/>
                <w:bCs/>
                <w:color w:val="000000" w:themeColor="text1"/>
                <w:sz w:val="20"/>
                <w:szCs w:val="20"/>
                <w:shd w:val="clear" w:color="auto" w:fill="FFFFFF"/>
                <w:lang w:val="en-US"/>
              </w:rPr>
              <w:t>DISPOZIȚII APLICABILE AVIAȚIEI, TRANSPORTULUI MARITIM ȘI INSTALAȚIILOR STAȚIONARE</w:t>
            </w:r>
          </w:p>
          <w:p w14:paraId="6618341D"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186" w:tooltip="32009L0029R(04): REPLACED" w:history="1">
              <w:r w:rsidRPr="00E34C2B">
                <w:rPr>
                  <w:rStyle w:val="af3"/>
                  <w:rFonts w:eastAsia="Arial Unicode MS"/>
                  <w:b/>
                  <w:bCs/>
                  <w:color w:val="4472C4" w:themeColor="accent1"/>
                  <w:sz w:val="20"/>
                  <w:szCs w:val="20"/>
                  <w:lang w:val="en-US"/>
                </w:rPr>
                <w:t>▼C5</w:t>
              </w:r>
            </w:hyperlink>
          </w:p>
          <w:p w14:paraId="499417B9" w14:textId="450E1F86"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2149D4">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11a</w:t>
            </w:r>
          </w:p>
          <w:p w14:paraId="515EF038" w14:textId="664E0755"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Utilizarea</w:t>
            </w:r>
            <w:proofErr w:type="spellEnd"/>
            <w:r>
              <w:rPr>
                <w:rFonts w:eastAsia="Arial Unicode MS"/>
                <w:b/>
                <w:bCs/>
                <w:color w:val="333333"/>
                <w:sz w:val="20"/>
                <w:szCs w:val="20"/>
                <w:shd w:val="clear" w:color="auto" w:fill="FFFFFF"/>
                <w:lang w:val="en-US"/>
              </w:rPr>
              <w:t xml:space="preserve"> de CER și de ERU </w:t>
            </w:r>
            <w:proofErr w:type="spellStart"/>
            <w:r>
              <w:rPr>
                <w:rFonts w:eastAsia="Arial Unicode MS"/>
                <w:b/>
                <w:bCs/>
                <w:color w:val="333333"/>
                <w:sz w:val="20"/>
                <w:szCs w:val="20"/>
                <w:shd w:val="clear" w:color="auto" w:fill="FFFFFF"/>
                <w:lang w:val="en-US"/>
              </w:rPr>
              <w:t>rezultate</w:t>
            </w:r>
            <w:proofErr w:type="spellEnd"/>
            <w:r>
              <w:rPr>
                <w:rFonts w:eastAsia="Arial Unicode MS"/>
                <w:b/>
                <w:bCs/>
                <w:color w:val="333333"/>
                <w:sz w:val="20"/>
                <w:szCs w:val="20"/>
                <w:shd w:val="clear" w:color="auto" w:fill="FFFFFF"/>
                <w:lang w:val="en-US"/>
              </w:rPr>
              <w:t xml:space="preserve"> din </w:t>
            </w:r>
            <w:proofErr w:type="spellStart"/>
            <w:r>
              <w:rPr>
                <w:rFonts w:eastAsia="Arial Unicode MS"/>
                <w:b/>
                <w:bCs/>
                <w:color w:val="333333"/>
                <w:sz w:val="20"/>
                <w:szCs w:val="20"/>
                <w:shd w:val="clear" w:color="auto" w:fill="FFFFFF"/>
                <w:lang w:val="en-US"/>
              </w:rPr>
              <w:t>activități</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proiect</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cadrul</w:t>
            </w:r>
            <w:proofErr w:type="spellEnd"/>
            <w:r w:rsidR="002149D4" w:rsidRPr="002149D4">
              <w:rPr>
                <w:rStyle w:val="apple-converted-space"/>
                <w:rFonts w:eastAsia="Arial Unicode MS"/>
                <w:lang w:val="en-US"/>
              </w:rPr>
              <w:t xml:space="preserve"> </w:t>
            </w:r>
            <w:hyperlink r:id="rId187"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b/>
                <w:bCs/>
                <w:color w:val="4472C4" w:themeColor="accent1"/>
                <w:sz w:val="20"/>
                <w:szCs w:val="20"/>
                <w:lang w:val="en-US"/>
              </w:rPr>
              <w:t xml:space="preserve"> </w:t>
            </w:r>
            <w:r>
              <w:rPr>
                <w:rFonts w:eastAsia="Arial Unicode MS"/>
                <w:b/>
                <w:bCs/>
                <w:color w:val="333333"/>
                <w:sz w:val="20"/>
                <w:szCs w:val="20"/>
                <w:shd w:val="clear" w:color="auto" w:fill="FFFFFF"/>
                <w:lang w:val="en-US"/>
              </w:rPr>
              <w:t>EU ETS</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proofErr w:type="spellStart"/>
            <w:r>
              <w:rPr>
                <w:rFonts w:eastAsia="Arial Unicode MS"/>
                <w:b/>
                <w:bCs/>
                <w:color w:val="333333"/>
                <w:sz w:val="20"/>
                <w:szCs w:val="20"/>
                <w:shd w:val="clear" w:color="auto" w:fill="FFFFFF"/>
                <w:lang w:val="en-US"/>
              </w:rPr>
              <w:t>intrării</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vigoare</w:t>
            </w:r>
            <w:proofErr w:type="spellEnd"/>
            <w:r>
              <w:rPr>
                <w:rFonts w:eastAsia="Arial Unicode MS"/>
                <w:b/>
                <w:bCs/>
                <w:color w:val="333333"/>
                <w:sz w:val="20"/>
                <w:szCs w:val="20"/>
                <w:shd w:val="clear" w:color="auto" w:fill="FFFFFF"/>
                <w:lang w:val="en-US"/>
              </w:rPr>
              <w:t xml:space="preserve"> a </w:t>
            </w:r>
            <w:proofErr w:type="spellStart"/>
            <w:r>
              <w:rPr>
                <w:rFonts w:eastAsia="Arial Unicode MS"/>
                <w:b/>
                <w:bCs/>
                <w:color w:val="333333"/>
                <w:sz w:val="20"/>
                <w:szCs w:val="20"/>
                <w:shd w:val="clear" w:color="auto" w:fill="FFFFFF"/>
                <w:lang w:val="en-US"/>
              </w:rPr>
              <w:t>unui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acord</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internațional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privind</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schimbările</w:t>
            </w:r>
            <w:proofErr w:type="spellEnd"/>
            <w:r>
              <w:rPr>
                <w:rFonts w:eastAsia="Arial Unicode MS"/>
                <w:b/>
                <w:bCs/>
                <w:color w:val="333333"/>
                <w:sz w:val="20"/>
                <w:szCs w:val="20"/>
                <w:shd w:val="clear" w:color="auto" w:fill="FFFFFF"/>
                <w:lang w:val="en-US"/>
              </w:rPr>
              <w:t xml:space="preserve"> climatice</w:t>
            </w:r>
          </w:p>
          <w:p w14:paraId="42327048" w14:textId="77777777" w:rsidR="00124364" w:rsidRDefault="00000000">
            <w:pPr>
              <w:pStyle w:val="ti-art"/>
              <w:shd w:val="clear" w:color="auto" w:fill="FFFFFF"/>
              <w:spacing w:before="0" w:beforeAutospacing="0" w:after="0" w:afterAutospacing="0"/>
              <w:rPr>
                <w:color w:val="4472C4" w:themeColor="accent1"/>
                <w:sz w:val="20"/>
                <w:szCs w:val="20"/>
              </w:rPr>
            </w:pPr>
            <w:hyperlink r:id="rId188" w:tooltip="32023L0958: REPLACED" w:history="1">
              <w:r>
                <w:rPr>
                  <w:rStyle w:val="af3"/>
                  <w:rFonts w:eastAsia="Arial Unicode MS"/>
                  <w:b/>
                  <w:bCs/>
                  <w:color w:val="4472C4" w:themeColor="accent1"/>
                  <w:sz w:val="20"/>
                  <w:szCs w:val="20"/>
                </w:rPr>
                <w:t>▼M14</w:t>
              </w:r>
            </w:hyperlink>
          </w:p>
          <w:p w14:paraId="240A4F21" w14:textId="4EBDEC9B" w:rsidR="00124364" w:rsidRPr="002149D4" w:rsidRDefault="00000000" w:rsidP="002149D4">
            <w:pPr>
              <w:pStyle w:val="ti-art"/>
              <w:numPr>
                <w:ilvl w:val="0"/>
                <w:numId w:val="7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49D4">
              <w:rPr>
                <w:rFonts w:eastAsia="Arial Unicode MS"/>
                <w:color w:val="000000" w:themeColor="text1"/>
                <w:sz w:val="20"/>
                <w:szCs w:val="20"/>
                <w:shd w:val="clear" w:color="auto" w:fill="FFFFFF"/>
                <w:lang w:val="en-US"/>
              </w:rPr>
              <w:t xml:space="preserve">Sub </w:t>
            </w:r>
            <w:proofErr w:type="spellStart"/>
            <w:r w:rsidRPr="002149D4">
              <w:rPr>
                <w:rFonts w:eastAsia="Arial Unicode MS"/>
                <w:color w:val="000000" w:themeColor="text1"/>
                <w:sz w:val="20"/>
                <w:szCs w:val="20"/>
                <w:shd w:val="clear" w:color="auto" w:fill="FFFFFF"/>
                <w:lang w:val="en-US"/>
              </w:rPr>
              <w:t>rezerva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alineatelor</w:t>
            </w:r>
            <w:proofErr w:type="spellEnd"/>
            <w:r w:rsidRPr="002149D4">
              <w:rPr>
                <w:rFonts w:eastAsia="Arial Unicode MS"/>
                <w:color w:val="000000" w:themeColor="text1"/>
                <w:sz w:val="20"/>
                <w:szCs w:val="20"/>
                <w:shd w:val="clear" w:color="auto" w:fill="FFFFFF"/>
                <w:lang w:val="en-US"/>
              </w:rPr>
              <w:t xml:space="preserve"> (2) și</w:t>
            </w:r>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(3) din </w:t>
            </w:r>
            <w:proofErr w:type="spellStart"/>
            <w:r w:rsidRPr="002149D4">
              <w:rPr>
                <w:rFonts w:eastAsia="Arial Unicode MS"/>
                <w:color w:val="000000" w:themeColor="text1"/>
                <w:sz w:val="20"/>
                <w:szCs w:val="20"/>
                <w:shd w:val="clear" w:color="auto" w:fill="FFFFFF"/>
                <w:lang w:val="en-US"/>
              </w:rPr>
              <w:t>prezentul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operatorii</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aeronave</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dețin</w:t>
            </w:r>
            <w:proofErr w:type="spellEnd"/>
            <w:r w:rsidRPr="002149D4">
              <w:rPr>
                <w:rFonts w:eastAsia="Arial Unicode MS"/>
                <w:color w:val="000000" w:themeColor="text1"/>
                <w:sz w:val="20"/>
                <w:szCs w:val="20"/>
                <w:shd w:val="clear" w:color="auto" w:fill="FFFFFF"/>
                <w:lang w:val="en-US"/>
              </w:rPr>
              <w:t xml:space="preserve"> un </w:t>
            </w:r>
            <w:proofErr w:type="spellStart"/>
            <w:r w:rsidRPr="002149D4">
              <w:rPr>
                <w:rFonts w:eastAsia="Arial Unicode MS"/>
                <w:color w:val="000000" w:themeColor="text1"/>
                <w:sz w:val="20"/>
                <w:szCs w:val="20"/>
                <w:shd w:val="clear" w:color="auto" w:fill="FFFFFF"/>
                <w:lang w:val="en-US"/>
              </w:rPr>
              <w:t>certificat</w:t>
            </w:r>
            <w:proofErr w:type="spellEnd"/>
            <w:r w:rsidRPr="002149D4">
              <w:rPr>
                <w:rFonts w:eastAsia="Arial Unicode MS"/>
                <w:color w:val="000000" w:themeColor="text1"/>
                <w:sz w:val="20"/>
                <w:szCs w:val="20"/>
                <w:shd w:val="clear" w:color="auto" w:fill="FFFFFF"/>
                <w:lang w:val="en-US"/>
              </w:rPr>
              <w:t xml:space="preserve"> de operator </w:t>
            </w:r>
            <w:proofErr w:type="spellStart"/>
            <w:r w:rsidRPr="002149D4">
              <w:rPr>
                <w:rFonts w:eastAsia="Arial Unicode MS"/>
                <w:color w:val="000000" w:themeColor="text1"/>
                <w:sz w:val="20"/>
                <w:szCs w:val="20"/>
                <w:shd w:val="clear" w:color="auto" w:fill="FFFFFF"/>
                <w:lang w:val="en-US"/>
              </w:rPr>
              <w:t>aerian</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eliberat</w:t>
            </w:r>
            <w:proofErr w:type="spellEnd"/>
            <w:r w:rsidRPr="002149D4">
              <w:rPr>
                <w:rFonts w:eastAsia="Arial Unicode MS"/>
                <w:color w:val="000000" w:themeColor="text1"/>
                <w:sz w:val="20"/>
                <w:szCs w:val="20"/>
                <w:shd w:val="clear" w:color="auto" w:fill="FFFFFF"/>
                <w:lang w:val="en-US"/>
              </w:rPr>
              <w:t xml:space="preserve"> de un stat </w:t>
            </w:r>
            <w:proofErr w:type="spellStart"/>
            <w:r w:rsidRPr="002149D4">
              <w:rPr>
                <w:rFonts w:eastAsia="Arial Unicode MS"/>
                <w:color w:val="000000" w:themeColor="text1"/>
                <w:sz w:val="20"/>
                <w:szCs w:val="20"/>
                <w:shd w:val="clear" w:color="auto" w:fill="FFFFFF"/>
                <w:lang w:val="en-US"/>
              </w:rPr>
              <w:t>membru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care sunt </w:t>
            </w:r>
            <w:proofErr w:type="spellStart"/>
            <w:r w:rsidRPr="002149D4">
              <w:rPr>
                <w:rFonts w:eastAsia="Arial Unicode MS"/>
                <w:color w:val="000000" w:themeColor="text1"/>
                <w:sz w:val="20"/>
                <w:szCs w:val="20"/>
                <w:shd w:val="clear" w:color="auto" w:fill="FFFFFF"/>
                <w:lang w:val="en-US"/>
              </w:rPr>
              <w:t>înregistrați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într</w:t>
            </w:r>
            <w:proofErr w:type="spellEnd"/>
            <w:r w:rsidRPr="002149D4">
              <w:rPr>
                <w:rFonts w:eastAsia="Arial Unicode MS"/>
                <w:color w:val="000000" w:themeColor="text1"/>
                <w:sz w:val="20"/>
                <w:szCs w:val="20"/>
                <w:shd w:val="clear" w:color="auto" w:fill="FFFFFF"/>
                <w:lang w:val="en-US"/>
              </w:rPr>
              <w:t xml:space="preserve">-un stat </w:t>
            </w:r>
            <w:proofErr w:type="spellStart"/>
            <w:r w:rsidRPr="002149D4">
              <w:rPr>
                <w:rFonts w:eastAsia="Arial Unicode MS"/>
                <w:color w:val="000000" w:themeColor="text1"/>
                <w:sz w:val="20"/>
                <w:szCs w:val="20"/>
                <w:shd w:val="clear" w:color="auto" w:fill="FFFFFF"/>
                <w:lang w:val="en-US"/>
              </w:rPr>
              <w:t>membru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inclusiv</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regiunile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ultraperiferice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teritoriile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dependente</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teritoriile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statului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respectiv</w:t>
            </w:r>
            <w:proofErr w:type="spellEnd"/>
            <w:r w:rsidRPr="002149D4">
              <w:rPr>
                <w:rFonts w:eastAsia="Arial Unicode MS"/>
                <w:color w:val="000000" w:themeColor="text1"/>
                <w:sz w:val="20"/>
                <w:szCs w:val="20"/>
                <w:shd w:val="clear" w:color="auto" w:fill="FFFFFF"/>
                <w:lang w:val="en-US"/>
              </w:rPr>
              <w:t xml:space="preserve">, pot </w:t>
            </w:r>
            <w:proofErr w:type="spellStart"/>
            <w:r w:rsidRPr="002149D4">
              <w:rPr>
                <w:rFonts w:eastAsia="Arial Unicode MS"/>
                <w:color w:val="000000" w:themeColor="text1"/>
                <w:sz w:val="20"/>
                <w:szCs w:val="20"/>
                <w:shd w:val="clear" w:color="auto" w:fill="FFFFFF"/>
                <w:lang w:val="en-US"/>
              </w:rPr>
              <w:t>utiliza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următoarele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unități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a-și </w:t>
            </w:r>
            <w:proofErr w:type="spellStart"/>
            <w:r w:rsidRPr="002149D4">
              <w:rPr>
                <w:rFonts w:eastAsia="Arial Unicode MS"/>
                <w:color w:val="000000" w:themeColor="text1"/>
                <w:sz w:val="20"/>
                <w:szCs w:val="20"/>
                <w:shd w:val="clear" w:color="auto" w:fill="FFFFFF"/>
                <w:lang w:val="en-US"/>
              </w:rPr>
              <w:t>îndeplini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obligațiile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anulare</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unităților</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ceea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privește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cantitatea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notificată</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articolului</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12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(6), </w:t>
            </w:r>
            <w:proofErr w:type="spellStart"/>
            <w:r w:rsidRPr="002149D4">
              <w:rPr>
                <w:rFonts w:eastAsia="Arial Unicode MS"/>
                <w:color w:val="000000" w:themeColor="text1"/>
                <w:sz w:val="20"/>
                <w:szCs w:val="20"/>
                <w:shd w:val="clear" w:color="auto" w:fill="FFFFFF"/>
                <w:lang w:val="en-US"/>
              </w:rPr>
              <w:t>astfel</w:t>
            </w:r>
            <w:proofErr w:type="spellEnd"/>
            <w:r w:rsidRPr="002149D4">
              <w:rPr>
                <w:rFonts w:eastAsia="Arial Unicode MS"/>
                <w:color w:val="000000" w:themeColor="text1"/>
                <w:sz w:val="20"/>
                <w:szCs w:val="20"/>
                <w:shd w:val="clear" w:color="auto" w:fill="FFFFFF"/>
                <w:lang w:val="en-US"/>
              </w:rPr>
              <w:t xml:space="preserve"> cum se </w:t>
            </w:r>
            <w:proofErr w:type="spellStart"/>
            <w:r w:rsidRPr="002149D4">
              <w:rPr>
                <w:rFonts w:eastAsia="Arial Unicode MS"/>
                <w:color w:val="000000" w:themeColor="text1"/>
                <w:sz w:val="20"/>
                <w:szCs w:val="20"/>
                <w:shd w:val="clear" w:color="auto" w:fill="FFFFFF"/>
                <w:lang w:val="en-US"/>
              </w:rPr>
              <w:t>prevede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articolul</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12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(9);</w:t>
            </w:r>
          </w:p>
          <w:p w14:paraId="3A8A57B7" w14:textId="6EF64531" w:rsidR="00124364" w:rsidRPr="002149D4" w:rsidRDefault="00000000" w:rsidP="002149D4">
            <w:pPr>
              <w:pStyle w:val="ti-art"/>
              <w:numPr>
                <w:ilvl w:val="0"/>
                <w:numId w:val="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autorizate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părțile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participante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mecanismul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instituit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articolului</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6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(4) din </w:t>
            </w:r>
            <w:proofErr w:type="spellStart"/>
            <w:r w:rsidRPr="002149D4">
              <w:rPr>
                <w:rFonts w:eastAsia="Arial Unicode MS"/>
                <w:color w:val="000000" w:themeColor="text1"/>
                <w:sz w:val="20"/>
                <w:szCs w:val="20"/>
                <w:shd w:val="clear" w:color="auto" w:fill="FFFFFF"/>
                <w:lang w:val="en-US"/>
              </w:rPr>
              <w:t>Acordul</w:t>
            </w:r>
            <w:proofErr w:type="spellEnd"/>
            <w:r w:rsidRPr="002149D4">
              <w:rPr>
                <w:rFonts w:eastAsia="Arial Unicode MS"/>
                <w:color w:val="000000" w:themeColor="text1"/>
                <w:sz w:val="20"/>
                <w:szCs w:val="20"/>
                <w:shd w:val="clear" w:color="auto" w:fill="FFFFFF"/>
                <w:lang w:val="en-US"/>
              </w:rPr>
              <w:t xml:space="preserve"> de la Paris;</w:t>
            </w:r>
          </w:p>
          <w:p w14:paraId="6853E032" w14:textId="77777777" w:rsidR="00124364" w:rsidRPr="002149D4" w:rsidRDefault="00000000" w:rsidP="002149D4">
            <w:pPr>
              <w:pStyle w:val="ti-art"/>
              <w:numPr>
                <w:ilvl w:val="0"/>
                <w:numId w:val="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autorizate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părțile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participante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programele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creditare</w:t>
            </w:r>
            <w:proofErr w:type="spellEnd"/>
            <w:r w:rsidRPr="002149D4">
              <w:rPr>
                <w:rFonts w:eastAsia="Arial Unicode MS"/>
                <w:color w:val="000000" w:themeColor="text1"/>
                <w:sz w:val="20"/>
                <w:szCs w:val="20"/>
                <w:shd w:val="clear" w:color="auto" w:fill="FFFFFF"/>
                <w:lang w:val="en-US"/>
              </w:rPr>
              <w:t xml:space="preserve"> care au </w:t>
            </w:r>
            <w:proofErr w:type="spellStart"/>
            <w:r w:rsidRPr="002149D4">
              <w:rPr>
                <w:rFonts w:eastAsia="Arial Unicode MS"/>
                <w:color w:val="000000" w:themeColor="text1"/>
                <w:sz w:val="20"/>
                <w:szCs w:val="20"/>
                <w:shd w:val="clear" w:color="auto" w:fill="FFFFFF"/>
                <w:lang w:val="en-US"/>
              </w:rPr>
              <w:t>fost</w:t>
            </w:r>
            <w:proofErr w:type="spellEnd"/>
            <w:r w:rsidRPr="002149D4">
              <w:rPr>
                <w:rFonts w:eastAsia="Arial Unicode MS"/>
                <w:color w:val="000000" w:themeColor="text1"/>
                <w:sz w:val="20"/>
                <w:szCs w:val="20"/>
                <w:shd w:val="clear" w:color="auto" w:fill="FFFFFF"/>
                <w:lang w:val="en-US"/>
              </w:rPr>
              <w:t xml:space="preserve"> considerate </w:t>
            </w:r>
            <w:proofErr w:type="spellStart"/>
            <w:r w:rsidRPr="002149D4">
              <w:rPr>
                <w:rFonts w:eastAsia="Arial Unicode MS"/>
                <w:color w:val="000000" w:themeColor="text1"/>
                <w:sz w:val="20"/>
                <w:szCs w:val="20"/>
                <w:shd w:val="clear" w:color="auto" w:fill="FFFFFF"/>
                <w:lang w:val="en-US"/>
              </w:rPr>
              <w:t>eligibile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către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Consiliul</w:t>
            </w:r>
            <w:proofErr w:type="spellEnd"/>
            <w:r w:rsidRPr="002149D4">
              <w:rPr>
                <w:rFonts w:eastAsia="Arial Unicode MS"/>
                <w:color w:val="000000" w:themeColor="text1"/>
                <w:sz w:val="20"/>
                <w:szCs w:val="20"/>
                <w:shd w:val="clear" w:color="auto" w:fill="FFFFFF"/>
                <w:lang w:val="en-US"/>
              </w:rPr>
              <w:t xml:space="preserve"> OACI, </w:t>
            </w:r>
            <w:proofErr w:type="spellStart"/>
            <w:r w:rsidRPr="002149D4">
              <w:rPr>
                <w:rFonts w:eastAsia="Arial Unicode MS"/>
                <w:color w:val="000000" w:themeColor="text1"/>
                <w:sz w:val="20"/>
                <w:szCs w:val="20"/>
                <w:shd w:val="clear" w:color="auto" w:fill="FFFFFF"/>
                <w:lang w:val="en-US"/>
              </w:rPr>
              <w:t>astfel</w:t>
            </w:r>
            <w:proofErr w:type="spellEnd"/>
            <w:r w:rsidRPr="002149D4">
              <w:rPr>
                <w:rFonts w:eastAsia="Arial Unicode MS"/>
                <w:color w:val="000000" w:themeColor="text1"/>
                <w:sz w:val="20"/>
                <w:szCs w:val="20"/>
                <w:shd w:val="clear" w:color="auto" w:fill="FFFFFF"/>
                <w:lang w:val="en-US"/>
              </w:rPr>
              <w:t xml:space="preserve"> cum au </w:t>
            </w:r>
            <w:proofErr w:type="spellStart"/>
            <w:r w:rsidRPr="002149D4">
              <w:rPr>
                <w:rFonts w:eastAsia="Arial Unicode MS"/>
                <w:color w:val="000000" w:themeColor="text1"/>
                <w:sz w:val="20"/>
                <w:szCs w:val="20"/>
                <w:shd w:val="clear" w:color="auto" w:fill="FFFFFF"/>
                <w:lang w:val="en-US"/>
              </w:rPr>
              <w:t>fost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identificate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actul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punere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adoptat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alineatului</w:t>
            </w:r>
            <w:proofErr w:type="spellEnd"/>
            <w:r w:rsidRPr="002149D4">
              <w:rPr>
                <w:rFonts w:eastAsia="Arial Unicode MS"/>
                <w:color w:val="000000" w:themeColor="text1"/>
                <w:sz w:val="20"/>
                <w:szCs w:val="20"/>
                <w:shd w:val="clear" w:color="auto" w:fill="FFFFFF"/>
                <w:lang w:val="en-US"/>
              </w:rPr>
              <w:t xml:space="preserve"> (8);</w:t>
            </w:r>
          </w:p>
          <w:p w14:paraId="74CCBA66" w14:textId="77777777" w:rsidR="00124364" w:rsidRPr="002149D4" w:rsidRDefault="00000000" w:rsidP="002149D4">
            <w:pPr>
              <w:pStyle w:val="ti-art"/>
              <w:numPr>
                <w:ilvl w:val="0"/>
                <w:numId w:val="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autorizate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părți</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acorduri</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alineatului</w:t>
            </w:r>
            <w:proofErr w:type="spellEnd"/>
            <w:r w:rsidRPr="002149D4">
              <w:rPr>
                <w:rFonts w:eastAsia="Arial Unicode MS"/>
                <w:color w:val="000000" w:themeColor="text1"/>
                <w:sz w:val="20"/>
                <w:szCs w:val="20"/>
                <w:shd w:val="clear" w:color="auto" w:fill="FFFFFF"/>
                <w:lang w:val="en-US"/>
              </w:rPr>
              <w:t xml:space="preserve"> (5);</w:t>
            </w:r>
          </w:p>
          <w:p w14:paraId="6D17CBE5" w14:textId="601C1090" w:rsidR="00124364" w:rsidRPr="002149D4" w:rsidRDefault="00000000" w:rsidP="002149D4">
            <w:pPr>
              <w:pStyle w:val="ti-art"/>
              <w:numPr>
                <w:ilvl w:val="0"/>
                <w:numId w:val="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acordate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nivelul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Uniunii</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articolului</w:t>
            </w:r>
            <w:proofErr w:type="spellEnd"/>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24a.</w:t>
            </w:r>
          </w:p>
          <w:p w14:paraId="44F5FF29" w14:textId="77777777" w:rsidR="00124364" w:rsidRPr="002149D4" w:rsidRDefault="00000000" w:rsidP="002149D4">
            <w:pPr>
              <w:pStyle w:val="ti-art"/>
              <w:numPr>
                <w:ilvl w:val="0"/>
                <w:numId w:val="7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Unitățile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(1) </w:t>
            </w:r>
            <w:proofErr w:type="spellStart"/>
            <w:r w:rsidRPr="002149D4">
              <w:rPr>
                <w:rFonts w:eastAsia="Arial Unicode MS"/>
                <w:color w:val="000000" w:themeColor="text1"/>
                <w:sz w:val="20"/>
                <w:szCs w:val="20"/>
                <w:shd w:val="clear" w:color="auto" w:fill="FFFFFF"/>
                <w:lang w:val="en-US"/>
              </w:rPr>
              <w:t>literele</w:t>
            </w:r>
            <w:proofErr w:type="spellEnd"/>
            <w:r w:rsidRPr="002149D4">
              <w:rPr>
                <w:rFonts w:eastAsia="Arial Unicode MS"/>
                <w:color w:val="000000" w:themeColor="text1"/>
                <w:sz w:val="20"/>
                <w:szCs w:val="20"/>
                <w:shd w:val="clear" w:color="auto" w:fill="FFFFFF"/>
                <w:lang w:val="en-US"/>
              </w:rPr>
              <w:t xml:space="preserve"> (a) și (b) pot fi </w:t>
            </w:r>
            <w:proofErr w:type="spellStart"/>
            <w:r w:rsidRPr="002149D4">
              <w:rPr>
                <w:rFonts w:eastAsia="Arial Unicode MS"/>
                <w:color w:val="000000" w:themeColor="text1"/>
                <w:sz w:val="20"/>
                <w:szCs w:val="20"/>
                <w:shd w:val="clear" w:color="auto" w:fill="FFFFFF"/>
                <w:lang w:val="en-US"/>
              </w:rPr>
              <w:t>utilizate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dacă</w:t>
            </w:r>
            <w:proofErr w:type="spellEnd"/>
            <w:r w:rsidRPr="002149D4">
              <w:rPr>
                <w:rFonts w:eastAsia="Arial Unicode MS"/>
                <w:color w:val="000000" w:themeColor="text1"/>
                <w:sz w:val="20"/>
                <w:szCs w:val="20"/>
                <w:shd w:val="clear" w:color="auto" w:fill="FFFFFF"/>
                <w:lang w:val="en-US"/>
              </w:rPr>
              <w:t xml:space="preserve"> sunt </w:t>
            </w:r>
            <w:proofErr w:type="spellStart"/>
            <w:r w:rsidRPr="002149D4">
              <w:rPr>
                <w:rFonts w:eastAsia="Arial Unicode MS"/>
                <w:color w:val="000000" w:themeColor="text1"/>
                <w:sz w:val="20"/>
                <w:szCs w:val="20"/>
                <w:shd w:val="clear" w:color="auto" w:fill="FFFFFF"/>
                <w:lang w:val="en-US"/>
              </w:rPr>
              <w:t>îndeplinite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următoarele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condiții</w:t>
            </w:r>
            <w:proofErr w:type="spellEnd"/>
            <w:r w:rsidRPr="002149D4">
              <w:rPr>
                <w:rFonts w:eastAsia="Arial Unicode MS"/>
                <w:color w:val="000000" w:themeColor="text1"/>
                <w:sz w:val="20"/>
                <w:szCs w:val="20"/>
                <w:shd w:val="clear" w:color="auto" w:fill="FFFFFF"/>
                <w:lang w:val="en-US"/>
              </w:rPr>
              <w:t>:</w:t>
            </w:r>
          </w:p>
          <w:p w14:paraId="2C4AA22F" w14:textId="77777777" w:rsidR="00124364" w:rsidRPr="002149D4" w:rsidRDefault="00000000" w:rsidP="002149D4">
            <w:pPr>
              <w:pStyle w:val="ti-art"/>
              <w:numPr>
                <w:ilvl w:val="0"/>
                <w:numId w:val="7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provin</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dintr</w:t>
            </w:r>
            <w:proofErr w:type="spellEnd"/>
            <w:r w:rsidRPr="002149D4">
              <w:rPr>
                <w:rFonts w:eastAsia="Arial Unicode MS"/>
                <w:color w:val="000000" w:themeColor="text1"/>
                <w:sz w:val="20"/>
                <w:szCs w:val="20"/>
                <w:shd w:val="clear" w:color="auto" w:fill="FFFFFF"/>
                <w:lang w:val="en-US"/>
              </w:rPr>
              <w:t xml:space="preserve">-un stat care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parte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Acordul</w:t>
            </w:r>
            <w:proofErr w:type="spellEnd"/>
            <w:r w:rsidRPr="002149D4">
              <w:rPr>
                <w:rFonts w:eastAsia="Arial Unicode MS"/>
                <w:color w:val="000000" w:themeColor="text1"/>
                <w:sz w:val="20"/>
                <w:szCs w:val="20"/>
                <w:shd w:val="clear" w:color="auto" w:fill="FFFFFF"/>
                <w:lang w:val="en-US"/>
              </w:rPr>
              <w:t xml:space="preserve"> de la Paris în </w:t>
            </w:r>
            <w:proofErr w:type="spellStart"/>
            <w:r w:rsidRPr="002149D4">
              <w:rPr>
                <w:rFonts w:eastAsia="Arial Unicode MS"/>
                <w:color w:val="000000" w:themeColor="text1"/>
                <w:sz w:val="20"/>
                <w:szCs w:val="20"/>
                <w:shd w:val="clear" w:color="auto" w:fill="FFFFFF"/>
                <w:lang w:val="en-US"/>
              </w:rPr>
              <w:t>momentul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utilizării</w:t>
            </w:r>
            <w:proofErr w:type="spellEnd"/>
            <w:r w:rsidRPr="002149D4">
              <w:rPr>
                <w:rFonts w:eastAsia="Arial Unicode MS"/>
                <w:color w:val="000000" w:themeColor="text1"/>
                <w:sz w:val="20"/>
                <w:szCs w:val="20"/>
                <w:shd w:val="clear" w:color="auto" w:fill="FFFFFF"/>
                <w:lang w:val="en-US"/>
              </w:rPr>
              <w:t>;</w:t>
            </w:r>
          </w:p>
          <w:p w14:paraId="463CBA31" w14:textId="31F7A1E0" w:rsidR="00124364" w:rsidRPr="002149D4" w:rsidRDefault="00000000" w:rsidP="002149D4">
            <w:pPr>
              <w:pStyle w:val="ti-art"/>
              <w:numPr>
                <w:ilvl w:val="0"/>
                <w:numId w:val="7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provin</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dintr</w:t>
            </w:r>
            <w:proofErr w:type="spellEnd"/>
            <w:r w:rsidRPr="002149D4">
              <w:rPr>
                <w:rFonts w:eastAsia="Arial Unicode MS"/>
                <w:color w:val="000000" w:themeColor="text1"/>
                <w:sz w:val="20"/>
                <w:szCs w:val="20"/>
                <w:shd w:val="clear" w:color="auto" w:fill="FFFFFF"/>
                <w:lang w:val="en-US"/>
              </w:rPr>
              <w:t xml:space="preserve">-un stat care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actul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punere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adoptat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articolului</w:t>
            </w:r>
            <w:proofErr w:type="spellEnd"/>
            <w:r w:rsidR="002149D4"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25a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(3) ca </w:t>
            </w:r>
            <w:proofErr w:type="spellStart"/>
            <w:r w:rsidRPr="002149D4">
              <w:rPr>
                <w:rFonts w:eastAsia="Arial Unicode MS"/>
                <w:color w:val="000000" w:themeColor="text1"/>
                <w:sz w:val="20"/>
                <w:szCs w:val="20"/>
                <w:shd w:val="clear" w:color="auto" w:fill="FFFFFF"/>
                <w:lang w:val="en-US"/>
              </w:rPr>
              <w:t>participând</w:t>
            </w:r>
            <w:proofErr w:type="spellEnd"/>
            <w:r w:rsidRPr="002149D4">
              <w:rPr>
                <w:rFonts w:eastAsia="Arial Unicode MS"/>
                <w:color w:val="000000" w:themeColor="text1"/>
                <w:sz w:val="20"/>
                <w:szCs w:val="20"/>
                <w:shd w:val="clear" w:color="auto" w:fill="FFFFFF"/>
                <w:lang w:val="en-US"/>
              </w:rPr>
              <w:t xml:space="preserve"> la Schema OACI de </w:t>
            </w:r>
            <w:proofErr w:type="spellStart"/>
            <w:r w:rsidRPr="002149D4">
              <w:rPr>
                <w:rFonts w:eastAsia="Arial Unicode MS"/>
                <w:color w:val="000000" w:themeColor="text1"/>
                <w:sz w:val="20"/>
                <w:szCs w:val="20"/>
                <w:shd w:val="clear" w:color="auto" w:fill="FFFFFF"/>
                <w:lang w:val="en-US"/>
              </w:rPr>
              <w:t>compensare</w:t>
            </w:r>
            <w:proofErr w:type="spellEnd"/>
            <w:r w:rsidRP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lastRenderedPageBreak/>
              <w:t xml:space="preserve">și de </w:t>
            </w:r>
            <w:proofErr w:type="spellStart"/>
            <w:r w:rsidRPr="002149D4">
              <w:rPr>
                <w:rFonts w:eastAsia="Arial Unicode MS"/>
                <w:color w:val="000000" w:themeColor="text1"/>
                <w:sz w:val="20"/>
                <w:szCs w:val="20"/>
                <w:shd w:val="clear" w:color="auto" w:fill="FFFFFF"/>
                <w:lang w:val="en-US"/>
              </w:rPr>
              <w:t>reducere</w:t>
            </w:r>
            <w:proofErr w:type="spellEnd"/>
            <w:r w:rsidRPr="002149D4">
              <w:rPr>
                <w:rFonts w:eastAsia="Arial Unicode MS"/>
                <w:color w:val="000000" w:themeColor="text1"/>
                <w:sz w:val="20"/>
                <w:szCs w:val="20"/>
                <w:shd w:val="clear" w:color="auto" w:fill="FFFFFF"/>
                <w:lang w:val="en-US"/>
              </w:rPr>
              <w:t xml:space="preserve"> </w:t>
            </w:r>
            <w:proofErr w:type="gramStart"/>
            <w:r w:rsidRPr="002149D4">
              <w:rPr>
                <w:rFonts w:eastAsia="Arial Unicode MS"/>
                <w:color w:val="000000" w:themeColor="text1"/>
                <w:sz w:val="20"/>
                <w:szCs w:val="20"/>
                <w:shd w:val="clear" w:color="auto" w:fill="FFFFFF"/>
                <w:lang w:val="en-US"/>
              </w:rPr>
              <w:t>a</w:t>
            </w:r>
            <w:proofErr w:type="gram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emisiilor</w:t>
            </w:r>
            <w:proofErr w:type="spellEnd"/>
            <w:r w:rsidRPr="002149D4">
              <w:rPr>
                <w:rFonts w:eastAsia="Arial Unicode MS"/>
                <w:color w:val="000000" w:themeColor="text1"/>
                <w:sz w:val="20"/>
                <w:szCs w:val="20"/>
                <w:shd w:val="clear" w:color="auto" w:fill="FFFFFF"/>
                <w:lang w:val="en-US"/>
              </w:rPr>
              <w:t xml:space="preserve"> de carbon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aviația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internațională</w:t>
            </w:r>
            <w:proofErr w:type="spellEnd"/>
            <w:r w:rsidRPr="002149D4">
              <w:rPr>
                <w:rFonts w:eastAsia="Arial Unicode MS"/>
                <w:color w:val="000000" w:themeColor="text1"/>
                <w:sz w:val="20"/>
                <w:szCs w:val="20"/>
                <w:shd w:val="clear" w:color="auto" w:fill="FFFFFF"/>
                <w:lang w:val="en-US"/>
              </w:rPr>
              <w:t xml:space="preserve"> (CORSIA). </w:t>
            </w:r>
            <w:proofErr w:type="spellStart"/>
            <w:r w:rsidRPr="002149D4">
              <w:rPr>
                <w:rFonts w:eastAsia="Arial Unicode MS"/>
                <w:color w:val="000000" w:themeColor="text1"/>
                <w:sz w:val="20"/>
                <w:szCs w:val="20"/>
                <w:shd w:val="clear" w:color="auto" w:fill="FFFFFF"/>
                <w:lang w:val="en-US"/>
              </w:rPr>
              <w:t>Această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condiție</w:t>
            </w:r>
            <w:proofErr w:type="spellEnd"/>
            <w:r w:rsidRPr="002149D4">
              <w:rPr>
                <w:rFonts w:eastAsia="Arial Unicode MS"/>
                <w:color w:val="000000" w:themeColor="text1"/>
                <w:sz w:val="20"/>
                <w:szCs w:val="20"/>
                <w:shd w:val="clear" w:color="auto" w:fill="FFFFFF"/>
                <w:lang w:val="en-US"/>
              </w:rPr>
              <w:t xml:space="preserve"> nu se </w:t>
            </w:r>
            <w:proofErr w:type="spellStart"/>
            <w:r w:rsidRPr="002149D4">
              <w:rPr>
                <w:rFonts w:eastAsia="Arial Unicode MS"/>
                <w:color w:val="000000" w:themeColor="text1"/>
                <w:sz w:val="20"/>
                <w:szCs w:val="20"/>
                <w:shd w:val="clear" w:color="auto" w:fill="FFFFFF"/>
                <w:lang w:val="en-US"/>
              </w:rPr>
              <w:t>aplică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emisiilor</w:t>
            </w:r>
            <w:proofErr w:type="spellEnd"/>
            <w:r w:rsidRPr="002149D4">
              <w:rPr>
                <w:rFonts w:eastAsia="Arial Unicode MS"/>
                <w:color w:val="000000" w:themeColor="text1"/>
                <w:sz w:val="20"/>
                <w:szCs w:val="20"/>
                <w:shd w:val="clear" w:color="auto" w:fill="FFFFFF"/>
                <w:lang w:val="en-US"/>
              </w:rPr>
              <w:t xml:space="preserve"> generate </w:t>
            </w:r>
            <w:proofErr w:type="spellStart"/>
            <w:r w:rsidRPr="002149D4">
              <w:rPr>
                <w:rFonts w:eastAsia="Arial Unicode MS"/>
                <w:color w:val="000000" w:themeColor="text1"/>
                <w:sz w:val="20"/>
                <w:szCs w:val="20"/>
                <w:shd w:val="clear" w:color="auto" w:fill="FFFFFF"/>
                <w:lang w:val="en-US"/>
              </w:rPr>
              <w:t>înainte</w:t>
            </w:r>
            <w:proofErr w:type="spellEnd"/>
            <w:r w:rsidRPr="002149D4">
              <w:rPr>
                <w:rFonts w:eastAsia="Arial Unicode MS"/>
                <w:color w:val="000000" w:themeColor="text1"/>
                <w:sz w:val="20"/>
                <w:szCs w:val="20"/>
                <w:shd w:val="clear" w:color="auto" w:fill="FFFFFF"/>
                <w:lang w:val="en-US"/>
              </w:rPr>
              <w:t xml:space="preserve"> de 2027 și </w:t>
            </w:r>
            <w:proofErr w:type="spellStart"/>
            <w:r w:rsidRPr="002149D4">
              <w:rPr>
                <w:rFonts w:eastAsia="Arial Unicode MS"/>
                <w:color w:val="000000" w:themeColor="text1"/>
                <w:sz w:val="20"/>
                <w:szCs w:val="20"/>
                <w:shd w:val="clear" w:color="auto" w:fill="FFFFFF"/>
                <w:lang w:val="en-US"/>
              </w:rPr>
              <w:t>nici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țărilor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cel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mai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puțin</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dezvoltate</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statelor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insulare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mici</w:t>
            </w:r>
            <w:proofErr w:type="spellEnd"/>
            <w:r w:rsidRPr="002149D4">
              <w:rPr>
                <w:rFonts w:eastAsia="Arial Unicode MS"/>
                <w:color w:val="000000" w:themeColor="text1"/>
                <w:sz w:val="20"/>
                <w:szCs w:val="20"/>
                <w:shd w:val="clear" w:color="auto" w:fill="FFFFFF"/>
                <w:lang w:val="en-US"/>
              </w:rPr>
              <w:t xml:space="preserve"> în curs de </w:t>
            </w:r>
            <w:proofErr w:type="spellStart"/>
            <w:r w:rsidRPr="002149D4">
              <w:rPr>
                <w:rFonts w:eastAsia="Arial Unicode MS"/>
                <w:color w:val="000000" w:themeColor="text1"/>
                <w:sz w:val="20"/>
                <w:szCs w:val="20"/>
                <w:shd w:val="clear" w:color="auto" w:fill="FFFFFF"/>
                <w:lang w:val="en-US"/>
              </w:rPr>
              <w:t>dezvoltare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astfel</w:t>
            </w:r>
            <w:proofErr w:type="spellEnd"/>
            <w:r w:rsidRPr="002149D4">
              <w:rPr>
                <w:rFonts w:eastAsia="Arial Unicode MS"/>
                <w:color w:val="000000" w:themeColor="text1"/>
                <w:sz w:val="20"/>
                <w:szCs w:val="20"/>
                <w:shd w:val="clear" w:color="auto" w:fill="FFFFFF"/>
                <w:lang w:val="en-US"/>
              </w:rPr>
              <w:t xml:space="preserve"> cum sunt definite de </w:t>
            </w:r>
            <w:proofErr w:type="spellStart"/>
            <w:r w:rsidRPr="002149D4">
              <w:rPr>
                <w:rFonts w:eastAsia="Arial Unicode MS"/>
                <w:color w:val="000000" w:themeColor="text1"/>
                <w:sz w:val="20"/>
                <w:szCs w:val="20"/>
                <w:shd w:val="clear" w:color="auto" w:fill="FFFFFF"/>
                <w:lang w:val="en-US"/>
              </w:rPr>
              <w:t>Organizația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Națiunilor</w:t>
            </w:r>
            <w:proofErr w:type="spellEnd"/>
            <w:r w:rsidRPr="002149D4">
              <w:rPr>
                <w:rFonts w:eastAsia="Arial Unicode MS"/>
                <w:color w:val="000000" w:themeColor="text1"/>
                <w:sz w:val="20"/>
                <w:szCs w:val="20"/>
                <w:shd w:val="clear" w:color="auto" w:fill="FFFFFF"/>
                <w:lang w:val="en-US"/>
              </w:rPr>
              <w:t xml:space="preserve"> Unite, cu </w:t>
            </w:r>
            <w:proofErr w:type="spellStart"/>
            <w:r w:rsidRPr="002149D4">
              <w:rPr>
                <w:rFonts w:eastAsia="Arial Unicode MS"/>
                <w:color w:val="000000" w:themeColor="text1"/>
                <w:sz w:val="20"/>
                <w:szCs w:val="20"/>
                <w:shd w:val="clear" w:color="auto" w:fill="FFFFFF"/>
                <w:lang w:val="en-US"/>
              </w:rPr>
              <w:t>excepția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statelor</w:t>
            </w:r>
            <w:proofErr w:type="spellEnd"/>
            <w:r w:rsidRPr="002149D4">
              <w:rPr>
                <w:rFonts w:eastAsia="Arial Unicode MS"/>
                <w:color w:val="000000" w:themeColor="text1"/>
                <w:sz w:val="20"/>
                <w:szCs w:val="20"/>
                <w:shd w:val="clear" w:color="auto" w:fill="FFFFFF"/>
                <w:lang w:val="en-US"/>
              </w:rPr>
              <w:t xml:space="preserve"> al </w:t>
            </w:r>
            <w:proofErr w:type="spellStart"/>
            <w:r w:rsidRPr="002149D4">
              <w:rPr>
                <w:rFonts w:eastAsia="Arial Unicode MS"/>
                <w:color w:val="000000" w:themeColor="text1"/>
                <w:sz w:val="20"/>
                <w:szCs w:val="20"/>
                <w:shd w:val="clear" w:color="auto" w:fill="FFFFFF"/>
                <w:lang w:val="en-US"/>
              </w:rPr>
              <w:t>căror</w:t>
            </w:r>
            <w:proofErr w:type="spellEnd"/>
            <w:r w:rsidRPr="002149D4">
              <w:rPr>
                <w:rFonts w:eastAsia="Arial Unicode MS"/>
                <w:color w:val="000000" w:themeColor="text1"/>
                <w:sz w:val="20"/>
                <w:szCs w:val="20"/>
                <w:shd w:val="clear" w:color="auto" w:fill="FFFFFF"/>
                <w:lang w:val="en-US"/>
              </w:rPr>
              <w:t xml:space="preserve"> PIB pe cap de </w:t>
            </w:r>
            <w:proofErr w:type="spellStart"/>
            <w:r w:rsidRPr="002149D4">
              <w:rPr>
                <w:rFonts w:eastAsia="Arial Unicode MS"/>
                <w:color w:val="000000" w:themeColor="text1"/>
                <w:sz w:val="20"/>
                <w:szCs w:val="20"/>
                <w:shd w:val="clear" w:color="auto" w:fill="FFFFFF"/>
                <w:lang w:val="en-US"/>
              </w:rPr>
              <w:t>locuitor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egal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mai</w:t>
            </w:r>
            <w:proofErr w:type="spellEnd"/>
            <w:r w:rsidRPr="002149D4">
              <w:rPr>
                <w:rFonts w:eastAsia="Arial Unicode MS"/>
                <w:color w:val="000000" w:themeColor="text1"/>
                <w:sz w:val="20"/>
                <w:szCs w:val="20"/>
                <w:shd w:val="clear" w:color="auto" w:fill="FFFFFF"/>
                <w:lang w:val="en-US"/>
              </w:rPr>
              <w:t xml:space="preserve"> mare </w:t>
            </w:r>
            <w:proofErr w:type="spellStart"/>
            <w:r w:rsidRPr="002149D4">
              <w:rPr>
                <w:rFonts w:eastAsia="Arial Unicode MS"/>
                <w:color w:val="000000" w:themeColor="text1"/>
                <w:sz w:val="20"/>
                <w:szCs w:val="20"/>
                <w:shd w:val="clear" w:color="auto" w:fill="FFFFFF"/>
                <w:lang w:val="en-US"/>
              </w:rPr>
              <w:t>decât</w:t>
            </w:r>
            <w:proofErr w:type="spellEnd"/>
            <w:r w:rsidRPr="002149D4">
              <w:rPr>
                <w:rFonts w:eastAsia="Arial Unicode MS"/>
                <w:color w:val="000000" w:themeColor="text1"/>
                <w:sz w:val="20"/>
                <w:szCs w:val="20"/>
                <w:shd w:val="clear" w:color="auto" w:fill="FFFFFF"/>
                <w:lang w:val="en-US"/>
              </w:rPr>
              <w:t xml:space="preserve"> media </w:t>
            </w:r>
            <w:proofErr w:type="spellStart"/>
            <w:r w:rsidRPr="002149D4">
              <w:rPr>
                <w:rFonts w:eastAsia="Arial Unicode MS"/>
                <w:color w:val="000000" w:themeColor="text1"/>
                <w:sz w:val="20"/>
                <w:szCs w:val="20"/>
                <w:shd w:val="clear" w:color="auto" w:fill="FFFFFF"/>
                <w:lang w:val="en-US"/>
              </w:rPr>
              <w:t>Uniunii</w:t>
            </w:r>
            <w:proofErr w:type="spellEnd"/>
            <w:r w:rsidRPr="002149D4">
              <w:rPr>
                <w:rFonts w:ascii="Arial Unicode MS" w:eastAsia="Arial Unicode MS" w:hAnsi="Arial Unicode MS" w:cs="Arial Unicode MS" w:hint="eastAsia"/>
                <w:color w:val="000000" w:themeColor="text1"/>
                <w:sz w:val="21"/>
                <w:szCs w:val="21"/>
                <w:shd w:val="clear" w:color="auto" w:fill="FFFFFF"/>
                <w:lang w:val="en-US"/>
              </w:rPr>
              <w:t>.</w:t>
            </w:r>
          </w:p>
          <w:p w14:paraId="22BFD0D4" w14:textId="77777777" w:rsidR="00124364" w:rsidRDefault="00000000" w:rsidP="002149D4">
            <w:pPr>
              <w:pStyle w:val="ti-art"/>
              <w:numPr>
                <w:ilvl w:val="0"/>
                <w:numId w:val="74"/>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Unitățile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 </w:t>
            </w:r>
            <w:proofErr w:type="spellStart"/>
            <w:r>
              <w:rPr>
                <w:rFonts w:eastAsia="Arial Unicode MS"/>
                <w:color w:val="333333"/>
                <w:sz w:val="20"/>
                <w:szCs w:val="20"/>
                <w:shd w:val="clear" w:color="auto" w:fill="FFFFFF"/>
                <w:lang w:val="en-US"/>
              </w:rPr>
              <w:t>literele</w:t>
            </w:r>
            <w:proofErr w:type="spellEnd"/>
            <w:r>
              <w:rPr>
                <w:rFonts w:eastAsia="Arial Unicode MS"/>
                <w:color w:val="333333"/>
                <w:sz w:val="20"/>
                <w:szCs w:val="20"/>
                <w:shd w:val="clear" w:color="auto" w:fill="FFFFFF"/>
                <w:lang w:val="en-US"/>
              </w:rPr>
              <w:t xml:space="preserve"> (a), (b) și (c) pot fi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există </w:t>
            </w:r>
            <w:proofErr w:type="spellStart"/>
            <w:r>
              <w:rPr>
                <w:rFonts w:eastAsia="Arial Unicode MS"/>
                <w:color w:val="333333"/>
                <w:sz w:val="20"/>
                <w:szCs w:val="20"/>
                <w:shd w:val="clear" w:color="auto" w:fill="FFFFFF"/>
                <w:lang w:val="en-US"/>
              </w:rPr>
              <w:t>mecanisme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autorizare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părțile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participante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se efectuează </w:t>
            </w:r>
            <w:proofErr w:type="spellStart"/>
            <w:r>
              <w:rPr>
                <w:rFonts w:eastAsia="Arial Unicode MS"/>
                <w:color w:val="333333"/>
                <w:sz w:val="20"/>
                <w:szCs w:val="20"/>
                <w:shd w:val="clear" w:color="auto" w:fill="FFFFFF"/>
                <w:lang w:val="en-US"/>
              </w:rPr>
              <w:t>ajustări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timp</w:t>
            </w:r>
            <w:proofErr w:type="spellEnd"/>
            <w:r>
              <w:rPr>
                <w:rFonts w:eastAsia="Arial Unicode MS"/>
                <w:color w:val="333333"/>
                <w:sz w:val="20"/>
                <w:szCs w:val="20"/>
                <w:shd w:val="clear" w:color="auto" w:fill="FFFFFF"/>
                <w:lang w:val="en-US"/>
              </w:rPr>
              <w:t xml:space="preserve"> util ale </w:t>
            </w:r>
            <w:proofErr w:type="spellStart"/>
            <w:r>
              <w:rPr>
                <w:rFonts w:eastAsia="Arial Unicode MS"/>
                <w:color w:val="333333"/>
                <w:sz w:val="20"/>
                <w:szCs w:val="20"/>
                <w:shd w:val="clear" w:color="auto" w:fill="FFFFFF"/>
                <w:lang w:val="en-US"/>
              </w:rPr>
              <w:t>raportării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antropice</w:t>
            </w:r>
            <w:proofErr w:type="spellEnd"/>
            <w:r>
              <w:rPr>
                <w:rFonts w:eastAsia="Arial Unicode MS"/>
                <w:color w:val="333333"/>
                <w:sz w:val="20"/>
                <w:szCs w:val="20"/>
                <w:shd w:val="clear" w:color="auto" w:fill="FFFFFF"/>
                <w:lang w:val="en-US"/>
              </w:rPr>
              <w:t xml:space="preserve"> de la surse și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absorbțiilor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absorbanți</w:t>
            </w:r>
            <w:proofErr w:type="spellEnd"/>
            <w:r>
              <w:rPr>
                <w:rFonts w:eastAsia="Arial Unicode MS"/>
                <w:color w:val="333333"/>
                <w:sz w:val="20"/>
                <w:szCs w:val="20"/>
                <w:shd w:val="clear" w:color="auto" w:fill="FFFFFF"/>
                <w:lang w:val="en-US"/>
              </w:rPr>
              <w:t xml:space="preserv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contribuțiilor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național</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părților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participante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evită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dubla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contabilizare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creșterea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netă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globale</w:t>
            </w:r>
            <w:proofErr w:type="spellEnd"/>
            <w:r>
              <w:rPr>
                <w:rFonts w:eastAsia="Arial Unicode MS"/>
                <w:color w:val="333333"/>
                <w:sz w:val="20"/>
                <w:szCs w:val="20"/>
                <w:shd w:val="clear" w:color="auto" w:fill="FFFFFF"/>
                <w:lang w:val="en-US"/>
              </w:rPr>
              <w:t>.</w:t>
            </w:r>
          </w:p>
          <w:p w14:paraId="33BB257D" w14:textId="0797C044" w:rsidR="00124364" w:rsidRDefault="00000000" w:rsidP="002149D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stabilește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cerințe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detaliate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mecanismele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care pot </w:t>
            </w:r>
            <w:proofErr w:type="gramStart"/>
            <w:r>
              <w:rPr>
                <w:rFonts w:eastAsia="Arial Unicode MS"/>
                <w:color w:val="333333"/>
                <w:sz w:val="20"/>
                <w:szCs w:val="20"/>
                <w:shd w:val="clear" w:color="auto" w:fill="FFFFFF"/>
                <w:lang w:val="en-US"/>
              </w:rPr>
              <w:t>include</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cerințe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raportare</w:t>
            </w:r>
            <w:proofErr w:type="spellEnd"/>
            <w:r>
              <w:rPr>
                <w:rFonts w:eastAsia="Arial Unicode MS"/>
                <w:color w:val="333333"/>
                <w:sz w:val="20"/>
                <w:szCs w:val="20"/>
                <w:shd w:val="clear" w:color="auto" w:fill="FFFFFF"/>
                <w:lang w:val="en-US"/>
              </w:rPr>
              <w:t xml:space="preserve"> și de </w:t>
            </w:r>
            <w:proofErr w:type="spellStart"/>
            <w:r>
              <w:rPr>
                <w:rFonts w:eastAsia="Arial Unicode MS"/>
                <w:color w:val="333333"/>
                <w:sz w:val="20"/>
                <w:szCs w:val="20"/>
                <w:shd w:val="clear" w:color="auto" w:fill="FFFFFF"/>
                <w:lang w:val="en-US"/>
              </w:rPr>
              <w:t>înregistrare</w:t>
            </w:r>
            <w:proofErr w:type="spellEnd"/>
            <w:r>
              <w:rPr>
                <w:rFonts w:eastAsia="Arial Unicode MS"/>
                <w:color w:val="333333"/>
                <w:sz w:val="20"/>
                <w:szCs w:val="20"/>
                <w:shd w:val="clear" w:color="auto" w:fill="FFFFFF"/>
                <w:lang w:val="en-US"/>
              </w:rPr>
              <w:t xml:space="preserve">, precum și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enumerarea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programelor</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mecanismele</w:t>
            </w:r>
            <w:proofErr w:type="spellEnd"/>
            <w:r>
              <w:rPr>
                <w:rFonts w:eastAsia="Arial Unicode MS"/>
                <w:color w:val="333333"/>
                <w:sz w:val="20"/>
                <w:szCs w:val="20"/>
                <w:shd w:val="clear" w:color="auto" w:fill="FFFFFF"/>
                <w:lang w:val="en-US"/>
              </w:rPr>
              <w:t xml:space="preserve"> respective. </w:t>
            </w:r>
            <w:proofErr w:type="spellStart"/>
            <w:r>
              <w:rPr>
                <w:rFonts w:eastAsia="Arial Unicode MS"/>
                <w:color w:val="333333"/>
                <w:sz w:val="20"/>
                <w:szCs w:val="20"/>
                <w:shd w:val="clear" w:color="auto" w:fill="FFFFFF"/>
                <w:lang w:val="en-US"/>
              </w:rPr>
              <w:t>Mecanismele</w:t>
            </w:r>
            <w:proofErr w:type="spellEnd"/>
            <w:r>
              <w:rPr>
                <w:rFonts w:eastAsia="Arial Unicode MS"/>
                <w:color w:val="333333"/>
                <w:sz w:val="20"/>
                <w:szCs w:val="20"/>
                <w:shd w:val="clear" w:color="auto" w:fill="FFFFFF"/>
                <w:lang w:val="en-US"/>
              </w:rPr>
              <w:t xml:space="preserve"> respective </w:t>
            </w:r>
            <w:proofErr w:type="spellStart"/>
            <w:r>
              <w:rPr>
                <w:rFonts w:eastAsia="Arial Unicode MS"/>
                <w:color w:val="333333"/>
                <w:sz w:val="20"/>
                <w:szCs w:val="20"/>
                <w:shd w:val="clear" w:color="auto" w:fill="FFFFFF"/>
                <w:lang w:val="en-US"/>
              </w:rPr>
              <w:t>țin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seama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flexibilitatea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țărilor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puțin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dezvoltate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statelor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insulare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în curs de </w:t>
            </w:r>
            <w:proofErr w:type="spellStart"/>
            <w:r>
              <w:rPr>
                <w:rFonts w:eastAsia="Arial Unicode MS"/>
                <w:color w:val="333333"/>
                <w:sz w:val="20"/>
                <w:szCs w:val="20"/>
                <w:shd w:val="clear" w:color="auto" w:fill="FFFFFF"/>
                <w:lang w:val="en-US"/>
              </w:rPr>
              <w:t>dezvoltare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(2)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respective se </w:t>
            </w:r>
            <w:proofErr w:type="spellStart"/>
            <w:r>
              <w:rPr>
                <w:rFonts w:eastAsia="Arial Unicode MS"/>
                <w:color w:val="333333"/>
                <w:sz w:val="20"/>
                <w:szCs w:val="20"/>
                <w:shd w:val="clear" w:color="auto" w:fill="FFFFFF"/>
                <w:lang w:val="en-US"/>
              </w:rPr>
              <w:t>adoptă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procedura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examinare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2149D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22a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(2).</w:t>
            </w:r>
          </w:p>
          <w:p w14:paraId="2D9A0966" w14:textId="77777777" w:rsidR="00124364" w:rsidRDefault="00000000">
            <w:pPr>
              <w:pStyle w:val="ti-art"/>
              <w:shd w:val="clear" w:color="auto" w:fill="FFFFFF"/>
              <w:spacing w:before="0" w:beforeAutospacing="0" w:after="0" w:afterAutospacing="0"/>
              <w:rPr>
                <w:rFonts w:ascii="Arial Unicode MS" w:eastAsia="Arial Unicode MS" w:hAnsi="Arial Unicode MS" w:cs="Arial Unicode MS"/>
                <w:b/>
                <w:bCs/>
                <w:color w:val="333333"/>
                <w:sz w:val="21"/>
                <w:szCs w:val="21"/>
                <w:shd w:val="clear" w:color="auto" w:fill="FFFFFF"/>
              </w:rPr>
            </w:pPr>
            <w:hyperlink r:id="rId189" w:tooltip="32023L0958: DELETED" w:history="1">
              <w:r>
                <w:rPr>
                  <w:rStyle w:val="af3"/>
                  <w:rFonts w:eastAsia="Arial Unicode MS"/>
                  <w:b/>
                  <w:bCs/>
                  <w:color w:val="4472C4" w:themeColor="accent1"/>
                  <w:sz w:val="20"/>
                  <w:szCs w:val="20"/>
                </w:rPr>
                <w:t>▼M14</w:t>
              </w:r>
            </w:hyperlink>
            <w:r>
              <w:rPr>
                <w:rFonts w:ascii="Arial Unicode MS" w:eastAsia="Arial Unicode MS" w:hAnsi="Arial Unicode MS" w:cs="Arial Unicode MS" w:hint="eastAsia"/>
                <w:b/>
                <w:bCs/>
                <w:color w:val="333333"/>
                <w:sz w:val="21"/>
                <w:szCs w:val="21"/>
                <w:shd w:val="clear" w:color="auto" w:fill="FFFFFF"/>
              </w:rPr>
              <w:t> —————</w:t>
            </w:r>
          </w:p>
          <w:p w14:paraId="0967517E" w14:textId="77777777" w:rsidR="00124364" w:rsidRDefault="00000000">
            <w:pPr>
              <w:pStyle w:val="ti-art"/>
              <w:shd w:val="clear" w:color="auto" w:fill="FFFFFF"/>
              <w:spacing w:before="0" w:beforeAutospacing="0" w:after="0" w:afterAutospacing="0"/>
              <w:rPr>
                <w:color w:val="4472C4" w:themeColor="accent1"/>
                <w:sz w:val="20"/>
                <w:szCs w:val="20"/>
              </w:rPr>
            </w:pPr>
            <w:hyperlink r:id="rId190" w:tooltip="32009L0029R(04): REPLACED" w:history="1">
              <w:r>
                <w:rPr>
                  <w:rStyle w:val="af3"/>
                  <w:rFonts w:eastAsia="Arial Unicode MS"/>
                  <w:b/>
                  <w:bCs/>
                  <w:color w:val="4472C4" w:themeColor="accent1"/>
                  <w:sz w:val="20"/>
                  <w:szCs w:val="20"/>
                </w:rPr>
                <w:t>▼C5</w:t>
              </w:r>
            </w:hyperlink>
          </w:p>
          <w:p w14:paraId="5BAE1488" w14:textId="01651378" w:rsidR="00124364" w:rsidRDefault="00000000" w:rsidP="002149D4">
            <w:pPr>
              <w:pStyle w:val="ti-art"/>
              <w:numPr>
                <w:ilvl w:val="0"/>
                <w:numId w:val="77"/>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2149D4">
              <w:rPr>
                <w:rFonts w:eastAsia="Arial Unicode MS"/>
                <w:color w:val="000000" w:themeColor="text1"/>
                <w:sz w:val="20"/>
                <w:szCs w:val="20"/>
                <w:shd w:val="clear" w:color="auto" w:fill="FFFFFF"/>
                <w:lang w:val="en-US"/>
              </w:rPr>
              <w:t xml:space="preserve">În </w:t>
            </w:r>
            <w:proofErr w:type="spellStart"/>
            <w:r w:rsidRPr="002149D4">
              <w:rPr>
                <w:rFonts w:eastAsia="Arial Unicode MS"/>
                <w:color w:val="000000" w:themeColor="text1"/>
                <w:sz w:val="20"/>
                <w:szCs w:val="20"/>
                <w:shd w:val="clear" w:color="auto" w:fill="FFFFFF"/>
                <w:lang w:val="en-US"/>
              </w:rPr>
              <w:t>măsura</w:t>
            </w:r>
            <w:proofErr w:type="spellEnd"/>
            <w:r w:rsidRPr="002149D4">
              <w:rPr>
                <w:rFonts w:eastAsia="Arial Unicode MS"/>
                <w:color w:val="000000" w:themeColor="text1"/>
                <w:sz w:val="20"/>
                <w:szCs w:val="20"/>
                <w:shd w:val="clear" w:color="auto" w:fill="FFFFFF"/>
                <w:lang w:val="en-US"/>
              </w:rPr>
              <w:t xml:space="preserve"> în care </w:t>
            </w:r>
            <w:proofErr w:type="spellStart"/>
            <w:r w:rsidRPr="002149D4">
              <w:rPr>
                <w:rFonts w:eastAsia="Arial Unicode MS"/>
                <w:color w:val="000000" w:themeColor="text1"/>
                <w:sz w:val="20"/>
                <w:szCs w:val="20"/>
                <w:shd w:val="clear" w:color="auto" w:fill="FFFFFF"/>
                <w:lang w:val="en-US"/>
              </w:rPr>
              <w:t>operatorii</w:t>
            </w:r>
            <w:proofErr w:type="spellEnd"/>
            <w:r w:rsidRPr="002149D4">
              <w:rPr>
                <w:rFonts w:eastAsia="Arial Unicode MS"/>
                <w:color w:val="000000" w:themeColor="text1"/>
                <w:sz w:val="20"/>
                <w:szCs w:val="20"/>
                <w:shd w:val="clear" w:color="auto" w:fill="FFFFFF"/>
                <w:lang w:val="en-US"/>
              </w:rPr>
              <w:t xml:space="preserve"> nu au </w:t>
            </w:r>
            <w:proofErr w:type="spellStart"/>
            <w:r w:rsidRPr="002149D4">
              <w:rPr>
                <w:rFonts w:eastAsia="Arial Unicode MS"/>
                <w:color w:val="000000" w:themeColor="text1"/>
                <w:sz w:val="20"/>
                <w:szCs w:val="20"/>
                <w:shd w:val="clear" w:color="auto" w:fill="FFFFFF"/>
                <w:lang w:val="en-US"/>
              </w:rPr>
              <w:t>epuizat</w:t>
            </w:r>
            <w:proofErr w:type="spellEnd"/>
            <w:r w:rsidRPr="002149D4">
              <w:rPr>
                <w:rFonts w:eastAsia="Arial Unicode MS"/>
                <w:color w:val="000000" w:themeColor="text1"/>
                <w:sz w:val="20"/>
                <w:szCs w:val="20"/>
                <w:shd w:val="clear" w:color="auto" w:fill="FFFFFF"/>
                <w:lang w:val="en-US"/>
              </w:rPr>
              <w:t xml:space="preserve"> CER și ERU </w:t>
            </w:r>
            <w:proofErr w:type="spellStart"/>
            <w:r w:rsidRPr="002149D4">
              <w:rPr>
                <w:rFonts w:eastAsia="Arial Unicode MS"/>
                <w:color w:val="000000" w:themeColor="text1"/>
                <w:sz w:val="20"/>
                <w:szCs w:val="20"/>
                <w:shd w:val="clear" w:color="auto" w:fill="FFFFFF"/>
                <w:lang w:val="en-US"/>
              </w:rPr>
              <w:t>autorizate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operatori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operatori</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aeronave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perioada 2008-2012,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cazul</w:t>
            </w:r>
            <w:proofErr w:type="spellEnd"/>
            <w:r w:rsidRPr="002149D4">
              <w:rPr>
                <w:rFonts w:eastAsia="Arial Unicode MS"/>
                <w:color w:val="000000" w:themeColor="text1"/>
                <w:sz w:val="20"/>
                <w:szCs w:val="20"/>
                <w:shd w:val="clear" w:color="auto" w:fill="FFFFFF"/>
                <w:lang w:val="en-US"/>
              </w:rPr>
              <w:t xml:space="preserve"> în care s-a </w:t>
            </w:r>
            <w:proofErr w:type="spellStart"/>
            <w:r w:rsidRPr="002149D4">
              <w:rPr>
                <w:rFonts w:eastAsia="Arial Unicode MS"/>
                <w:color w:val="000000" w:themeColor="text1"/>
                <w:sz w:val="20"/>
                <w:szCs w:val="20"/>
                <w:shd w:val="clear" w:color="auto" w:fill="FFFFFF"/>
                <w:lang w:val="en-US"/>
              </w:rPr>
              <w:t>acordat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dreptul</w:t>
            </w:r>
            <w:proofErr w:type="spellEnd"/>
            <w:r w:rsidRPr="002149D4">
              <w:rPr>
                <w:rFonts w:eastAsia="Arial Unicode MS"/>
                <w:color w:val="000000" w:themeColor="text1"/>
                <w:sz w:val="20"/>
                <w:szCs w:val="20"/>
                <w:shd w:val="clear" w:color="auto" w:fill="FFFFFF"/>
                <w:lang w:val="en-US"/>
              </w:rPr>
              <w:t xml:space="preserve"> de a </w:t>
            </w:r>
            <w:proofErr w:type="spellStart"/>
            <w:r w:rsidRPr="002149D4">
              <w:rPr>
                <w:rFonts w:eastAsia="Arial Unicode MS"/>
                <w:color w:val="000000" w:themeColor="text1"/>
                <w:sz w:val="20"/>
                <w:szCs w:val="20"/>
                <w:shd w:val="clear" w:color="auto" w:fill="FFFFFF"/>
                <w:lang w:val="en-US"/>
              </w:rPr>
              <w:t>utiliza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alineatului</w:t>
            </w:r>
            <w:proofErr w:type="spellEnd"/>
            <w:r w:rsidRPr="002149D4">
              <w:rPr>
                <w:rFonts w:eastAsia="Arial Unicode MS"/>
                <w:color w:val="000000" w:themeColor="text1"/>
                <w:sz w:val="20"/>
                <w:szCs w:val="20"/>
                <w:shd w:val="clear" w:color="auto" w:fill="FFFFFF"/>
                <w:lang w:val="en-US"/>
              </w:rPr>
              <w:t xml:space="preserve"> (8) și în </w:t>
            </w:r>
            <w:proofErr w:type="spellStart"/>
            <w:r w:rsidRPr="002149D4">
              <w:rPr>
                <w:rFonts w:eastAsia="Arial Unicode MS"/>
                <w:color w:val="000000" w:themeColor="text1"/>
                <w:sz w:val="20"/>
                <w:szCs w:val="20"/>
                <w:shd w:val="clear" w:color="auto" w:fill="FFFFFF"/>
                <w:lang w:val="en-US"/>
              </w:rPr>
              <w:t>eventualitatea</w:t>
            </w:r>
            <w:proofErr w:type="spellEnd"/>
            <w:r w:rsidRPr="002149D4">
              <w:rPr>
                <w:rFonts w:eastAsia="Arial Unicode MS"/>
                <w:color w:val="000000" w:themeColor="text1"/>
                <w:sz w:val="20"/>
                <w:szCs w:val="20"/>
                <w:shd w:val="clear" w:color="auto" w:fill="FFFFFF"/>
                <w:lang w:val="en-US"/>
              </w:rPr>
              <w:t xml:space="preserve"> în care </w:t>
            </w:r>
            <w:proofErr w:type="spellStart"/>
            <w:r w:rsidRPr="002149D4">
              <w:rPr>
                <w:rFonts w:eastAsia="Arial Unicode MS"/>
                <w:color w:val="000000" w:themeColor="text1"/>
                <w:sz w:val="20"/>
                <w:szCs w:val="20"/>
                <w:shd w:val="clear" w:color="auto" w:fill="FFFFFF"/>
                <w:lang w:val="en-US"/>
              </w:rPr>
              <w:t>negocierile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un </w:t>
            </w:r>
            <w:proofErr w:type="spellStart"/>
            <w:r w:rsidRPr="002149D4">
              <w:rPr>
                <w:rFonts w:eastAsia="Arial Unicode MS"/>
                <w:color w:val="000000" w:themeColor="text1"/>
                <w:sz w:val="20"/>
                <w:szCs w:val="20"/>
                <w:shd w:val="clear" w:color="auto" w:fill="FFFFFF"/>
                <w:lang w:val="en-US"/>
              </w:rPr>
              <w:t>acord</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internațional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privind</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schimbările</w:t>
            </w:r>
            <w:proofErr w:type="spellEnd"/>
            <w:r w:rsidRPr="002149D4">
              <w:rPr>
                <w:rFonts w:eastAsia="Arial Unicode MS"/>
                <w:color w:val="000000" w:themeColor="text1"/>
                <w:sz w:val="20"/>
                <w:szCs w:val="20"/>
                <w:shd w:val="clear" w:color="auto" w:fill="FFFFFF"/>
                <w:lang w:val="en-US"/>
              </w:rPr>
              <w:t xml:space="preserve"> climatice nu se </w:t>
            </w:r>
            <w:proofErr w:type="spellStart"/>
            <w:r w:rsidRPr="002149D4">
              <w:rPr>
                <w:rFonts w:eastAsia="Arial Unicode MS"/>
                <w:color w:val="000000" w:themeColor="text1"/>
                <w:sz w:val="20"/>
                <w:szCs w:val="20"/>
                <w:shd w:val="clear" w:color="auto" w:fill="FFFFFF"/>
                <w:lang w:val="en-US"/>
              </w:rPr>
              <w:t>încheie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până</w:t>
            </w:r>
            <w:proofErr w:type="spellEnd"/>
            <w:r w:rsidRPr="002149D4">
              <w:rPr>
                <w:rFonts w:eastAsia="Arial Unicode MS"/>
                <w:color w:val="000000" w:themeColor="text1"/>
                <w:sz w:val="20"/>
                <w:szCs w:val="20"/>
                <w:shd w:val="clear" w:color="auto" w:fill="FFFFFF"/>
                <w:lang w:val="en-US"/>
              </w:rPr>
              <w:t xml:space="preserve"> la 31</w:t>
            </w:r>
            <w:r w:rsidR="002149D4"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decembrie</w:t>
            </w:r>
            <w:proofErr w:type="spellEnd"/>
            <w:r w:rsidRPr="002149D4">
              <w:rPr>
                <w:rFonts w:eastAsia="Arial Unicode MS"/>
                <w:color w:val="000000" w:themeColor="text1"/>
                <w:sz w:val="20"/>
                <w:szCs w:val="20"/>
                <w:shd w:val="clear" w:color="auto" w:fill="FFFFFF"/>
                <w:lang w:val="en-US"/>
              </w:rPr>
              <w:t xml:space="preserve"> 2009, </w:t>
            </w:r>
            <w:proofErr w:type="spellStart"/>
            <w:r w:rsidRPr="002149D4">
              <w:rPr>
                <w:rFonts w:eastAsia="Arial Unicode MS"/>
                <w:color w:val="000000" w:themeColor="text1"/>
                <w:sz w:val="20"/>
                <w:szCs w:val="20"/>
                <w:shd w:val="clear" w:color="auto" w:fill="FFFFFF"/>
                <w:lang w:val="en-US"/>
              </w:rPr>
              <w:t>creditele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provenind</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w:t>
            </w:r>
            <w:proofErr w:type="spellEnd"/>
            <w:r w:rsidRPr="002149D4">
              <w:rPr>
                <w:rFonts w:eastAsia="Arial Unicode MS"/>
                <w:color w:val="000000" w:themeColor="text1"/>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pot fi </w:t>
            </w:r>
            <w:proofErr w:type="spellStart"/>
            <w:r>
              <w:rPr>
                <w:rFonts w:eastAsia="Arial Unicode MS"/>
                <w:color w:val="333333"/>
                <w:sz w:val="20"/>
                <w:szCs w:val="20"/>
                <w:shd w:val="clear" w:color="auto" w:fill="FFFFFF"/>
                <w:lang w:val="en-US"/>
              </w:rPr>
              <w:t>utilizate</w:t>
            </w:r>
            <w:proofErr w:type="spellEnd"/>
            <w:r>
              <w:rPr>
                <w:rFonts w:eastAsia="Arial Unicode MS"/>
                <w:color w:val="333333"/>
                <w:sz w:val="20"/>
                <w:szCs w:val="20"/>
                <w:shd w:val="clear" w:color="auto" w:fill="FFFFFF"/>
                <w:lang w:val="en-US"/>
              </w:rPr>
              <w:t xml:space="preserve"> în</w:t>
            </w:r>
            <w:r w:rsidR="002149D4">
              <w:rPr>
                <w:rStyle w:val="apple-converted-space"/>
                <w:rFonts w:eastAsia="Arial Unicode MS"/>
                <w:color w:val="333333"/>
                <w:sz w:val="20"/>
                <w:szCs w:val="20"/>
                <w:shd w:val="clear" w:color="auto" w:fill="FFFFFF"/>
                <w:lang w:val="en-US"/>
              </w:rPr>
              <w:t xml:space="preserve"> </w:t>
            </w:r>
            <w:hyperlink r:id="rId191"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EU ETS</w:t>
            </w:r>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sidRPr="002149D4">
              <w:rPr>
                <w:rFonts w:eastAsia="Arial Unicode MS"/>
                <w:color w:val="000000" w:themeColor="text1"/>
                <w:sz w:val="20"/>
                <w:szCs w:val="20"/>
                <w:shd w:val="clear" w:color="auto" w:fill="FFFFFF"/>
                <w:lang w:val="en-US"/>
              </w:rPr>
              <w:t xml:space="preserve">în conformitate cu </w:t>
            </w:r>
            <w:proofErr w:type="spellStart"/>
            <w:r w:rsidRPr="002149D4">
              <w:rPr>
                <w:rFonts w:eastAsia="Arial Unicode MS"/>
                <w:color w:val="000000" w:themeColor="text1"/>
                <w:sz w:val="20"/>
                <w:szCs w:val="20"/>
                <w:shd w:val="clear" w:color="auto" w:fill="FFFFFF"/>
                <w:lang w:val="en-US"/>
              </w:rPr>
              <w:t>acordurile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încheiate</w:t>
            </w:r>
            <w:proofErr w:type="spellEnd"/>
            <w:r w:rsidRPr="002149D4">
              <w:rPr>
                <w:rFonts w:eastAsia="Arial Unicode MS"/>
                <w:color w:val="000000" w:themeColor="text1"/>
                <w:sz w:val="20"/>
                <w:szCs w:val="20"/>
                <w:shd w:val="clear" w:color="auto" w:fill="FFFFFF"/>
                <w:lang w:val="en-US"/>
              </w:rPr>
              <w:t xml:space="preserve"> cu </w:t>
            </w:r>
            <w:proofErr w:type="spellStart"/>
            <w:r w:rsidRPr="002149D4">
              <w:rPr>
                <w:rFonts w:eastAsia="Arial Unicode MS"/>
                <w:color w:val="000000" w:themeColor="text1"/>
                <w:sz w:val="20"/>
                <w:szCs w:val="20"/>
                <w:shd w:val="clear" w:color="auto" w:fill="FFFFFF"/>
                <w:lang w:val="en-US"/>
              </w:rPr>
              <w:t>țări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terțe</w:t>
            </w:r>
            <w:proofErr w:type="spellEnd"/>
            <w:r w:rsidRPr="002149D4">
              <w:rPr>
                <w:rFonts w:eastAsia="Arial Unicode MS"/>
                <w:color w:val="000000" w:themeColor="text1"/>
                <w:sz w:val="20"/>
                <w:szCs w:val="20"/>
                <w:shd w:val="clear" w:color="auto" w:fill="FFFFFF"/>
                <w:lang w:val="en-US"/>
              </w:rPr>
              <w:t xml:space="preserve"> în care se </w:t>
            </w:r>
            <w:proofErr w:type="spellStart"/>
            <w:r w:rsidRPr="002149D4">
              <w:rPr>
                <w:rFonts w:eastAsia="Arial Unicode MS"/>
                <w:color w:val="000000" w:themeColor="text1"/>
                <w:sz w:val="20"/>
                <w:szCs w:val="20"/>
                <w:shd w:val="clear" w:color="auto" w:fill="FFFFFF"/>
                <w:lang w:val="en-US"/>
              </w:rPr>
              <w:t>precizează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nivelurile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utilizare</w:t>
            </w:r>
            <w:proofErr w:type="spellEnd"/>
            <w:r w:rsidRPr="002149D4">
              <w:rPr>
                <w:rFonts w:eastAsia="Arial Unicode MS"/>
                <w:color w:val="000000" w:themeColor="text1"/>
                <w:sz w:val="20"/>
                <w:szCs w:val="20"/>
                <w:shd w:val="clear" w:color="auto" w:fill="FFFFFF"/>
                <w:lang w:val="en-US"/>
              </w:rPr>
              <w:t xml:space="preserve">. În conformitate cu </w:t>
            </w:r>
            <w:proofErr w:type="spellStart"/>
            <w:r w:rsidRPr="002149D4">
              <w:rPr>
                <w:rFonts w:eastAsia="Arial Unicode MS"/>
                <w:color w:val="000000" w:themeColor="text1"/>
                <w:sz w:val="20"/>
                <w:szCs w:val="20"/>
                <w:shd w:val="clear" w:color="auto" w:fill="FFFFFF"/>
                <w:lang w:val="en-US"/>
              </w:rPr>
              <w:t>aceste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acorduri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operatorii</w:t>
            </w:r>
            <w:proofErr w:type="spellEnd"/>
            <w:r w:rsidRPr="002149D4">
              <w:rPr>
                <w:rFonts w:eastAsia="Arial Unicode MS"/>
                <w:color w:val="000000" w:themeColor="text1"/>
                <w:sz w:val="20"/>
                <w:szCs w:val="20"/>
                <w:shd w:val="clear" w:color="auto" w:fill="FFFFFF"/>
                <w:lang w:val="en-US"/>
              </w:rPr>
              <w:t xml:space="preserve"> pot </w:t>
            </w:r>
            <w:proofErr w:type="spellStart"/>
            <w:r w:rsidRPr="002149D4">
              <w:rPr>
                <w:rFonts w:eastAsia="Arial Unicode MS"/>
                <w:color w:val="000000" w:themeColor="text1"/>
                <w:sz w:val="20"/>
                <w:szCs w:val="20"/>
                <w:shd w:val="clear" w:color="auto" w:fill="FFFFFF"/>
                <w:lang w:val="en-US"/>
              </w:rPr>
              <w:t>utiliza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creditele</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activitățile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proiect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desfășurate</w:t>
            </w:r>
            <w:proofErr w:type="spellEnd"/>
            <w:r w:rsidRPr="002149D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lastRenderedPageBreak/>
              <w:t xml:space="preserve">în </w:t>
            </w:r>
            <w:proofErr w:type="spellStart"/>
            <w:r>
              <w:rPr>
                <w:rFonts w:eastAsia="Arial Unicode MS"/>
                <w:color w:val="333333"/>
                <w:sz w:val="20"/>
                <w:szCs w:val="20"/>
                <w:shd w:val="clear" w:color="auto" w:fill="FFFFFF"/>
                <w:lang w:val="en-US"/>
              </w:rPr>
              <w:t>țări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terțe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a-și </w:t>
            </w:r>
            <w:proofErr w:type="spellStart"/>
            <w:r>
              <w:rPr>
                <w:rFonts w:eastAsia="Arial Unicode MS"/>
                <w:color w:val="333333"/>
                <w:sz w:val="20"/>
                <w:szCs w:val="20"/>
                <w:shd w:val="clear" w:color="auto" w:fill="FFFFFF"/>
                <w:lang w:val="en-US"/>
              </w:rPr>
              <w:t>respecta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obligațiile</w:t>
            </w:r>
            <w:proofErr w:type="spellEnd"/>
            <w:r>
              <w:rPr>
                <w:rFonts w:eastAsia="Arial Unicode MS"/>
                <w:color w:val="333333"/>
                <w:sz w:val="20"/>
                <w:szCs w:val="20"/>
                <w:shd w:val="clear" w:color="auto" w:fill="FFFFFF"/>
                <w:lang w:val="en-US"/>
              </w:rPr>
              <w:t xml:space="preserve"> care le </w:t>
            </w:r>
            <w:proofErr w:type="spellStart"/>
            <w:r>
              <w:rPr>
                <w:rFonts w:eastAsia="Arial Unicode MS"/>
                <w:color w:val="333333"/>
                <w:sz w:val="20"/>
                <w:szCs w:val="20"/>
                <w:shd w:val="clear" w:color="auto" w:fill="FFFFFF"/>
                <w:lang w:val="en-US"/>
              </w:rPr>
              <w:t>revin</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sidR="002149D4">
              <w:rPr>
                <w:rStyle w:val="apple-converted-space"/>
                <w:rFonts w:eastAsia="Arial Unicode MS"/>
                <w:color w:val="333333"/>
                <w:sz w:val="20"/>
                <w:szCs w:val="20"/>
                <w:shd w:val="clear" w:color="auto" w:fill="FFFFFF"/>
                <w:lang w:val="en-US"/>
              </w:rPr>
              <w:t xml:space="preserve"> </w:t>
            </w:r>
            <w:hyperlink r:id="rId192"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EU ETS</w:t>
            </w:r>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w:t>
            </w:r>
          </w:p>
          <w:p w14:paraId="4056835E" w14:textId="437094F1" w:rsidR="00124364" w:rsidRPr="002149D4" w:rsidRDefault="00000000" w:rsidP="002149D4">
            <w:pPr>
              <w:pStyle w:val="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Acordurile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w:t>
            </w:r>
            <w:proofErr w:type="spellStart"/>
            <w:r>
              <w:rPr>
                <w:rFonts w:eastAsia="Arial Unicode MS"/>
                <w:color w:val="333333"/>
                <w:sz w:val="20"/>
                <w:szCs w:val="20"/>
                <w:shd w:val="clear" w:color="auto" w:fill="FFFFFF"/>
                <w:lang w:val="en-US"/>
              </w:rPr>
              <w:t>prevăd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utilizarea</w:t>
            </w:r>
            <w:proofErr w:type="spellEnd"/>
            <w:r>
              <w:rPr>
                <w:rFonts w:eastAsia="Arial Unicode MS"/>
                <w:color w:val="333333"/>
                <w:sz w:val="20"/>
                <w:szCs w:val="20"/>
                <w:shd w:val="clear" w:color="auto" w:fill="FFFFFF"/>
                <w:lang w:val="en-US"/>
              </w:rPr>
              <w:t xml:space="preserve"> în</w:t>
            </w:r>
            <w:r w:rsidR="002149D4">
              <w:rPr>
                <w:rStyle w:val="apple-converted-space"/>
                <w:rFonts w:eastAsia="Arial Unicode MS"/>
                <w:color w:val="333333"/>
                <w:sz w:val="20"/>
                <w:szCs w:val="20"/>
                <w:shd w:val="clear" w:color="auto" w:fill="FFFFFF"/>
                <w:lang w:val="en-US"/>
              </w:rPr>
              <w:t xml:space="preserve"> </w:t>
            </w:r>
            <w:hyperlink r:id="rId193"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EU ETS</w:t>
            </w:r>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a </w:t>
            </w:r>
            <w:proofErr w:type="spellStart"/>
            <w:r>
              <w:rPr>
                <w:rFonts w:eastAsia="Arial Unicode MS"/>
                <w:color w:val="333333"/>
                <w:sz w:val="20"/>
                <w:szCs w:val="20"/>
                <w:shd w:val="clear" w:color="auto" w:fill="FFFFFF"/>
                <w:lang w:val="en-US"/>
              </w:rPr>
              <w:t>creditelor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provenind</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tipurile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care au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eligibile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sidR="002149D4">
              <w:rPr>
                <w:rStyle w:val="apple-converted-space"/>
                <w:rFonts w:eastAsia="Arial Unicode MS"/>
                <w:color w:val="333333"/>
                <w:sz w:val="20"/>
                <w:szCs w:val="20"/>
                <w:shd w:val="clear" w:color="auto" w:fill="FFFFFF"/>
                <w:lang w:val="en-US"/>
              </w:rPr>
              <w:t xml:space="preserve"> </w:t>
            </w:r>
            <w:hyperlink r:id="rId194"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color w:val="800080"/>
                <w:sz w:val="20"/>
                <w:szCs w:val="20"/>
                <w:lang w:val="en-US"/>
              </w:rPr>
              <w:t xml:space="preserve"> </w:t>
            </w:r>
            <w:r>
              <w:rPr>
                <w:rFonts w:eastAsia="Arial Unicode MS"/>
                <w:color w:val="333333"/>
                <w:sz w:val="20"/>
                <w:szCs w:val="20"/>
                <w:shd w:val="clear" w:color="auto" w:fill="FFFFFF"/>
                <w:lang w:val="en-US"/>
              </w:rPr>
              <w:t>EU ETS</w:t>
            </w:r>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sidRPr="002149D4">
              <w:rPr>
                <w:rFonts w:eastAsia="Arial Unicode MS"/>
                <w:color w:val="000000" w:themeColor="text1"/>
                <w:sz w:val="20"/>
                <w:szCs w:val="20"/>
                <w:shd w:val="clear" w:color="auto" w:fill="FFFFFF"/>
                <w:lang w:val="en-US"/>
              </w:rPr>
              <w:t xml:space="preserve">în perioada 2008-2012, </w:t>
            </w:r>
            <w:proofErr w:type="spellStart"/>
            <w:r w:rsidRPr="002149D4">
              <w:rPr>
                <w:rFonts w:eastAsia="Arial Unicode MS"/>
                <w:color w:val="000000" w:themeColor="text1"/>
                <w:sz w:val="20"/>
                <w:szCs w:val="20"/>
                <w:shd w:val="clear" w:color="auto" w:fill="FFFFFF"/>
                <w:lang w:val="en-US"/>
              </w:rPr>
              <w:t>inclusiv</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tehnologii</w:t>
            </w:r>
            <w:proofErr w:type="spellEnd"/>
            <w:r w:rsidRPr="002149D4">
              <w:rPr>
                <w:rFonts w:eastAsia="Arial Unicode MS"/>
                <w:color w:val="000000" w:themeColor="text1"/>
                <w:sz w:val="20"/>
                <w:szCs w:val="20"/>
                <w:shd w:val="clear" w:color="auto" w:fill="FFFFFF"/>
                <w:lang w:val="en-US"/>
              </w:rPr>
              <w:t xml:space="preserve"> legate de </w:t>
            </w:r>
            <w:proofErr w:type="spellStart"/>
            <w:r w:rsidRPr="002149D4">
              <w:rPr>
                <w:rFonts w:eastAsia="Arial Unicode MS"/>
                <w:color w:val="000000" w:themeColor="text1"/>
                <w:sz w:val="20"/>
                <w:szCs w:val="20"/>
                <w:shd w:val="clear" w:color="auto" w:fill="FFFFFF"/>
                <w:lang w:val="en-US"/>
              </w:rPr>
              <w:t>energiile</w:t>
            </w:r>
            <w:proofErr w:type="spellEnd"/>
            <w:r w:rsidRPr="002149D4">
              <w:rPr>
                <w:rFonts w:eastAsia="Arial Unicode MS"/>
                <w:color w:val="000000" w:themeColor="text1"/>
                <w:sz w:val="20"/>
                <w:szCs w:val="20"/>
                <w:shd w:val="clear" w:color="auto" w:fill="FFFFFF"/>
                <w:lang w:val="en-US"/>
              </w:rPr>
              <w:t xml:space="preserve"> din surse </w:t>
            </w:r>
            <w:proofErr w:type="spellStart"/>
            <w:r w:rsidRPr="002149D4">
              <w:rPr>
                <w:rFonts w:eastAsia="Arial Unicode MS"/>
                <w:color w:val="000000" w:themeColor="text1"/>
                <w:sz w:val="20"/>
                <w:szCs w:val="20"/>
                <w:shd w:val="clear" w:color="auto" w:fill="FFFFFF"/>
                <w:lang w:val="en-US"/>
              </w:rPr>
              <w:t>regenerabile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eficiența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energetică</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promovează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transferul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tehnologic</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dezvoltarea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durabilă</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asemenea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acordurile</w:t>
            </w:r>
            <w:proofErr w:type="spellEnd"/>
            <w:r w:rsidRPr="002149D4">
              <w:rPr>
                <w:rFonts w:eastAsia="Arial Unicode MS"/>
                <w:color w:val="000000" w:themeColor="text1"/>
                <w:sz w:val="20"/>
                <w:szCs w:val="20"/>
                <w:shd w:val="clear" w:color="auto" w:fill="FFFFFF"/>
                <w:lang w:val="en-US"/>
              </w:rPr>
              <w:t xml:space="preserve"> respective </w:t>
            </w:r>
            <w:proofErr w:type="spellStart"/>
            <w:r w:rsidRPr="002149D4">
              <w:rPr>
                <w:rFonts w:eastAsia="Arial Unicode MS"/>
                <w:color w:val="000000" w:themeColor="text1"/>
                <w:sz w:val="20"/>
                <w:szCs w:val="20"/>
                <w:shd w:val="clear" w:color="auto" w:fill="FFFFFF"/>
                <w:lang w:val="en-US"/>
              </w:rPr>
              <w:t>prevăd</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utilizarea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credite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provenind</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în care </w:t>
            </w:r>
            <w:proofErr w:type="spellStart"/>
            <w:r w:rsidRPr="002149D4">
              <w:rPr>
                <w:rFonts w:eastAsia="Arial Unicode MS"/>
                <w:color w:val="000000" w:themeColor="text1"/>
                <w:sz w:val="20"/>
                <w:szCs w:val="20"/>
                <w:shd w:val="clear" w:color="auto" w:fill="FFFFFF"/>
                <w:lang w:val="en-US"/>
              </w:rPr>
              <w:t>valoarea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referință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utilizată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inferioară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nivelului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prevăzut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alocarea</w:t>
            </w:r>
            <w:proofErr w:type="spellEnd"/>
            <w:r w:rsidRPr="002149D4">
              <w:rPr>
                <w:rFonts w:eastAsia="Arial Unicode MS"/>
                <w:color w:val="000000" w:themeColor="text1"/>
                <w:sz w:val="20"/>
                <w:szCs w:val="20"/>
                <w:shd w:val="clear" w:color="auto" w:fill="FFFFFF"/>
                <w:lang w:val="en-US"/>
              </w:rPr>
              <w:t xml:space="preserve"> de certificate cu </w:t>
            </w:r>
            <w:proofErr w:type="spellStart"/>
            <w:r w:rsidRPr="002149D4">
              <w:rPr>
                <w:rFonts w:eastAsia="Arial Unicode MS"/>
                <w:color w:val="000000" w:themeColor="text1"/>
                <w:sz w:val="20"/>
                <w:szCs w:val="20"/>
                <w:shd w:val="clear" w:color="auto" w:fill="FFFFFF"/>
                <w:lang w:val="en-US"/>
              </w:rPr>
              <w:t>titlu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gratuit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măsurilor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articolul</w:t>
            </w:r>
            <w:proofErr w:type="spellEnd"/>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10a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inferioară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nivelurilor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prevăzute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legislația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comunitară</w:t>
            </w:r>
            <w:proofErr w:type="spellEnd"/>
            <w:r w:rsidRPr="002149D4">
              <w:rPr>
                <w:rFonts w:eastAsia="Arial Unicode MS"/>
                <w:color w:val="000000" w:themeColor="text1"/>
                <w:sz w:val="20"/>
                <w:szCs w:val="20"/>
                <w:shd w:val="clear" w:color="auto" w:fill="FFFFFF"/>
                <w:lang w:val="en-US"/>
              </w:rPr>
              <w:t>.</w:t>
            </w:r>
          </w:p>
          <w:p w14:paraId="51FA7E72" w14:textId="10257844" w:rsidR="00124364" w:rsidRDefault="00000000" w:rsidP="002149D4">
            <w:pPr>
              <w:pStyle w:val="ti-art"/>
              <w:numPr>
                <w:ilvl w:val="0"/>
                <w:numId w:val="7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1</w:t>
            </w:r>
            <w:r w:rsidR="002149D4">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ianuarie</w:t>
            </w:r>
            <w:proofErr w:type="spellEnd"/>
            <w:r>
              <w:rPr>
                <w:rFonts w:eastAsia="Arial Unicode MS"/>
                <w:color w:val="333333"/>
                <w:sz w:val="20"/>
                <w:szCs w:val="20"/>
                <w:shd w:val="clear" w:color="auto" w:fill="FFFFFF"/>
                <w:lang w:val="en-US"/>
              </w:rPr>
              <w:t xml:space="preserve"> 2013, din </w:t>
            </w:r>
            <w:proofErr w:type="spellStart"/>
            <w:r>
              <w:rPr>
                <w:rFonts w:eastAsia="Arial Unicode MS"/>
                <w:color w:val="333333"/>
                <w:sz w:val="20"/>
                <w:szCs w:val="20"/>
                <w:shd w:val="clear" w:color="auto" w:fill="FFFFFF"/>
                <w:lang w:val="en-US"/>
              </w:rPr>
              <w:t>momentul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încheierii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internațional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schimbările</w:t>
            </w:r>
            <w:proofErr w:type="spellEnd"/>
            <w:r>
              <w:rPr>
                <w:rFonts w:eastAsia="Arial Unicode MS"/>
                <w:color w:val="333333"/>
                <w:sz w:val="20"/>
                <w:szCs w:val="20"/>
                <w:shd w:val="clear" w:color="auto" w:fill="FFFFFF"/>
                <w:lang w:val="en-US"/>
              </w:rPr>
              <w:t xml:space="preserve"> climatice, sunt </w:t>
            </w:r>
            <w:proofErr w:type="spellStart"/>
            <w:r>
              <w:rPr>
                <w:rFonts w:eastAsia="Arial Unicode MS"/>
                <w:color w:val="333333"/>
                <w:sz w:val="20"/>
                <w:szCs w:val="20"/>
                <w:shd w:val="clear" w:color="auto" w:fill="FFFFFF"/>
                <w:lang w:val="en-US"/>
              </w:rPr>
              <w:t>acceptate</w:t>
            </w:r>
            <w:proofErr w:type="spellEnd"/>
            <w:r>
              <w:rPr>
                <w:rFonts w:eastAsia="Arial Unicode MS"/>
                <w:color w:val="333333"/>
                <w:sz w:val="20"/>
                <w:szCs w:val="20"/>
                <w:shd w:val="clear" w:color="auto" w:fill="FFFFFF"/>
                <w:lang w:val="en-US"/>
              </w:rPr>
              <w:t xml:space="preserve"> în</w:t>
            </w:r>
            <w:hyperlink r:id="rId195" w:tooltip="32018L0410: REPLACED" w:history="1">
              <w:r>
                <w:rPr>
                  <w:rStyle w:val="boldface"/>
                  <w:rFonts w:eastAsia="Arial Unicode MS"/>
                  <w:b/>
                  <w:bCs/>
                  <w:color w:val="4472C4" w:themeColor="accent1"/>
                  <w:sz w:val="20"/>
                  <w:szCs w:val="20"/>
                  <w:lang w:val="en-US"/>
                </w:rPr>
                <w:t>►M9</w:t>
              </w:r>
            </w:hyperlink>
            <w:r w:rsidR="002149D4">
              <w:rPr>
                <w:rStyle w:val="apple-converted-space"/>
                <w:rFonts w:eastAsia="Arial Unicode MS"/>
                <w:color w:val="333333"/>
                <w:sz w:val="20"/>
                <w:szCs w:val="20"/>
                <w:lang w:val="en-US"/>
              </w:rPr>
              <w:t xml:space="preserve"> </w:t>
            </w:r>
            <w:r>
              <w:rPr>
                <w:rFonts w:eastAsia="Arial Unicode MS"/>
                <w:color w:val="333333"/>
                <w:sz w:val="20"/>
                <w:szCs w:val="20"/>
                <w:shd w:val="clear" w:color="auto" w:fill="FFFFFF"/>
                <w:lang w:val="en-US"/>
              </w:rPr>
              <w:t>EU ETS</w:t>
            </w:r>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proofErr w:type="spellStart"/>
            <w:r w:rsidRPr="002149D4">
              <w:rPr>
                <w:rFonts w:eastAsia="Arial Unicode MS"/>
                <w:color w:val="000000" w:themeColor="text1"/>
                <w:sz w:val="20"/>
                <w:szCs w:val="20"/>
                <w:shd w:val="clear" w:color="auto" w:fill="FFFFFF"/>
                <w:lang w:val="en-US"/>
              </w:rPr>
              <w:t>numai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creditele</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provenind</w:t>
            </w:r>
            <w:proofErr w:type="spellEnd"/>
            <w:r w:rsidRPr="002149D4">
              <w:rPr>
                <w:rFonts w:eastAsia="Arial Unicode MS"/>
                <w:color w:val="000000" w:themeColor="text1"/>
                <w:sz w:val="20"/>
                <w:szCs w:val="20"/>
                <w:shd w:val="clear" w:color="auto" w:fill="FFFFFF"/>
                <w:lang w:val="en-US"/>
              </w:rPr>
              <w:t xml:space="preserve"> din </w:t>
            </w:r>
            <w:proofErr w:type="spellStart"/>
            <w:r w:rsidRPr="002149D4">
              <w:rPr>
                <w:rFonts w:eastAsia="Arial Unicode MS"/>
                <w:color w:val="000000" w:themeColor="text1"/>
                <w:sz w:val="20"/>
                <w:szCs w:val="20"/>
                <w:shd w:val="clear" w:color="auto" w:fill="FFFFFF"/>
                <w:lang w:val="en-US"/>
              </w:rPr>
              <w:t>țări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terțe</w:t>
            </w:r>
            <w:proofErr w:type="spellEnd"/>
            <w:r w:rsidRPr="002149D4">
              <w:rPr>
                <w:rFonts w:eastAsia="Arial Unicode MS"/>
                <w:color w:val="000000" w:themeColor="text1"/>
                <w:sz w:val="20"/>
                <w:szCs w:val="20"/>
                <w:shd w:val="clear" w:color="auto" w:fill="FFFFFF"/>
                <w:lang w:val="en-US"/>
              </w:rPr>
              <w:t xml:space="preserve"> care au </w:t>
            </w:r>
            <w:proofErr w:type="spellStart"/>
            <w:r w:rsidRPr="002149D4">
              <w:rPr>
                <w:rFonts w:eastAsia="Arial Unicode MS"/>
                <w:color w:val="000000" w:themeColor="text1"/>
                <w:sz w:val="20"/>
                <w:szCs w:val="20"/>
                <w:shd w:val="clear" w:color="auto" w:fill="FFFFFF"/>
                <w:lang w:val="en-US"/>
              </w:rPr>
              <w:t>ratificat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acordul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respectiv</w:t>
            </w:r>
            <w:proofErr w:type="spellEnd"/>
            <w:r w:rsidRPr="002149D4">
              <w:rPr>
                <w:rFonts w:eastAsia="Arial Unicode MS"/>
                <w:color w:val="000000" w:themeColor="text1"/>
                <w:sz w:val="20"/>
                <w:szCs w:val="20"/>
                <w:shd w:val="clear" w:color="auto" w:fill="FFFFFF"/>
                <w:lang w:val="en-US"/>
              </w:rPr>
              <w:t>.</w:t>
            </w:r>
          </w:p>
          <w:p w14:paraId="11D1B854" w14:textId="3998875B"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196" w:tooltip="32018L0410: DELETED" w:history="1">
              <w:r>
                <w:rPr>
                  <w:rStyle w:val="af3"/>
                  <w:rFonts w:eastAsia="Arial Unicode MS"/>
                  <w:b/>
                  <w:bCs/>
                  <w:color w:val="4472C4" w:themeColor="accent1"/>
                  <w:sz w:val="20"/>
                  <w:szCs w:val="20"/>
                </w:rPr>
                <w:t>▼M9</w:t>
              </w:r>
            </w:hyperlink>
            <w:r w:rsidR="002149D4">
              <w:rPr>
                <w:rFonts w:ascii="Arial Unicode MS" w:eastAsia="Arial Unicode MS" w:hAnsi="Arial Unicode MS" w:cs="Arial Unicode MS"/>
                <w:b/>
                <w:bCs/>
                <w:color w:val="333333"/>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35992AFC"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197" w:tooltip="32023L0958: INSERTED" w:history="1">
              <w:r>
                <w:rPr>
                  <w:rStyle w:val="af3"/>
                  <w:rFonts w:eastAsia="Arial Unicode MS"/>
                  <w:b/>
                  <w:bCs/>
                  <w:color w:val="4472C4" w:themeColor="accent1"/>
                  <w:sz w:val="20"/>
                  <w:szCs w:val="20"/>
                </w:rPr>
                <w:t>▼M14</w:t>
              </w:r>
            </w:hyperlink>
          </w:p>
          <w:p w14:paraId="5012CF6D" w14:textId="5CD7BC1B" w:rsidR="00124364" w:rsidRPr="002149D4" w:rsidRDefault="00000000" w:rsidP="002149D4">
            <w:pPr>
              <w:pStyle w:val="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Comisia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adoptă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punere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enumeră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unitățile</w:t>
            </w:r>
            <w:proofErr w:type="spellEnd"/>
            <w:r w:rsidRPr="002149D4">
              <w:rPr>
                <w:rFonts w:eastAsia="Arial Unicode MS"/>
                <w:color w:val="000000" w:themeColor="text1"/>
                <w:sz w:val="20"/>
                <w:szCs w:val="20"/>
                <w:shd w:val="clear" w:color="auto" w:fill="FFFFFF"/>
                <w:lang w:val="en-US"/>
              </w:rPr>
              <w:t xml:space="preserve"> care au </w:t>
            </w:r>
            <w:proofErr w:type="spellStart"/>
            <w:r w:rsidRPr="002149D4">
              <w:rPr>
                <w:rFonts w:eastAsia="Arial Unicode MS"/>
                <w:color w:val="000000" w:themeColor="text1"/>
                <w:sz w:val="20"/>
                <w:szCs w:val="20"/>
                <w:shd w:val="clear" w:color="auto" w:fill="FFFFFF"/>
                <w:lang w:val="en-US"/>
              </w:rPr>
              <w:t>fost</w:t>
            </w:r>
            <w:proofErr w:type="spellEnd"/>
            <w:r w:rsidRPr="002149D4">
              <w:rPr>
                <w:rFonts w:eastAsia="Arial Unicode MS"/>
                <w:color w:val="000000" w:themeColor="text1"/>
                <w:sz w:val="20"/>
                <w:szCs w:val="20"/>
                <w:shd w:val="clear" w:color="auto" w:fill="FFFFFF"/>
                <w:lang w:val="en-US"/>
              </w:rPr>
              <w:t xml:space="preserve"> considerate </w:t>
            </w:r>
            <w:proofErr w:type="spellStart"/>
            <w:r w:rsidRPr="002149D4">
              <w:rPr>
                <w:rFonts w:eastAsia="Arial Unicode MS"/>
                <w:color w:val="000000" w:themeColor="text1"/>
                <w:sz w:val="20"/>
                <w:szCs w:val="20"/>
                <w:shd w:val="clear" w:color="auto" w:fill="FFFFFF"/>
                <w:lang w:val="en-US"/>
              </w:rPr>
              <w:t>eligibile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către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Consiliul</w:t>
            </w:r>
            <w:proofErr w:type="spellEnd"/>
            <w:r w:rsidRPr="002149D4">
              <w:rPr>
                <w:rFonts w:eastAsia="Arial Unicode MS"/>
                <w:color w:val="000000" w:themeColor="text1"/>
                <w:sz w:val="20"/>
                <w:szCs w:val="20"/>
                <w:shd w:val="clear" w:color="auto" w:fill="FFFFFF"/>
                <w:lang w:val="en-US"/>
              </w:rPr>
              <w:t xml:space="preserve"> OACI și care </w:t>
            </w:r>
            <w:proofErr w:type="spellStart"/>
            <w:r w:rsidRPr="002149D4">
              <w:rPr>
                <w:rFonts w:eastAsia="Arial Unicode MS"/>
                <w:color w:val="000000" w:themeColor="text1"/>
                <w:sz w:val="20"/>
                <w:szCs w:val="20"/>
                <w:shd w:val="clear" w:color="auto" w:fill="FFFFFF"/>
                <w:lang w:val="en-US"/>
              </w:rPr>
              <w:t>îndeplinesc</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condițiile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prevăzute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alineatele</w:t>
            </w:r>
            <w:proofErr w:type="spellEnd"/>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(2) și</w:t>
            </w:r>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(3) de la </w:t>
            </w:r>
            <w:proofErr w:type="spellStart"/>
            <w:r w:rsidRPr="002149D4">
              <w:rPr>
                <w:rFonts w:eastAsia="Arial Unicode MS"/>
                <w:color w:val="000000" w:themeColor="text1"/>
                <w:sz w:val="20"/>
                <w:szCs w:val="20"/>
                <w:shd w:val="clear" w:color="auto" w:fill="FFFFFF"/>
                <w:lang w:val="en-US"/>
              </w:rPr>
              <w:t>prezentul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asemenea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Comisia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adoptă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punere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gramStart"/>
            <w:r w:rsidRPr="002149D4">
              <w:rPr>
                <w:rFonts w:eastAsia="Arial Unicode MS"/>
                <w:color w:val="000000" w:themeColor="text1"/>
                <w:sz w:val="20"/>
                <w:szCs w:val="20"/>
                <w:shd w:val="clear" w:color="auto" w:fill="FFFFFF"/>
                <w:lang w:val="en-US"/>
              </w:rPr>
              <w:t>a</w:t>
            </w:r>
            <w:proofErr w:type="gram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actualiza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lista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respectivă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după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caz</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Actele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punere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respective se </w:t>
            </w:r>
            <w:proofErr w:type="spellStart"/>
            <w:r w:rsidRPr="002149D4">
              <w:rPr>
                <w:rFonts w:eastAsia="Arial Unicode MS"/>
                <w:color w:val="000000" w:themeColor="text1"/>
                <w:sz w:val="20"/>
                <w:szCs w:val="20"/>
                <w:shd w:val="clear" w:color="auto" w:fill="FFFFFF"/>
                <w:lang w:val="en-US"/>
              </w:rPr>
              <w:t>adoptă</w:t>
            </w:r>
            <w:proofErr w:type="spellEnd"/>
            <w:r w:rsidRPr="002149D4">
              <w:rPr>
                <w:rFonts w:eastAsia="Arial Unicode MS"/>
                <w:color w:val="000000" w:themeColor="text1"/>
                <w:sz w:val="20"/>
                <w:szCs w:val="20"/>
                <w:shd w:val="clear" w:color="auto" w:fill="FFFFFF"/>
                <w:lang w:val="en-US"/>
              </w:rPr>
              <w:t xml:space="preserve"> în conformitate cu </w:t>
            </w:r>
            <w:proofErr w:type="spellStart"/>
            <w:r w:rsidRPr="002149D4">
              <w:rPr>
                <w:rFonts w:eastAsia="Arial Unicode MS"/>
                <w:color w:val="000000" w:themeColor="text1"/>
                <w:sz w:val="20"/>
                <w:szCs w:val="20"/>
                <w:shd w:val="clear" w:color="auto" w:fill="FFFFFF"/>
                <w:lang w:val="en-US"/>
              </w:rPr>
              <w:t>procedura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examinare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menționată</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articolul</w:t>
            </w:r>
            <w:proofErr w:type="spellEnd"/>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22a </w:t>
            </w:r>
            <w:proofErr w:type="spellStart"/>
            <w:r w:rsidRPr="002149D4">
              <w:rPr>
                <w:rFonts w:eastAsia="Arial Unicode MS"/>
                <w:color w:val="000000" w:themeColor="text1"/>
                <w:sz w:val="20"/>
                <w:szCs w:val="20"/>
                <w:shd w:val="clear" w:color="auto" w:fill="FFFFFF"/>
                <w:lang w:val="en-US"/>
              </w:rPr>
              <w:t>alineatul</w:t>
            </w:r>
            <w:proofErr w:type="spellEnd"/>
            <w:r w:rsidRPr="002149D4">
              <w:rPr>
                <w:rFonts w:eastAsia="Arial Unicode MS"/>
                <w:color w:val="000000" w:themeColor="text1"/>
                <w:sz w:val="20"/>
                <w:szCs w:val="20"/>
                <w:shd w:val="clear" w:color="auto" w:fill="FFFFFF"/>
                <w:lang w:val="en-US"/>
              </w:rPr>
              <w:t xml:space="preserve"> (2).</w:t>
            </w:r>
          </w:p>
          <w:p w14:paraId="7CAC662E" w14:textId="77777777" w:rsidR="00124364" w:rsidRDefault="00000000">
            <w:pPr>
              <w:pStyle w:val="ti-art"/>
              <w:shd w:val="clear" w:color="auto" w:fill="FFFFFF"/>
              <w:spacing w:before="0" w:beforeAutospacing="0" w:after="0" w:afterAutospacing="0"/>
              <w:ind w:left="360"/>
              <w:rPr>
                <w:rFonts w:eastAsia="Arial Unicode MS"/>
                <w:color w:val="333333"/>
                <w:sz w:val="20"/>
                <w:szCs w:val="20"/>
                <w:shd w:val="clear" w:color="auto" w:fill="FFFFFF"/>
              </w:rPr>
            </w:pPr>
            <w:hyperlink r:id="rId198" w:tooltip="32004L0101: INSERTED" w:history="1">
              <w:r>
                <w:rPr>
                  <w:rStyle w:val="af3"/>
                  <w:rFonts w:eastAsia="Arial Unicode MS"/>
                  <w:b/>
                  <w:bCs/>
                  <w:color w:val="4472C4" w:themeColor="accent1"/>
                  <w:sz w:val="20"/>
                  <w:szCs w:val="20"/>
                </w:rPr>
                <w:t>▼M1</w:t>
              </w:r>
            </w:hyperlink>
          </w:p>
        </w:tc>
        <w:tc>
          <w:tcPr>
            <w:tcW w:w="4394" w:type="dxa"/>
            <w:shd w:val="clear" w:color="auto" w:fill="auto"/>
          </w:tcPr>
          <w:p w14:paraId="7CD8EDE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9AA51FF" w14:textId="31D801EF" w:rsidR="00124364" w:rsidRDefault="005D4FDB" w:rsidP="005D4FD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1618AC7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8A0A582" w14:textId="77777777" w:rsidR="005D4FDB" w:rsidRPr="0066519A" w:rsidRDefault="005D4FDB" w:rsidP="005D4FD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4B9CD1E8"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E256E1F" w14:textId="77777777" w:rsidR="00124364" w:rsidRDefault="00124364" w:rsidP="005D4FDB">
            <w:pPr>
              <w:autoSpaceDE w:val="0"/>
              <w:spacing w:after="0" w:line="240" w:lineRule="auto"/>
              <w:rPr>
                <w:rFonts w:ascii="Times New Roman" w:hAnsi="Times New Roman"/>
                <w:sz w:val="20"/>
                <w:szCs w:val="20"/>
                <w:lang w:val="fr-FR"/>
              </w:rPr>
            </w:pPr>
          </w:p>
        </w:tc>
      </w:tr>
      <w:tr w:rsidR="00124364" w14:paraId="0774E4E6" w14:textId="77777777">
        <w:trPr>
          <w:trHeight w:val="558"/>
        </w:trPr>
        <w:tc>
          <w:tcPr>
            <w:tcW w:w="4957" w:type="dxa"/>
            <w:shd w:val="clear" w:color="auto" w:fill="auto"/>
          </w:tcPr>
          <w:p w14:paraId="638F9549" w14:textId="77777777" w:rsidR="00124364" w:rsidRPr="002149D4" w:rsidRDefault="00000000" w:rsidP="002149D4">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49D4">
              <w:rPr>
                <w:rFonts w:eastAsia="Arial Unicode MS"/>
                <w:i/>
                <w:iCs/>
                <w:color w:val="000000" w:themeColor="text1"/>
                <w:sz w:val="20"/>
                <w:szCs w:val="20"/>
                <w:shd w:val="clear" w:color="auto" w:fill="FFFFFF"/>
                <w:lang w:val="en-US"/>
              </w:rPr>
              <w:lastRenderedPageBreak/>
              <w:t>Articolul</w:t>
            </w:r>
            <w:proofErr w:type="spellEnd"/>
            <w:r w:rsidRPr="002149D4">
              <w:rPr>
                <w:rFonts w:eastAsia="Arial Unicode MS"/>
                <w:i/>
                <w:iCs/>
                <w:color w:val="000000" w:themeColor="text1"/>
                <w:sz w:val="20"/>
                <w:szCs w:val="20"/>
                <w:shd w:val="clear" w:color="auto" w:fill="FFFFFF"/>
                <w:lang w:val="en-US"/>
              </w:rPr>
              <w:t xml:space="preserve"> 11b</w:t>
            </w:r>
          </w:p>
          <w:p w14:paraId="165F0A02" w14:textId="77777777" w:rsidR="00124364" w:rsidRPr="002149D4" w:rsidRDefault="00000000" w:rsidP="002149D4">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49D4">
              <w:rPr>
                <w:rFonts w:eastAsia="Arial Unicode MS"/>
                <w:b/>
                <w:bCs/>
                <w:color w:val="000000" w:themeColor="text1"/>
                <w:sz w:val="20"/>
                <w:szCs w:val="20"/>
                <w:shd w:val="clear" w:color="auto" w:fill="FFFFFF"/>
                <w:lang w:val="en-US"/>
              </w:rPr>
              <w:t>Activități</w:t>
            </w:r>
            <w:proofErr w:type="spellEnd"/>
            <w:r w:rsidRPr="002149D4">
              <w:rPr>
                <w:rFonts w:eastAsia="Arial Unicode MS"/>
                <w:b/>
                <w:bCs/>
                <w:color w:val="000000" w:themeColor="text1"/>
                <w:sz w:val="20"/>
                <w:szCs w:val="20"/>
                <w:shd w:val="clear" w:color="auto" w:fill="FFFFFF"/>
                <w:lang w:val="en-US"/>
              </w:rPr>
              <w:t xml:space="preserve"> </w:t>
            </w:r>
            <w:proofErr w:type="spellStart"/>
            <w:r w:rsidRPr="002149D4">
              <w:rPr>
                <w:rFonts w:eastAsia="Arial Unicode MS"/>
                <w:b/>
                <w:bCs/>
                <w:color w:val="000000" w:themeColor="text1"/>
                <w:sz w:val="20"/>
                <w:szCs w:val="20"/>
                <w:shd w:val="clear" w:color="auto" w:fill="FFFFFF"/>
                <w:lang w:val="en-US"/>
              </w:rPr>
              <w:t>bazate</w:t>
            </w:r>
            <w:proofErr w:type="spellEnd"/>
            <w:r w:rsidRPr="002149D4">
              <w:rPr>
                <w:rFonts w:eastAsia="Arial Unicode MS"/>
                <w:b/>
                <w:bCs/>
                <w:color w:val="000000" w:themeColor="text1"/>
                <w:sz w:val="20"/>
                <w:szCs w:val="20"/>
                <w:shd w:val="clear" w:color="auto" w:fill="FFFFFF"/>
                <w:lang w:val="en-US"/>
              </w:rPr>
              <w:t xml:space="preserve"> pe </w:t>
            </w:r>
            <w:proofErr w:type="spellStart"/>
            <w:r w:rsidRPr="002149D4">
              <w:rPr>
                <w:rFonts w:eastAsia="Arial Unicode MS"/>
                <w:b/>
                <w:bCs/>
                <w:color w:val="000000" w:themeColor="text1"/>
                <w:sz w:val="20"/>
                <w:szCs w:val="20"/>
                <w:shd w:val="clear" w:color="auto" w:fill="FFFFFF"/>
                <w:lang w:val="en-US"/>
              </w:rPr>
              <w:t>proiecte</w:t>
            </w:r>
            <w:proofErr w:type="spellEnd"/>
          </w:p>
          <w:p w14:paraId="570FA533" w14:textId="77777777" w:rsidR="00124364" w:rsidRPr="002149D4" w:rsidRDefault="00000000" w:rsidP="002149D4">
            <w:pPr>
              <w:pStyle w:val="ti-art"/>
              <w:numPr>
                <w:ilvl w:val="0"/>
                <w:numId w:val="7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toate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măsurile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necesare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ca </w:t>
            </w:r>
            <w:proofErr w:type="spellStart"/>
            <w:r w:rsidRPr="002149D4">
              <w:rPr>
                <w:rFonts w:eastAsia="Arial Unicode MS"/>
                <w:color w:val="000000" w:themeColor="text1"/>
                <w:sz w:val="20"/>
                <w:szCs w:val="20"/>
                <w:shd w:val="clear" w:color="auto" w:fill="FFFFFF"/>
                <w:lang w:val="en-US"/>
              </w:rPr>
              <w:t>nivelurile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referință</w:t>
            </w:r>
            <w:proofErr w:type="spellEnd"/>
            <w:r w:rsidRPr="002149D4">
              <w:rPr>
                <w:rFonts w:eastAsia="Arial Unicode MS"/>
                <w:color w:val="000000" w:themeColor="text1"/>
                <w:sz w:val="20"/>
                <w:szCs w:val="20"/>
                <w:shd w:val="clear" w:color="auto" w:fill="FFFFFF"/>
                <w:lang w:val="en-US"/>
              </w:rPr>
              <w:t xml:space="preserve">, definite de </w:t>
            </w:r>
            <w:proofErr w:type="spellStart"/>
            <w:r w:rsidRPr="002149D4">
              <w:rPr>
                <w:rFonts w:eastAsia="Arial Unicode MS"/>
                <w:color w:val="000000" w:themeColor="text1"/>
                <w:sz w:val="20"/>
                <w:szCs w:val="20"/>
                <w:shd w:val="clear" w:color="auto" w:fill="FFFFFF"/>
                <w:lang w:val="en-US"/>
              </w:rPr>
              <w:t>deciziile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ulterioare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adoptate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CCONUSC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al </w:t>
            </w:r>
            <w:proofErr w:type="spellStart"/>
            <w:r w:rsidRPr="002149D4">
              <w:rPr>
                <w:rFonts w:eastAsia="Arial Unicode MS"/>
                <w:color w:val="000000" w:themeColor="text1"/>
                <w:sz w:val="20"/>
                <w:szCs w:val="20"/>
                <w:shd w:val="clear" w:color="auto" w:fill="FFFFFF"/>
                <w:lang w:val="en-US"/>
              </w:rPr>
              <w:t>Protocolului</w:t>
            </w:r>
            <w:proofErr w:type="spellEnd"/>
            <w:r w:rsidRPr="002149D4">
              <w:rPr>
                <w:rFonts w:eastAsia="Arial Unicode MS"/>
                <w:color w:val="000000" w:themeColor="text1"/>
                <w:sz w:val="20"/>
                <w:szCs w:val="20"/>
                <w:shd w:val="clear" w:color="auto" w:fill="FFFFFF"/>
                <w:lang w:val="en-US"/>
              </w:rPr>
              <w:t xml:space="preserve"> Kyoto, </w:t>
            </w:r>
            <w:proofErr w:type="spellStart"/>
            <w:r w:rsidRPr="002149D4">
              <w:rPr>
                <w:rFonts w:eastAsia="Arial Unicode MS"/>
                <w:color w:val="000000" w:themeColor="text1"/>
                <w:sz w:val="20"/>
                <w:szCs w:val="20"/>
                <w:shd w:val="clear" w:color="auto" w:fill="FFFFFF"/>
                <w:lang w:val="en-US"/>
              </w:rPr>
              <w:t>stabilite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care sunt </w:t>
            </w:r>
            <w:proofErr w:type="spellStart"/>
            <w:r w:rsidRPr="002149D4">
              <w:rPr>
                <w:rFonts w:eastAsia="Arial Unicode MS"/>
                <w:color w:val="000000" w:themeColor="text1"/>
                <w:sz w:val="20"/>
                <w:szCs w:val="20"/>
                <w:shd w:val="clear" w:color="auto" w:fill="FFFFFF"/>
                <w:lang w:val="en-US"/>
              </w:rPr>
              <w:t>întreprinse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țările</w:t>
            </w:r>
            <w:proofErr w:type="spellEnd"/>
            <w:r w:rsidRPr="002149D4">
              <w:rPr>
                <w:rFonts w:eastAsia="Arial Unicode MS"/>
                <w:color w:val="000000" w:themeColor="text1"/>
                <w:sz w:val="20"/>
                <w:szCs w:val="20"/>
                <w:shd w:val="clear" w:color="auto" w:fill="FFFFFF"/>
                <w:lang w:val="en-US"/>
              </w:rPr>
              <w:t xml:space="preserve"> care au </w:t>
            </w:r>
            <w:proofErr w:type="spellStart"/>
            <w:r w:rsidRPr="002149D4">
              <w:rPr>
                <w:rFonts w:eastAsia="Arial Unicode MS"/>
                <w:color w:val="000000" w:themeColor="text1"/>
                <w:sz w:val="20"/>
                <w:szCs w:val="20"/>
                <w:shd w:val="clear" w:color="auto" w:fill="FFFFFF"/>
                <w:lang w:val="en-US"/>
              </w:rPr>
              <w:t>semnat</w:t>
            </w:r>
            <w:proofErr w:type="spellEnd"/>
            <w:r w:rsidRPr="002149D4">
              <w:rPr>
                <w:rFonts w:eastAsia="Arial Unicode MS"/>
                <w:color w:val="000000" w:themeColor="text1"/>
                <w:sz w:val="20"/>
                <w:szCs w:val="20"/>
                <w:shd w:val="clear" w:color="auto" w:fill="FFFFFF"/>
                <w:lang w:val="en-US"/>
              </w:rPr>
              <w:t xml:space="preserve"> un </w:t>
            </w:r>
            <w:proofErr w:type="spellStart"/>
            <w:r w:rsidRPr="002149D4">
              <w:rPr>
                <w:rFonts w:eastAsia="Arial Unicode MS"/>
                <w:color w:val="000000" w:themeColor="text1"/>
                <w:sz w:val="20"/>
                <w:szCs w:val="20"/>
                <w:shd w:val="clear" w:color="auto" w:fill="FFFFFF"/>
                <w:lang w:val="en-US"/>
              </w:rPr>
              <w:t>tratat</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aderare</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Uniune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să</w:t>
            </w:r>
            <w:proofErr w:type="spellEnd"/>
            <w:r w:rsidRPr="002149D4">
              <w:rPr>
                <w:rFonts w:eastAsia="Arial Unicode MS"/>
                <w:color w:val="000000" w:themeColor="text1"/>
                <w:sz w:val="20"/>
                <w:szCs w:val="20"/>
                <w:shd w:val="clear" w:color="auto" w:fill="FFFFFF"/>
                <w:lang w:val="en-US"/>
              </w:rPr>
              <w:t xml:space="preserve"> fie perfect </w:t>
            </w:r>
            <w:proofErr w:type="spellStart"/>
            <w:r w:rsidRPr="002149D4">
              <w:rPr>
                <w:rFonts w:eastAsia="Arial Unicode MS"/>
                <w:color w:val="000000" w:themeColor="text1"/>
                <w:sz w:val="20"/>
                <w:szCs w:val="20"/>
                <w:shd w:val="clear" w:color="auto" w:fill="FFFFFF"/>
                <w:lang w:val="en-US"/>
              </w:rPr>
              <w:t>compatibile</w:t>
            </w:r>
            <w:proofErr w:type="spellEnd"/>
            <w:r w:rsidRPr="002149D4">
              <w:rPr>
                <w:rFonts w:eastAsia="Arial Unicode MS"/>
                <w:color w:val="000000" w:themeColor="text1"/>
                <w:sz w:val="20"/>
                <w:szCs w:val="20"/>
                <w:shd w:val="clear" w:color="auto" w:fill="FFFFFF"/>
                <w:lang w:val="en-US"/>
              </w:rPr>
              <w:t xml:space="preserve"> cu acquis-</w:t>
            </w:r>
            <w:proofErr w:type="spellStart"/>
            <w:r w:rsidRPr="002149D4">
              <w:rPr>
                <w:rFonts w:eastAsia="Arial Unicode MS"/>
                <w:color w:val="000000" w:themeColor="text1"/>
                <w:sz w:val="20"/>
                <w:szCs w:val="20"/>
                <w:shd w:val="clear" w:color="auto" w:fill="FFFFFF"/>
                <w:lang w:val="en-US"/>
              </w:rPr>
              <w:t>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comunitar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inclusiv</w:t>
            </w:r>
            <w:proofErr w:type="spellEnd"/>
            <w:r w:rsidRPr="002149D4">
              <w:rPr>
                <w:rFonts w:eastAsia="Arial Unicode MS"/>
                <w:color w:val="000000" w:themeColor="text1"/>
                <w:sz w:val="20"/>
                <w:szCs w:val="20"/>
                <w:shd w:val="clear" w:color="auto" w:fill="FFFFFF"/>
                <w:lang w:val="en-US"/>
              </w:rPr>
              <w:t xml:space="preserve"> cu </w:t>
            </w:r>
            <w:proofErr w:type="spellStart"/>
            <w:r w:rsidRPr="002149D4">
              <w:rPr>
                <w:rFonts w:eastAsia="Arial Unicode MS"/>
                <w:color w:val="000000" w:themeColor="text1"/>
                <w:sz w:val="20"/>
                <w:szCs w:val="20"/>
                <w:shd w:val="clear" w:color="auto" w:fill="FFFFFF"/>
                <w:lang w:val="en-US"/>
              </w:rPr>
              <w:t>derogările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provizorii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prevăzute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tratatul</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aderare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menționat</w:t>
            </w:r>
            <w:proofErr w:type="spellEnd"/>
            <w:r w:rsidRPr="002149D4">
              <w:rPr>
                <w:rFonts w:eastAsia="Arial Unicode MS"/>
                <w:color w:val="000000" w:themeColor="text1"/>
                <w:sz w:val="20"/>
                <w:szCs w:val="20"/>
                <w:shd w:val="clear" w:color="auto" w:fill="FFFFFF"/>
                <w:lang w:val="en-US"/>
              </w:rPr>
              <w:t xml:space="preserve"> anterior.</w:t>
            </w:r>
          </w:p>
          <w:p w14:paraId="0E417165" w14:textId="77777777" w:rsidR="00124364" w:rsidRPr="00E34C2B" w:rsidRDefault="00000000">
            <w:pPr>
              <w:pStyle w:val="ti-art"/>
              <w:shd w:val="clear" w:color="auto" w:fill="FFFFFF"/>
              <w:spacing w:before="0" w:beforeAutospacing="0" w:after="0" w:afterAutospacing="0"/>
              <w:ind w:left="720"/>
              <w:rPr>
                <w:color w:val="4472C4" w:themeColor="accent1"/>
                <w:sz w:val="20"/>
                <w:szCs w:val="20"/>
                <w:lang w:val="en-US"/>
              </w:rPr>
            </w:pPr>
            <w:hyperlink r:id="rId199" w:tooltip="32009L0029: INSERTED" w:history="1">
              <w:r w:rsidRPr="00E34C2B">
                <w:rPr>
                  <w:rStyle w:val="af3"/>
                  <w:rFonts w:eastAsia="Arial Unicode MS"/>
                  <w:b/>
                  <w:bCs/>
                  <w:color w:val="4472C4" w:themeColor="accent1"/>
                  <w:sz w:val="20"/>
                  <w:szCs w:val="20"/>
                  <w:lang w:val="en-US"/>
                </w:rPr>
                <w:t>▼M4</w:t>
              </w:r>
            </w:hyperlink>
          </w:p>
          <w:p w14:paraId="7FA7D753" w14:textId="3CD087B0" w:rsidR="00124364" w:rsidRPr="002149D4" w:rsidRDefault="00000000" w:rsidP="002149D4">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hyperlink r:id="rId200" w:tooltip="32018L0410: REPLACED" w:history="1">
              <w:r w:rsidRPr="00E34C2B">
                <w:rPr>
                  <w:rStyle w:val="boldface"/>
                  <w:rFonts w:eastAsia="Arial Unicode MS"/>
                  <w:b/>
                  <w:bCs/>
                  <w:color w:val="4472C4" w:themeColor="accent1"/>
                  <w:sz w:val="20"/>
                  <w:szCs w:val="20"/>
                  <w:lang w:val="en-US"/>
                </w:rPr>
                <w:t>►M9</w:t>
              </w:r>
            </w:hyperlink>
            <w:r w:rsidR="002149D4">
              <w:rPr>
                <w:rStyle w:val="apple-converted-space"/>
                <w:rFonts w:eastAsia="Arial Unicode MS"/>
                <w:color w:val="4472C4" w:themeColor="accent1"/>
                <w:sz w:val="20"/>
                <w:szCs w:val="20"/>
                <w:lang w:val="ro-RO"/>
              </w:rPr>
              <w:t xml:space="preserve"> </w:t>
            </w:r>
            <w:proofErr w:type="spellStart"/>
            <w:r w:rsidRPr="00E34C2B">
              <w:rPr>
                <w:rFonts w:eastAsia="Arial Unicode MS"/>
                <w:color w:val="333333"/>
                <w:sz w:val="20"/>
                <w:szCs w:val="20"/>
                <w:shd w:val="clear" w:color="auto" w:fill="FFFFFF"/>
                <w:lang w:val="en-US"/>
              </w:rPr>
              <w:t>Uniunea</w:t>
            </w:r>
            <w:r w:rsidRPr="00E34C2B">
              <w:rPr>
                <w:rStyle w:val="boldface"/>
                <w:rFonts w:eastAsia="Arial Unicode MS"/>
                <w:b/>
                <w:bCs/>
                <w:color w:val="333333"/>
                <w:sz w:val="20"/>
                <w:szCs w:val="20"/>
                <w:lang w:val="en-US"/>
              </w:rPr>
              <w:t>◄</w:t>
            </w:r>
            <w:r w:rsidRPr="00E34C2B">
              <w:rPr>
                <w:rFonts w:eastAsia="Arial Unicode MS"/>
                <w:color w:val="333333"/>
                <w:sz w:val="20"/>
                <w:szCs w:val="20"/>
                <w:shd w:val="clear" w:color="auto" w:fill="FFFFFF"/>
                <w:lang w:val="en-US"/>
              </w:rPr>
              <w:t>și</w:t>
            </w:r>
            <w:proofErr w:type="spellEnd"/>
            <w:r w:rsidRPr="00E34C2B">
              <w:rPr>
                <w:rFonts w:eastAsia="Arial Unicode MS"/>
                <w:color w:val="333333"/>
                <w:sz w:val="20"/>
                <w:szCs w:val="20"/>
                <w:shd w:val="clear" w:color="auto" w:fill="FFFFFF"/>
                <w:lang w:val="en-US"/>
              </w:rPr>
              <w:t xml:space="preserve"> </w:t>
            </w:r>
            <w:proofErr w:type="spellStart"/>
            <w:r w:rsidRPr="00E34C2B">
              <w:rPr>
                <w:rFonts w:eastAsia="Arial Unicode MS"/>
                <w:color w:val="333333"/>
                <w:sz w:val="20"/>
                <w:szCs w:val="20"/>
                <w:shd w:val="clear" w:color="auto" w:fill="FFFFFF"/>
                <w:lang w:val="en-US"/>
              </w:rPr>
              <w:t>statele</w:t>
            </w:r>
            <w:proofErr w:type="spellEnd"/>
            <w:r w:rsidRPr="00E34C2B">
              <w:rPr>
                <w:rFonts w:eastAsia="Arial Unicode MS"/>
                <w:color w:val="333333"/>
                <w:sz w:val="20"/>
                <w:szCs w:val="20"/>
                <w:shd w:val="clear" w:color="auto" w:fill="FFFFFF"/>
                <w:lang w:val="en-US"/>
              </w:rPr>
              <w:t xml:space="preserve"> sale </w:t>
            </w:r>
            <w:proofErr w:type="spellStart"/>
            <w:r w:rsidRPr="00E34C2B">
              <w:rPr>
                <w:rFonts w:eastAsia="Arial Unicode MS"/>
                <w:color w:val="333333"/>
                <w:sz w:val="20"/>
                <w:szCs w:val="20"/>
                <w:shd w:val="clear" w:color="auto" w:fill="FFFFFF"/>
                <w:lang w:val="en-US"/>
              </w:rPr>
              <w:t>membre</w:t>
            </w:r>
            <w:proofErr w:type="spellEnd"/>
            <w:r w:rsidRPr="00E34C2B">
              <w:rPr>
                <w:rFonts w:eastAsia="Arial Unicode MS"/>
                <w:color w:val="333333"/>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autorizează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proiect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numai</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cazul</w:t>
            </w:r>
            <w:proofErr w:type="spellEnd"/>
            <w:r w:rsidRPr="002149D4">
              <w:rPr>
                <w:rFonts w:eastAsia="Arial Unicode MS"/>
                <w:color w:val="000000" w:themeColor="text1"/>
                <w:sz w:val="20"/>
                <w:szCs w:val="20"/>
                <w:shd w:val="clear" w:color="auto" w:fill="FFFFFF"/>
                <w:lang w:val="en-US"/>
              </w:rPr>
              <w:t xml:space="preserve"> în care </w:t>
            </w:r>
            <w:proofErr w:type="spellStart"/>
            <w:r w:rsidRPr="002149D4">
              <w:rPr>
                <w:rFonts w:eastAsia="Arial Unicode MS"/>
                <w:color w:val="000000" w:themeColor="text1"/>
                <w:sz w:val="20"/>
                <w:szCs w:val="20"/>
                <w:shd w:val="clear" w:color="auto" w:fill="FFFFFF"/>
                <w:lang w:val="en-US"/>
              </w:rPr>
              <w:t>toți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participanții</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proiect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își</w:t>
            </w:r>
            <w:proofErr w:type="spellEnd"/>
            <w:r w:rsidRPr="002149D4">
              <w:rPr>
                <w:rFonts w:eastAsia="Arial Unicode MS"/>
                <w:color w:val="000000" w:themeColor="text1"/>
                <w:sz w:val="20"/>
                <w:szCs w:val="20"/>
                <w:shd w:val="clear" w:color="auto" w:fill="FFFFFF"/>
                <w:lang w:val="en-US"/>
              </w:rPr>
              <w:t xml:space="preserve"> au </w:t>
            </w:r>
            <w:proofErr w:type="spellStart"/>
            <w:r w:rsidRPr="002149D4">
              <w:rPr>
                <w:rFonts w:eastAsia="Arial Unicode MS"/>
                <w:color w:val="000000" w:themeColor="text1"/>
                <w:sz w:val="20"/>
                <w:szCs w:val="20"/>
                <w:shd w:val="clear" w:color="auto" w:fill="FFFFFF"/>
                <w:lang w:val="en-US"/>
              </w:rPr>
              <w:t>sediul</w:t>
            </w:r>
            <w:proofErr w:type="spellEnd"/>
            <w:r w:rsidRPr="002149D4">
              <w:rPr>
                <w:rFonts w:eastAsia="Arial Unicode MS"/>
                <w:color w:val="000000" w:themeColor="text1"/>
                <w:sz w:val="20"/>
                <w:szCs w:val="20"/>
                <w:shd w:val="clear" w:color="auto" w:fill="FFFFFF"/>
                <w:lang w:val="en-US"/>
              </w:rPr>
              <w:t xml:space="preserve"> fie </w:t>
            </w:r>
            <w:proofErr w:type="spellStart"/>
            <w:r w:rsidRPr="002149D4">
              <w:rPr>
                <w:rFonts w:eastAsia="Arial Unicode MS"/>
                <w:color w:val="000000" w:themeColor="text1"/>
                <w:sz w:val="20"/>
                <w:szCs w:val="20"/>
                <w:shd w:val="clear" w:color="auto" w:fill="FFFFFF"/>
                <w:lang w:val="en-US"/>
              </w:rPr>
              <w:t>într</w:t>
            </w:r>
            <w:proofErr w:type="spellEnd"/>
            <w:r w:rsidRPr="002149D4">
              <w:rPr>
                <w:rFonts w:eastAsia="Arial Unicode MS"/>
                <w:color w:val="000000" w:themeColor="text1"/>
                <w:sz w:val="20"/>
                <w:szCs w:val="20"/>
                <w:shd w:val="clear" w:color="auto" w:fill="FFFFFF"/>
                <w:lang w:val="en-US"/>
              </w:rPr>
              <w:t xml:space="preserve">-o </w:t>
            </w:r>
            <w:proofErr w:type="spellStart"/>
            <w:r w:rsidRPr="002149D4">
              <w:rPr>
                <w:rFonts w:eastAsia="Arial Unicode MS"/>
                <w:color w:val="000000" w:themeColor="text1"/>
                <w:sz w:val="20"/>
                <w:szCs w:val="20"/>
                <w:shd w:val="clear" w:color="auto" w:fill="FFFFFF"/>
                <w:lang w:val="en-US"/>
              </w:rPr>
              <w:t>țară</w:t>
            </w:r>
            <w:proofErr w:type="spellEnd"/>
            <w:r w:rsidRPr="002149D4">
              <w:rPr>
                <w:rFonts w:eastAsia="Arial Unicode MS"/>
                <w:color w:val="000000" w:themeColor="text1"/>
                <w:sz w:val="20"/>
                <w:szCs w:val="20"/>
                <w:shd w:val="clear" w:color="auto" w:fill="FFFFFF"/>
                <w:lang w:val="en-US"/>
              </w:rPr>
              <w:t xml:space="preserve"> care a </w:t>
            </w:r>
            <w:proofErr w:type="spellStart"/>
            <w:r w:rsidRPr="002149D4">
              <w:rPr>
                <w:rFonts w:eastAsia="Arial Unicode MS"/>
                <w:color w:val="000000" w:themeColor="text1"/>
                <w:sz w:val="20"/>
                <w:szCs w:val="20"/>
                <w:shd w:val="clear" w:color="auto" w:fill="FFFFFF"/>
                <w:lang w:val="en-US"/>
              </w:rPr>
              <w:t>încheiat</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acordul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internațional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referitor</w:t>
            </w:r>
            <w:proofErr w:type="spellEnd"/>
            <w:r w:rsidRPr="002149D4">
              <w:rPr>
                <w:rFonts w:eastAsia="Arial Unicode MS"/>
                <w:color w:val="000000" w:themeColor="text1"/>
                <w:sz w:val="20"/>
                <w:szCs w:val="20"/>
                <w:shd w:val="clear" w:color="auto" w:fill="FFFFFF"/>
                <w:lang w:val="en-US"/>
              </w:rPr>
              <w:t xml:space="preserve"> la </w:t>
            </w:r>
            <w:proofErr w:type="spellStart"/>
            <w:r w:rsidRPr="002149D4">
              <w:rPr>
                <w:rFonts w:eastAsia="Arial Unicode MS"/>
                <w:color w:val="000000" w:themeColor="text1"/>
                <w:sz w:val="20"/>
                <w:szCs w:val="20"/>
                <w:shd w:val="clear" w:color="auto" w:fill="FFFFFF"/>
                <w:lang w:val="en-US"/>
              </w:rPr>
              <w:t>aceste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fie </w:t>
            </w:r>
            <w:proofErr w:type="spellStart"/>
            <w:r w:rsidRPr="002149D4">
              <w:rPr>
                <w:rFonts w:eastAsia="Arial Unicode MS"/>
                <w:color w:val="000000" w:themeColor="text1"/>
                <w:sz w:val="20"/>
                <w:szCs w:val="20"/>
                <w:shd w:val="clear" w:color="auto" w:fill="FFFFFF"/>
                <w:lang w:val="en-US"/>
              </w:rPr>
              <w:t>într</w:t>
            </w:r>
            <w:proofErr w:type="spellEnd"/>
            <w:r w:rsidRPr="002149D4">
              <w:rPr>
                <w:rFonts w:eastAsia="Arial Unicode MS"/>
                <w:color w:val="000000" w:themeColor="text1"/>
                <w:sz w:val="20"/>
                <w:szCs w:val="20"/>
                <w:shd w:val="clear" w:color="auto" w:fill="FFFFFF"/>
                <w:lang w:val="en-US"/>
              </w:rPr>
              <w:t xml:space="preserve">-o </w:t>
            </w:r>
            <w:proofErr w:type="spellStart"/>
            <w:r w:rsidRPr="002149D4">
              <w:rPr>
                <w:rFonts w:eastAsia="Arial Unicode MS"/>
                <w:color w:val="000000" w:themeColor="text1"/>
                <w:sz w:val="20"/>
                <w:szCs w:val="20"/>
                <w:shd w:val="clear" w:color="auto" w:fill="FFFFFF"/>
                <w:lang w:val="en-US"/>
              </w:rPr>
              <w:t>țară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unitate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administrativă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subfederală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regională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legată</w:t>
            </w:r>
            <w:proofErr w:type="spellEnd"/>
            <w:r w:rsidRPr="002149D4">
              <w:rPr>
                <w:rFonts w:eastAsia="Arial Unicode MS"/>
                <w:color w:val="000000" w:themeColor="text1"/>
                <w:sz w:val="20"/>
                <w:szCs w:val="20"/>
                <w:shd w:val="clear" w:color="auto" w:fill="FFFFFF"/>
                <w:lang w:val="en-US"/>
              </w:rPr>
              <w:t xml:space="preserve"> de</w:t>
            </w:r>
            <w:r w:rsidR="002149D4" w:rsidRPr="002149D4">
              <w:rPr>
                <w:rStyle w:val="apple-converted-space"/>
                <w:rFonts w:eastAsia="Arial Unicode MS"/>
                <w:color w:val="000000" w:themeColor="text1"/>
                <w:sz w:val="20"/>
                <w:szCs w:val="20"/>
                <w:shd w:val="clear" w:color="auto" w:fill="FFFFFF"/>
                <w:lang w:val="en-US"/>
              </w:rPr>
              <w:t xml:space="preserve"> </w:t>
            </w:r>
            <w:hyperlink r:id="rId201" w:tooltip="32018L0410: REPLACED" w:history="1">
              <w:r w:rsidRPr="002149D4">
                <w:rPr>
                  <w:rStyle w:val="boldface"/>
                  <w:rFonts w:eastAsia="Arial Unicode MS"/>
                  <w:b/>
                  <w:bCs/>
                  <w:color w:val="000000" w:themeColor="text1"/>
                  <w:sz w:val="20"/>
                  <w:szCs w:val="20"/>
                  <w:lang w:val="en-US"/>
                </w:rPr>
                <w:t>►M9</w:t>
              </w:r>
            </w:hyperlink>
            <w:r w:rsidR="002149D4" w:rsidRPr="002149D4">
              <w:rPr>
                <w:rStyle w:val="apple-converted-space"/>
                <w:rFonts w:eastAsia="Arial Unicode MS"/>
                <w:color w:val="000000" w:themeColor="text1"/>
                <w:sz w:val="20"/>
                <w:szCs w:val="20"/>
                <w:lang w:val="ro-RO"/>
              </w:rPr>
              <w:t xml:space="preserve"> </w:t>
            </w:r>
            <w:r w:rsidRPr="002149D4">
              <w:rPr>
                <w:rFonts w:eastAsia="Arial Unicode MS"/>
                <w:color w:val="000000" w:themeColor="text1"/>
                <w:sz w:val="20"/>
                <w:szCs w:val="20"/>
                <w:shd w:val="clear" w:color="auto" w:fill="FFFFFF"/>
                <w:lang w:val="en-US"/>
              </w:rPr>
              <w:t xml:space="preserve">EU </w:t>
            </w:r>
            <w:proofErr w:type="spellStart"/>
            <w:r w:rsidRPr="002149D4">
              <w:rPr>
                <w:rFonts w:eastAsia="Arial Unicode MS"/>
                <w:color w:val="000000" w:themeColor="text1"/>
                <w:sz w:val="20"/>
                <w:szCs w:val="20"/>
                <w:shd w:val="clear" w:color="auto" w:fill="FFFFFF"/>
                <w:lang w:val="en-US"/>
              </w:rPr>
              <w:t>ETS</w:t>
            </w:r>
            <w:r w:rsidRPr="002149D4">
              <w:rPr>
                <w:rStyle w:val="boldface"/>
                <w:rFonts w:eastAsia="Arial Unicode MS"/>
                <w:b/>
                <w:bCs/>
                <w:color w:val="000000" w:themeColor="text1"/>
                <w:sz w:val="20"/>
                <w:szCs w:val="20"/>
                <w:lang w:val="en-US"/>
              </w:rPr>
              <w:t>◄</w:t>
            </w:r>
            <w:r w:rsidRPr="002149D4">
              <w:rPr>
                <w:rFonts w:eastAsia="Arial Unicode MS"/>
                <w:color w:val="000000" w:themeColor="text1"/>
                <w:sz w:val="20"/>
                <w:szCs w:val="20"/>
                <w:shd w:val="clear" w:color="auto" w:fill="FFFFFF"/>
                <w:lang w:val="en-US"/>
              </w:rPr>
              <w:t>în</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temeiul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articolului</w:t>
            </w:r>
            <w:proofErr w:type="spellEnd"/>
            <w:r w:rsidRPr="002149D4">
              <w:rPr>
                <w:rFonts w:eastAsia="Arial Unicode MS"/>
                <w:color w:val="000000" w:themeColor="text1"/>
                <w:sz w:val="20"/>
                <w:szCs w:val="20"/>
                <w:shd w:val="clear" w:color="auto" w:fill="FFFFFF"/>
                <w:lang w:val="en-US"/>
              </w:rPr>
              <w:t xml:space="preserve"> 25.</w:t>
            </w:r>
          </w:p>
          <w:p w14:paraId="64FC8EB9"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02" w:tooltip="32004L0101: INSERTED" w:history="1">
              <w:r>
                <w:rPr>
                  <w:rStyle w:val="af3"/>
                  <w:rFonts w:eastAsia="Arial Unicode MS"/>
                  <w:b/>
                  <w:bCs/>
                  <w:color w:val="4472C4" w:themeColor="accent1"/>
                  <w:sz w:val="20"/>
                  <w:szCs w:val="20"/>
                  <w:lang w:val="en-US"/>
                </w:rPr>
                <w:t>▼M1</w:t>
              </w:r>
            </w:hyperlink>
          </w:p>
          <w:p w14:paraId="47FC4DE9" w14:textId="6355C01E" w:rsidR="00124364" w:rsidRDefault="00000000" w:rsidP="002149D4">
            <w:pPr>
              <w:pStyle w:val="ti-art"/>
              <w:numPr>
                <w:ilvl w:val="0"/>
                <w:numId w:val="79"/>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2149D4">
              <w:rPr>
                <w:rFonts w:eastAsia="Arial Unicode MS"/>
                <w:color w:val="000000" w:themeColor="text1"/>
                <w:sz w:val="20"/>
                <w:szCs w:val="20"/>
                <w:shd w:val="clear" w:color="auto" w:fill="FFFFFF"/>
                <w:lang w:val="en-US"/>
              </w:rPr>
              <w:t xml:space="preserve">Sub </w:t>
            </w:r>
            <w:proofErr w:type="spellStart"/>
            <w:r w:rsidRPr="002149D4">
              <w:rPr>
                <w:rFonts w:eastAsia="Arial Unicode MS"/>
                <w:color w:val="000000" w:themeColor="text1"/>
                <w:sz w:val="20"/>
                <w:szCs w:val="20"/>
                <w:shd w:val="clear" w:color="auto" w:fill="FFFFFF"/>
                <w:lang w:val="en-US"/>
              </w:rPr>
              <w:t>rezerva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dispozițiilor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alineatelor</w:t>
            </w:r>
            <w:proofErr w:type="spellEnd"/>
            <w:r w:rsidRPr="002149D4">
              <w:rPr>
                <w:rFonts w:eastAsia="Arial Unicode MS"/>
                <w:color w:val="000000" w:themeColor="text1"/>
                <w:sz w:val="20"/>
                <w:szCs w:val="20"/>
                <w:shd w:val="clear" w:color="auto" w:fill="FFFFFF"/>
                <w:lang w:val="en-US"/>
              </w:rPr>
              <w:t xml:space="preserve"> (3) și (4), </w:t>
            </w: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în care </w:t>
            </w:r>
            <w:proofErr w:type="spellStart"/>
            <w:r w:rsidRPr="002149D4">
              <w:rPr>
                <w:rFonts w:eastAsia="Arial Unicode MS"/>
                <w:color w:val="000000" w:themeColor="text1"/>
                <w:sz w:val="20"/>
                <w:szCs w:val="20"/>
                <w:shd w:val="clear" w:color="auto" w:fill="FFFFFF"/>
                <w:lang w:val="en-US"/>
              </w:rPr>
              <w:t>activitățile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sunt </w:t>
            </w:r>
            <w:proofErr w:type="spellStart"/>
            <w:r w:rsidRPr="002149D4">
              <w:rPr>
                <w:rFonts w:eastAsia="Arial Unicode MS"/>
                <w:color w:val="000000" w:themeColor="text1"/>
                <w:sz w:val="20"/>
                <w:szCs w:val="20"/>
                <w:shd w:val="clear" w:color="auto" w:fill="FFFFFF"/>
                <w:lang w:val="en-US"/>
              </w:rPr>
              <w:t>puse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urmăresc</w:t>
            </w:r>
            <w:proofErr w:type="spellEnd"/>
            <w:r w:rsidRPr="002149D4">
              <w:rPr>
                <w:rFonts w:eastAsia="Arial Unicode MS"/>
                <w:color w:val="000000" w:themeColor="text1"/>
                <w:sz w:val="20"/>
                <w:szCs w:val="20"/>
                <w:shd w:val="clear" w:color="auto" w:fill="FFFFFF"/>
                <w:lang w:val="en-US"/>
              </w:rPr>
              <w:t xml:space="preserve"> ca </w:t>
            </w:r>
            <w:proofErr w:type="spellStart"/>
            <w:r w:rsidRPr="002149D4">
              <w:rPr>
                <w:rFonts w:eastAsia="Arial Unicode MS"/>
                <w:color w:val="000000" w:themeColor="text1"/>
                <w:sz w:val="20"/>
                <w:szCs w:val="20"/>
                <w:shd w:val="clear" w:color="auto" w:fill="FFFFFF"/>
                <w:lang w:val="en-US"/>
              </w:rPr>
              <w:t>nici</w:t>
            </w:r>
            <w:proofErr w:type="spellEnd"/>
            <w:r w:rsidRPr="002149D4">
              <w:rPr>
                <w:rFonts w:eastAsia="Arial Unicode MS"/>
                <w:color w:val="000000" w:themeColor="text1"/>
                <w:sz w:val="20"/>
                <w:szCs w:val="20"/>
                <w:shd w:val="clear" w:color="auto" w:fill="FFFFFF"/>
                <w:lang w:val="en-US"/>
              </w:rPr>
              <w:t xml:space="preserve"> o URE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REC </w:t>
            </w:r>
            <w:proofErr w:type="spellStart"/>
            <w:r w:rsidRPr="002149D4">
              <w:rPr>
                <w:rFonts w:eastAsia="Arial Unicode MS"/>
                <w:color w:val="000000" w:themeColor="text1"/>
                <w:sz w:val="20"/>
                <w:szCs w:val="20"/>
                <w:shd w:val="clear" w:color="auto" w:fill="FFFFFF"/>
                <w:lang w:val="en-US"/>
              </w:rPr>
              <w:t>să</w:t>
            </w:r>
            <w:proofErr w:type="spellEnd"/>
            <w:r w:rsidRPr="002149D4">
              <w:rPr>
                <w:rFonts w:eastAsia="Arial Unicode MS"/>
                <w:color w:val="000000" w:themeColor="text1"/>
                <w:sz w:val="20"/>
                <w:szCs w:val="20"/>
                <w:shd w:val="clear" w:color="auto" w:fill="FFFFFF"/>
                <w:lang w:val="en-US"/>
              </w:rPr>
              <w:t xml:space="preserve"> nu fie </w:t>
            </w:r>
            <w:proofErr w:type="spellStart"/>
            <w:r w:rsidRPr="002149D4">
              <w:rPr>
                <w:rFonts w:eastAsia="Arial Unicode MS"/>
                <w:color w:val="000000" w:themeColor="text1"/>
                <w:sz w:val="20"/>
                <w:szCs w:val="20"/>
                <w:shd w:val="clear" w:color="auto" w:fill="FFFFFF"/>
                <w:lang w:val="en-US"/>
              </w:rPr>
              <w:t>eliberată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o </w:t>
            </w:r>
            <w:proofErr w:type="spellStart"/>
            <w:r w:rsidRPr="002149D4">
              <w:rPr>
                <w:rFonts w:eastAsia="Arial Unicode MS"/>
                <w:color w:val="000000" w:themeColor="text1"/>
                <w:sz w:val="20"/>
                <w:szCs w:val="20"/>
                <w:shd w:val="clear" w:color="auto" w:fill="FFFFFF"/>
                <w:lang w:val="en-US"/>
              </w:rPr>
              <w:t>reducere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o </w:t>
            </w:r>
            <w:proofErr w:type="spellStart"/>
            <w:r w:rsidRPr="002149D4">
              <w:rPr>
                <w:rFonts w:eastAsia="Arial Unicode MS"/>
                <w:color w:val="000000" w:themeColor="text1"/>
                <w:sz w:val="20"/>
                <w:szCs w:val="20"/>
                <w:shd w:val="clear" w:color="auto" w:fill="FFFFFF"/>
                <w:lang w:val="en-US"/>
              </w:rPr>
              <w:t>limitare</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emisiilor</w:t>
            </w:r>
            <w:proofErr w:type="spellEnd"/>
            <w:r w:rsidRPr="002149D4">
              <w:rPr>
                <w:rFonts w:eastAsia="Arial Unicode MS"/>
                <w:color w:val="000000" w:themeColor="text1"/>
                <w:sz w:val="20"/>
                <w:szCs w:val="20"/>
                <w:shd w:val="clear" w:color="auto" w:fill="FFFFFF"/>
                <w:lang w:val="en-US"/>
              </w:rPr>
              <w:t xml:space="preserve"> de gaze cu </w:t>
            </w:r>
            <w:proofErr w:type="spellStart"/>
            <w:r w:rsidRPr="002149D4">
              <w:rPr>
                <w:rFonts w:eastAsia="Arial Unicode MS"/>
                <w:color w:val="000000" w:themeColor="text1"/>
                <w:sz w:val="20"/>
                <w:szCs w:val="20"/>
                <w:shd w:val="clear" w:color="auto" w:fill="FFFFFF"/>
                <w:lang w:val="en-US"/>
              </w:rPr>
              <w:t>efect</w:t>
            </w:r>
            <w:proofErr w:type="spellEnd"/>
            <w:r w:rsidRPr="002149D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 xml:space="preserve">de </w:t>
            </w:r>
            <w:proofErr w:type="spellStart"/>
            <w:r>
              <w:rPr>
                <w:rFonts w:eastAsia="Arial Unicode MS"/>
                <w:color w:val="333333"/>
                <w:sz w:val="20"/>
                <w:szCs w:val="20"/>
                <w:shd w:val="clear" w:color="auto" w:fill="FFFFFF"/>
                <w:lang w:val="en-US"/>
              </w:rPr>
              <w:t>seră</w:t>
            </w:r>
            <w:proofErr w:type="spellEnd"/>
            <w:r>
              <w:rPr>
                <w:rFonts w:eastAsia="Arial Unicode MS"/>
                <w:color w:val="333333"/>
                <w:sz w:val="20"/>
                <w:szCs w:val="20"/>
                <w:shd w:val="clear" w:color="auto" w:fill="FFFFFF"/>
                <w:lang w:val="en-US"/>
              </w:rPr>
              <w:t xml:space="preserve"> ale</w:t>
            </w:r>
            <w:hyperlink r:id="rId203" w:tooltip="32008L0101: REPLACED" w:history="1">
              <w:r>
                <w:rPr>
                  <w:rStyle w:val="boldface"/>
                  <w:rFonts w:eastAsia="Arial Unicode MS"/>
                  <w:b/>
                  <w:bCs/>
                  <w:color w:val="4472C4" w:themeColor="accent1"/>
                  <w:sz w:val="20"/>
                  <w:szCs w:val="20"/>
                  <w:lang w:val="en-US"/>
                </w:rPr>
                <w:t>►M2</w:t>
              </w:r>
            </w:hyperlink>
            <w:r w:rsidR="002149D4">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activităților</w:t>
            </w:r>
            <w:proofErr w:type="spellEnd"/>
            <w:r w:rsidR="002149D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2149D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care </w:t>
            </w:r>
            <w:proofErr w:type="spellStart"/>
            <w:r>
              <w:rPr>
                <w:rFonts w:eastAsia="Arial Unicode MS"/>
                <w:color w:val="333333"/>
                <w:sz w:val="20"/>
                <w:szCs w:val="20"/>
                <w:shd w:val="clear" w:color="auto" w:fill="FFFFFF"/>
                <w:lang w:val="en-US"/>
              </w:rPr>
              <w:t>intră</w:t>
            </w:r>
            <w:proofErr w:type="spellEnd"/>
            <w:r>
              <w:rPr>
                <w:rFonts w:eastAsia="Arial Unicode MS"/>
                <w:color w:val="333333"/>
                <w:sz w:val="20"/>
                <w:szCs w:val="20"/>
                <w:shd w:val="clear" w:color="auto" w:fill="FFFFFF"/>
                <w:lang w:val="en-US"/>
              </w:rPr>
              <w:t xml:space="preserve"> sub </w:t>
            </w:r>
            <w:proofErr w:type="spellStart"/>
            <w:r>
              <w:rPr>
                <w:rFonts w:eastAsia="Arial Unicode MS"/>
                <w:color w:val="333333"/>
                <w:sz w:val="20"/>
                <w:szCs w:val="20"/>
                <w:shd w:val="clear" w:color="auto" w:fill="FFFFFF"/>
                <w:lang w:val="en-US"/>
              </w:rPr>
              <w:t>incidența</w:t>
            </w:r>
            <w:proofErr w:type="spellEnd"/>
            <w:r>
              <w:rPr>
                <w:rFonts w:eastAsia="Arial Unicode MS"/>
                <w:color w:val="333333"/>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prezentei</w:t>
            </w:r>
            <w:proofErr w:type="spellEnd"/>
            <w:r w:rsidRPr="002149D4">
              <w:rPr>
                <w:rFonts w:eastAsia="Arial Unicode MS"/>
                <w:color w:val="000000" w:themeColor="text1"/>
                <w:sz w:val="20"/>
                <w:szCs w:val="20"/>
                <w:shd w:val="clear" w:color="auto" w:fill="FFFFFF"/>
                <w:lang w:val="en-US"/>
              </w:rPr>
              <w:t xml:space="preserve"> directive.</w:t>
            </w:r>
          </w:p>
          <w:p w14:paraId="3545C367" w14:textId="77777777" w:rsidR="00124364" w:rsidRPr="002149D4" w:rsidRDefault="00000000" w:rsidP="002149D4">
            <w:pPr>
              <w:pStyle w:val="ti-art"/>
              <w:numPr>
                <w:ilvl w:val="0"/>
                <w:numId w:val="7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Până</w:t>
            </w:r>
            <w:proofErr w:type="spellEnd"/>
            <w:r w:rsidRPr="002149D4">
              <w:rPr>
                <w:rFonts w:eastAsia="Arial Unicode MS"/>
                <w:color w:val="000000" w:themeColor="text1"/>
                <w:sz w:val="20"/>
                <w:szCs w:val="20"/>
                <w:shd w:val="clear" w:color="auto" w:fill="FFFFFF"/>
                <w:lang w:val="en-US"/>
              </w:rPr>
              <w:t xml:space="preserve"> la 31 </w:t>
            </w:r>
            <w:proofErr w:type="spellStart"/>
            <w:r w:rsidRPr="002149D4">
              <w:rPr>
                <w:rFonts w:eastAsia="Arial Unicode MS"/>
                <w:color w:val="000000" w:themeColor="text1"/>
                <w:sz w:val="20"/>
                <w:szCs w:val="20"/>
                <w:shd w:val="clear" w:color="auto" w:fill="FFFFFF"/>
                <w:lang w:val="en-US"/>
              </w:rPr>
              <w:t>decembrie</w:t>
            </w:r>
            <w:proofErr w:type="spellEnd"/>
            <w:r w:rsidRPr="002149D4">
              <w:rPr>
                <w:rFonts w:eastAsia="Arial Unicode MS"/>
                <w:color w:val="000000" w:themeColor="text1"/>
                <w:sz w:val="20"/>
                <w:szCs w:val="20"/>
                <w:shd w:val="clear" w:color="auto" w:fill="FFFFFF"/>
                <w:lang w:val="en-US"/>
              </w:rPr>
              <w:t xml:space="preserve"> 2012,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IJ și MDP care </w:t>
            </w:r>
            <w:proofErr w:type="spellStart"/>
            <w:r w:rsidRPr="002149D4">
              <w:rPr>
                <w:rFonts w:eastAsia="Arial Unicode MS"/>
                <w:color w:val="000000" w:themeColor="text1"/>
                <w:sz w:val="20"/>
                <w:szCs w:val="20"/>
                <w:shd w:val="clear" w:color="auto" w:fill="FFFFFF"/>
                <w:lang w:val="en-US"/>
              </w:rPr>
              <w:t>reduc</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limitează</w:t>
            </w:r>
            <w:proofErr w:type="spellEnd"/>
            <w:r w:rsidRPr="002149D4">
              <w:rPr>
                <w:rFonts w:eastAsia="Arial Unicode MS"/>
                <w:color w:val="000000" w:themeColor="text1"/>
                <w:sz w:val="20"/>
                <w:szCs w:val="20"/>
                <w:shd w:val="clear" w:color="auto" w:fill="FFFFFF"/>
                <w:lang w:val="en-US"/>
              </w:rPr>
              <w:t xml:space="preserve"> în mod direct </w:t>
            </w:r>
            <w:proofErr w:type="spellStart"/>
            <w:r w:rsidRPr="002149D4">
              <w:rPr>
                <w:rFonts w:eastAsia="Arial Unicode MS"/>
                <w:color w:val="000000" w:themeColor="text1"/>
                <w:sz w:val="20"/>
                <w:szCs w:val="20"/>
                <w:shd w:val="clear" w:color="auto" w:fill="FFFFFF"/>
                <w:lang w:val="en-US"/>
              </w:rPr>
              <w:t>emisiile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unei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intră</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sfera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prezentei</w:t>
            </w:r>
            <w:proofErr w:type="spellEnd"/>
            <w:r w:rsidRPr="002149D4">
              <w:rPr>
                <w:rFonts w:eastAsia="Arial Unicode MS"/>
                <w:color w:val="000000" w:themeColor="text1"/>
                <w:sz w:val="20"/>
                <w:szCs w:val="20"/>
                <w:shd w:val="clear" w:color="auto" w:fill="FFFFFF"/>
                <w:lang w:val="en-US"/>
              </w:rPr>
              <w:t xml:space="preserve"> directive, nu pot fi </w:t>
            </w:r>
            <w:proofErr w:type="spellStart"/>
            <w:r w:rsidRPr="002149D4">
              <w:rPr>
                <w:rFonts w:eastAsia="Arial Unicode MS"/>
                <w:color w:val="000000" w:themeColor="text1"/>
                <w:sz w:val="20"/>
                <w:szCs w:val="20"/>
                <w:shd w:val="clear" w:color="auto" w:fill="FFFFFF"/>
                <w:lang w:val="en-US"/>
              </w:rPr>
              <w:t>eliberate</w:t>
            </w:r>
            <w:proofErr w:type="spellEnd"/>
            <w:r w:rsidRPr="002149D4">
              <w:rPr>
                <w:rFonts w:eastAsia="Arial Unicode MS"/>
                <w:color w:val="000000" w:themeColor="text1"/>
                <w:sz w:val="20"/>
                <w:szCs w:val="20"/>
                <w:shd w:val="clear" w:color="auto" w:fill="FFFFFF"/>
                <w:lang w:val="en-US"/>
              </w:rPr>
              <w:t xml:space="preserve"> URE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REC </w:t>
            </w:r>
            <w:proofErr w:type="spellStart"/>
            <w:r w:rsidRPr="002149D4">
              <w:rPr>
                <w:rFonts w:eastAsia="Arial Unicode MS"/>
                <w:color w:val="000000" w:themeColor="text1"/>
                <w:sz w:val="20"/>
                <w:szCs w:val="20"/>
                <w:shd w:val="clear" w:color="auto" w:fill="FFFFFF"/>
                <w:lang w:val="en-US"/>
              </w:rPr>
              <w:t>decât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cazul</w:t>
            </w:r>
            <w:proofErr w:type="spellEnd"/>
            <w:r w:rsidRPr="002149D4">
              <w:rPr>
                <w:rFonts w:eastAsia="Arial Unicode MS"/>
                <w:color w:val="000000" w:themeColor="text1"/>
                <w:sz w:val="20"/>
                <w:szCs w:val="20"/>
                <w:shd w:val="clear" w:color="auto" w:fill="FFFFFF"/>
                <w:lang w:val="en-US"/>
              </w:rPr>
              <w:t xml:space="preserve"> în care un </w:t>
            </w:r>
            <w:proofErr w:type="spellStart"/>
            <w:r w:rsidRPr="002149D4">
              <w:rPr>
                <w:rFonts w:eastAsia="Arial Unicode MS"/>
                <w:color w:val="000000" w:themeColor="text1"/>
                <w:sz w:val="20"/>
                <w:szCs w:val="20"/>
                <w:shd w:val="clear" w:color="auto" w:fill="FFFFFF"/>
                <w:lang w:val="en-US"/>
              </w:rPr>
              <w:t>număr</w:t>
            </w:r>
            <w:proofErr w:type="spellEnd"/>
            <w:r w:rsidRPr="002149D4">
              <w:rPr>
                <w:rFonts w:eastAsia="Arial Unicode MS"/>
                <w:color w:val="000000" w:themeColor="text1"/>
                <w:sz w:val="20"/>
                <w:szCs w:val="20"/>
                <w:shd w:val="clear" w:color="auto" w:fill="FFFFFF"/>
                <w:lang w:val="en-US"/>
              </w:rPr>
              <w:t xml:space="preserve"> egal de cote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anulat</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operatorul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instalației</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cauză</w:t>
            </w:r>
            <w:proofErr w:type="spellEnd"/>
            <w:r w:rsidRPr="002149D4">
              <w:rPr>
                <w:rFonts w:eastAsia="Arial Unicode MS"/>
                <w:color w:val="000000" w:themeColor="text1"/>
                <w:sz w:val="20"/>
                <w:szCs w:val="20"/>
                <w:shd w:val="clear" w:color="auto" w:fill="FFFFFF"/>
                <w:lang w:val="en-US"/>
              </w:rPr>
              <w:t>.</w:t>
            </w:r>
          </w:p>
          <w:p w14:paraId="50662580" w14:textId="77777777" w:rsidR="00124364" w:rsidRPr="002149D4" w:rsidRDefault="00000000" w:rsidP="002149D4">
            <w:pPr>
              <w:pStyle w:val="ti-art"/>
              <w:numPr>
                <w:ilvl w:val="0"/>
                <w:numId w:val="7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Pană</w:t>
            </w:r>
            <w:proofErr w:type="spellEnd"/>
            <w:r w:rsidRPr="002149D4">
              <w:rPr>
                <w:rFonts w:eastAsia="Arial Unicode MS"/>
                <w:color w:val="000000" w:themeColor="text1"/>
                <w:sz w:val="20"/>
                <w:szCs w:val="20"/>
                <w:shd w:val="clear" w:color="auto" w:fill="FFFFFF"/>
                <w:lang w:val="en-US"/>
              </w:rPr>
              <w:t xml:space="preserve"> la 31 </w:t>
            </w:r>
            <w:proofErr w:type="spellStart"/>
            <w:r w:rsidRPr="002149D4">
              <w:rPr>
                <w:rFonts w:eastAsia="Arial Unicode MS"/>
                <w:color w:val="000000" w:themeColor="text1"/>
                <w:sz w:val="20"/>
                <w:szCs w:val="20"/>
                <w:shd w:val="clear" w:color="auto" w:fill="FFFFFF"/>
                <w:lang w:val="en-US"/>
              </w:rPr>
              <w:t>decembrie</w:t>
            </w:r>
            <w:proofErr w:type="spellEnd"/>
            <w:r w:rsidRPr="002149D4">
              <w:rPr>
                <w:rFonts w:eastAsia="Arial Unicode MS"/>
                <w:color w:val="000000" w:themeColor="text1"/>
                <w:sz w:val="20"/>
                <w:szCs w:val="20"/>
                <w:shd w:val="clear" w:color="auto" w:fill="FFFFFF"/>
                <w:lang w:val="en-US"/>
              </w:rPr>
              <w:t xml:space="preserve"> 2012,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IJ și MDP care </w:t>
            </w:r>
            <w:proofErr w:type="spellStart"/>
            <w:r w:rsidRPr="002149D4">
              <w:rPr>
                <w:rFonts w:eastAsia="Arial Unicode MS"/>
                <w:color w:val="000000" w:themeColor="text1"/>
                <w:sz w:val="20"/>
                <w:szCs w:val="20"/>
                <w:shd w:val="clear" w:color="auto" w:fill="FFFFFF"/>
                <w:lang w:val="en-US"/>
              </w:rPr>
              <w:t>reduc</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limitează</w:t>
            </w:r>
            <w:proofErr w:type="spellEnd"/>
            <w:r w:rsidRPr="002149D4">
              <w:rPr>
                <w:rFonts w:eastAsia="Arial Unicode MS"/>
                <w:color w:val="000000" w:themeColor="text1"/>
                <w:sz w:val="20"/>
                <w:szCs w:val="20"/>
                <w:shd w:val="clear" w:color="auto" w:fill="FFFFFF"/>
                <w:lang w:val="en-US"/>
              </w:rPr>
              <w:t xml:space="preserve"> în mod indirect </w:t>
            </w:r>
            <w:proofErr w:type="spellStart"/>
            <w:r w:rsidRPr="002149D4">
              <w:rPr>
                <w:rFonts w:eastAsia="Arial Unicode MS"/>
                <w:color w:val="000000" w:themeColor="text1"/>
                <w:sz w:val="20"/>
                <w:szCs w:val="20"/>
                <w:shd w:val="clear" w:color="auto" w:fill="FFFFFF"/>
                <w:lang w:val="en-US"/>
              </w:rPr>
              <w:t>emisiile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unei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instalații</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intră</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sfera</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prezentei</w:t>
            </w:r>
            <w:proofErr w:type="spellEnd"/>
            <w:r w:rsidRPr="002149D4">
              <w:rPr>
                <w:rFonts w:eastAsia="Arial Unicode MS"/>
                <w:color w:val="000000" w:themeColor="text1"/>
                <w:sz w:val="20"/>
                <w:szCs w:val="20"/>
                <w:shd w:val="clear" w:color="auto" w:fill="FFFFFF"/>
                <w:lang w:val="en-US"/>
              </w:rPr>
              <w:t xml:space="preserve"> directive, nu pot fi </w:t>
            </w:r>
            <w:proofErr w:type="spellStart"/>
            <w:r w:rsidRPr="002149D4">
              <w:rPr>
                <w:rFonts w:eastAsia="Arial Unicode MS"/>
                <w:color w:val="000000" w:themeColor="text1"/>
                <w:sz w:val="20"/>
                <w:szCs w:val="20"/>
                <w:shd w:val="clear" w:color="auto" w:fill="FFFFFF"/>
                <w:lang w:val="en-US"/>
              </w:rPr>
              <w:t>eliberate</w:t>
            </w:r>
            <w:proofErr w:type="spellEnd"/>
            <w:r w:rsidRPr="002149D4">
              <w:rPr>
                <w:rFonts w:eastAsia="Arial Unicode MS"/>
                <w:color w:val="000000" w:themeColor="text1"/>
                <w:sz w:val="20"/>
                <w:szCs w:val="20"/>
                <w:shd w:val="clear" w:color="auto" w:fill="FFFFFF"/>
                <w:lang w:val="en-US"/>
              </w:rPr>
              <w:t xml:space="preserve"> URE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REC </w:t>
            </w:r>
            <w:proofErr w:type="spellStart"/>
            <w:r w:rsidRPr="002149D4">
              <w:rPr>
                <w:rFonts w:eastAsia="Arial Unicode MS"/>
                <w:color w:val="000000" w:themeColor="text1"/>
                <w:sz w:val="20"/>
                <w:szCs w:val="20"/>
                <w:shd w:val="clear" w:color="auto" w:fill="FFFFFF"/>
                <w:lang w:val="en-US"/>
              </w:rPr>
              <w:t>decât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cazul</w:t>
            </w:r>
            <w:proofErr w:type="spellEnd"/>
            <w:r w:rsidRPr="002149D4">
              <w:rPr>
                <w:rFonts w:eastAsia="Arial Unicode MS"/>
                <w:color w:val="000000" w:themeColor="text1"/>
                <w:sz w:val="20"/>
                <w:szCs w:val="20"/>
                <w:shd w:val="clear" w:color="auto" w:fill="FFFFFF"/>
                <w:lang w:val="en-US"/>
              </w:rPr>
              <w:t xml:space="preserve"> în care un </w:t>
            </w:r>
            <w:proofErr w:type="spellStart"/>
            <w:r w:rsidRPr="002149D4">
              <w:rPr>
                <w:rFonts w:eastAsia="Arial Unicode MS"/>
                <w:color w:val="000000" w:themeColor="text1"/>
                <w:sz w:val="20"/>
                <w:szCs w:val="20"/>
                <w:shd w:val="clear" w:color="auto" w:fill="FFFFFF"/>
                <w:lang w:val="en-US"/>
              </w:rPr>
              <w:t>număr</w:t>
            </w:r>
            <w:proofErr w:type="spellEnd"/>
            <w:r w:rsidRPr="002149D4">
              <w:rPr>
                <w:rFonts w:eastAsia="Arial Unicode MS"/>
                <w:color w:val="000000" w:themeColor="text1"/>
                <w:sz w:val="20"/>
                <w:szCs w:val="20"/>
                <w:shd w:val="clear" w:color="auto" w:fill="FFFFFF"/>
                <w:lang w:val="en-US"/>
              </w:rPr>
              <w:t xml:space="preserve"> egal de cote </w:t>
            </w:r>
            <w:proofErr w:type="spellStart"/>
            <w:r w:rsidRPr="002149D4">
              <w:rPr>
                <w:rFonts w:eastAsia="Arial Unicode MS"/>
                <w:color w:val="000000" w:themeColor="text1"/>
                <w:sz w:val="20"/>
                <w:szCs w:val="20"/>
                <w:shd w:val="clear" w:color="auto" w:fill="FFFFFF"/>
                <w:lang w:val="en-US"/>
              </w:rPr>
              <w:t>este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anulat</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registrul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național</w:t>
            </w:r>
            <w:proofErr w:type="spellEnd"/>
            <w:r w:rsidRPr="002149D4">
              <w:rPr>
                <w:rFonts w:eastAsia="Arial Unicode MS"/>
                <w:color w:val="000000" w:themeColor="text1"/>
                <w:sz w:val="20"/>
                <w:szCs w:val="20"/>
                <w:shd w:val="clear" w:color="auto" w:fill="FFFFFF"/>
                <w:lang w:val="en-US"/>
              </w:rPr>
              <w:t xml:space="preserve"> al </w:t>
            </w:r>
            <w:proofErr w:type="spellStart"/>
            <w:r w:rsidRPr="002149D4">
              <w:rPr>
                <w:rFonts w:eastAsia="Arial Unicode MS"/>
                <w:color w:val="000000" w:themeColor="text1"/>
                <w:sz w:val="20"/>
                <w:szCs w:val="20"/>
                <w:shd w:val="clear" w:color="auto" w:fill="FFFFFF"/>
                <w:lang w:val="en-US"/>
              </w:rPr>
              <w:t>statului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membru</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origine</w:t>
            </w:r>
            <w:proofErr w:type="spellEnd"/>
            <w:r w:rsidRPr="002149D4">
              <w:rPr>
                <w:rFonts w:eastAsia="Arial Unicode MS"/>
                <w:color w:val="000000" w:themeColor="text1"/>
                <w:sz w:val="20"/>
                <w:szCs w:val="20"/>
                <w:shd w:val="clear" w:color="auto" w:fill="FFFFFF"/>
                <w:lang w:val="en-US"/>
              </w:rPr>
              <w:t xml:space="preserve"> al URE </w:t>
            </w:r>
            <w:proofErr w:type="spellStart"/>
            <w:r w:rsidRPr="002149D4">
              <w:rPr>
                <w:rFonts w:eastAsia="Arial Unicode MS"/>
                <w:color w:val="000000" w:themeColor="text1"/>
                <w:sz w:val="20"/>
                <w:szCs w:val="20"/>
                <w:shd w:val="clear" w:color="auto" w:fill="FFFFFF"/>
                <w:lang w:val="en-US"/>
              </w:rPr>
              <w:t>sau</w:t>
            </w:r>
            <w:proofErr w:type="spellEnd"/>
            <w:r w:rsidRPr="002149D4">
              <w:rPr>
                <w:rFonts w:eastAsia="Arial Unicode MS"/>
                <w:color w:val="000000" w:themeColor="text1"/>
                <w:sz w:val="20"/>
                <w:szCs w:val="20"/>
                <w:shd w:val="clear" w:color="auto" w:fill="FFFFFF"/>
                <w:lang w:val="en-US"/>
              </w:rPr>
              <w:t xml:space="preserve"> al REC.</w:t>
            </w:r>
          </w:p>
          <w:p w14:paraId="79B98C98" w14:textId="77777777" w:rsidR="00124364" w:rsidRDefault="00000000">
            <w:pPr>
              <w:pStyle w:val="ti-art"/>
              <w:numPr>
                <w:ilvl w:val="0"/>
                <w:numId w:val="79"/>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Statul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permite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entităților</w:t>
            </w:r>
            <w:proofErr w:type="spellEnd"/>
            <w:r>
              <w:rPr>
                <w:rFonts w:eastAsia="Arial Unicode MS"/>
                <w:color w:val="333333"/>
                <w:sz w:val="20"/>
                <w:szCs w:val="20"/>
                <w:shd w:val="clear" w:color="auto" w:fill="FFFFFF"/>
                <w:lang w:val="en-US"/>
              </w:rPr>
              <w:t xml:space="preserve"> private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publice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activități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bazate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rămâne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responsabil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îndeplinirea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obligațiilor</w:t>
            </w:r>
            <w:proofErr w:type="spellEnd"/>
            <w:r>
              <w:rPr>
                <w:rFonts w:eastAsia="Arial Unicode MS"/>
                <w:color w:val="333333"/>
                <w:sz w:val="20"/>
                <w:szCs w:val="20"/>
                <w:shd w:val="clear" w:color="auto" w:fill="FFFFFF"/>
                <w:lang w:val="en-US"/>
              </w:rPr>
              <w:t xml:space="preserve"> sale care </w:t>
            </w:r>
            <w:proofErr w:type="spellStart"/>
            <w:r>
              <w:rPr>
                <w:rFonts w:eastAsia="Arial Unicode MS"/>
                <w:color w:val="333333"/>
                <w:sz w:val="20"/>
                <w:szCs w:val="20"/>
                <w:shd w:val="clear" w:color="auto" w:fill="FFFFFF"/>
                <w:lang w:val="en-US"/>
              </w:rPr>
              <w:t>îi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revin</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CCONUSC și a </w:t>
            </w:r>
            <w:proofErr w:type="spellStart"/>
            <w:r>
              <w:rPr>
                <w:rFonts w:eastAsia="Arial Unicode MS"/>
                <w:color w:val="333333"/>
                <w:sz w:val="20"/>
                <w:szCs w:val="20"/>
                <w:shd w:val="clear" w:color="auto" w:fill="FFFFFF"/>
                <w:lang w:val="en-US"/>
              </w:rPr>
              <w:t>Protocolului</w:t>
            </w:r>
            <w:proofErr w:type="spellEnd"/>
            <w:r>
              <w:rPr>
                <w:rFonts w:eastAsia="Arial Unicode MS"/>
                <w:color w:val="333333"/>
                <w:sz w:val="20"/>
                <w:szCs w:val="20"/>
                <w:shd w:val="clear" w:color="auto" w:fill="FFFFFF"/>
                <w:lang w:val="en-US"/>
              </w:rPr>
              <w:t xml:space="preserve"> de la Kyoto și </w:t>
            </w:r>
            <w:proofErr w:type="spellStart"/>
            <w:r>
              <w:rPr>
                <w:rFonts w:eastAsia="Arial Unicode MS"/>
                <w:color w:val="333333"/>
                <w:sz w:val="20"/>
                <w:szCs w:val="20"/>
                <w:shd w:val="clear" w:color="auto" w:fill="FFFFFF"/>
                <w:lang w:val="en-US"/>
              </w:rPr>
              <w:t>garantează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această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compatibilă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orientările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modalitățile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procedurile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aplicabile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CCONUSC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Protocolului</w:t>
            </w:r>
            <w:proofErr w:type="spellEnd"/>
            <w:r>
              <w:rPr>
                <w:rFonts w:eastAsia="Arial Unicode MS"/>
                <w:color w:val="333333"/>
                <w:sz w:val="20"/>
                <w:szCs w:val="20"/>
                <w:shd w:val="clear" w:color="auto" w:fill="FFFFFF"/>
                <w:lang w:val="en-US"/>
              </w:rPr>
              <w:t xml:space="preserve"> de la Kyoto.</w:t>
            </w:r>
          </w:p>
          <w:p w14:paraId="5E538F0A" w14:textId="11EFECF2" w:rsidR="00124364" w:rsidRPr="002149D4" w:rsidRDefault="00000000" w:rsidP="002149D4">
            <w:pPr>
              <w:pStyle w:val="ti-art"/>
              <w:numPr>
                <w:ilvl w:val="0"/>
                <w:numId w:val="7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49D4">
              <w:rPr>
                <w:rFonts w:eastAsia="Arial Unicode MS"/>
                <w:color w:val="000000" w:themeColor="text1"/>
                <w:sz w:val="20"/>
                <w:szCs w:val="20"/>
                <w:shd w:val="clear" w:color="auto" w:fill="FFFFFF"/>
                <w:lang w:val="en-US"/>
              </w:rPr>
              <w:t xml:space="preserve">În </w:t>
            </w:r>
            <w:proofErr w:type="spellStart"/>
            <w:r w:rsidRPr="002149D4">
              <w:rPr>
                <w:rFonts w:eastAsia="Arial Unicode MS"/>
                <w:color w:val="000000" w:themeColor="text1"/>
                <w:sz w:val="20"/>
                <w:szCs w:val="20"/>
                <w:shd w:val="clear" w:color="auto" w:fill="FFFFFF"/>
                <w:lang w:val="en-US"/>
              </w:rPr>
              <w:t>cazul</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producere</w:t>
            </w:r>
            <w:proofErr w:type="spellEnd"/>
            <w:r w:rsidRPr="002149D4">
              <w:rPr>
                <w:rFonts w:eastAsia="Arial Unicode MS"/>
                <w:color w:val="000000" w:themeColor="text1"/>
                <w:sz w:val="20"/>
                <w:szCs w:val="20"/>
                <w:shd w:val="clear" w:color="auto" w:fill="FFFFFF"/>
                <w:lang w:val="en-US"/>
              </w:rPr>
              <w:t xml:space="preserve"> de </w:t>
            </w:r>
            <w:proofErr w:type="spellStart"/>
            <w:r w:rsidRPr="002149D4">
              <w:rPr>
                <w:rFonts w:eastAsia="Arial Unicode MS"/>
                <w:color w:val="000000" w:themeColor="text1"/>
                <w:sz w:val="20"/>
                <w:szCs w:val="20"/>
                <w:shd w:val="clear" w:color="auto" w:fill="FFFFFF"/>
                <w:lang w:val="en-US"/>
              </w:rPr>
              <w:t>energie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hidroelectrică</w:t>
            </w:r>
            <w:proofErr w:type="spellEnd"/>
            <w:r w:rsidRPr="002149D4">
              <w:rPr>
                <w:rFonts w:eastAsia="Arial Unicode MS"/>
                <w:color w:val="000000" w:themeColor="text1"/>
                <w:sz w:val="20"/>
                <w:szCs w:val="20"/>
                <w:shd w:val="clear" w:color="auto" w:fill="FFFFFF"/>
                <w:lang w:val="en-US"/>
              </w:rPr>
              <w:t xml:space="preserve"> cu o capacitate de </w:t>
            </w:r>
            <w:proofErr w:type="spellStart"/>
            <w:r w:rsidRPr="002149D4">
              <w:rPr>
                <w:rFonts w:eastAsia="Arial Unicode MS"/>
                <w:color w:val="000000" w:themeColor="text1"/>
                <w:sz w:val="20"/>
                <w:szCs w:val="20"/>
                <w:shd w:val="clear" w:color="auto" w:fill="FFFFFF"/>
                <w:lang w:val="en-US"/>
              </w:rPr>
              <w:t>producție</w:t>
            </w:r>
            <w:proofErr w:type="spellEnd"/>
            <w:r w:rsidRPr="002149D4">
              <w:rPr>
                <w:rFonts w:eastAsia="Arial Unicode MS"/>
                <w:color w:val="000000" w:themeColor="text1"/>
                <w:sz w:val="20"/>
                <w:szCs w:val="20"/>
                <w:shd w:val="clear" w:color="auto" w:fill="FFFFFF"/>
                <w:lang w:val="en-US"/>
              </w:rPr>
              <w:t xml:space="preserve"> care </w:t>
            </w:r>
            <w:proofErr w:type="spellStart"/>
            <w:r w:rsidRPr="002149D4">
              <w:rPr>
                <w:rFonts w:eastAsia="Arial Unicode MS"/>
                <w:color w:val="000000" w:themeColor="text1"/>
                <w:sz w:val="20"/>
                <w:szCs w:val="20"/>
                <w:shd w:val="clear" w:color="auto" w:fill="FFFFFF"/>
                <w:lang w:val="en-US"/>
              </w:rPr>
              <w:t>depășește</w:t>
            </w:r>
            <w:proofErr w:type="spellEnd"/>
            <w:r w:rsidRPr="002149D4">
              <w:rPr>
                <w:rFonts w:eastAsia="Arial Unicode MS"/>
                <w:color w:val="000000" w:themeColor="text1"/>
                <w:sz w:val="20"/>
                <w:szCs w:val="20"/>
                <w:shd w:val="clear" w:color="auto" w:fill="FFFFFF"/>
                <w:lang w:val="en-US"/>
              </w:rPr>
              <w:t xml:space="preserve"> 20</w:t>
            </w:r>
            <w:r w:rsidR="002149D4">
              <w:rPr>
                <w:rFonts w:eastAsia="Arial Unicode MS"/>
                <w:color w:val="000000" w:themeColor="text1"/>
                <w:sz w:val="20"/>
                <w:szCs w:val="20"/>
                <w:shd w:val="clear" w:color="auto" w:fill="FFFFFF"/>
                <w:lang w:val="en-US"/>
              </w:rPr>
              <w:t xml:space="preserve"> </w:t>
            </w:r>
            <w:r w:rsidRPr="002149D4">
              <w:rPr>
                <w:rFonts w:eastAsia="Arial Unicode MS"/>
                <w:color w:val="000000" w:themeColor="text1"/>
                <w:sz w:val="20"/>
                <w:szCs w:val="20"/>
                <w:shd w:val="clear" w:color="auto" w:fill="FFFFFF"/>
                <w:lang w:val="en-US"/>
              </w:rPr>
              <w:t xml:space="preserve">MW, </w:t>
            </w: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se </w:t>
            </w:r>
            <w:proofErr w:type="spellStart"/>
            <w:r w:rsidRPr="002149D4">
              <w:rPr>
                <w:rFonts w:eastAsia="Arial Unicode MS"/>
                <w:color w:val="000000" w:themeColor="text1"/>
                <w:sz w:val="20"/>
                <w:szCs w:val="20"/>
                <w:shd w:val="clear" w:color="auto" w:fill="FFFFFF"/>
                <w:lang w:val="en-US"/>
              </w:rPr>
              <w:t>asigură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atunci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când</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aprobă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asemenea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 xml:space="preserve">, ca </w:t>
            </w:r>
            <w:proofErr w:type="spellStart"/>
            <w:r w:rsidRPr="002149D4">
              <w:rPr>
                <w:rFonts w:eastAsia="Arial Unicode MS"/>
                <w:color w:val="000000" w:themeColor="text1"/>
                <w:sz w:val="20"/>
                <w:szCs w:val="20"/>
                <w:shd w:val="clear" w:color="auto" w:fill="FFFFFF"/>
                <w:lang w:val="en-US"/>
              </w:rPr>
              <w:t>orientările</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criteriile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internaționale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aplicabile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inclusiv</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conținute</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raportul</w:t>
            </w:r>
            <w:proofErr w:type="spellEnd"/>
            <w:r w:rsidRPr="002149D4">
              <w:rPr>
                <w:rFonts w:eastAsia="Arial Unicode MS"/>
                <w:color w:val="000000" w:themeColor="text1"/>
                <w:sz w:val="20"/>
                <w:szCs w:val="20"/>
                <w:shd w:val="clear" w:color="auto" w:fill="FFFFFF"/>
                <w:lang w:val="en-US"/>
              </w:rPr>
              <w:t xml:space="preserve"> final din 2000 al </w:t>
            </w:r>
            <w:proofErr w:type="spellStart"/>
            <w:r w:rsidRPr="002149D4">
              <w:rPr>
                <w:rFonts w:eastAsia="Arial Unicode MS"/>
                <w:color w:val="000000" w:themeColor="text1"/>
                <w:sz w:val="20"/>
                <w:szCs w:val="20"/>
                <w:shd w:val="clear" w:color="auto" w:fill="FFFFFF"/>
                <w:lang w:val="en-US"/>
              </w:rPr>
              <w:t>Comisiei</w:t>
            </w:r>
            <w:proofErr w:type="spellEnd"/>
            <w:r w:rsidRPr="002149D4">
              <w:rPr>
                <w:rFonts w:eastAsia="Arial Unicode MS"/>
                <w:color w:val="000000" w:themeColor="text1"/>
                <w:sz w:val="20"/>
                <w:szCs w:val="20"/>
                <w:shd w:val="clear" w:color="auto" w:fill="FFFFFF"/>
                <w:lang w:val="en-US"/>
              </w:rPr>
              <w:t xml:space="preserve"> Mondiale a </w:t>
            </w:r>
            <w:proofErr w:type="spellStart"/>
            <w:r w:rsidRPr="002149D4">
              <w:rPr>
                <w:rFonts w:eastAsia="Arial Unicode MS"/>
                <w:color w:val="000000" w:themeColor="text1"/>
                <w:sz w:val="20"/>
                <w:szCs w:val="20"/>
                <w:shd w:val="clear" w:color="auto" w:fill="FFFFFF"/>
                <w:lang w:val="en-US"/>
              </w:rPr>
              <w:t>Barajelor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Baraje</w:t>
            </w:r>
            <w:proofErr w:type="spellEnd"/>
            <w:r w:rsidRPr="002149D4">
              <w:rPr>
                <w:rFonts w:eastAsia="Arial Unicode MS"/>
                <w:color w:val="000000" w:themeColor="text1"/>
                <w:sz w:val="20"/>
                <w:szCs w:val="20"/>
                <w:shd w:val="clear" w:color="auto" w:fill="FFFFFF"/>
                <w:lang w:val="en-US"/>
              </w:rPr>
              <w:t xml:space="preserve"> și </w:t>
            </w:r>
            <w:proofErr w:type="spellStart"/>
            <w:r w:rsidRPr="002149D4">
              <w:rPr>
                <w:rFonts w:eastAsia="Arial Unicode MS"/>
                <w:color w:val="000000" w:themeColor="text1"/>
                <w:sz w:val="20"/>
                <w:szCs w:val="20"/>
                <w:shd w:val="clear" w:color="auto" w:fill="FFFFFF"/>
                <w:lang w:val="en-US"/>
              </w:rPr>
              <w:t>dezvoltare</w:t>
            </w:r>
            <w:proofErr w:type="spellEnd"/>
            <w:r w:rsidRPr="002149D4">
              <w:rPr>
                <w:rFonts w:eastAsia="Arial Unicode MS"/>
                <w:color w:val="000000" w:themeColor="text1"/>
                <w:sz w:val="20"/>
                <w:szCs w:val="20"/>
                <w:shd w:val="clear" w:color="auto" w:fill="FFFFFF"/>
                <w:lang w:val="en-US"/>
              </w:rPr>
              <w:t xml:space="preserve">: un </w:t>
            </w:r>
            <w:proofErr w:type="spellStart"/>
            <w:r w:rsidRPr="002149D4">
              <w:rPr>
                <w:rFonts w:eastAsia="Arial Unicode MS"/>
                <w:color w:val="000000" w:themeColor="text1"/>
                <w:sz w:val="20"/>
                <w:szCs w:val="20"/>
                <w:shd w:val="clear" w:color="auto" w:fill="FFFFFF"/>
                <w:lang w:val="en-US"/>
              </w:rPr>
              <w:t>nou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cadru</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pentru</w:t>
            </w:r>
            <w:proofErr w:type="spellEnd"/>
            <w:r w:rsidRPr="002149D4">
              <w:rPr>
                <w:rFonts w:eastAsia="Arial Unicode MS"/>
                <w:color w:val="000000" w:themeColor="text1"/>
                <w:sz w:val="20"/>
                <w:szCs w:val="20"/>
                <w:shd w:val="clear" w:color="auto" w:fill="FFFFFF"/>
                <w:lang w:val="en-US"/>
              </w:rPr>
              <w:t xml:space="preserve"> luarea de </w:t>
            </w:r>
            <w:proofErr w:type="spellStart"/>
            <w:r w:rsidRPr="002149D4">
              <w:rPr>
                <w:rFonts w:eastAsia="Arial Unicode MS"/>
                <w:color w:val="000000" w:themeColor="text1"/>
                <w:sz w:val="20"/>
                <w:szCs w:val="20"/>
                <w:shd w:val="clear" w:color="auto" w:fill="FFFFFF"/>
                <w:lang w:val="en-US"/>
              </w:rPr>
              <w:t>decizii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să</w:t>
            </w:r>
            <w:proofErr w:type="spellEnd"/>
            <w:r w:rsidRPr="002149D4">
              <w:rPr>
                <w:rFonts w:eastAsia="Arial Unicode MS"/>
                <w:color w:val="000000" w:themeColor="text1"/>
                <w:sz w:val="20"/>
                <w:szCs w:val="20"/>
                <w:shd w:val="clear" w:color="auto" w:fill="FFFFFF"/>
                <w:lang w:val="en-US"/>
              </w:rPr>
              <w:t xml:space="preserve"> fie </w:t>
            </w:r>
            <w:proofErr w:type="spellStart"/>
            <w:r w:rsidRPr="002149D4">
              <w:rPr>
                <w:rFonts w:eastAsia="Arial Unicode MS"/>
                <w:color w:val="000000" w:themeColor="text1"/>
                <w:sz w:val="20"/>
                <w:szCs w:val="20"/>
                <w:shd w:val="clear" w:color="auto" w:fill="FFFFFF"/>
                <w:lang w:val="en-US"/>
              </w:rPr>
              <w:t>respectate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durata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punerii</w:t>
            </w:r>
            <w:proofErr w:type="spellEnd"/>
            <w:r w:rsidRPr="002149D4">
              <w:rPr>
                <w:rFonts w:eastAsia="Arial Unicode MS"/>
                <w:color w:val="000000" w:themeColor="text1"/>
                <w:sz w:val="20"/>
                <w:szCs w:val="20"/>
                <w:shd w:val="clear" w:color="auto" w:fill="FFFFFF"/>
                <w:lang w:val="en-US"/>
              </w:rPr>
              <w:t xml:space="preserve"> în </w:t>
            </w:r>
            <w:proofErr w:type="spellStart"/>
            <w:r w:rsidRPr="002149D4">
              <w:rPr>
                <w:rFonts w:eastAsia="Arial Unicode MS"/>
                <w:color w:val="000000" w:themeColor="text1"/>
                <w:sz w:val="20"/>
                <w:szCs w:val="20"/>
                <w:shd w:val="clear" w:color="auto" w:fill="FFFFFF"/>
                <w:lang w:val="en-US"/>
              </w:rPr>
              <w:t>aplicare</w:t>
            </w:r>
            <w:proofErr w:type="spellEnd"/>
            <w:r w:rsidRPr="002149D4">
              <w:rPr>
                <w:rFonts w:eastAsia="Arial Unicode MS"/>
                <w:color w:val="000000" w:themeColor="text1"/>
                <w:sz w:val="20"/>
                <w:szCs w:val="20"/>
                <w:shd w:val="clear" w:color="auto" w:fill="FFFFFF"/>
                <w:lang w:val="en-US"/>
              </w:rPr>
              <w:t xml:space="preserve"> a </w:t>
            </w:r>
            <w:proofErr w:type="spellStart"/>
            <w:r w:rsidRPr="002149D4">
              <w:rPr>
                <w:rFonts w:eastAsia="Arial Unicode MS"/>
                <w:color w:val="000000" w:themeColor="text1"/>
                <w:sz w:val="20"/>
                <w:szCs w:val="20"/>
                <w:shd w:val="clear" w:color="auto" w:fill="FFFFFF"/>
                <w:lang w:val="en-US"/>
              </w:rPr>
              <w:t>unor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asemenea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activități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bazate</w:t>
            </w:r>
            <w:proofErr w:type="spellEnd"/>
            <w:r w:rsidRPr="002149D4">
              <w:rPr>
                <w:rFonts w:eastAsia="Arial Unicode MS"/>
                <w:color w:val="000000" w:themeColor="text1"/>
                <w:sz w:val="20"/>
                <w:szCs w:val="20"/>
                <w:shd w:val="clear" w:color="auto" w:fill="FFFFFF"/>
                <w:lang w:val="en-US"/>
              </w:rPr>
              <w:t xml:space="preserve"> pe </w:t>
            </w:r>
            <w:proofErr w:type="spellStart"/>
            <w:r w:rsidRPr="002149D4">
              <w:rPr>
                <w:rFonts w:eastAsia="Arial Unicode MS"/>
                <w:color w:val="000000" w:themeColor="text1"/>
                <w:sz w:val="20"/>
                <w:szCs w:val="20"/>
                <w:shd w:val="clear" w:color="auto" w:fill="FFFFFF"/>
                <w:lang w:val="en-US"/>
              </w:rPr>
              <w:t>proiecte</w:t>
            </w:r>
            <w:proofErr w:type="spellEnd"/>
            <w:r w:rsidRPr="002149D4">
              <w:rPr>
                <w:rFonts w:eastAsia="Arial Unicode MS"/>
                <w:color w:val="000000" w:themeColor="text1"/>
                <w:sz w:val="20"/>
                <w:szCs w:val="20"/>
                <w:shd w:val="clear" w:color="auto" w:fill="FFFFFF"/>
                <w:lang w:val="en-US"/>
              </w:rPr>
              <w:t>.</w:t>
            </w:r>
          </w:p>
          <w:p w14:paraId="46A35B28"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04" w:tooltip="32003L0087R(06): REPLACED" w:history="1">
              <w:r>
                <w:rPr>
                  <w:rStyle w:val="af3"/>
                  <w:rFonts w:eastAsia="Arial Unicode MS"/>
                  <w:b/>
                  <w:bCs/>
                  <w:color w:val="4472C4" w:themeColor="accent1"/>
                  <w:sz w:val="20"/>
                  <w:szCs w:val="20"/>
                </w:rPr>
                <w:t>▼C2</w:t>
              </w:r>
            </w:hyperlink>
          </w:p>
        </w:tc>
        <w:tc>
          <w:tcPr>
            <w:tcW w:w="4394" w:type="dxa"/>
            <w:shd w:val="clear" w:color="auto" w:fill="auto"/>
          </w:tcPr>
          <w:p w14:paraId="03ECF64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544A9B6" w14:textId="4E1A2352" w:rsidR="00124364" w:rsidRDefault="00DD71BD" w:rsidP="002149D4">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362F50C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C874387" w14:textId="77777777" w:rsidR="00DD71BD" w:rsidRPr="0066519A" w:rsidRDefault="00DD71BD" w:rsidP="00DD71BD">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de seră, dar intenționează să le transpună și să instituie un sistem regional de </w:t>
            </w:r>
            <w:r w:rsidRPr="0066519A">
              <w:rPr>
                <w:rFonts w:ascii="Times New Roman" w:eastAsiaTheme="minorHAnsi" w:hAnsi="Times New Roman"/>
                <w:color w:val="000000" w:themeColor="text1"/>
                <w:sz w:val="20"/>
                <w:szCs w:val="20"/>
                <w:lang w:val="ro-RO"/>
              </w:rPr>
              <w:lastRenderedPageBreak/>
              <w:t>comercializare a cotelor, care va fi instituit de către Comunitatea Energetică.</w:t>
            </w:r>
          </w:p>
          <w:p w14:paraId="503BD6B0"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F6F2F43" w14:textId="77777777" w:rsidR="00124364" w:rsidRDefault="00124364" w:rsidP="002149D4">
            <w:pPr>
              <w:autoSpaceDE w:val="0"/>
              <w:spacing w:after="0" w:line="240" w:lineRule="auto"/>
              <w:rPr>
                <w:rFonts w:ascii="Times New Roman" w:hAnsi="Times New Roman"/>
                <w:sz w:val="20"/>
                <w:szCs w:val="20"/>
                <w:lang w:val="fr-FR"/>
              </w:rPr>
            </w:pPr>
          </w:p>
        </w:tc>
      </w:tr>
      <w:tr w:rsidR="00124364" w14:paraId="4E41227F" w14:textId="77777777">
        <w:trPr>
          <w:trHeight w:val="558"/>
        </w:trPr>
        <w:tc>
          <w:tcPr>
            <w:tcW w:w="4957" w:type="dxa"/>
            <w:shd w:val="clear" w:color="auto" w:fill="auto"/>
          </w:tcPr>
          <w:p w14:paraId="2A7E10F1" w14:textId="77777777" w:rsidR="00124364" w:rsidRPr="002149D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49D4">
              <w:rPr>
                <w:rFonts w:eastAsia="Arial Unicode MS"/>
                <w:i/>
                <w:iCs/>
                <w:color w:val="000000" w:themeColor="text1"/>
                <w:sz w:val="20"/>
                <w:szCs w:val="20"/>
                <w:shd w:val="clear" w:color="auto" w:fill="FFFFFF"/>
                <w:lang w:val="en-US"/>
              </w:rPr>
              <w:lastRenderedPageBreak/>
              <w:t>Articolul</w:t>
            </w:r>
            <w:proofErr w:type="spellEnd"/>
            <w:r w:rsidRPr="002149D4">
              <w:rPr>
                <w:rFonts w:eastAsia="Arial Unicode MS"/>
                <w:i/>
                <w:iCs/>
                <w:color w:val="000000" w:themeColor="text1"/>
                <w:sz w:val="20"/>
                <w:szCs w:val="20"/>
                <w:shd w:val="clear" w:color="auto" w:fill="FFFFFF"/>
                <w:lang w:val="en-US"/>
              </w:rPr>
              <w:t xml:space="preserve"> 12</w:t>
            </w:r>
          </w:p>
          <w:p w14:paraId="415CA8AB" w14:textId="77777777" w:rsidR="00124364" w:rsidRPr="002149D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49D4">
              <w:rPr>
                <w:rFonts w:eastAsia="Arial Unicode MS"/>
                <w:b/>
                <w:bCs/>
                <w:color w:val="000000" w:themeColor="text1"/>
                <w:sz w:val="20"/>
                <w:szCs w:val="20"/>
                <w:shd w:val="clear" w:color="auto" w:fill="FFFFFF"/>
                <w:lang w:val="en-US"/>
              </w:rPr>
              <w:t>Transferul</w:t>
            </w:r>
            <w:proofErr w:type="spellEnd"/>
            <w:r w:rsidRPr="002149D4">
              <w:rPr>
                <w:rFonts w:eastAsia="Arial Unicode MS"/>
                <w:b/>
                <w:bCs/>
                <w:color w:val="000000" w:themeColor="text1"/>
                <w:sz w:val="20"/>
                <w:szCs w:val="20"/>
                <w:shd w:val="clear" w:color="auto" w:fill="FFFFFF"/>
                <w:lang w:val="en-US"/>
              </w:rPr>
              <w:t xml:space="preserve">, </w:t>
            </w:r>
            <w:proofErr w:type="spellStart"/>
            <w:r w:rsidRPr="002149D4">
              <w:rPr>
                <w:rFonts w:eastAsia="Arial Unicode MS"/>
                <w:b/>
                <w:bCs/>
                <w:color w:val="000000" w:themeColor="text1"/>
                <w:sz w:val="20"/>
                <w:szCs w:val="20"/>
                <w:shd w:val="clear" w:color="auto" w:fill="FFFFFF"/>
                <w:lang w:val="en-US"/>
              </w:rPr>
              <w:t>restituirea</w:t>
            </w:r>
            <w:proofErr w:type="spellEnd"/>
            <w:r w:rsidRPr="002149D4">
              <w:rPr>
                <w:rFonts w:eastAsia="Arial Unicode MS"/>
                <w:b/>
                <w:bCs/>
                <w:color w:val="000000" w:themeColor="text1"/>
                <w:sz w:val="20"/>
                <w:szCs w:val="20"/>
                <w:shd w:val="clear" w:color="auto" w:fill="FFFFFF"/>
                <w:lang w:val="en-US"/>
              </w:rPr>
              <w:t xml:space="preserve"> și </w:t>
            </w:r>
            <w:proofErr w:type="spellStart"/>
            <w:r w:rsidRPr="002149D4">
              <w:rPr>
                <w:rFonts w:eastAsia="Arial Unicode MS"/>
                <w:b/>
                <w:bCs/>
                <w:color w:val="000000" w:themeColor="text1"/>
                <w:sz w:val="20"/>
                <w:szCs w:val="20"/>
                <w:shd w:val="clear" w:color="auto" w:fill="FFFFFF"/>
                <w:lang w:val="en-US"/>
              </w:rPr>
              <w:t>anularea</w:t>
            </w:r>
            <w:proofErr w:type="spellEnd"/>
            <w:r w:rsidRPr="002149D4">
              <w:rPr>
                <w:rFonts w:eastAsia="Arial Unicode MS"/>
                <w:b/>
                <w:bCs/>
                <w:color w:val="000000" w:themeColor="text1"/>
                <w:sz w:val="20"/>
                <w:szCs w:val="20"/>
                <w:shd w:val="clear" w:color="auto" w:fill="FFFFFF"/>
                <w:lang w:val="en-US"/>
              </w:rPr>
              <w:t xml:space="preserve"> </w:t>
            </w:r>
            <w:proofErr w:type="spellStart"/>
            <w:r w:rsidRPr="002149D4">
              <w:rPr>
                <w:rFonts w:eastAsia="Arial Unicode MS"/>
                <w:b/>
                <w:bCs/>
                <w:color w:val="000000" w:themeColor="text1"/>
                <w:sz w:val="20"/>
                <w:szCs w:val="20"/>
                <w:shd w:val="clear" w:color="auto" w:fill="FFFFFF"/>
                <w:lang w:val="en-US"/>
              </w:rPr>
              <w:t>certificatelor</w:t>
            </w:r>
            <w:proofErr w:type="spellEnd"/>
          </w:p>
          <w:p w14:paraId="1ABF8E07" w14:textId="77777777" w:rsidR="00124364" w:rsidRPr="002149D4" w:rsidRDefault="00000000">
            <w:pPr>
              <w:pStyle w:val="ti-art"/>
              <w:numPr>
                <w:ilvl w:val="0"/>
                <w:numId w:val="80"/>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2149D4">
              <w:rPr>
                <w:rFonts w:eastAsia="Arial Unicode MS"/>
                <w:color w:val="000000" w:themeColor="text1"/>
                <w:sz w:val="20"/>
                <w:szCs w:val="20"/>
                <w:shd w:val="clear" w:color="auto" w:fill="FFFFFF"/>
                <w:lang w:val="en-US"/>
              </w:rPr>
              <w:t>Statele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membre</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garantează</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posibilitatea</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transferării</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certificatelor</w:t>
            </w:r>
            <w:proofErr w:type="spellEnd"/>
            <w:r w:rsidRPr="002149D4">
              <w:rPr>
                <w:rFonts w:eastAsia="Arial Unicode MS"/>
                <w:color w:val="000000" w:themeColor="text1"/>
                <w:sz w:val="20"/>
                <w:szCs w:val="20"/>
                <w:shd w:val="clear" w:color="auto" w:fill="FFFFFF"/>
                <w:lang w:val="en-US"/>
              </w:rPr>
              <w:t xml:space="preserve"> </w:t>
            </w:r>
            <w:proofErr w:type="spellStart"/>
            <w:r w:rsidRPr="002149D4">
              <w:rPr>
                <w:rFonts w:eastAsia="Arial Unicode MS"/>
                <w:color w:val="000000" w:themeColor="text1"/>
                <w:sz w:val="20"/>
                <w:szCs w:val="20"/>
                <w:shd w:val="clear" w:color="auto" w:fill="FFFFFF"/>
                <w:lang w:val="en-US"/>
              </w:rPr>
              <w:t>între</w:t>
            </w:r>
            <w:proofErr w:type="spellEnd"/>
            <w:r w:rsidRPr="002149D4">
              <w:rPr>
                <w:rFonts w:eastAsia="Arial Unicode MS"/>
                <w:color w:val="000000" w:themeColor="text1"/>
                <w:sz w:val="20"/>
                <w:szCs w:val="20"/>
                <w:shd w:val="clear" w:color="auto" w:fill="FFFFFF"/>
                <w:lang w:val="en-US"/>
              </w:rPr>
              <w:t>:</w:t>
            </w:r>
          </w:p>
          <w:p w14:paraId="41B85738" w14:textId="71DD0527" w:rsidR="00124364" w:rsidRDefault="00000000">
            <w:pPr>
              <w:pStyle w:val="ti-art"/>
              <w:numPr>
                <w:ilvl w:val="0"/>
                <w:numId w:val="81"/>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persoane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cadrul</w:t>
            </w:r>
            <w:proofErr w:type="spellEnd"/>
            <w:r w:rsidR="00DD71BD">
              <w:rPr>
                <w:rStyle w:val="apple-converted-space"/>
                <w:rFonts w:eastAsia="Arial Unicode MS"/>
                <w:color w:val="333333"/>
                <w:sz w:val="20"/>
                <w:szCs w:val="20"/>
                <w:shd w:val="clear" w:color="auto" w:fill="FFFFFF"/>
                <w:lang w:val="en-US"/>
              </w:rPr>
              <w:t xml:space="preserve"> </w:t>
            </w:r>
            <w:hyperlink r:id="rId205" w:tooltip="32018L0410: REPLACED" w:history="1">
              <w:r>
                <w:rPr>
                  <w:rStyle w:val="boldface"/>
                  <w:rFonts w:eastAsia="Arial Unicode MS"/>
                  <w:b/>
                  <w:bCs/>
                  <w:color w:val="4472C4" w:themeColor="accent1"/>
                  <w:sz w:val="20"/>
                  <w:szCs w:val="20"/>
                  <w:lang w:val="en-US"/>
                </w:rPr>
                <w:t>►M9</w:t>
              </w:r>
            </w:hyperlink>
            <w:r w:rsidR="00DD71BD">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Uniunii</w:t>
            </w:r>
            <w:proofErr w:type="spellEnd"/>
            <w:r w:rsidR="00DD71BD">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w:t>
            </w:r>
          </w:p>
          <w:p w14:paraId="57F6CD6B" w14:textId="31DE0F6A" w:rsidR="00124364" w:rsidRPr="00DD71BD" w:rsidRDefault="00000000" w:rsidP="00DD71BD">
            <w:pPr>
              <w:pStyle w:val="ti-art"/>
              <w:numPr>
                <w:ilvl w:val="0"/>
                <w:numId w:val="8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persoane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cadrul</w:t>
            </w:r>
            <w:proofErr w:type="spellEnd"/>
            <w:r w:rsidR="00DD71BD">
              <w:rPr>
                <w:rStyle w:val="apple-converted-space"/>
                <w:rFonts w:eastAsia="Arial Unicode MS"/>
                <w:color w:val="333333"/>
                <w:sz w:val="20"/>
                <w:szCs w:val="20"/>
                <w:shd w:val="clear" w:color="auto" w:fill="FFFFFF"/>
                <w:lang w:val="en-US"/>
              </w:rPr>
              <w:t xml:space="preserve"> </w:t>
            </w:r>
            <w:hyperlink r:id="rId206" w:tooltip="32018L0410: REPLACED" w:history="1">
              <w:r>
                <w:rPr>
                  <w:rStyle w:val="boldface"/>
                  <w:rFonts w:eastAsia="Arial Unicode MS"/>
                  <w:b/>
                  <w:bCs/>
                  <w:color w:val="4472C4" w:themeColor="accent1"/>
                  <w:sz w:val="20"/>
                  <w:szCs w:val="20"/>
                  <w:lang w:val="en-US"/>
                </w:rPr>
                <w:t>►M9</w:t>
              </w:r>
            </w:hyperlink>
            <w:r w:rsidR="00DD71BD">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Uniunii</w:t>
            </w:r>
            <w:proofErr w:type="spellEnd"/>
            <w:r>
              <w:rPr>
                <w:rStyle w:val="boldface"/>
                <w:rFonts w:eastAsia="Arial Unicode MS"/>
                <w:b/>
                <w:bCs/>
                <w:color w:val="333333"/>
                <w:sz w:val="20"/>
                <w:szCs w:val="20"/>
                <w:lang w:val="en-US"/>
              </w:rPr>
              <w:t>◄</w:t>
            </w:r>
            <w:r w:rsidR="00DD71BD">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și </w:t>
            </w:r>
            <w:proofErr w:type="spellStart"/>
            <w:r w:rsidRPr="00DD71BD">
              <w:rPr>
                <w:rFonts w:eastAsia="Arial Unicode MS"/>
                <w:color w:val="000000" w:themeColor="text1"/>
                <w:sz w:val="20"/>
                <w:szCs w:val="20"/>
                <w:shd w:val="clear" w:color="auto" w:fill="FFFFFF"/>
                <w:lang w:val="en-US"/>
              </w:rPr>
              <w:t>persoane</w:t>
            </w:r>
            <w:proofErr w:type="spellEnd"/>
            <w:r w:rsidRPr="00DD71BD">
              <w:rPr>
                <w:rFonts w:eastAsia="Arial Unicode MS"/>
                <w:color w:val="000000" w:themeColor="text1"/>
                <w:sz w:val="20"/>
                <w:szCs w:val="20"/>
                <w:shd w:val="clear" w:color="auto" w:fill="FFFFFF"/>
                <w:lang w:val="en-US"/>
              </w:rPr>
              <w:t xml:space="preserve"> din </w:t>
            </w:r>
            <w:proofErr w:type="spellStart"/>
            <w:r w:rsidRPr="00DD71BD">
              <w:rPr>
                <w:rFonts w:eastAsia="Arial Unicode MS"/>
                <w:color w:val="000000" w:themeColor="text1"/>
                <w:sz w:val="20"/>
                <w:szCs w:val="20"/>
                <w:shd w:val="clear" w:color="auto" w:fill="FFFFFF"/>
                <w:lang w:val="en-US"/>
              </w:rPr>
              <w:t>țări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terțe</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cazul</w:t>
            </w:r>
            <w:proofErr w:type="spellEnd"/>
            <w:r w:rsidRPr="00DD71BD">
              <w:rPr>
                <w:rFonts w:eastAsia="Arial Unicode MS"/>
                <w:color w:val="000000" w:themeColor="text1"/>
                <w:sz w:val="20"/>
                <w:szCs w:val="20"/>
                <w:shd w:val="clear" w:color="auto" w:fill="FFFFFF"/>
                <w:lang w:val="en-US"/>
              </w:rPr>
              <w:t xml:space="preserve"> în care </w:t>
            </w:r>
            <w:proofErr w:type="spellStart"/>
            <w:r w:rsidRPr="00DD71BD">
              <w:rPr>
                <w:rFonts w:eastAsia="Arial Unicode MS"/>
                <w:color w:val="000000" w:themeColor="text1"/>
                <w:sz w:val="20"/>
                <w:szCs w:val="20"/>
                <w:shd w:val="clear" w:color="auto" w:fill="FFFFFF"/>
                <w:lang w:val="en-US"/>
              </w:rPr>
              <w:t>astfel</w:t>
            </w:r>
            <w:proofErr w:type="spellEnd"/>
            <w:r w:rsidRPr="00DD71BD">
              <w:rPr>
                <w:rFonts w:eastAsia="Arial Unicode MS"/>
                <w:color w:val="000000" w:themeColor="text1"/>
                <w:sz w:val="20"/>
                <w:szCs w:val="20"/>
                <w:shd w:val="clear" w:color="auto" w:fill="FFFFFF"/>
                <w:lang w:val="en-US"/>
              </w:rPr>
              <w:t xml:space="preserve"> de certificate sunt </w:t>
            </w:r>
            <w:proofErr w:type="spellStart"/>
            <w:r w:rsidRPr="00DD71BD">
              <w:rPr>
                <w:rFonts w:eastAsia="Arial Unicode MS"/>
                <w:color w:val="000000" w:themeColor="text1"/>
                <w:sz w:val="20"/>
                <w:szCs w:val="20"/>
                <w:shd w:val="clear" w:color="auto" w:fill="FFFFFF"/>
                <w:lang w:val="en-US"/>
              </w:rPr>
              <w:t>recunoscute</w:t>
            </w:r>
            <w:proofErr w:type="spellEnd"/>
            <w:r w:rsidRPr="00DD71BD">
              <w:rPr>
                <w:rFonts w:eastAsia="Arial Unicode MS"/>
                <w:color w:val="000000" w:themeColor="text1"/>
                <w:sz w:val="20"/>
                <w:szCs w:val="20"/>
                <w:shd w:val="clear" w:color="auto" w:fill="FFFFFF"/>
                <w:lang w:val="en-US"/>
              </w:rPr>
              <w:t xml:space="preserve"> în conformitate cu </w:t>
            </w:r>
            <w:proofErr w:type="spellStart"/>
            <w:r w:rsidRPr="00DD71BD">
              <w:rPr>
                <w:rFonts w:eastAsia="Arial Unicode MS"/>
                <w:color w:val="000000" w:themeColor="text1"/>
                <w:sz w:val="20"/>
                <w:szCs w:val="20"/>
                <w:shd w:val="clear" w:color="auto" w:fill="FFFFFF"/>
                <w:lang w:val="en-US"/>
              </w:rPr>
              <w:t>procedura</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prevăzută</w:t>
            </w:r>
            <w:proofErr w:type="spellEnd"/>
            <w:r w:rsidRPr="00DD71BD">
              <w:rPr>
                <w:rFonts w:eastAsia="Arial Unicode MS"/>
                <w:color w:val="000000" w:themeColor="text1"/>
                <w:sz w:val="20"/>
                <w:szCs w:val="20"/>
                <w:shd w:val="clear" w:color="auto" w:fill="FFFFFF"/>
                <w:lang w:val="en-US"/>
              </w:rPr>
              <w:t xml:space="preserve"> la </w:t>
            </w:r>
            <w:proofErr w:type="spellStart"/>
            <w:r w:rsidRPr="00DD71BD">
              <w:rPr>
                <w:rFonts w:eastAsia="Arial Unicode MS"/>
                <w:color w:val="000000" w:themeColor="text1"/>
                <w:sz w:val="20"/>
                <w:szCs w:val="20"/>
                <w:shd w:val="clear" w:color="auto" w:fill="FFFFFF"/>
                <w:lang w:val="en-US"/>
              </w:rPr>
              <w:t>articolul</w:t>
            </w:r>
            <w:proofErr w:type="spellEnd"/>
            <w:r w:rsidR="00DD71BD" w:rsidRPr="00DD71BD">
              <w:rPr>
                <w:rFonts w:eastAsia="Arial Unicode MS"/>
                <w:color w:val="000000" w:themeColor="text1"/>
                <w:sz w:val="20"/>
                <w:szCs w:val="20"/>
                <w:shd w:val="clear" w:color="auto" w:fill="FFFFFF"/>
                <w:lang w:val="en-US"/>
              </w:rPr>
              <w:t xml:space="preserve"> </w:t>
            </w:r>
            <w:r w:rsidRPr="00DD71BD">
              <w:rPr>
                <w:rFonts w:eastAsia="Arial Unicode MS"/>
                <w:color w:val="000000" w:themeColor="text1"/>
                <w:sz w:val="20"/>
                <w:szCs w:val="20"/>
                <w:shd w:val="clear" w:color="auto" w:fill="FFFFFF"/>
                <w:lang w:val="en-US"/>
              </w:rPr>
              <w:t xml:space="preserve">25, </w:t>
            </w:r>
            <w:proofErr w:type="spellStart"/>
            <w:r w:rsidRPr="00DD71BD">
              <w:rPr>
                <w:rFonts w:eastAsia="Arial Unicode MS"/>
                <w:color w:val="000000" w:themeColor="text1"/>
                <w:sz w:val="20"/>
                <w:szCs w:val="20"/>
                <w:shd w:val="clear" w:color="auto" w:fill="FFFFFF"/>
                <w:lang w:val="en-US"/>
              </w:rPr>
              <w:t>fără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alte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restricții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decât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cele</w:t>
            </w:r>
            <w:proofErr w:type="spellEnd"/>
            <w:r w:rsidRPr="00DD71BD">
              <w:rPr>
                <w:rFonts w:eastAsia="Arial Unicode MS"/>
                <w:color w:val="000000" w:themeColor="text1"/>
                <w:sz w:val="20"/>
                <w:szCs w:val="20"/>
                <w:shd w:val="clear" w:color="auto" w:fill="FFFFFF"/>
                <w:lang w:val="en-US"/>
              </w:rPr>
              <w:t xml:space="preserve"> din prezenta </w:t>
            </w:r>
            <w:proofErr w:type="spellStart"/>
            <w:r w:rsidRPr="00DD71BD">
              <w:rPr>
                <w:rFonts w:eastAsia="Arial Unicode MS"/>
                <w:color w:val="000000" w:themeColor="text1"/>
                <w:sz w:val="20"/>
                <w:szCs w:val="20"/>
                <w:shd w:val="clear" w:color="auto" w:fill="FFFFFF"/>
                <w:lang w:val="en-US"/>
              </w:rPr>
              <w:t>directivă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sau</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adoptate</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temeiul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acesteia</w:t>
            </w:r>
            <w:proofErr w:type="spellEnd"/>
            <w:r w:rsidRPr="00DD71BD">
              <w:rPr>
                <w:rFonts w:eastAsia="Arial Unicode MS"/>
                <w:color w:val="000000" w:themeColor="text1"/>
                <w:sz w:val="20"/>
                <w:szCs w:val="20"/>
                <w:shd w:val="clear" w:color="auto" w:fill="FFFFFF"/>
                <w:lang w:val="en-US"/>
              </w:rPr>
              <w:t>.</w:t>
            </w:r>
          </w:p>
          <w:p w14:paraId="3233660D" w14:textId="77777777" w:rsidR="00124364" w:rsidRDefault="00000000">
            <w:pPr>
              <w:pStyle w:val="ti-art"/>
              <w:shd w:val="clear" w:color="auto" w:fill="FFFFFF"/>
              <w:spacing w:before="0" w:beforeAutospacing="0" w:after="0" w:afterAutospacing="0"/>
              <w:rPr>
                <w:color w:val="4472C4" w:themeColor="accent1"/>
                <w:sz w:val="20"/>
                <w:szCs w:val="20"/>
              </w:rPr>
            </w:pPr>
            <w:hyperlink r:id="rId207" w:tooltip="32009L0029: INSERTED" w:history="1">
              <w:r>
                <w:rPr>
                  <w:rStyle w:val="af3"/>
                  <w:rFonts w:eastAsia="Arial Unicode MS"/>
                  <w:b/>
                  <w:bCs/>
                  <w:color w:val="4472C4" w:themeColor="accent1"/>
                  <w:sz w:val="20"/>
                  <w:szCs w:val="20"/>
                </w:rPr>
                <w:t>▼M4</w:t>
              </w:r>
            </w:hyperlink>
          </w:p>
          <w:p w14:paraId="78DED4F0" w14:textId="000166AC" w:rsidR="00124364" w:rsidRPr="00DD71BD" w:rsidRDefault="00000000" w:rsidP="00DD71BD">
            <w:pPr>
              <w:pStyle w:val="ti-art"/>
              <w:numPr>
                <w:ilvl w:val="0"/>
                <w:numId w:val="8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Până</w:t>
            </w:r>
            <w:proofErr w:type="spellEnd"/>
            <w:r w:rsidRPr="00DD71BD">
              <w:rPr>
                <w:rFonts w:eastAsia="Arial Unicode MS"/>
                <w:color w:val="000000" w:themeColor="text1"/>
                <w:sz w:val="20"/>
                <w:szCs w:val="20"/>
                <w:shd w:val="clear" w:color="auto" w:fill="FFFFFF"/>
                <w:lang w:val="en-US"/>
              </w:rPr>
              <w:t xml:space="preserve"> la 31</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decembrie</w:t>
            </w:r>
            <w:proofErr w:type="spellEnd"/>
            <w:r w:rsidRPr="00DD71BD">
              <w:rPr>
                <w:rFonts w:eastAsia="Arial Unicode MS"/>
                <w:color w:val="000000" w:themeColor="text1"/>
                <w:sz w:val="20"/>
                <w:szCs w:val="20"/>
                <w:shd w:val="clear" w:color="auto" w:fill="FFFFFF"/>
                <w:lang w:val="en-US"/>
              </w:rPr>
              <w:t xml:space="preserve"> 2010, </w:t>
            </w:r>
            <w:proofErr w:type="spellStart"/>
            <w:r w:rsidRPr="00DD71BD">
              <w:rPr>
                <w:rFonts w:eastAsia="Arial Unicode MS"/>
                <w:color w:val="000000" w:themeColor="text1"/>
                <w:sz w:val="20"/>
                <w:szCs w:val="20"/>
                <w:shd w:val="clear" w:color="auto" w:fill="FFFFFF"/>
                <w:lang w:val="en-US"/>
              </w:rPr>
              <w:t>Comisia</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verifică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dacă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piața</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certificatelor</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este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suficient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protejată</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utilizările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abuzive</w:t>
            </w:r>
            <w:proofErr w:type="spellEnd"/>
            <w:r w:rsidRPr="00DD71BD">
              <w:rPr>
                <w:rFonts w:eastAsia="Arial Unicode MS"/>
                <w:color w:val="000000" w:themeColor="text1"/>
                <w:sz w:val="20"/>
                <w:szCs w:val="20"/>
                <w:shd w:val="clear" w:color="auto" w:fill="FFFFFF"/>
                <w:lang w:val="en-US"/>
              </w:rPr>
              <w:t xml:space="preserve"> ale </w:t>
            </w:r>
            <w:proofErr w:type="spellStart"/>
            <w:r w:rsidRPr="00DD71BD">
              <w:rPr>
                <w:rFonts w:eastAsia="Arial Unicode MS"/>
                <w:color w:val="000000" w:themeColor="text1"/>
                <w:sz w:val="20"/>
                <w:szCs w:val="20"/>
                <w:shd w:val="clear" w:color="auto" w:fill="FFFFFF"/>
                <w:lang w:val="en-US"/>
              </w:rPr>
              <w:t>informațiilor</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confidențiale</w:t>
            </w:r>
            <w:proofErr w:type="spellEnd"/>
            <w:r w:rsidRPr="00DD71BD">
              <w:rPr>
                <w:rFonts w:eastAsia="Arial Unicode MS"/>
                <w:color w:val="000000" w:themeColor="text1"/>
                <w:sz w:val="20"/>
                <w:szCs w:val="20"/>
                <w:shd w:val="clear" w:color="auto" w:fill="FFFFFF"/>
                <w:lang w:val="en-US"/>
              </w:rPr>
              <w:t xml:space="preserve"> și de </w:t>
            </w:r>
            <w:proofErr w:type="spellStart"/>
            <w:r w:rsidRPr="00DD71BD">
              <w:rPr>
                <w:rFonts w:eastAsia="Arial Unicode MS"/>
                <w:color w:val="000000" w:themeColor="text1"/>
                <w:sz w:val="20"/>
                <w:szCs w:val="20"/>
                <w:shd w:val="clear" w:color="auto" w:fill="FFFFFF"/>
                <w:lang w:val="en-US"/>
              </w:rPr>
              <w:t>manipulările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pieței</w:t>
            </w:r>
            <w:proofErr w:type="spellEnd"/>
            <w:r w:rsidRPr="00DD71BD">
              <w:rPr>
                <w:rFonts w:eastAsia="Arial Unicode MS"/>
                <w:color w:val="000000" w:themeColor="text1"/>
                <w:sz w:val="20"/>
                <w:szCs w:val="20"/>
                <w:shd w:val="clear" w:color="auto" w:fill="FFFFFF"/>
                <w:lang w:val="en-US"/>
              </w:rPr>
              <w:t xml:space="preserve"> și, </w:t>
            </w:r>
            <w:proofErr w:type="spellStart"/>
            <w:r w:rsidRPr="00DD71BD">
              <w:rPr>
                <w:rFonts w:eastAsia="Arial Unicode MS"/>
                <w:color w:val="000000" w:themeColor="text1"/>
                <w:sz w:val="20"/>
                <w:szCs w:val="20"/>
                <w:shd w:val="clear" w:color="auto" w:fill="FFFFFF"/>
                <w:lang w:val="en-US"/>
              </w:rPr>
              <w:t>după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caz</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prezintă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propuneri</w:t>
            </w:r>
            <w:proofErr w:type="spellEnd"/>
            <w:r w:rsidRPr="00DD71BD">
              <w:rPr>
                <w:rFonts w:eastAsia="Arial Unicode MS"/>
                <w:color w:val="000000" w:themeColor="text1"/>
                <w:sz w:val="20"/>
                <w:szCs w:val="20"/>
                <w:shd w:val="clear" w:color="auto" w:fill="FFFFFF"/>
                <w:lang w:val="en-US"/>
              </w:rPr>
              <w:t xml:space="preserve"> care </w:t>
            </w:r>
            <w:proofErr w:type="spellStart"/>
            <w:r w:rsidRPr="00DD71BD">
              <w:rPr>
                <w:rFonts w:eastAsia="Arial Unicode MS"/>
                <w:color w:val="000000" w:themeColor="text1"/>
                <w:sz w:val="20"/>
                <w:szCs w:val="20"/>
                <w:shd w:val="clear" w:color="auto" w:fill="FFFFFF"/>
                <w:lang w:val="en-US"/>
              </w:rPr>
              <w:t>să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asigure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protecția</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necesară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Dispozițiile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relevante</w:t>
            </w:r>
            <w:proofErr w:type="spellEnd"/>
            <w:r w:rsidRPr="00DD71BD">
              <w:rPr>
                <w:rFonts w:eastAsia="Arial Unicode MS"/>
                <w:color w:val="000000" w:themeColor="text1"/>
                <w:sz w:val="20"/>
                <w:szCs w:val="20"/>
                <w:shd w:val="clear" w:color="auto" w:fill="FFFFFF"/>
                <w:lang w:val="en-US"/>
              </w:rPr>
              <w:t xml:space="preserve"> ale </w:t>
            </w:r>
            <w:proofErr w:type="spellStart"/>
            <w:r w:rsidRPr="00DD71BD">
              <w:rPr>
                <w:rFonts w:eastAsia="Arial Unicode MS"/>
                <w:color w:val="000000" w:themeColor="text1"/>
                <w:sz w:val="20"/>
                <w:szCs w:val="20"/>
                <w:shd w:val="clear" w:color="auto" w:fill="FFFFFF"/>
                <w:lang w:val="en-US"/>
              </w:rPr>
              <w:t>Directivei</w:t>
            </w:r>
            <w:proofErr w:type="spellEnd"/>
            <w:r w:rsidR="00DD71BD" w:rsidRPr="00DD71BD">
              <w:rPr>
                <w:rFonts w:eastAsia="Arial Unicode MS"/>
                <w:color w:val="000000" w:themeColor="text1"/>
                <w:sz w:val="20"/>
                <w:szCs w:val="20"/>
                <w:shd w:val="clear" w:color="auto" w:fill="FFFFFF"/>
                <w:lang w:val="en-US"/>
              </w:rPr>
              <w:t xml:space="preserve"> </w:t>
            </w:r>
            <w:r w:rsidRPr="00DD71BD">
              <w:rPr>
                <w:rFonts w:eastAsia="Arial Unicode MS"/>
                <w:color w:val="000000" w:themeColor="text1"/>
                <w:sz w:val="20"/>
                <w:szCs w:val="20"/>
                <w:shd w:val="clear" w:color="auto" w:fill="FFFFFF"/>
                <w:lang w:val="en-US"/>
              </w:rPr>
              <w:t xml:space="preserve">2003/6/CE a </w:t>
            </w:r>
            <w:proofErr w:type="spellStart"/>
            <w:r w:rsidRPr="00DD71BD">
              <w:rPr>
                <w:rFonts w:eastAsia="Arial Unicode MS"/>
                <w:color w:val="000000" w:themeColor="text1"/>
                <w:sz w:val="20"/>
                <w:szCs w:val="20"/>
                <w:shd w:val="clear" w:color="auto" w:fill="FFFFFF"/>
                <w:lang w:val="en-US"/>
              </w:rPr>
              <w:t>Parlamentului</w:t>
            </w:r>
            <w:proofErr w:type="spellEnd"/>
            <w:r w:rsidRPr="00DD71BD">
              <w:rPr>
                <w:rFonts w:eastAsia="Arial Unicode MS"/>
                <w:color w:val="000000" w:themeColor="text1"/>
                <w:sz w:val="20"/>
                <w:szCs w:val="20"/>
                <w:shd w:val="clear" w:color="auto" w:fill="FFFFFF"/>
                <w:lang w:val="en-US"/>
              </w:rPr>
              <w:t xml:space="preserve"> European și a </w:t>
            </w:r>
            <w:proofErr w:type="spellStart"/>
            <w:r w:rsidRPr="00DD71BD">
              <w:rPr>
                <w:rFonts w:eastAsia="Arial Unicode MS"/>
                <w:color w:val="000000" w:themeColor="text1"/>
                <w:sz w:val="20"/>
                <w:szCs w:val="20"/>
                <w:shd w:val="clear" w:color="auto" w:fill="FFFFFF"/>
                <w:lang w:val="en-US"/>
              </w:rPr>
              <w:t>Consiliului</w:t>
            </w:r>
            <w:proofErr w:type="spellEnd"/>
            <w:r w:rsidRPr="00DD71BD">
              <w:rPr>
                <w:rFonts w:eastAsia="Arial Unicode MS"/>
                <w:color w:val="000000" w:themeColor="text1"/>
                <w:sz w:val="20"/>
                <w:szCs w:val="20"/>
                <w:shd w:val="clear" w:color="auto" w:fill="FFFFFF"/>
                <w:lang w:val="en-US"/>
              </w:rPr>
              <w:t xml:space="preserve"> din 28</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ianuarie</w:t>
            </w:r>
            <w:proofErr w:type="spellEnd"/>
            <w:r w:rsidRPr="00DD71BD">
              <w:rPr>
                <w:rFonts w:eastAsia="Arial Unicode MS"/>
                <w:color w:val="000000" w:themeColor="text1"/>
                <w:sz w:val="20"/>
                <w:szCs w:val="20"/>
                <w:shd w:val="clear" w:color="auto" w:fill="FFFFFF"/>
                <w:lang w:val="en-US"/>
              </w:rPr>
              <w:t xml:space="preserve"> 2003 </w:t>
            </w:r>
            <w:proofErr w:type="spellStart"/>
            <w:r w:rsidRPr="00DD71BD">
              <w:rPr>
                <w:rFonts w:eastAsia="Arial Unicode MS"/>
                <w:color w:val="000000" w:themeColor="text1"/>
                <w:sz w:val="20"/>
                <w:szCs w:val="20"/>
                <w:shd w:val="clear" w:color="auto" w:fill="FFFFFF"/>
                <w:lang w:val="en-US"/>
              </w:rPr>
              <w:t>privind</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utilizările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abuzive</w:t>
            </w:r>
            <w:proofErr w:type="spellEnd"/>
            <w:r w:rsidRPr="00DD71BD">
              <w:rPr>
                <w:rFonts w:eastAsia="Arial Unicode MS"/>
                <w:color w:val="000000" w:themeColor="text1"/>
                <w:sz w:val="20"/>
                <w:szCs w:val="20"/>
                <w:shd w:val="clear" w:color="auto" w:fill="FFFFFF"/>
                <w:lang w:val="en-US"/>
              </w:rPr>
              <w:t xml:space="preserve"> ale </w:t>
            </w:r>
            <w:proofErr w:type="spellStart"/>
            <w:r w:rsidRPr="00DD71BD">
              <w:rPr>
                <w:rFonts w:eastAsia="Arial Unicode MS"/>
                <w:color w:val="000000" w:themeColor="text1"/>
                <w:sz w:val="20"/>
                <w:szCs w:val="20"/>
                <w:shd w:val="clear" w:color="auto" w:fill="FFFFFF"/>
                <w:lang w:val="en-US"/>
              </w:rPr>
              <w:t>informațiilor</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confidențiale</w:t>
            </w:r>
            <w:proofErr w:type="spellEnd"/>
            <w:r w:rsidRPr="00DD71BD">
              <w:rPr>
                <w:rFonts w:eastAsia="Arial Unicode MS"/>
                <w:color w:val="000000" w:themeColor="text1"/>
                <w:sz w:val="20"/>
                <w:szCs w:val="20"/>
                <w:shd w:val="clear" w:color="auto" w:fill="FFFFFF"/>
                <w:lang w:val="en-US"/>
              </w:rPr>
              <w:t xml:space="preserve"> și </w:t>
            </w:r>
            <w:proofErr w:type="spellStart"/>
            <w:r w:rsidRPr="00DD71BD">
              <w:rPr>
                <w:rFonts w:eastAsia="Arial Unicode MS"/>
                <w:color w:val="000000" w:themeColor="text1"/>
                <w:sz w:val="20"/>
                <w:szCs w:val="20"/>
                <w:shd w:val="clear" w:color="auto" w:fill="FFFFFF"/>
                <w:lang w:val="en-US"/>
              </w:rPr>
              <w:t>manipulările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pieței</w:t>
            </w:r>
            <w:proofErr w:type="spellEnd"/>
            <w:r w:rsidRPr="00DD71BD">
              <w:rPr>
                <w:rFonts w:eastAsia="Arial Unicode MS"/>
                <w:color w:val="000000" w:themeColor="text1"/>
                <w:sz w:val="20"/>
                <w:szCs w:val="20"/>
                <w:shd w:val="clear" w:color="auto" w:fill="FFFFFF"/>
                <w:lang w:val="en-US"/>
              </w:rPr>
              <w:t xml:space="preserve"> (</w:t>
            </w:r>
            <w:r w:rsidRPr="00DD71BD">
              <w:rPr>
                <w:rStyle w:val="italics"/>
                <w:rFonts w:eastAsia="Arial Unicode MS"/>
                <w:i/>
                <w:iCs/>
                <w:color w:val="000000" w:themeColor="text1"/>
                <w:sz w:val="20"/>
                <w:szCs w:val="20"/>
                <w:lang w:val="en-US"/>
              </w:rPr>
              <w:t>market abuse</w:t>
            </w:r>
            <w:r w:rsidRPr="00DD71BD">
              <w:rPr>
                <w:rFonts w:eastAsia="Arial Unicode MS"/>
                <w:color w:val="000000" w:themeColor="text1"/>
                <w:sz w:val="20"/>
                <w:szCs w:val="20"/>
                <w:shd w:val="clear" w:color="auto" w:fill="FFFFFF"/>
                <w:lang w:val="en-US"/>
              </w:rPr>
              <w:t>)(</w:t>
            </w:r>
            <w:hyperlink r:id="rId208" w:anchor="E0028" w:history="1">
              <w:r w:rsidRPr="00DD71BD">
                <w:rPr>
                  <w:rStyle w:val="superscript"/>
                  <w:rFonts w:eastAsia="Arial Unicode MS"/>
                  <w:color w:val="000000" w:themeColor="text1"/>
                  <w:sz w:val="20"/>
                  <w:szCs w:val="20"/>
                  <w:vertAlign w:val="superscript"/>
                  <w:lang w:val="en-US"/>
                </w:rPr>
                <w:t>27</w:t>
              </w:r>
            </w:hyperlink>
            <w:r w:rsidRPr="00DD71BD">
              <w:rPr>
                <w:rFonts w:eastAsia="Arial Unicode MS"/>
                <w:color w:val="000000" w:themeColor="text1"/>
                <w:sz w:val="20"/>
                <w:szCs w:val="20"/>
                <w:shd w:val="clear" w:color="auto" w:fill="FFFFFF"/>
                <w:lang w:val="en-US"/>
              </w:rPr>
              <w:t xml:space="preserve">) pot fi </w:t>
            </w:r>
            <w:proofErr w:type="spellStart"/>
            <w:r w:rsidRPr="00DD71BD">
              <w:rPr>
                <w:rFonts w:eastAsia="Arial Unicode MS"/>
                <w:color w:val="000000" w:themeColor="text1"/>
                <w:sz w:val="20"/>
                <w:szCs w:val="20"/>
                <w:shd w:val="clear" w:color="auto" w:fill="FFFFFF"/>
                <w:lang w:val="en-US"/>
              </w:rPr>
              <w:t>utilizate</w:t>
            </w:r>
            <w:proofErr w:type="spellEnd"/>
            <w:r w:rsidRPr="00DD71BD">
              <w:rPr>
                <w:rFonts w:eastAsia="Arial Unicode MS"/>
                <w:color w:val="000000" w:themeColor="text1"/>
                <w:sz w:val="20"/>
                <w:szCs w:val="20"/>
                <w:shd w:val="clear" w:color="auto" w:fill="FFFFFF"/>
                <w:lang w:val="en-US"/>
              </w:rPr>
              <w:t xml:space="preserve">, cu </w:t>
            </w:r>
            <w:proofErr w:type="spellStart"/>
            <w:r w:rsidRPr="00DD71BD">
              <w:rPr>
                <w:rFonts w:eastAsia="Arial Unicode MS"/>
                <w:color w:val="000000" w:themeColor="text1"/>
                <w:sz w:val="20"/>
                <w:szCs w:val="20"/>
                <w:shd w:val="clear" w:color="auto" w:fill="FFFFFF"/>
                <w:lang w:val="en-US"/>
              </w:rPr>
              <w:t>adaptările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adecvate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necesare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aplicării</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domeniul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comerțului</w:t>
            </w:r>
            <w:proofErr w:type="spellEnd"/>
            <w:r w:rsidRPr="00DD71BD">
              <w:rPr>
                <w:rFonts w:eastAsia="Arial Unicode MS"/>
                <w:color w:val="000000" w:themeColor="text1"/>
                <w:sz w:val="20"/>
                <w:szCs w:val="20"/>
                <w:shd w:val="clear" w:color="auto" w:fill="FFFFFF"/>
                <w:lang w:val="en-US"/>
              </w:rPr>
              <w:t xml:space="preserve"> cu </w:t>
            </w:r>
            <w:proofErr w:type="spellStart"/>
            <w:r w:rsidRPr="00DD71BD">
              <w:rPr>
                <w:rFonts w:eastAsia="Arial Unicode MS"/>
                <w:color w:val="000000" w:themeColor="text1"/>
                <w:sz w:val="20"/>
                <w:szCs w:val="20"/>
                <w:shd w:val="clear" w:color="auto" w:fill="FFFFFF"/>
                <w:lang w:val="en-US"/>
              </w:rPr>
              <w:t>produse</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bază</w:t>
            </w:r>
            <w:proofErr w:type="spellEnd"/>
            <w:r w:rsidRPr="00DD71BD">
              <w:rPr>
                <w:rFonts w:eastAsia="Arial Unicode MS"/>
                <w:color w:val="000000" w:themeColor="text1"/>
                <w:sz w:val="20"/>
                <w:szCs w:val="20"/>
                <w:shd w:val="clear" w:color="auto" w:fill="FFFFFF"/>
                <w:lang w:val="en-US"/>
              </w:rPr>
              <w:t>.</w:t>
            </w:r>
          </w:p>
          <w:p w14:paraId="179C01B0" w14:textId="77777777" w:rsidR="00124364" w:rsidRDefault="00000000">
            <w:pPr>
              <w:pStyle w:val="ti-art"/>
              <w:shd w:val="clear" w:color="auto" w:fill="FFFFFF"/>
              <w:spacing w:before="0" w:beforeAutospacing="0" w:after="0" w:afterAutospacing="0"/>
              <w:rPr>
                <w:color w:val="4472C4" w:themeColor="accent1"/>
                <w:sz w:val="20"/>
                <w:szCs w:val="20"/>
              </w:rPr>
            </w:pPr>
            <w:hyperlink r:id="rId209" w:tooltip="32023L0959: REPLACED" w:history="1">
              <w:r>
                <w:rPr>
                  <w:rStyle w:val="af3"/>
                  <w:rFonts w:eastAsia="Arial Unicode MS"/>
                  <w:b/>
                  <w:bCs/>
                  <w:color w:val="4472C4" w:themeColor="accent1"/>
                  <w:sz w:val="20"/>
                  <w:szCs w:val="20"/>
                </w:rPr>
                <w:t>▼M15</w:t>
              </w:r>
            </w:hyperlink>
          </w:p>
          <w:p w14:paraId="56F97236" w14:textId="64A39B7D" w:rsidR="00124364" w:rsidRDefault="00000000" w:rsidP="00DD71BD">
            <w:pPr>
              <w:pStyle w:val="ti-art"/>
              <w:numPr>
                <w:ilvl w:val="0"/>
                <w:numId w:val="80"/>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garantează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recunoașterea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de o </w:t>
            </w:r>
            <w:proofErr w:type="spellStart"/>
            <w:r>
              <w:rPr>
                <w:rFonts w:eastAsia="Arial Unicode MS"/>
                <w:color w:val="333333"/>
                <w:sz w:val="20"/>
                <w:szCs w:val="20"/>
                <w:shd w:val="clear" w:color="auto" w:fill="FFFFFF"/>
                <w:lang w:val="en-US"/>
              </w:rPr>
              <w:t>autoritate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competentă</w:t>
            </w:r>
            <w:proofErr w:type="spellEnd"/>
            <w:r>
              <w:rPr>
                <w:rFonts w:eastAsia="Arial Unicode MS"/>
                <w:color w:val="333333"/>
                <w:sz w:val="20"/>
                <w:szCs w:val="20"/>
                <w:shd w:val="clear" w:color="auto" w:fill="FFFFFF"/>
                <w:lang w:val="en-US"/>
              </w:rPr>
              <w:t xml:space="preserve"> din alt 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îndeplinirii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un operator, un operator de </w:t>
            </w:r>
            <w:proofErr w:type="spellStart"/>
            <w:r>
              <w:rPr>
                <w:rFonts w:eastAsia="Arial Unicode MS"/>
                <w:color w:val="333333"/>
                <w:sz w:val="20"/>
                <w:szCs w:val="20"/>
                <w:shd w:val="clear" w:color="auto" w:fill="FFFFFF"/>
                <w:lang w:val="en-US"/>
              </w:rPr>
              <w:t>aeronave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companie</w:t>
            </w:r>
            <w:proofErr w:type="spellEnd"/>
            <w:r>
              <w:rPr>
                <w:rFonts w:eastAsia="Arial Unicode MS"/>
                <w:color w:val="333333"/>
                <w:sz w:val="20"/>
                <w:szCs w:val="20"/>
                <w:shd w:val="clear" w:color="auto" w:fill="FFFFFF"/>
                <w:lang w:val="en-US"/>
              </w:rPr>
              <w:t xml:space="preserve"> de transport maritim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obligațiilor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sidR="00DD71BD">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(3).</w:t>
            </w:r>
          </w:p>
          <w:p w14:paraId="3A9F6114" w14:textId="1DCCC0A9" w:rsidR="00124364" w:rsidRDefault="00000000">
            <w:pPr>
              <w:pStyle w:val="ti-art"/>
              <w:shd w:val="clear" w:color="auto" w:fill="FFFFFF"/>
              <w:spacing w:before="0" w:beforeAutospacing="0" w:after="0" w:afterAutospacing="0"/>
              <w:ind w:left="720"/>
              <w:rPr>
                <w:rFonts w:ascii="Arial Unicode MS" w:eastAsia="Arial Unicode MS" w:hAnsi="Arial Unicode MS" w:cs="Arial Unicode MS"/>
                <w:b/>
                <w:bCs/>
                <w:color w:val="333333"/>
                <w:sz w:val="21"/>
                <w:szCs w:val="21"/>
                <w:shd w:val="clear" w:color="auto" w:fill="FFFFFF"/>
              </w:rPr>
            </w:pPr>
            <w:hyperlink r:id="rId210" w:tooltip="32023L0959: DELETED" w:history="1">
              <w:r>
                <w:rPr>
                  <w:rStyle w:val="af3"/>
                  <w:rFonts w:eastAsia="Arial Unicode MS"/>
                  <w:b/>
                  <w:bCs/>
                  <w:color w:val="4472C4" w:themeColor="accent1"/>
                  <w:sz w:val="20"/>
                  <w:szCs w:val="20"/>
                </w:rPr>
                <w:t>▼M15</w:t>
              </w:r>
            </w:hyperlink>
            <w:r w:rsidR="00DD71BD">
              <w:rPr>
                <w:rFonts w:ascii="Arial Unicode MS" w:eastAsia="Arial Unicode MS" w:hAnsi="Arial Unicode MS" w:cs="Arial Unicode MS"/>
                <w:b/>
                <w:bCs/>
                <w:color w:val="4472C4" w:themeColor="accent1"/>
                <w:sz w:val="21"/>
                <w:szCs w:val="21"/>
                <w:shd w:val="clear" w:color="auto" w:fill="FFFFFF"/>
                <w:lang w:val="ro-RO"/>
              </w:rPr>
              <w:t xml:space="preserve"> </w:t>
            </w:r>
            <w:r>
              <w:rPr>
                <w:rFonts w:ascii="Arial Unicode MS" w:eastAsia="Arial Unicode MS" w:hAnsi="Arial Unicode MS" w:cs="Arial Unicode MS" w:hint="eastAsia"/>
                <w:b/>
                <w:bCs/>
                <w:color w:val="333333"/>
                <w:sz w:val="21"/>
                <w:szCs w:val="21"/>
                <w:shd w:val="clear" w:color="auto" w:fill="FFFFFF"/>
              </w:rPr>
              <w:t>—————</w:t>
            </w:r>
          </w:p>
          <w:p w14:paraId="0F5BFF7B"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11" w:tooltip="32023L0959: REPLACED" w:history="1">
              <w:r>
                <w:rPr>
                  <w:rStyle w:val="af3"/>
                  <w:rFonts w:eastAsia="Arial Unicode MS"/>
                  <w:b/>
                  <w:bCs/>
                  <w:color w:val="4472C4" w:themeColor="accent1"/>
                  <w:sz w:val="20"/>
                  <w:szCs w:val="20"/>
                </w:rPr>
                <w:t>▼M15</w:t>
              </w:r>
            </w:hyperlink>
          </w:p>
          <w:p w14:paraId="5764C289" w14:textId="6BFDAF56" w:rsidR="00124364" w:rsidRPr="00DD71BD" w:rsidRDefault="00000000" w:rsidP="00DD71BD">
            <w:pPr>
              <w:pStyle w:val="ti-art"/>
              <w:numPr>
                <w:ilvl w:val="0"/>
                <w:numId w:val="8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Statele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membre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statele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membre</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administrare</w:t>
            </w:r>
            <w:proofErr w:type="spellEnd"/>
            <w:r w:rsidRPr="00DD71BD">
              <w:rPr>
                <w:rFonts w:eastAsia="Arial Unicode MS"/>
                <w:color w:val="000000" w:themeColor="text1"/>
                <w:sz w:val="20"/>
                <w:szCs w:val="20"/>
                <w:shd w:val="clear" w:color="auto" w:fill="FFFFFF"/>
                <w:lang w:val="en-US"/>
              </w:rPr>
              <w:t xml:space="preserve"> și </w:t>
            </w:r>
            <w:proofErr w:type="spellStart"/>
            <w:r w:rsidRPr="00DD71BD">
              <w:rPr>
                <w:rFonts w:eastAsia="Arial Unicode MS"/>
                <w:color w:val="000000" w:themeColor="text1"/>
                <w:sz w:val="20"/>
                <w:szCs w:val="20"/>
                <w:shd w:val="clear" w:color="auto" w:fill="FFFFFF"/>
                <w:lang w:val="en-US"/>
              </w:rPr>
              <w:t>autoritățile</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administrare</w:t>
            </w:r>
            <w:proofErr w:type="spellEnd"/>
            <w:r w:rsidRPr="00DD71BD">
              <w:rPr>
                <w:rFonts w:eastAsia="Arial Unicode MS"/>
                <w:color w:val="000000" w:themeColor="text1"/>
                <w:sz w:val="20"/>
                <w:szCs w:val="20"/>
                <w:shd w:val="clear" w:color="auto" w:fill="FFFFFF"/>
                <w:lang w:val="en-US"/>
              </w:rPr>
              <w:t xml:space="preserve"> ale </w:t>
            </w:r>
            <w:proofErr w:type="spellStart"/>
            <w:r w:rsidRPr="00DD71BD">
              <w:rPr>
                <w:rFonts w:eastAsia="Arial Unicode MS"/>
                <w:color w:val="000000" w:themeColor="text1"/>
                <w:sz w:val="20"/>
                <w:szCs w:val="20"/>
                <w:shd w:val="clear" w:color="auto" w:fill="FFFFFF"/>
                <w:lang w:val="en-US"/>
              </w:rPr>
              <w:t>unei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companii</w:t>
            </w:r>
            <w:proofErr w:type="spellEnd"/>
            <w:r w:rsidRPr="00DD71BD">
              <w:rPr>
                <w:rFonts w:eastAsia="Arial Unicode MS"/>
                <w:color w:val="000000" w:themeColor="text1"/>
                <w:sz w:val="20"/>
                <w:szCs w:val="20"/>
                <w:shd w:val="clear" w:color="auto" w:fill="FFFFFF"/>
                <w:lang w:val="en-US"/>
              </w:rPr>
              <w:t xml:space="preserve"> de transport maritim se </w:t>
            </w:r>
            <w:proofErr w:type="spellStart"/>
            <w:r w:rsidRPr="00DD71BD">
              <w:rPr>
                <w:rFonts w:eastAsia="Arial Unicode MS"/>
                <w:color w:val="000000" w:themeColor="text1"/>
                <w:sz w:val="20"/>
                <w:szCs w:val="20"/>
                <w:shd w:val="clear" w:color="auto" w:fill="FFFFFF"/>
                <w:lang w:val="en-US"/>
              </w:rPr>
              <w:t>asigură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până</w:t>
            </w:r>
            <w:proofErr w:type="spellEnd"/>
            <w:r w:rsidRPr="00DD71BD">
              <w:rPr>
                <w:rFonts w:eastAsia="Arial Unicode MS"/>
                <w:color w:val="000000" w:themeColor="text1"/>
                <w:sz w:val="20"/>
                <w:szCs w:val="20"/>
                <w:shd w:val="clear" w:color="auto" w:fill="FFFFFF"/>
                <w:lang w:val="en-US"/>
              </w:rPr>
              <w:t xml:space="preserve"> la 30</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septembrie</w:t>
            </w:r>
            <w:proofErr w:type="spellEnd"/>
            <w:r w:rsidRPr="00DD71BD">
              <w:rPr>
                <w:rFonts w:eastAsia="Arial Unicode MS"/>
                <w:color w:val="000000" w:themeColor="text1"/>
                <w:sz w:val="20"/>
                <w:szCs w:val="20"/>
                <w:shd w:val="clear" w:color="auto" w:fill="FFFFFF"/>
                <w:lang w:val="en-US"/>
              </w:rPr>
              <w:t xml:space="preserve"> a </w:t>
            </w:r>
            <w:proofErr w:type="spellStart"/>
            <w:r w:rsidRPr="00DD71BD">
              <w:rPr>
                <w:rFonts w:eastAsia="Arial Unicode MS"/>
                <w:color w:val="000000" w:themeColor="text1"/>
                <w:sz w:val="20"/>
                <w:szCs w:val="20"/>
                <w:shd w:val="clear" w:color="auto" w:fill="FFFFFF"/>
                <w:lang w:val="en-US"/>
              </w:rPr>
              <w:t>fiecărui</w:t>
            </w:r>
            <w:proofErr w:type="spellEnd"/>
            <w:r w:rsidRPr="00DD71BD">
              <w:rPr>
                <w:rFonts w:eastAsia="Arial Unicode MS"/>
                <w:color w:val="000000" w:themeColor="text1"/>
                <w:sz w:val="20"/>
                <w:szCs w:val="20"/>
                <w:shd w:val="clear" w:color="auto" w:fill="FFFFFF"/>
                <w:lang w:val="en-US"/>
              </w:rPr>
              <w:t xml:space="preserve"> an:</w:t>
            </w:r>
          </w:p>
          <w:p w14:paraId="4F87EC18" w14:textId="6FC40EBA" w:rsidR="00124364" w:rsidRPr="00DD71BD" w:rsidRDefault="00000000" w:rsidP="00DD71BD">
            <w:pPr>
              <w:pStyle w:val="ti-art"/>
              <w:numPr>
                <w:ilvl w:val="0"/>
                <w:numId w:val="8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operatorul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fiecărei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instalații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restituie</w:t>
            </w:r>
            <w:proofErr w:type="spellEnd"/>
            <w:r w:rsidRPr="00DD71BD">
              <w:rPr>
                <w:rFonts w:eastAsia="Arial Unicode MS"/>
                <w:color w:val="000000" w:themeColor="text1"/>
                <w:sz w:val="20"/>
                <w:szCs w:val="20"/>
                <w:shd w:val="clear" w:color="auto" w:fill="FFFFFF"/>
                <w:lang w:val="en-US"/>
              </w:rPr>
              <w:t xml:space="preserve"> un </w:t>
            </w:r>
            <w:proofErr w:type="spellStart"/>
            <w:r w:rsidRPr="00DD71BD">
              <w:rPr>
                <w:rFonts w:eastAsia="Arial Unicode MS"/>
                <w:color w:val="000000" w:themeColor="text1"/>
                <w:sz w:val="20"/>
                <w:szCs w:val="20"/>
                <w:shd w:val="clear" w:color="auto" w:fill="FFFFFF"/>
                <w:lang w:val="en-US"/>
              </w:rPr>
              <w:t>număr</w:t>
            </w:r>
            <w:proofErr w:type="spellEnd"/>
            <w:r w:rsidRPr="00DD71BD">
              <w:rPr>
                <w:rFonts w:eastAsia="Arial Unicode MS"/>
                <w:color w:val="000000" w:themeColor="text1"/>
                <w:sz w:val="20"/>
                <w:szCs w:val="20"/>
                <w:shd w:val="clear" w:color="auto" w:fill="FFFFFF"/>
                <w:lang w:val="en-US"/>
              </w:rPr>
              <w:t xml:space="preserve"> de certificate care </w:t>
            </w:r>
            <w:proofErr w:type="spellStart"/>
            <w:r w:rsidRPr="00DD71BD">
              <w:rPr>
                <w:rFonts w:eastAsia="Arial Unicode MS"/>
                <w:color w:val="000000" w:themeColor="text1"/>
                <w:sz w:val="20"/>
                <w:szCs w:val="20"/>
                <w:shd w:val="clear" w:color="auto" w:fill="FFFFFF"/>
                <w:lang w:val="en-US"/>
              </w:rPr>
              <w:t>este</w:t>
            </w:r>
            <w:proofErr w:type="spellEnd"/>
            <w:r w:rsidRPr="00DD71BD">
              <w:rPr>
                <w:rFonts w:eastAsia="Arial Unicode MS"/>
                <w:color w:val="000000" w:themeColor="text1"/>
                <w:sz w:val="20"/>
                <w:szCs w:val="20"/>
                <w:shd w:val="clear" w:color="auto" w:fill="FFFFFF"/>
                <w:lang w:val="en-US"/>
              </w:rPr>
              <w:t xml:space="preserve"> egal cu </w:t>
            </w:r>
            <w:proofErr w:type="spellStart"/>
            <w:r w:rsidRPr="00DD71BD">
              <w:rPr>
                <w:rFonts w:eastAsia="Arial Unicode MS"/>
                <w:color w:val="000000" w:themeColor="text1"/>
                <w:sz w:val="20"/>
                <w:szCs w:val="20"/>
                <w:shd w:val="clear" w:color="auto" w:fill="FFFFFF"/>
                <w:lang w:val="en-US"/>
              </w:rPr>
              <w:t>totalul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emisiilor</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instalației</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cauză</w:t>
            </w:r>
            <w:proofErr w:type="spellEnd"/>
            <w:r w:rsidRPr="00DD71BD">
              <w:rPr>
                <w:rFonts w:eastAsia="Arial Unicode MS"/>
                <w:color w:val="000000" w:themeColor="text1"/>
                <w:sz w:val="20"/>
                <w:szCs w:val="20"/>
                <w:shd w:val="clear" w:color="auto" w:fill="FFFFFF"/>
                <w:lang w:val="en-US"/>
              </w:rPr>
              <w:t xml:space="preserve"> pe </w:t>
            </w:r>
            <w:proofErr w:type="spellStart"/>
            <w:r w:rsidRPr="00DD71BD">
              <w:rPr>
                <w:rFonts w:eastAsia="Arial Unicode MS"/>
                <w:color w:val="000000" w:themeColor="text1"/>
                <w:sz w:val="20"/>
                <w:szCs w:val="20"/>
                <w:shd w:val="clear" w:color="auto" w:fill="FFFFFF"/>
                <w:lang w:val="en-US"/>
              </w:rPr>
              <w:t>parcursul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anului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calendaristic</w:t>
            </w:r>
            <w:proofErr w:type="spellEnd"/>
            <w:r w:rsidRPr="00DD71BD">
              <w:rPr>
                <w:rFonts w:eastAsia="Arial Unicode MS"/>
                <w:color w:val="000000" w:themeColor="text1"/>
                <w:sz w:val="20"/>
                <w:szCs w:val="20"/>
                <w:shd w:val="clear" w:color="auto" w:fill="FFFFFF"/>
                <w:lang w:val="en-US"/>
              </w:rPr>
              <w:t xml:space="preserve"> anterior, </w:t>
            </w:r>
            <w:proofErr w:type="spellStart"/>
            <w:r w:rsidRPr="00DD71BD">
              <w:rPr>
                <w:rFonts w:eastAsia="Arial Unicode MS"/>
                <w:color w:val="000000" w:themeColor="text1"/>
                <w:sz w:val="20"/>
                <w:szCs w:val="20"/>
                <w:shd w:val="clear" w:color="auto" w:fill="FFFFFF"/>
                <w:lang w:val="en-US"/>
              </w:rPr>
              <w:t>potrivit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verificării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efectuate</w:t>
            </w:r>
            <w:proofErr w:type="spellEnd"/>
            <w:r w:rsidRPr="00DD71BD">
              <w:rPr>
                <w:rFonts w:eastAsia="Arial Unicode MS"/>
                <w:color w:val="000000" w:themeColor="text1"/>
                <w:sz w:val="20"/>
                <w:szCs w:val="20"/>
                <w:shd w:val="clear" w:color="auto" w:fill="FFFFFF"/>
                <w:lang w:val="en-US"/>
              </w:rPr>
              <w:t xml:space="preserve"> în conformitate cu </w:t>
            </w:r>
            <w:proofErr w:type="spellStart"/>
            <w:r w:rsidRPr="00DD71BD">
              <w:rPr>
                <w:rFonts w:eastAsia="Arial Unicode MS"/>
                <w:color w:val="000000" w:themeColor="text1"/>
                <w:sz w:val="20"/>
                <w:szCs w:val="20"/>
                <w:shd w:val="clear" w:color="auto" w:fill="FFFFFF"/>
                <w:lang w:val="en-US"/>
              </w:rPr>
              <w:t>articolul</w:t>
            </w:r>
            <w:proofErr w:type="spellEnd"/>
            <w:r w:rsidR="00DD71BD" w:rsidRPr="00DD71BD">
              <w:rPr>
                <w:rFonts w:eastAsia="Arial Unicode MS"/>
                <w:color w:val="000000" w:themeColor="text1"/>
                <w:sz w:val="20"/>
                <w:szCs w:val="20"/>
                <w:shd w:val="clear" w:color="auto" w:fill="FFFFFF"/>
                <w:lang w:val="en-US"/>
              </w:rPr>
              <w:t xml:space="preserve"> </w:t>
            </w:r>
            <w:r w:rsidRPr="00DD71BD">
              <w:rPr>
                <w:rFonts w:eastAsia="Arial Unicode MS"/>
                <w:color w:val="000000" w:themeColor="text1"/>
                <w:sz w:val="20"/>
                <w:szCs w:val="20"/>
                <w:shd w:val="clear" w:color="auto" w:fill="FFFFFF"/>
                <w:lang w:val="en-US"/>
              </w:rPr>
              <w:t>15;</w:t>
            </w:r>
          </w:p>
          <w:p w14:paraId="2C7924E5" w14:textId="7C14B6A8" w:rsidR="00124364" w:rsidRPr="00DD71BD" w:rsidRDefault="00000000">
            <w:pPr>
              <w:pStyle w:val="ti-art"/>
              <w:numPr>
                <w:ilvl w:val="0"/>
                <w:numId w:val="83"/>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lastRenderedPageBreak/>
              <w:t>fiecare</w:t>
            </w:r>
            <w:proofErr w:type="spellEnd"/>
            <w:r w:rsidRPr="00DD71BD">
              <w:rPr>
                <w:rFonts w:eastAsia="Arial Unicode MS"/>
                <w:color w:val="000000" w:themeColor="text1"/>
                <w:sz w:val="20"/>
                <w:szCs w:val="20"/>
                <w:shd w:val="clear" w:color="auto" w:fill="FFFFFF"/>
                <w:lang w:val="en-US"/>
              </w:rPr>
              <w:t xml:space="preserve"> operator de </w:t>
            </w:r>
            <w:proofErr w:type="spellStart"/>
            <w:r w:rsidRPr="00DD71BD">
              <w:rPr>
                <w:rFonts w:eastAsia="Arial Unicode MS"/>
                <w:color w:val="000000" w:themeColor="text1"/>
                <w:sz w:val="20"/>
                <w:szCs w:val="20"/>
                <w:shd w:val="clear" w:color="auto" w:fill="FFFFFF"/>
                <w:lang w:val="en-US"/>
              </w:rPr>
              <w:t>aeronave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restituie</w:t>
            </w:r>
            <w:proofErr w:type="spellEnd"/>
            <w:r w:rsidRPr="00DD71BD">
              <w:rPr>
                <w:rFonts w:eastAsia="Arial Unicode MS"/>
                <w:color w:val="000000" w:themeColor="text1"/>
                <w:sz w:val="20"/>
                <w:szCs w:val="20"/>
                <w:shd w:val="clear" w:color="auto" w:fill="FFFFFF"/>
                <w:lang w:val="en-US"/>
              </w:rPr>
              <w:t xml:space="preserve"> un </w:t>
            </w:r>
            <w:proofErr w:type="spellStart"/>
            <w:r w:rsidRPr="00DD71BD">
              <w:rPr>
                <w:rFonts w:eastAsia="Arial Unicode MS"/>
                <w:color w:val="000000" w:themeColor="text1"/>
                <w:sz w:val="20"/>
                <w:szCs w:val="20"/>
                <w:shd w:val="clear" w:color="auto" w:fill="FFFFFF"/>
                <w:lang w:val="en-US"/>
              </w:rPr>
              <w:t>număr</w:t>
            </w:r>
            <w:proofErr w:type="spellEnd"/>
            <w:r w:rsidRPr="00DD71BD">
              <w:rPr>
                <w:rFonts w:eastAsia="Arial Unicode MS"/>
                <w:color w:val="000000" w:themeColor="text1"/>
                <w:sz w:val="20"/>
                <w:szCs w:val="20"/>
                <w:shd w:val="clear" w:color="auto" w:fill="FFFFFF"/>
                <w:lang w:val="en-US"/>
              </w:rPr>
              <w:t xml:space="preserve"> de certificate care </w:t>
            </w:r>
            <w:proofErr w:type="spellStart"/>
            <w:r w:rsidRPr="00DD71BD">
              <w:rPr>
                <w:rFonts w:eastAsia="Arial Unicode MS"/>
                <w:color w:val="000000" w:themeColor="text1"/>
                <w:sz w:val="20"/>
                <w:szCs w:val="20"/>
                <w:shd w:val="clear" w:color="auto" w:fill="FFFFFF"/>
                <w:lang w:val="en-US"/>
              </w:rPr>
              <w:t>este</w:t>
            </w:r>
            <w:proofErr w:type="spellEnd"/>
            <w:r w:rsidRPr="00DD71BD">
              <w:rPr>
                <w:rFonts w:eastAsia="Arial Unicode MS"/>
                <w:color w:val="000000" w:themeColor="text1"/>
                <w:sz w:val="20"/>
                <w:szCs w:val="20"/>
                <w:shd w:val="clear" w:color="auto" w:fill="FFFFFF"/>
                <w:lang w:val="en-US"/>
              </w:rPr>
              <w:t xml:space="preserve"> egal cu </w:t>
            </w:r>
            <w:proofErr w:type="spellStart"/>
            <w:r w:rsidRPr="00DD71BD">
              <w:rPr>
                <w:rFonts w:eastAsia="Arial Unicode MS"/>
                <w:color w:val="000000" w:themeColor="text1"/>
                <w:sz w:val="20"/>
                <w:szCs w:val="20"/>
                <w:shd w:val="clear" w:color="auto" w:fill="FFFFFF"/>
                <w:lang w:val="en-US"/>
              </w:rPr>
              <w:t>totalul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emisiilor</w:t>
            </w:r>
            <w:proofErr w:type="spellEnd"/>
            <w:r w:rsidRPr="00DD71BD">
              <w:rPr>
                <w:rFonts w:eastAsia="Arial Unicode MS"/>
                <w:color w:val="000000" w:themeColor="text1"/>
                <w:sz w:val="20"/>
                <w:szCs w:val="20"/>
                <w:shd w:val="clear" w:color="auto" w:fill="FFFFFF"/>
                <w:lang w:val="en-US"/>
              </w:rPr>
              <w:t xml:space="preserve"> sale pe </w:t>
            </w:r>
            <w:proofErr w:type="spellStart"/>
            <w:r w:rsidRPr="00DD71BD">
              <w:rPr>
                <w:rFonts w:eastAsia="Arial Unicode MS"/>
                <w:color w:val="000000" w:themeColor="text1"/>
                <w:sz w:val="20"/>
                <w:szCs w:val="20"/>
                <w:shd w:val="clear" w:color="auto" w:fill="FFFFFF"/>
                <w:lang w:val="en-US"/>
              </w:rPr>
              <w:t>parcursul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anului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calendaristic</w:t>
            </w:r>
            <w:proofErr w:type="spellEnd"/>
            <w:r w:rsidRPr="00DD71BD">
              <w:rPr>
                <w:rFonts w:eastAsia="Arial Unicode MS"/>
                <w:color w:val="000000" w:themeColor="text1"/>
                <w:sz w:val="20"/>
                <w:szCs w:val="20"/>
                <w:shd w:val="clear" w:color="auto" w:fill="FFFFFF"/>
                <w:lang w:val="en-US"/>
              </w:rPr>
              <w:t xml:space="preserve"> anterior, </w:t>
            </w:r>
            <w:proofErr w:type="spellStart"/>
            <w:r w:rsidRPr="00DD71BD">
              <w:rPr>
                <w:rFonts w:eastAsia="Arial Unicode MS"/>
                <w:color w:val="000000" w:themeColor="text1"/>
                <w:sz w:val="20"/>
                <w:szCs w:val="20"/>
                <w:shd w:val="clear" w:color="auto" w:fill="FFFFFF"/>
                <w:lang w:val="en-US"/>
              </w:rPr>
              <w:t>potrivit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verificării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efectuate</w:t>
            </w:r>
            <w:proofErr w:type="spellEnd"/>
            <w:r w:rsidRPr="00DD71BD">
              <w:rPr>
                <w:rFonts w:eastAsia="Arial Unicode MS"/>
                <w:color w:val="000000" w:themeColor="text1"/>
                <w:sz w:val="20"/>
                <w:szCs w:val="20"/>
                <w:shd w:val="clear" w:color="auto" w:fill="FFFFFF"/>
                <w:lang w:val="en-US"/>
              </w:rPr>
              <w:t xml:space="preserve"> în conformitate cu </w:t>
            </w:r>
            <w:proofErr w:type="spellStart"/>
            <w:r w:rsidRPr="00DD71BD">
              <w:rPr>
                <w:rFonts w:eastAsia="Arial Unicode MS"/>
                <w:color w:val="000000" w:themeColor="text1"/>
                <w:sz w:val="20"/>
                <w:szCs w:val="20"/>
                <w:shd w:val="clear" w:color="auto" w:fill="FFFFFF"/>
                <w:lang w:val="en-US"/>
              </w:rPr>
              <w:t>articolul</w:t>
            </w:r>
            <w:proofErr w:type="spellEnd"/>
            <w:r w:rsidR="00DD71BD">
              <w:rPr>
                <w:rFonts w:eastAsia="Arial Unicode MS"/>
                <w:color w:val="000000" w:themeColor="text1"/>
                <w:sz w:val="20"/>
                <w:szCs w:val="20"/>
                <w:shd w:val="clear" w:color="auto" w:fill="FFFFFF"/>
                <w:lang w:val="en-US"/>
              </w:rPr>
              <w:t xml:space="preserve"> </w:t>
            </w:r>
            <w:r w:rsidRPr="00DD71BD">
              <w:rPr>
                <w:rFonts w:eastAsia="Arial Unicode MS"/>
                <w:color w:val="000000" w:themeColor="text1"/>
                <w:sz w:val="20"/>
                <w:szCs w:val="20"/>
                <w:shd w:val="clear" w:color="auto" w:fill="FFFFFF"/>
                <w:lang w:val="en-US"/>
              </w:rPr>
              <w:t>15;</w:t>
            </w:r>
          </w:p>
          <w:p w14:paraId="3E89264E" w14:textId="20718EEF" w:rsidR="00124364" w:rsidRPr="00DD71BD" w:rsidRDefault="00000000">
            <w:pPr>
              <w:pStyle w:val="ti-art"/>
              <w:numPr>
                <w:ilvl w:val="0"/>
                <w:numId w:val="83"/>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fiecare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companie</w:t>
            </w:r>
            <w:proofErr w:type="spellEnd"/>
            <w:r w:rsidRPr="00DD71BD">
              <w:rPr>
                <w:rFonts w:eastAsia="Arial Unicode MS"/>
                <w:color w:val="000000" w:themeColor="text1"/>
                <w:sz w:val="20"/>
                <w:szCs w:val="20"/>
                <w:shd w:val="clear" w:color="auto" w:fill="FFFFFF"/>
                <w:lang w:val="en-US"/>
              </w:rPr>
              <w:t xml:space="preserve"> de transport maritim </w:t>
            </w:r>
            <w:proofErr w:type="spellStart"/>
            <w:r w:rsidRPr="00DD71BD">
              <w:rPr>
                <w:rFonts w:eastAsia="Arial Unicode MS"/>
                <w:color w:val="000000" w:themeColor="text1"/>
                <w:sz w:val="20"/>
                <w:szCs w:val="20"/>
                <w:shd w:val="clear" w:color="auto" w:fill="FFFFFF"/>
                <w:lang w:val="en-US"/>
              </w:rPr>
              <w:t>restituie</w:t>
            </w:r>
            <w:proofErr w:type="spellEnd"/>
            <w:r w:rsidRPr="00DD71BD">
              <w:rPr>
                <w:rFonts w:eastAsia="Arial Unicode MS"/>
                <w:color w:val="000000" w:themeColor="text1"/>
                <w:sz w:val="20"/>
                <w:szCs w:val="20"/>
                <w:shd w:val="clear" w:color="auto" w:fill="FFFFFF"/>
                <w:lang w:val="en-US"/>
              </w:rPr>
              <w:t xml:space="preserve"> un </w:t>
            </w:r>
            <w:proofErr w:type="spellStart"/>
            <w:r w:rsidRPr="00DD71BD">
              <w:rPr>
                <w:rFonts w:eastAsia="Arial Unicode MS"/>
                <w:color w:val="000000" w:themeColor="text1"/>
                <w:sz w:val="20"/>
                <w:szCs w:val="20"/>
                <w:shd w:val="clear" w:color="auto" w:fill="FFFFFF"/>
                <w:lang w:val="en-US"/>
              </w:rPr>
              <w:t>număr</w:t>
            </w:r>
            <w:proofErr w:type="spellEnd"/>
            <w:r w:rsidRPr="00DD71BD">
              <w:rPr>
                <w:rFonts w:eastAsia="Arial Unicode MS"/>
                <w:color w:val="000000" w:themeColor="text1"/>
                <w:sz w:val="20"/>
                <w:szCs w:val="20"/>
                <w:shd w:val="clear" w:color="auto" w:fill="FFFFFF"/>
                <w:lang w:val="en-US"/>
              </w:rPr>
              <w:t xml:space="preserve"> de certificate care </w:t>
            </w:r>
            <w:proofErr w:type="spellStart"/>
            <w:r w:rsidRPr="00DD71BD">
              <w:rPr>
                <w:rFonts w:eastAsia="Arial Unicode MS"/>
                <w:color w:val="000000" w:themeColor="text1"/>
                <w:sz w:val="20"/>
                <w:szCs w:val="20"/>
                <w:shd w:val="clear" w:color="auto" w:fill="FFFFFF"/>
                <w:lang w:val="en-US"/>
              </w:rPr>
              <w:t>este</w:t>
            </w:r>
            <w:proofErr w:type="spellEnd"/>
            <w:r w:rsidRPr="00DD71BD">
              <w:rPr>
                <w:rFonts w:eastAsia="Arial Unicode MS"/>
                <w:color w:val="000000" w:themeColor="text1"/>
                <w:sz w:val="20"/>
                <w:szCs w:val="20"/>
                <w:shd w:val="clear" w:color="auto" w:fill="FFFFFF"/>
                <w:lang w:val="en-US"/>
              </w:rPr>
              <w:t xml:space="preserve"> egal cu </w:t>
            </w:r>
            <w:proofErr w:type="spellStart"/>
            <w:r w:rsidRPr="00DD71BD">
              <w:rPr>
                <w:rFonts w:eastAsia="Arial Unicode MS"/>
                <w:color w:val="000000" w:themeColor="text1"/>
                <w:sz w:val="20"/>
                <w:szCs w:val="20"/>
                <w:shd w:val="clear" w:color="auto" w:fill="FFFFFF"/>
                <w:lang w:val="en-US"/>
              </w:rPr>
              <w:t>totalul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emisiilor</w:t>
            </w:r>
            <w:proofErr w:type="spellEnd"/>
            <w:r w:rsidRPr="00DD71BD">
              <w:rPr>
                <w:rFonts w:eastAsia="Arial Unicode MS"/>
                <w:color w:val="000000" w:themeColor="text1"/>
                <w:sz w:val="20"/>
                <w:szCs w:val="20"/>
                <w:shd w:val="clear" w:color="auto" w:fill="FFFFFF"/>
                <w:lang w:val="en-US"/>
              </w:rPr>
              <w:t xml:space="preserve"> sale pe </w:t>
            </w:r>
            <w:proofErr w:type="spellStart"/>
            <w:r w:rsidRPr="00DD71BD">
              <w:rPr>
                <w:rFonts w:eastAsia="Arial Unicode MS"/>
                <w:color w:val="000000" w:themeColor="text1"/>
                <w:sz w:val="20"/>
                <w:szCs w:val="20"/>
                <w:shd w:val="clear" w:color="auto" w:fill="FFFFFF"/>
                <w:lang w:val="en-US"/>
              </w:rPr>
              <w:t>parcursul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anului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calendaristic</w:t>
            </w:r>
            <w:proofErr w:type="spellEnd"/>
            <w:r w:rsidRPr="00DD71BD">
              <w:rPr>
                <w:rFonts w:eastAsia="Arial Unicode MS"/>
                <w:color w:val="000000" w:themeColor="text1"/>
                <w:sz w:val="20"/>
                <w:szCs w:val="20"/>
                <w:shd w:val="clear" w:color="auto" w:fill="FFFFFF"/>
                <w:lang w:val="en-US"/>
              </w:rPr>
              <w:t xml:space="preserve"> anterior, </w:t>
            </w:r>
            <w:proofErr w:type="spellStart"/>
            <w:r w:rsidRPr="00DD71BD">
              <w:rPr>
                <w:rFonts w:eastAsia="Arial Unicode MS"/>
                <w:color w:val="000000" w:themeColor="text1"/>
                <w:sz w:val="20"/>
                <w:szCs w:val="20"/>
                <w:shd w:val="clear" w:color="auto" w:fill="FFFFFF"/>
                <w:lang w:val="en-US"/>
              </w:rPr>
              <w:t>potrivit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verificării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efectuate</w:t>
            </w:r>
            <w:proofErr w:type="spellEnd"/>
            <w:r w:rsidRPr="00DD71BD">
              <w:rPr>
                <w:rFonts w:eastAsia="Arial Unicode MS"/>
                <w:color w:val="000000" w:themeColor="text1"/>
                <w:sz w:val="20"/>
                <w:szCs w:val="20"/>
                <w:shd w:val="clear" w:color="auto" w:fill="FFFFFF"/>
                <w:lang w:val="en-US"/>
              </w:rPr>
              <w:t xml:space="preserve"> în conformitate cu </w:t>
            </w:r>
            <w:proofErr w:type="spellStart"/>
            <w:r w:rsidRPr="00DD71BD">
              <w:rPr>
                <w:rFonts w:eastAsia="Arial Unicode MS"/>
                <w:color w:val="000000" w:themeColor="text1"/>
                <w:sz w:val="20"/>
                <w:szCs w:val="20"/>
                <w:shd w:val="clear" w:color="auto" w:fill="FFFFFF"/>
                <w:lang w:val="en-US"/>
              </w:rPr>
              <w:t>articolul</w:t>
            </w:r>
            <w:proofErr w:type="spellEnd"/>
            <w:r w:rsidR="00DD71BD">
              <w:rPr>
                <w:rFonts w:eastAsia="Arial Unicode MS"/>
                <w:color w:val="000000" w:themeColor="text1"/>
                <w:sz w:val="20"/>
                <w:szCs w:val="20"/>
                <w:shd w:val="clear" w:color="auto" w:fill="FFFFFF"/>
                <w:lang w:val="en-US"/>
              </w:rPr>
              <w:t xml:space="preserve"> </w:t>
            </w:r>
            <w:r w:rsidRPr="00DD71BD">
              <w:rPr>
                <w:rFonts w:eastAsia="Arial Unicode MS"/>
                <w:color w:val="000000" w:themeColor="text1"/>
                <w:sz w:val="20"/>
                <w:szCs w:val="20"/>
                <w:shd w:val="clear" w:color="auto" w:fill="FFFFFF"/>
                <w:lang w:val="en-US"/>
              </w:rPr>
              <w:t>3ge.</w:t>
            </w:r>
          </w:p>
          <w:p w14:paraId="2E8F5242" w14:textId="77777777" w:rsidR="00124364" w:rsidRPr="00DD71BD" w:rsidRDefault="00000000" w:rsidP="00DD71B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Statele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membre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statele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membre</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administrare</w:t>
            </w:r>
            <w:proofErr w:type="spellEnd"/>
            <w:r w:rsidRPr="00DD71BD">
              <w:rPr>
                <w:rFonts w:eastAsia="Arial Unicode MS"/>
                <w:color w:val="000000" w:themeColor="text1"/>
                <w:sz w:val="20"/>
                <w:szCs w:val="20"/>
                <w:shd w:val="clear" w:color="auto" w:fill="FFFFFF"/>
                <w:lang w:val="en-US"/>
              </w:rPr>
              <w:t xml:space="preserve"> și </w:t>
            </w:r>
            <w:proofErr w:type="spellStart"/>
            <w:r w:rsidRPr="00DD71BD">
              <w:rPr>
                <w:rFonts w:eastAsia="Arial Unicode MS"/>
                <w:color w:val="000000" w:themeColor="text1"/>
                <w:sz w:val="20"/>
                <w:szCs w:val="20"/>
                <w:shd w:val="clear" w:color="auto" w:fill="FFFFFF"/>
                <w:lang w:val="en-US"/>
              </w:rPr>
              <w:t>autoritățile</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administrare</w:t>
            </w:r>
            <w:proofErr w:type="spellEnd"/>
            <w:r w:rsidRPr="00DD71BD">
              <w:rPr>
                <w:rFonts w:eastAsia="Arial Unicode MS"/>
                <w:color w:val="000000" w:themeColor="text1"/>
                <w:sz w:val="20"/>
                <w:szCs w:val="20"/>
                <w:shd w:val="clear" w:color="auto" w:fill="FFFFFF"/>
                <w:lang w:val="en-US"/>
              </w:rPr>
              <w:t xml:space="preserve"> ale </w:t>
            </w:r>
            <w:proofErr w:type="spellStart"/>
            <w:r w:rsidRPr="00DD71BD">
              <w:rPr>
                <w:rFonts w:eastAsia="Arial Unicode MS"/>
                <w:color w:val="000000" w:themeColor="text1"/>
                <w:sz w:val="20"/>
                <w:szCs w:val="20"/>
                <w:shd w:val="clear" w:color="auto" w:fill="FFFFFF"/>
                <w:lang w:val="en-US"/>
              </w:rPr>
              <w:t>unei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companii</w:t>
            </w:r>
            <w:proofErr w:type="spellEnd"/>
            <w:r w:rsidRPr="00DD71BD">
              <w:rPr>
                <w:rFonts w:eastAsia="Arial Unicode MS"/>
                <w:color w:val="000000" w:themeColor="text1"/>
                <w:sz w:val="20"/>
                <w:szCs w:val="20"/>
                <w:shd w:val="clear" w:color="auto" w:fill="FFFFFF"/>
                <w:lang w:val="en-US"/>
              </w:rPr>
              <w:t xml:space="preserve"> de transport maritim se </w:t>
            </w:r>
            <w:proofErr w:type="spellStart"/>
            <w:r w:rsidRPr="00DD71BD">
              <w:rPr>
                <w:rFonts w:eastAsia="Arial Unicode MS"/>
                <w:color w:val="000000" w:themeColor="text1"/>
                <w:sz w:val="20"/>
                <w:szCs w:val="20"/>
                <w:shd w:val="clear" w:color="auto" w:fill="FFFFFF"/>
                <w:lang w:val="en-US"/>
              </w:rPr>
              <w:t>asigură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că</w:t>
            </w:r>
            <w:proofErr w:type="spellEnd"/>
            <w:r w:rsidRPr="00DD71BD">
              <w:rPr>
                <w:rFonts w:eastAsia="Arial Unicode MS"/>
                <w:color w:val="000000" w:themeColor="text1"/>
                <w:sz w:val="20"/>
                <w:szCs w:val="20"/>
                <w:shd w:val="clear" w:color="auto" w:fill="FFFFFF"/>
                <w:lang w:val="en-US"/>
              </w:rPr>
              <w:t xml:space="preserve">, ulterior, </w:t>
            </w:r>
            <w:proofErr w:type="spellStart"/>
            <w:r w:rsidRPr="00DD71BD">
              <w:rPr>
                <w:rFonts w:eastAsia="Arial Unicode MS"/>
                <w:color w:val="000000" w:themeColor="text1"/>
                <w:sz w:val="20"/>
                <w:szCs w:val="20"/>
                <w:shd w:val="clear" w:color="auto" w:fill="FFFFFF"/>
                <w:lang w:val="en-US"/>
              </w:rPr>
              <w:t>certificatele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restituite</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temeiul</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primului</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paragraf</w:t>
            </w:r>
            <w:proofErr w:type="spellEnd"/>
            <w:r w:rsidRPr="00DD71BD">
              <w:rPr>
                <w:rFonts w:eastAsia="Arial Unicode MS"/>
                <w:color w:val="000000" w:themeColor="text1"/>
                <w:sz w:val="20"/>
                <w:szCs w:val="20"/>
                <w:shd w:val="clear" w:color="auto" w:fill="FFFFFF"/>
                <w:lang w:val="en-US"/>
              </w:rPr>
              <w:t xml:space="preserve"> sunt </w:t>
            </w:r>
            <w:proofErr w:type="spellStart"/>
            <w:r w:rsidRPr="00DD71BD">
              <w:rPr>
                <w:rFonts w:eastAsia="Arial Unicode MS"/>
                <w:color w:val="000000" w:themeColor="text1"/>
                <w:sz w:val="20"/>
                <w:szCs w:val="20"/>
                <w:shd w:val="clear" w:color="auto" w:fill="FFFFFF"/>
                <w:lang w:val="en-US"/>
              </w:rPr>
              <w:t>anulate</w:t>
            </w:r>
            <w:proofErr w:type="spellEnd"/>
            <w:r w:rsidRPr="00DD71BD">
              <w:rPr>
                <w:rFonts w:eastAsia="Arial Unicode MS"/>
                <w:color w:val="000000" w:themeColor="text1"/>
                <w:sz w:val="20"/>
                <w:szCs w:val="20"/>
                <w:shd w:val="clear" w:color="auto" w:fill="FFFFFF"/>
                <w:lang w:val="en-US"/>
              </w:rPr>
              <w:t>.</w:t>
            </w:r>
          </w:p>
          <w:p w14:paraId="4B53723C"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12" w:tooltip="32023L0959: INSERTED" w:history="1">
              <w:r w:rsidRPr="00E34C2B">
                <w:rPr>
                  <w:rStyle w:val="af3"/>
                  <w:rFonts w:eastAsia="Arial Unicode MS"/>
                  <w:b/>
                  <w:bCs/>
                  <w:color w:val="4472C4" w:themeColor="accent1"/>
                  <w:sz w:val="20"/>
                  <w:szCs w:val="20"/>
                  <w:lang w:val="en-US"/>
                </w:rPr>
                <w:t>▼M15</w:t>
              </w:r>
            </w:hyperlink>
          </w:p>
          <w:p w14:paraId="5B5253D8" w14:textId="70F57BA8"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rPr>
            </w:pPr>
            <w:r w:rsidRPr="00DD71BD">
              <w:rPr>
                <w:rStyle w:val="no-parag"/>
                <w:rFonts w:ascii="Times New Roman" w:eastAsia="Arial Unicode MS" w:hAnsi="Times New Roman"/>
                <w:color w:val="000000" w:themeColor="text1"/>
                <w:sz w:val="20"/>
                <w:szCs w:val="20"/>
              </w:rPr>
              <w:t>(3-e)</w:t>
            </w:r>
            <w:r w:rsidR="00DD71BD" w:rsidRPr="00DD71BD">
              <w:rPr>
                <w:rStyle w:val="no-parag"/>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Prin</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derogare</w:t>
            </w:r>
            <w:proofErr w:type="spellEnd"/>
            <w:r w:rsidRPr="00DD71BD">
              <w:rPr>
                <w:rFonts w:ascii="Times New Roman" w:eastAsia="Arial Unicode MS" w:hAnsi="Times New Roman"/>
                <w:color w:val="000000" w:themeColor="text1"/>
                <w:sz w:val="20"/>
                <w:szCs w:val="20"/>
              </w:rPr>
              <w:t xml:space="preserve"> de la </w:t>
            </w:r>
            <w:proofErr w:type="spellStart"/>
            <w:r w:rsidRPr="00DD71BD">
              <w:rPr>
                <w:rFonts w:ascii="Times New Roman" w:eastAsia="Arial Unicode MS" w:hAnsi="Times New Roman"/>
                <w:color w:val="000000" w:themeColor="text1"/>
                <w:sz w:val="20"/>
                <w:szCs w:val="20"/>
              </w:rPr>
              <w:t>alineatul</w:t>
            </w:r>
            <w:proofErr w:type="spellEnd"/>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(3) </w:t>
            </w:r>
            <w:proofErr w:type="spellStart"/>
            <w:r w:rsidRPr="00DD71BD">
              <w:rPr>
                <w:rFonts w:ascii="Times New Roman" w:eastAsia="Arial Unicode MS" w:hAnsi="Times New Roman"/>
                <w:color w:val="000000" w:themeColor="text1"/>
                <w:sz w:val="20"/>
                <w:szCs w:val="20"/>
              </w:rPr>
              <w:t>primul</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paragraf</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litera</w:t>
            </w:r>
            <w:proofErr w:type="spellEnd"/>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(c), </w:t>
            </w:r>
            <w:proofErr w:type="spellStart"/>
            <w:r w:rsidRPr="00DD71BD">
              <w:rPr>
                <w:rFonts w:ascii="Times New Roman" w:eastAsia="Arial Unicode MS" w:hAnsi="Times New Roman"/>
                <w:color w:val="000000" w:themeColor="text1"/>
                <w:sz w:val="20"/>
                <w:szCs w:val="20"/>
              </w:rPr>
              <w:t>companiile</w:t>
            </w:r>
            <w:proofErr w:type="spellEnd"/>
            <w:r w:rsidRPr="00DD71BD">
              <w:rPr>
                <w:rFonts w:ascii="Times New Roman" w:eastAsia="Arial Unicode MS" w:hAnsi="Times New Roman"/>
                <w:color w:val="000000" w:themeColor="text1"/>
                <w:sz w:val="20"/>
                <w:szCs w:val="20"/>
              </w:rPr>
              <w:t xml:space="preserve"> de transport maritim pot </w:t>
            </w:r>
            <w:proofErr w:type="spellStart"/>
            <w:r w:rsidRPr="00DD71BD">
              <w:rPr>
                <w:rFonts w:ascii="Times New Roman" w:eastAsia="Arial Unicode MS" w:hAnsi="Times New Roman"/>
                <w:color w:val="000000" w:themeColor="text1"/>
                <w:sz w:val="20"/>
                <w:szCs w:val="20"/>
              </w:rPr>
              <w:t>restitui</w:t>
            </w:r>
            <w:proofErr w:type="spellEnd"/>
            <w:r w:rsidRPr="00DD71BD">
              <w:rPr>
                <w:rFonts w:ascii="Times New Roman" w:eastAsia="Arial Unicode MS" w:hAnsi="Times New Roman"/>
                <w:color w:val="000000" w:themeColor="text1"/>
                <w:sz w:val="20"/>
                <w:szCs w:val="20"/>
              </w:rPr>
              <w:t xml:space="preserve"> cu 5</w:t>
            </w:r>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mai</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puține</w:t>
            </w:r>
            <w:proofErr w:type="spellEnd"/>
            <w:r w:rsidRPr="00DD71BD">
              <w:rPr>
                <w:rFonts w:ascii="Times New Roman" w:eastAsia="Arial Unicode MS" w:hAnsi="Times New Roman"/>
                <w:color w:val="000000" w:themeColor="text1"/>
                <w:sz w:val="20"/>
                <w:szCs w:val="20"/>
              </w:rPr>
              <w:t xml:space="preserve"> certificate </w:t>
            </w:r>
            <w:proofErr w:type="spellStart"/>
            <w:r w:rsidRPr="00DD71BD">
              <w:rPr>
                <w:rFonts w:ascii="Times New Roman" w:eastAsia="Arial Unicode MS" w:hAnsi="Times New Roman"/>
                <w:color w:val="000000" w:themeColor="text1"/>
                <w:sz w:val="20"/>
                <w:szCs w:val="20"/>
              </w:rPr>
              <w:t>decât</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emisiile</w:t>
            </w:r>
            <w:proofErr w:type="spellEnd"/>
            <w:r w:rsidRPr="00DD71BD">
              <w:rPr>
                <w:rFonts w:ascii="Times New Roman" w:eastAsia="Arial Unicode MS" w:hAnsi="Times New Roman"/>
                <w:color w:val="000000" w:themeColor="text1"/>
                <w:sz w:val="20"/>
                <w:szCs w:val="20"/>
              </w:rPr>
              <w:t xml:space="preserve"> lor </w:t>
            </w:r>
            <w:proofErr w:type="spellStart"/>
            <w:r w:rsidRPr="00DD71BD">
              <w:rPr>
                <w:rFonts w:ascii="Times New Roman" w:eastAsia="Arial Unicode MS" w:hAnsi="Times New Roman"/>
                <w:color w:val="000000" w:themeColor="text1"/>
                <w:sz w:val="20"/>
                <w:szCs w:val="20"/>
              </w:rPr>
              <w:t>verificate</w:t>
            </w:r>
            <w:proofErr w:type="spellEnd"/>
            <w:r w:rsidRPr="00DD71BD">
              <w:rPr>
                <w:rFonts w:ascii="Times New Roman" w:eastAsia="Arial Unicode MS" w:hAnsi="Times New Roman"/>
                <w:color w:val="000000" w:themeColor="text1"/>
                <w:sz w:val="20"/>
                <w:szCs w:val="20"/>
              </w:rPr>
              <w:t xml:space="preserve"> generate </w:t>
            </w:r>
            <w:proofErr w:type="spellStart"/>
            <w:r w:rsidRPr="00DD71BD">
              <w:rPr>
                <w:rFonts w:ascii="Times New Roman" w:eastAsia="Arial Unicode MS" w:hAnsi="Times New Roman"/>
                <w:color w:val="000000" w:themeColor="text1"/>
                <w:sz w:val="20"/>
                <w:szCs w:val="20"/>
              </w:rPr>
              <w:t>până</w:t>
            </w:r>
            <w:proofErr w:type="spellEnd"/>
            <w:r w:rsidRPr="00DD71BD">
              <w:rPr>
                <w:rFonts w:ascii="Times New Roman" w:eastAsia="Arial Unicode MS" w:hAnsi="Times New Roman"/>
                <w:color w:val="000000" w:themeColor="text1"/>
                <w:sz w:val="20"/>
                <w:szCs w:val="20"/>
              </w:rPr>
              <w:t xml:space="preserve"> la 31</w:t>
            </w:r>
            <w:r w:rsidR="00DD71BD"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decembrie</w:t>
            </w:r>
            <w:proofErr w:type="spellEnd"/>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2030 de </w:t>
            </w:r>
            <w:proofErr w:type="spellStart"/>
            <w:r w:rsidRPr="00DD71BD">
              <w:rPr>
                <w:rFonts w:ascii="Times New Roman" w:eastAsia="Arial Unicode MS" w:hAnsi="Times New Roman"/>
                <w:color w:val="000000" w:themeColor="text1"/>
                <w:sz w:val="20"/>
                <w:szCs w:val="20"/>
              </w:rPr>
              <w:t>navele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clasificate</w:t>
            </w:r>
            <w:proofErr w:type="spellEnd"/>
            <w:r w:rsidRPr="00DD71BD">
              <w:rPr>
                <w:rFonts w:ascii="Times New Roman" w:eastAsia="Arial Unicode MS" w:hAnsi="Times New Roman"/>
                <w:color w:val="000000" w:themeColor="text1"/>
                <w:sz w:val="20"/>
                <w:szCs w:val="20"/>
              </w:rPr>
              <w:t xml:space="preserve"> ca nave din </w:t>
            </w:r>
            <w:proofErr w:type="spellStart"/>
            <w:r w:rsidRPr="00DD71BD">
              <w:rPr>
                <w:rFonts w:ascii="Times New Roman" w:eastAsia="Arial Unicode MS" w:hAnsi="Times New Roman"/>
                <w:color w:val="000000" w:themeColor="text1"/>
                <w:sz w:val="20"/>
                <w:szCs w:val="20"/>
              </w:rPr>
              <w:t>clasa</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gheață</w:t>
            </w:r>
            <w:proofErr w:type="spellEnd"/>
            <w:r w:rsidRPr="00DD71BD">
              <w:rPr>
                <w:rFonts w:ascii="Times New Roman" w:eastAsia="Arial Unicode MS" w:hAnsi="Times New Roman"/>
                <w:color w:val="000000" w:themeColor="text1"/>
                <w:sz w:val="20"/>
                <w:szCs w:val="20"/>
              </w:rPr>
              <w:t xml:space="preserve">, cu </w:t>
            </w:r>
            <w:proofErr w:type="spellStart"/>
            <w:r w:rsidRPr="00DD71BD">
              <w:rPr>
                <w:rFonts w:ascii="Times New Roman" w:eastAsia="Arial Unicode MS" w:hAnsi="Times New Roman"/>
                <w:color w:val="000000" w:themeColor="text1"/>
                <w:sz w:val="20"/>
                <w:szCs w:val="20"/>
              </w:rPr>
              <w:t>condiția</w:t>
            </w:r>
            <w:proofErr w:type="spellEnd"/>
            <w:r w:rsidRPr="00DD71BD">
              <w:rPr>
                <w:rFonts w:ascii="Times New Roman" w:eastAsia="Arial Unicode MS" w:hAnsi="Times New Roman"/>
                <w:color w:val="000000" w:themeColor="text1"/>
                <w:sz w:val="20"/>
                <w:szCs w:val="20"/>
              </w:rPr>
              <w:t xml:space="preserve"> ca </w:t>
            </w:r>
            <w:proofErr w:type="spellStart"/>
            <w:r w:rsidRPr="00DD71BD">
              <w:rPr>
                <w:rFonts w:ascii="Times New Roman" w:eastAsia="Arial Unicode MS" w:hAnsi="Times New Roman"/>
                <w:color w:val="000000" w:themeColor="text1"/>
                <w:sz w:val="20"/>
                <w:szCs w:val="20"/>
              </w:rPr>
              <w:t>astfel</w:t>
            </w:r>
            <w:proofErr w:type="spellEnd"/>
            <w:r w:rsidRPr="00DD71BD">
              <w:rPr>
                <w:rFonts w:ascii="Times New Roman" w:eastAsia="Arial Unicode MS" w:hAnsi="Times New Roman"/>
                <w:color w:val="000000" w:themeColor="text1"/>
                <w:sz w:val="20"/>
                <w:szCs w:val="20"/>
              </w:rPr>
              <w:t xml:space="preserve"> de nave </w:t>
            </w:r>
            <w:proofErr w:type="spellStart"/>
            <w:r w:rsidRPr="00DD71BD">
              <w:rPr>
                <w:rFonts w:ascii="Times New Roman" w:eastAsia="Arial Unicode MS" w:hAnsi="Times New Roman"/>
                <w:color w:val="000000" w:themeColor="text1"/>
                <w:sz w:val="20"/>
                <w:szCs w:val="20"/>
              </w:rPr>
              <w:t>să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aibă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clasa</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gheață</w:t>
            </w:r>
            <w:proofErr w:type="spellEnd"/>
            <w:r w:rsidRPr="00DD71BD">
              <w:rPr>
                <w:rFonts w:ascii="Times New Roman" w:eastAsia="Arial Unicode MS" w:hAnsi="Times New Roman"/>
                <w:color w:val="000000" w:themeColor="text1"/>
                <w:sz w:val="20"/>
                <w:szCs w:val="20"/>
              </w:rPr>
              <w:t xml:space="preserve"> IA </w:t>
            </w:r>
            <w:proofErr w:type="spellStart"/>
            <w:r w:rsidRPr="00DD71BD">
              <w:rPr>
                <w:rFonts w:ascii="Times New Roman" w:eastAsia="Arial Unicode MS" w:hAnsi="Times New Roman"/>
                <w:color w:val="000000" w:themeColor="text1"/>
                <w:sz w:val="20"/>
                <w:szCs w:val="20"/>
              </w:rPr>
              <w:t>sau</w:t>
            </w:r>
            <w:proofErr w:type="spellEnd"/>
            <w:r w:rsidRPr="00DD71BD">
              <w:rPr>
                <w:rFonts w:ascii="Times New Roman" w:eastAsia="Arial Unicode MS" w:hAnsi="Times New Roman"/>
                <w:color w:val="000000" w:themeColor="text1"/>
                <w:sz w:val="20"/>
                <w:szCs w:val="20"/>
              </w:rPr>
              <w:t xml:space="preserve"> IA Super </w:t>
            </w:r>
            <w:proofErr w:type="spellStart"/>
            <w:r w:rsidRPr="00DD71BD">
              <w:rPr>
                <w:rFonts w:ascii="Times New Roman" w:eastAsia="Arial Unicode MS" w:hAnsi="Times New Roman"/>
                <w:color w:val="000000" w:themeColor="text1"/>
                <w:sz w:val="20"/>
                <w:szCs w:val="20"/>
              </w:rPr>
              <w:t>sau</w:t>
            </w:r>
            <w:proofErr w:type="spellEnd"/>
            <w:r w:rsidRPr="00DD71BD">
              <w:rPr>
                <w:rFonts w:ascii="Times New Roman" w:eastAsia="Arial Unicode MS" w:hAnsi="Times New Roman"/>
                <w:color w:val="000000" w:themeColor="text1"/>
                <w:sz w:val="20"/>
                <w:szCs w:val="20"/>
              </w:rPr>
              <w:t xml:space="preserve"> o </w:t>
            </w:r>
            <w:proofErr w:type="spellStart"/>
            <w:r w:rsidRPr="00DD71BD">
              <w:rPr>
                <w:rFonts w:ascii="Times New Roman" w:eastAsia="Arial Unicode MS" w:hAnsi="Times New Roman"/>
                <w:color w:val="000000" w:themeColor="text1"/>
                <w:sz w:val="20"/>
                <w:szCs w:val="20"/>
              </w:rPr>
              <w:t>clasă</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gheață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echivalentă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stabilită</w:t>
            </w:r>
            <w:proofErr w:type="spellEnd"/>
            <w:r w:rsidRPr="00DD71BD">
              <w:rPr>
                <w:rFonts w:ascii="Times New Roman" w:eastAsia="Arial Unicode MS" w:hAnsi="Times New Roman"/>
                <w:color w:val="000000" w:themeColor="text1"/>
                <w:sz w:val="20"/>
                <w:szCs w:val="20"/>
              </w:rPr>
              <w:t xml:space="preserve"> pe </w:t>
            </w:r>
            <w:proofErr w:type="spellStart"/>
            <w:r w:rsidRPr="00DD71BD">
              <w:rPr>
                <w:rFonts w:ascii="Times New Roman" w:eastAsia="Arial Unicode MS" w:hAnsi="Times New Roman"/>
                <w:color w:val="000000" w:themeColor="text1"/>
                <w:sz w:val="20"/>
                <w:szCs w:val="20"/>
              </w:rPr>
              <w:t>baza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Recomandării</w:t>
            </w:r>
            <w:proofErr w:type="spellEnd"/>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25/7 a</w:t>
            </w:r>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HELCOM.</w:t>
            </w:r>
          </w:p>
          <w:p w14:paraId="00675C77" w14:textId="04D023A6"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DD71BD">
              <w:rPr>
                <w:rFonts w:ascii="Times New Roman" w:eastAsia="Arial Unicode MS" w:hAnsi="Times New Roman"/>
                <w:color w:val="000000" w:themeColor="text1"/>
                <w:sz w:val="20"/>
                <w:szCs w:val="20"/>
                <w:shd w:val="clear" w:color="auto" w:fill="FFFFFF"/>
              </w:rPr>
              <w:t xml:space="preserve">În </w:t>
            </w:r>
            <w:proofErr w:type="spellStart"/>
            <w:r w:rsidRPr="00DD71BD">
              <w:rPr>
                <w:rFonts w:ascii="Times New Roman" w:eastAsia="Arial Unicode MS" w:hAnsi="Times New Roman"/>
                <w:color w:val="000000" w:themeColor="text1"/>
                <w:sz w:val="20"/>
                <w:szCs w:val="20"/>
                <w:shd w:val="clear" w:color="auto" w:fill="FFFFFF"/>
              </w:rPr>
              <w:t>cazul</w:t>
            </w:r>
            <w:proofErr w:type="spellEnd"/>
            <w:r w:rsidRPr="00DD71BD">
              <w:rPr>
                <w:rFonts w:ascii="Times New Roman" w:eastAsia="Arial Unicode MS" w:hAnsi="Times New Roman"/>
                <w:color w:val="000000" w:themeColor="text1"/>
                <w:sz w:val="20"/>
                <w:szCs w:val="20"/>
                <w:shd w:val="clear" w:color="auto" w:fill="FFFFFF"/>
              </w:rPr>
              <w:t xml:space="preserve"> în care se </w:t>
            </w:r>
            <w:proofErr w:type="spellStart"/>
            <w:r w:rsidRPr="00DD71BD">
              <w:rPr>
                <w:rFonts w:ascii="Times New Roman" w:eastAsia="Arial Unicode MS" w:hAnsi="Times New Roman"/>
                <w:color w:val="000000" w:themeColor="text1"/>
                <w:sz w:val="20"/>
                <w:szCs w:val="20"/>
                <w:shd w:val="clear" w:color="auto" w:fill="FFFFFF"/>
              </w:rPr>
              <w:t>restituie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mai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puține</w:t>
            </w:r>
            <w:proofErr w:type="spellEnd"/>
            <w:r w:rsidRPr="00DD71BD">
              <w:rPr>
                <w:rFonts w:ascii="Times New Roman" w:eastAsia="Arial Unicode MS" w:hAnsi="Times New Roman"/>
                <w:color w:val="000000" w:themeColor="text1"/>
                <w:sz w:val="20"/>
                <w:szCs w:val="20"/>
                <w:shd w:val="clear" w:color="auto" w:fill="FFFFFF"/>
              </w:rPr>
              <w:t xml:space="preserve"> certificate în </w:t>
            </w:r>
            <w:proofErr w:type="spellStart"/>
            <w:r w:rsidRPr="00DD71BD">
              <w:rPr>
                <w:rFonts w:ascii="Times New Roman" w:eastAsia="Arial Unicode MS" w:hAnsi="Times New Roman"/>
                <w:color w:val="000000" w:themeColor="text1"/>
                <w:sz w:val="20"/>
                <w:szCs w:val="20"/>
                <w:shd w:val="clear" w:color="auto" w:fill="FFFFFF"/>
              </w:rPr>
              <w:t>comparație</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verificate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odată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diferența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dintre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verificate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certificatele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restituite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fost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stabilită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fiecare</w:t>
            </w:r>
            <w:proofErr w:type="spellEnd"/>
            <w:r w:rsidRPr="00DD71BD">
              <w:rPr>
                <w:rFonts w:ascii="Times New Roman" w:eastAsia="Arial Unicode MS" w:hAnsi="Times New Roman"/>
                <w:color w:val="000000" w:themeColor="text1"/>
                <w:sz w:val="20"/>
                <w:szCs w:val="20"/>
                <w:shd w:val="clear" w:color="auto" w:fill="FFFFFF"/>
              </w:rPr>
              <w:t xml:space="preserve"> an, un </w:t>
            </w:r>
            <w:proofErr w:type="spellStart"/>
            <w:r w:rsidRPr="00DD71BD">
              <w:rPr>
                <w:rFonts w:ascii="Times New Roman" w:eastAsia="Arial Unicode MS" w:hAnsi="Times New Roman"/>
                <w:color w:val="000000" w:themeColor="text1"/>
                <w:sz w:val="20"/>
                <w:szCs w:val="20"/>
                <w:shd w:val="clear" w:color="auto" w:fill="FFFFFF"/>
              </w:rPr>
              <w:t>volum</w:t>
            </w:r>
            <w:proofErr w:type="spellEnd"/>
            <w:r w:rsidRPr="00DD71BD">
              <w:rPr>
                <w:rFonts w:ascii="Times New Roman" w:eastAsia="Arial Unicode MS" w:hAnsi="Times New Roman"/>
                <w:color w:val="000000" w:themeColor="text1"/>
                <w:sz w:val="20"/>
                <w:szCs w:val="20"/>
                <w:shd w:val="clear" w:color="auto" w:fill="FFFFFF"/>
              </w:rPr>
              <w:t xml:space="preserve"> de certificate </w:t>
            </w:r>
            <w:proofErr w:type="spellStart"/>
            <w:r w:rsidRPr="00DD71BD">
              <w:rPr>
                <w:rFonts w:ascii="Times New Roman" w:eastAsia="Arial Unicode MS" w:hAnsi="Times New Roman"/>
                <w:color w:val="000000" w:themeColor="text1"/>
                <w:sz w:val="20"/>
                <w:szCs w:val="20"/>
                <w:shd w:val="clear" w:color="auto" w:fill="FFFFFF"/>
              </w:rPr>
              <w:t>corespunzător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diferenței</w:t>
            </w:r>
            <w:proofErr w:type="spellEnd"/>
            <w:r w:rsidRPr="00DD71BD">
              <w:rPr>
                <w:rFonts w:ascii="Times New Roman" w:eastAsia="Arial Unicode MS" w:hAnsi="Times New Roman"/>
                <w:color w:val="000000" w:themeColor="text1"/>
                <w:sz w:val="20"/>
                <w:szCs w:val="20"/>
                <w:shd w:val="clear" w:color="auto" w:fill="FFFFFF"/>
              </w:rPr>
              <w:t xml:space="preserve"> respective se </w:t>
            </w:r>
            <w:proofErr w:type="spellStart"/>
            <w:r w:rsidRPr="00DD71BD">
              <w:rPr>
                <w:rFonts w:ascii="Times New Roman" w:eastAsia="Arial Unicode MS" w:hAnsi="Times New Roman"/>
                <w:color w:val="000000" w:themeColor="text1"/>
                <w:sz w:val="20"/>
                <w:szCs w:val="20"/>
                <w:shd w:val="clear" w:color="auto" w:fill="FFFFFF"/>
              </w:rPr>
              <w:t>anulează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loc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fie </w:t>
            </w:r>
            <w:proofErr w:type="spellStart"/>
            <w:r w:rsidRPr="00DD71BD">
              <w:rPr>
                <w:rFonts w:ascii="Times New Roman" w:eastAsia="Arial Unicode MS" w:hAnsi="Times New Roman"/>
                <w:color w:val="000000" w:themeColor="text1"/>
                <w:sz w:val="20"/>
                <w:szCs w:val="20"/>
                <w:shd w:val="clear" w:color="auto" w:fill="FFFFFF"/>
              </w:rPr>
              <w:t>scos</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licitație</w:t>
            </w:r>
            <w:proofErr w:type="spellEnd"/>
            <w:r w:rsidRPr="00DD71BD">
              <w:rPr>
                <w:rFonts w:ascii="Times New Roman" w:eastAsia="Arial Unicode MS" w:hAnsi="Times New Roman"/>
                <w:color w:val="000000" w:themeColor="text1"/>
                <w:sz w:val="20"/>
                <w:szCs w:val="20"/>
                <w:shd w:val="clear" w:color="auto" w:fill="FFFFFF"/>
              </w:rPr>
              <w:t xml:space="preserve"> în conformitate cu </w:t>
            </w:r>
            <w:proofErr w:type="spellStart"/>
            <w:r w:rsidRPr="00DD71BD">
              <w:rPr>
                <w:rFonts w:ascii="Times New Roman" w:eastAsia="Arial Unicode MS" w:hAnsi="Times New Roman"/>
                <w:color w:val="000000" w:themeColor="text1"/>
                <w:sz w:val="20"/>
                <w:szCs w:val="20"/>
                <w:shd w:val="clear" w:color="auto" w:fill="FFFFFF"/>
              </w:rPr>
              <w:t>articolul</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10.</w:t>
            </w:r>
          </w:p>
          <w:p w14:paraId="1852F04A" w14:textId="3B3F4B42" w:rsidR="00124364" w:rsidRDefault="00000000" w:rsidP="00DD71BD">
            <w:pPr>
              <w:suppressAutoHyphens w:val="0"/>
              <w:autoSpaceDN/>
              <w:spacing w:after="0" w:line="240" w:lineRule="auto"/>
              <w:jc w:val="both"/>
              <w:textAlignment w:val="auto"/>
              <w:rPr>
                <w:rFonts w:ascii="Times New Roman" w:hAnsi="Times New Roman"/>
                <w:sz w:val="20"/>
                <w:szCs w:val="20"/>
                <w:lang w:val="en-US"/>
              </w:rPr>
            </w:pPr>
            <w:r>
              <w:rPr>
                <w:rStyle w:val="no-parag"/>
                <w:rFonts w:ascii="Times New Roman" w:eastAsia="Arial Unicode MS" w:hAnsi="Times New Roman"/>
                <w:color w:val="333333"/>
                <w:sz w:val="20"/>
                <w:szCs w:val="20"/>
              </w:rPr>
              <w:t>(3-d)</w:t>
            </w:r>
            <w:r w:rsidR="00DD71BD">
              <w:rPr>
                <w:rStyle w:val="no-parag"/>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Prin</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derogare</w:t>
            </w:r>
            <w:proofErr w:type="spellEnd"/>
            <w:r>
              <w:rPr>
                <w:rFonts w:ascii="Times New Roman" w:eastAsia="Arial Unicode MS" w:hAnsi="Times New Roman"/>
                <w:color w:val="333333"/>
                <w:sz w:val="20"/>
                <w:szCs w:val="20"/>
              </w:rPr>
              <w:t xml:space="preserve"> de la </w:t>
            </w:r>
            <w:proofErr w:type="spellStart"/>
            <w:r>
              <w:rPr>
                <w:rFonts w:ascii="Times New Roman" w:eastAsia="Arial Unicode MS" w:hAnsi="Times New Roman"/>
                <w:color w:val="333333"/>
                <w:sz w:val="20"/>
                <w:szCs w:val="20"/>
              </w:rPr>
              <w:t>alineatul</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(3) </w:t>
            </w:r>
            <w:proofErr w:type="spellStart"/>
            <w:r>
              <w:rPr>
                <w:rFonts w:ascii="Times New Roman" w:eastAsia="Arial Unicode MS" w:hAnsi="Times New Roman"/>
                <w:color w:val="333333"/>
                <w:sz w:val="20"/>
                <w:szCs w:val="20"/>
              </w:rPr>
              <w:t>primul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paragraf</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litera</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(c) de la </w:t>
            </w:r>
            <w:proofErr w:type="spellStart"/>
            <w:r>
              <w:rPr>
                <w:rFonts w:ascii="Times New Roman" w:eastAsia="Arial Unicode MS" w:hAnsi="Times New Roman"/>
                <w:color w:val="333333"/>
                <w:sz w:val="20"/>
                <w:szCs w:val="20"/>
              </w:rPr>
              <w:t>prezentul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articol</w:t>
            </w:r>
            <w:proofErr w:type="spellEnd"/>
            <w:r>
              <w:rPr>
                <w:rFonts w:ascii="Times New Roman" w:eastAsia="Arial Unicode MS" w:hAnsi="Times New Roman"/>
                <w:color w:val="333333"/>
                <w:sz w:val="20"/>
                <w:szCs w:val="20"/>
              </w:rPr>
              <w:t xml:space="preserve"> și de la </w:t>
            </w:r>
            <w:proofErr w:type="spellStart"/>
            <w:r>
              <w:rPr>
                <w:rFonts w:ascii="Times New Roman" w:eastAsia="Arial Unicode MS" w:hAnsi="Times New Roman"/>
                <w:color w:val="333333"/>
                <w:sz w:val="20"/>
                <w:szCs w:val="20"/>
              </w:rPr>
              <w:t>articolul</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16, </w:t>
            </w:r>
            <w:proofErr w:type="spellStart"/>
            <w:r>
              <w:rPr>
                <w:rFonts w:ascii="Times New Roman" w:eastAsia="Arial Unicode MS" w:hAnsi="Times New Roman"/>
                <w:color w:val="333333"/>
                <w:sz w:val="20"/>
                <w:szCs w:val="20"/>
              </w:rPr>
              <w:t>Comisia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prevede</w:t>
            </w:r>
            <w:proofErr w:type="spellEnd"/>
            <w:r>
              <w:rPr>
                <w:rFonts w:ascii="Times New Roman" w:eastAsia="Arial Unicode MS" w:hAnsi="Times New Roman"/>
                <w:color w:val="333333"/>
                <w:sz w:val="20"/>
                <w:szCs w:val="20"/>
              </w:rPr>
              <w:t xml:space="preserve">, la </w:t>
            </w:r>
            <w:proofErr w:type="spellStart"/>
            <w:r>
              <w:rPr>
                <w:rFonts w:ascii="Times New Roman" w:eastAsia="Arial Unicode MS" w:hAnsi="Times New Roman"/>
                <w:color w:val="333333"/>
                <w:sz w:val="20"/>
                <w:szCs w:val="20"/>
              </w:rPr>
              <w:t>cererea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prin</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intermediul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act de </w:t>
            </w:r>
            <w:proofErr w:type="spellStart"/>
            <w:r>
              <w:rPr>
                <w:rFonts w:ascii="Times New Roman" w:eastAsia="Arial Unicode MS" w:hAnsi="Times New Roman"/>
                <w:color w:val="333333"/>
                <w:sz w:val="20"/>
                <w:szCs w:val="20"/>
              </w:rPr>
              <w:t>punere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aplicare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statele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considere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cerințele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prevăzute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dispozițiile</w:t>
            </w:r>
            <w:proofErr w:type="spellEnd"/>
            <w:r>
              <w:rPr>
                <w:rFonts w:ascii="Times New Roman" w:eastAsia="Arial Unicode MS" w:hAnsi="Times New Roman"/>
                <w:color w:val="333333"/>
                <w:sz w:val="20"/>
                <w:szCs w:val="20"/>
              </w:rPr>
              <w:t xml:space="preserve"> respective ca </w:t>
            </w:r>
            <w:proofErr w:type="spellStart"/>
            <w:r>
              <w:rPr>
                <w:rFonts w:ascii="Times New Roman" w:eastAsia="Arial Unicode MS" w:hAnsi="Times New Roman"/>
                <w:color w:val="333333"/>
                <w:sz w:val="20"/>
                <w:szCs w:val="20"/>
              </w:rPr>
              <w:t>fiind</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îndeplinite</w:t>
            </w:r>
            <w:proofErr w:type="spellEnd"/>
            <w:r>
              <w:rPr>
                <w:rFonts w:ascii="Times New Roman" w:eastAsia="Arial Unicode MS" w:hAnsi="Times New Roman"/>
                <w:color w:val="333333"/>
                <w:sz w:val="20"/>
                <w:szCs w:val="20"/>
              </w:rPr>
              <w:t xml:space="preserve"> și </w:t>
            </w:r>
            <w:proofErr w:type="spellStart"/>
            <w:r>
              <w:rPr>
                <w:rFonts w:ascii="Times New Roman" w:eastAsia="Arial Unicode MS" w:hAnsi="Times New Roman"/>
                <w:color w:val="333333"/>
                <w:sz w:val="20"/>
                <w:szCs w:val="20"/>
              </w:rPr>
              <w:t>că</w:t>
            </w:r>
            <w:proofErr w:type="spellEnd"/>
            <w:r>
              <w:rPr>
                <w:rFonts w:ascii="Times New Roman" w:eastAsia="Arial Unicode MS" w:hAnsi="Times New Roman"/>
                <w:color w:val="333333"/>
                <w:sz w:val="20"/>
                <w:szCs w:val="20"/>
              </w:rPr>
              <w:t xml:space="preserve"> nu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nicio</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măsură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împotriva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companiilor</w:t>
            </w:r>
            <w:proofErr w:type="spellEnd"/>
            <w:r>
              <w:rPr>
                <w:rFonts w:ascii="Times New Roman" w:eastAsia="Arial Unicode MS" w:hAnsi="Times New Roman"/>
                <w:color w:val="333333"/>
                <w:sz w:val="20"/>
                <w:szCs w:val="20"/>
              </w:rPr>
              <w:t xml:space="preserve"> de transport maritim în </w:t>
            </w:r>
            <w:proofErr w:type="spellStart"/>
            <w:r>
              <w:rPr>
                <w:rFonts w:ascii="Times New Roman" w:eastAsia="Arial Unicode MS" w:hAnsi="Times New Roman"/>
                <w:color w:val="333333"/>
                <w:sz w:val="20"/>
                <w:szCs w:val="20"/>
              </w:rPr>
              <w:t>ceea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privește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emisiile</w:t>
            </w:r>
            <w:proofErr w:type="spellEnd"/>
            <w:r>
              <w:rPr>
                <w:rFonts w:ascii="Times New Roman" w:eastAsia="Arial Unicode MS" w:hAnsi="Times New Roman"/>
                <w:color w:val="333333"/>
                <w:sz w:val="20"/>
                <w:szCs w:val="20"/>
              </w:rPr>
              <w:t xml:space="preserve"> generate </w:t>
            </w:r>
            <w:proofErr w:type="spellStart"/>
            <w:r>
              <w:rPr>
                <w:rFonts w:ascii="Times New Roman" w:eastAsia="Arial Unicode MS" w:hAnsi="Times New Roman"/>
                <w:color w:val="333333"/>
                <w:sz w:val="20"/>
                <w:szCs w:val="20"/>
              </w:rPr>
              <w:t>până</w:t>
            </w:r>
            <w:proofErr w:type="spellEnd"/>
            <w:r>
              <w:rPr>
                <w:rFonts w:ascii="Times New Roman" w:eastAsia="Arial Unicode MS" w:hAnsi="Times New Roman"/>
                <w:color w:val="333333"/>
                <w:sz w:val="20"/>
                <w:szCs w:val="20"/>
              </w:rPr>
              <w:t xml:space="preserve"> la 31</w:t>
            </w:r>
            <w:r w:rsidR="00DD71BD">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decembrie</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2030 de </w:t>
            </w:r>
            <w:proofErr w:type="spellStart"/>
            <w:r>
              <w:rPr>
                <w:rFonts w:ascii="Times New Roman" w:eastAsia="Arial Unicode MS" w:hAnsi="Times New Roman"/>
                <w:color w:val="333333"/>
                <w:sz w:val="20"/>
                <w:szCs w:val="20"/>
              </w:rPr>
              <w:t>călătoriile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efectuate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navele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pasageri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altele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decât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navele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croazieră</w:t>
            </w:r>
            <w:proofErr w:type="spellEnd"/>
            <w:r>
              <w:rPr>
                <w:rFonts w:ascii="Times New Roman" w:eastAsia="Arial Unicode MS" w:hAnsi="Times New Roman"/>
                <w:color w:val="333333"/>
                <w:sz w:val="20"/>
                <w:szCs w:val="20"/>
              </w:rPr>
              <w:t xml:space="preserve">, și de </w:t>
            </w:r>
            <w:proofErr w:type="spellStart"/>
            <w:r>
              <w:rPr>
                <w:rFonts w:ascii="Times New Roman" w:eastAsia="Arial Unicode MS" w:hAnsi="Times New Roman"/>
                <w:color w:val="333333"/>
                <w:sz w:val="20"/>
                <w:szCs w:val="20"/>
              </w:rPr>
              <w:t>navele</w:t>
            </w:r>
            <w:proofErr w:type="spellEnd"/>
            <w:r>
              <w:rPr>
                <w:rFonts w:ascii="Times New Roman" w:eastAsia="Arial Unicode MS" w:hAnsi="Times New Roman"/>
                <w:color w:val="333333"/>
                <w:sz w:val="20"/>
                <w:szCs w:val="20"/>
              </w:rPr>
              <w:t xml:space="preserve"> de tip Ro-Ro, </w:t>
            </w:r>
            <w:proofErr w:type="spellStart"/>
            <w:r>
              <w:rPr>
                <w:rFonts w:ascii="Times New Roman" w:eastAsia="Arial Unicode MS" w:hAnsi="Times New Roman"/>
                <w:color w:val="333333"/>
                <w:sz w:val="20"/>
                <w:szCs w:val="20"/>
              </w:rPr>
              <w:t>între</w:t>
            </w:r>
            <w:proofErr w:type="spellEnd"/>
            <w:r>
              <w:rPr>
                <w:rFonts w:ascii="Times New Roman" w:eastAsia="Arial Unicode MS" w:hAnsi="Times New Roman"/>
                <w:color w:val="333333"/>
                <w:sz w:val="20"/>
                <w:szCs w:val="20"/>
              </w:rPr>
              <w:t xml:space="preserve"> un port al </w:t>
            </w:r>
            <w:proofErr w:type="spellStart"/>
            <w:r>
              <w:rPr>
                <w:rFonts w:ascii="Times New Roman" w:eastAsia="Arial Unicode MS" w:hAnsi="Times New Roman"/>
                <w:color w:val="333333"/>
                <w:sz w:val="20"/>
                <w:szCs w:val="20"/>
              </w:rPr>
              <w:t>unei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insule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aflat</w:t>
            </w:r>
            <w:proofErr w:type="spellEnd"/>
            <w:r>
              <w:rPr>
                <w:rFonts w:ascii="Times New Roman" w:eastAsia="Arial Unicode MS" w:hAnsi="Times New Roman"/>
                <w:color w:val="333333"/>
                <w:sz w:val="20"/>
                <w:szCs w:val="20"/>
              </w:rPr>
              <w:t xml:space="preserve"> sub </w:t>
            </w:r>
            <w:proofErr w:type="spellStart"/>
            <w:r>
              <w:rPr>
                <w:rFonts w:ascii="Times New Roman" w:eastAsia="Arial Unicode MS" w:hAnsi="Times New Roman"/>
                <w:color w:val="333333"/>
                <w:sz w:val="20"/>
                <w:szCs w:val="20"/>
              </w:rPr>
              <w:t>jurisdicția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statului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solicitant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respectiv</w:t>
            </w:r>
            <w:proofErr w:type="spellEnd"/>
            <w:r>
              <w:rPr>
                <w:rFonts w:ascii="Times New Roman" w:eastAsia="Arial Unicode MS" w:hAnsi="Times New Roman"/>
                <w:color w:val="333333"/>
                <w:sz w:val="20"/>
                <w:szCs w:val="20"/>
              </w:rPr>
              <w:t xml:space="preserve">, care nu are </w:t>
            </w:r>
            <w:proofErr w:type="spellStart"/>
            <w:r>
              <w:rPr>
                <w:rFonts w:ascii="Times New Roman" w:eastAsia="Arial Unicode MS" w:hAnsi="Times New Roman"/>
                <w:color w:val="333333"/>
                <w:sz w:val="20"/>
                <w:szCs w:val="20"/>
              </w:rPr>
              <w:t>nicio</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legătură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rutieră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sau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feroviară</w:t>
            </w:r>
            <w:proofErr w:type="spellEnd"/>
            <w:r>
              <w:rPr>
                <w:rFonts w:ascii="Times New Roman" w:eastAsia="Arial Unicode MS" w:hAnsi="Times New Roman"/>
                <w:color w:val="333333"/>
                <w:sz w:val="20"/>
                <w:szCs w:val="20"/>
              </w:rPr>
              <w:t xml:space="preserve"> cu </w:t>
            </w:r>
            <w:proofErr w:type="spellStart"/>
            <w:r>
              <w:rPr>
                <w:rFonts w:ascii="Times New Roman" w:eastAsia="Arial Unicode MS" w:hAnsi="Times New Roman"/>
                <w:color w:val="333333"/>
                <w:sz w:val="20"/>
                <w:szCs w:val="20"/>
              </w:rPr>
              <w:t>țărmul</w:t>
            </w:r>
            <w:proofErr w:type="spellEnd"/>
            <w:r>
              <w:rPr>
                <w:rFonts w:ascii="Times New Roman" w:eastAsia="Arial Unicode MS" w:hAnsi="Times New Roman"/>
                <w:color w:val="333333"/>
                <w:sz w:val="20"/>
                <w:szCs w:val="20"/>
              </w:rPr>
              <w:t xml:space="preserve"> principal și cu o </w:t>
            </w:r>
            <w:proofErr w:type="spellStart"/>
            <w:r>
              <w:rPr>
                <w:rFonts w:ascii="Times New Roman" w:eastAsia="Arial Unicode MS" w:hAnsi="Times New Roman"/>
                <w:color w:val="333333"/>
                <w:sz w:val="20"/>
                <w:szCs w:val="20"/>
              </w:rPr>
              <w:t>populație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mai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mică</w:t>
            </w:r>
            <w:proofErr w:type="spellEnd"/>
            <w:r>
              <w:rPr>
                <w:rFonts w:ascii="Times New Roman" w:eastAsia="Arial Unicode MS" w:hAnsi="Times New Roman"/>
                <w:color w:val="333333"/>
                <w:sz w:val="20"/>
                <w:szCs w:val="20"/>
              </w:rPr>
              <w:t xml:space="preserve"> de 200</w:t>
            </w:r>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000 de </w:t>
            </w:r>
            <w:proofErr w:type="spellStart"/>
            <w:r>
              <w:rPr>
                <w:rFonts w:ascii="Times New Roman" w:eastAsia="Arial Unicode MS" w:hAnsi="Times New Roman"/>
                <w:color w:val="333333"/>
                <w:sz w:val="20"/>
                <w:szCs w:val="20"/>
              </w:rPr>
              <w:t>locuitori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permanenți</w:t>
            </w:r>
            <w:proofErr w:type="spellEnd"/>
            <w:r>
              <w:rPr>
                <w:rFonts w:ascii="Times New Roman" w:eastAsia="Arial Unicode MS" w:hAnsi="Times New Roman"/>
                <w:color w:val="333333"/>
                <w:sz w:val="20"/>
                <w:szCs w:val="20"/>
              </w:rPr>
              <w:t xml:space="preserve"> conform </w:t>
            </w:r>
            <w:proofErr w:type="spellStart"/>
            <w:r>
              <w:rPr>
                <w:rFonts w:ascii="Times New Roman" w:eastAsia="Arial Unicode MS" w:hAnsi="Times New Roman"/>
                <w:color w:val="333333"/>
                <w:sz w:val="20"/>
                <w:szCs w:val="20"/>
              </w:rPr>
              <w:t>celor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mai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recente</w:t>
            </w:r>
            <w:proofErr w:type="spellEnd"/>
            <w:r>
              <w:rPr>
                <w:rFonts w:ascii="Times New Roman" w:eastAsia="Arial Unicode MS" w:hAnsi="Times New Roman"/>
                <w:color w:val="333333"/>
                <w:sz w:val="20"/>
                <w:szCs w:val="20"/>
              </w:rPr>
              <w:t xml:space="preserve"> date </w:t>
            </w:r>
            <w:proofErr w:type="spellStart"/>
            <w:r>
              <w:rPr>
                <w:rFonts w:ascii="Times New Roman" w:eastAsia="Arial Unicode MS" w:hAnsi="Times New Roman"/>
                <w:color w:val="333333"/>
                <w:sz w:val="20"/>
                <w:szCs w:val="20"/>
              </w:rPr>
              <w:t>disponibile</w:t>
            </w:r>
            <w:proofErr w:type="spellEnd"/>
            <w:r>
              <w:rPr>
                <w:rFonts w:ascii="Times New Roman" w:eastAsia="Arial Unicode MS" w:hAnsi="Times New Roman"/>
                <w:color w:val="333333"/>
                <w:sz w:val="20"/>
                <w:szCs w:val="20"/>
              </w:rPr>
              <w:t xml:space="preserve"> în 2022 și un port </w:t>
            </w:r>
            <w:proofErr w:type="spellStart"/>
            <w:r>
              <w:rPr>
                <w:rFonts w:ascii="Times New Roman" w:eastAsia="Arial Unicode MS" w:hAnsi="Times New Roman"/>
                <w:color w:val="333333"/>
                <w:sz w:val="20"/>
                <w:szCs w:val="20"/>
              </w:rPr>
              <w:t>aflat</w:t>
            </w:r>
            <w:proofErr w:type="spellEnd"/>
            <w:r>
              <w:rPr>
                <w:rFonts w:ascii="Times New Roman" w:eastAsia="Arial Unicode MS" w:hAnsi="Times New Roman"/>
                <w:color w:val="333333"/>
                <w:sz w:val="20"/>
                <w:szCs w:val="20"/>
              </w:rPr>
              <w:t xml:space="preserve"> sub </w:t>
            </w:r>
            <w:proofErr w:type="spellStart"/>
            <w:r>
              <w:rPr>
                <w:rFonts w:ascii="Times New Roman" w:eastAsia="Arial Unicode MS" w:hAnsi="Times New Roman"/>
                <w:color w:val="333333"/>
                <w:sz w:val="20"/>
                <w:szCs w:val="20"/>
              </w:rPr>
              <w:t>jurisdicția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aceluiași</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precum și de </w:t>
            </w:r>
            <w:proofErr w:type="spellStart"/>
            <w:r>
              <w:rPr>
                <w:rFonts w:ascii="Times New Roman" w:eastAsia="Arial Unicode MS" w:hAnsi="Times New Roman"/>
                <w:color w:val="333333"/>
                <w:sz w:val="20"/>
                <w:szCs w:val="20"/>
              </w:rPr>
              <w:t>activitățile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desfășurate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cadrul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port de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nave în </w:t>
            </w:r>
            <w:proofErr w:type="spellStart"/>
            <w:r>
              <w:rPr>
                <w:rFonts w:ascii="Times New Roman" w:eastAsia="Arial Unicode MS" w:hAnsi="Times New Roman"/>
                <w:color w:val="333333"/>
                <w:sz w:val="20"/>
                <w:szCs w:val="20"/>
              </w:rPr>
              <w:t>legătură</w:t>
            </w:r>
            <w:proofErr w:type="spellEnd"/>
            <w:r>
              <w:rPr>
                <w:rFonts w:ascii="Times New Roman" w:eastAsia="Arial Unicode MS" w:hAnsi="Times New Roman"/>
                <w:color w:val="333333"/>
                <w:sz w:val="20"/>
                <w:szCs w:val="20"/>
              </w:rPr>
              <w:t xml:space="preserve"> cu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călătorii</w:t>
            </w:r>
            <w:proofErr w:type="spellEnd"/>
            <w:r>
              <w:rPr>
                <w:rFonts w:ascii="Times New Roman" w:eastAsia="Arial Unicode MS" w:hAnsi="Times New Roman"/>
                <w:color w:val="333333"/>
                <w:sz w:val="20"/>
                <w:szCs w:val="20"/>
              </w:rPr>
              <w:t>.</w:t>
            </w:r>
          </w:p>
          <w:p w14:paraId="40D8FD0F" w14:textId="77777777" w:rsidR="00124364" w:rsidRDefault="00000000" w:rsidP="00DD71BD">
            <w:pPr>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proofErr w:type="spellStart"/>
            <w:r>
              <w:rPr>
                <w:rFonts w:ascii="Times New Roman" w:eastAsia="Arial Unicode MS" w:hAnsi="Times New Roman"/>
                <w:color w:val="333333"/>
                <w:sz w:val="20"/>
                <w:szCs w:val="20"/>
                <w:shd w:val="clear" w:color="auto" w:fill="FFFFFF"/>
              </w:rPr>
              <w:t>Comisia</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publică</w:t>
            </w:r>
            <w:proofErr w:type="spellEnd"/>
            <w:r>
              <w:rPr>
                <w:rFonts w:ascii="Times New Roman" w:eastAsia="Arial Unicode MS" w:hAnsi="Times New Roman"/>
                <w:color w:val="333333"/>
                <w:sz w:val="20"/>
                <w:szCs w:val="20"/>
                <w:shd w:val="clear" w:color="auto" w:fill="FFFFFF"/>
              </w:rPr>
              <w:t xml:space="preserve"> și </w:t>
            </w:r>
            <w:proofErr w:type="spellStart"/>
            <w:r>
              <w:rPr>
                <w:rFonts w:ascii="Times New Roman" w:eastAsia="Arial Unicode MS" w:hAnsi="Times New Roman"/>
                <w:color w:val="333333"/>
                <w:sz w:val="20"/>
                <w:szCs w:val="20"/>
                <w:shd w:val="clear" w:color="auto" w:fill="FFFFFF"/>
              </w:rPr>
              <w:t>actualizează</w:t>
            </w:r>
            <w:proofErr w:type="spellEnd"/>
            <w:r>
              <w:rPr>
                <w:rFonts w:ascii="Times New Roman" w:eastAsia="Arial Unicode MS" w:hAnsi="Times New Roman"/>
                <w:color w:val="333333"/>
                <w:sz w:val="20"/>
                <w:szCs w:val="20"/>
                <w:shd w:val="clear" w:color="auto" w:fill="FFFFFF"/>
              </w:rPr>
              <w:t xml:space="preserve"> permanent o </w:t>
            </w:r>
            <w:proofErr w:type="spellStart"/>
            <w:r>
              <w:rPr>
                <w:rFonts w:ascii="Times New Roman" w:eastAsia="Arial Unicode MS" w:hAnsi="Times New Roman"/>
                <w:color w:val="333333"/>
                <w:sz w:val="20"/>
                <w:szCs w:val="20"/>
                <w:shd w:val="clear" w:color="auto" w:fill="FFFFFF"/>
              </w:rPr>
              <w:t>listă</w:t>
            </w:r>
            <w:proofErr w:type="spellEnd"/>
            <w:r>
              <w:rPr>
                <w:rFonts w:ascii="Times New Roman" w:eastAsia="Arial Unicode MS" w:hAnsi="Times New Roman"/>
                <w:color w:val="333333"/>
                <w:sz w:val="20"/>
                <w:szCs w:val="20"/>
                <w:shd w:val="clear" w:color="auto" w:fill="FFFFFF"/>
              </w:rPr>
              <w:t xml:space="preserve"> </w:t>
            </w:r>
            <w:proofErr w:type="gramStart"/>
            <w:r>
              <w:rPr>
                <w:rFonts w:ascii="Times New Roman" w:eastAsia="Arial Unicode MS" w:hAnsi="Times New Roman"/>
                <w:color w:val="333333"/>
                <w:sz w:val="20"/>
                <w:szCs w:val="20"/>
                <w:shd w:val="clear" w:color="auto" w:fill="FFFFFF"/>
              </w:rPr>
              <w:t>a</w:t>
            </w:r>
            <w:proofErr w:type="gram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insulelor</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menționate</w:t>
            </w:r>
            <w:proofErr w:type="spellEnd"/>
            <w:r>
              <w:rPr>
                <w:rFonts w:ascii="Times New Roman" w:eastAsia="Arial Unicode MS" w:hAnsi="Times New Roman"/>
                <w:color w:val="333333"/>
                <w:sz w:val="20"/>
                <w:szCs w:val="20"/>
                <w:shd w:val="clear" w:color="auto" w:fill="FFFFFF"/>
              </w:rPr>
              <w:t xml:space="preserve"> la </w:t>
            </w:r>
            <w:proofErr w:type="spellStart"/>
            <w:r>
              <w:rPr>
                <w:rFonts w:ascii="Times New Roman" w:eastAsia="Arial Unicode MS" w:hAnsi="Times New Roman"/>
                <w:color w:val="333333"/>
                <w:sz w:val="20"/>
                <w:szCs w:val="20"/>
                <w:shd w:val="clear" w:color="auto" w:fill="FFFFFF"/>
              </w:rPr>
              <w:t>primul</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paragraf</w:t>
            </w:r>
            <w:proofErr w:type="spellEnd"/>
            <w:r>
              <w:rPr>
                <w:rFonts w:ascii="Times New Roman" w:eastAsia="Arial Unicode MS" w:hAnsi="Times New Roman"/>
                <w:color w:val="333333"/>
                <w:sz w:val="20"/>
                <w:szCs w:val="20"/>
                <w:shd w:val="clear" w:color="auto" w:fill="FFFFFF"/>
              </w:rPr>
              <w:t xml:space="preserve"> și a </w:t>
            </w:r>
            <w:proofErr w:type="spellStart"/>
            <w:r>
              <w:rPr>
                <w:rFonts w:ascii="Times New Roman" w:eastAsia="Arial Unicode MS" w:hAnsi="Times New Roman"/>
                <w:color w:val="333333"/>
                <w:sz w:val="20"/>
                <w:szCs w:val="20"/>
                <w:shd w:val="clear" w:color="auto" w:fill="FFFFFF"/>
              </w:rPr>
              <w:t>porturilor</w:t>
            </w:r>
            <w:proofErr w:type="spellEnd"/>
            <w:r>
              <w:rPr>
                <w:rFonts w:ascii="Times New Roman" w:eastAsia="Arial Unicode MS" w:hAnsi="Times New Roman"/>
                <w:color w:val="333333"/>
                <w:sz w:val="20"/>
                <w:szCs w:val="20"/>
                <w:shd w:val="clear" w:color="auto" w:fill="FFFFFF"/>
              </w:rPr>
              <w:t xml:space="preserve"> în </w:t>
            </w:r>
            <w:proofErr w:type="spellStart"/>
            <w:r>
              <w:rPr>
                <w:rFonts w:ascii="Times New Roman" w:eastAsia="Arial Unicode MS" w:hAnsi="Times New Roman"/>
                <w:color w:val="333333"/>
                <w:sz w:val="20"/>
                <w:szCs w:val="20"/>
                <w:shd w:val="clear" w:color="auto" w:fill="FFFFFF"/>
              </w:rPr>
              <w:t>cauză</w:t>
            </w:r>
            <w:proofErr w:type="spellEnd"/>
            <w:r>
              <w:rPr>
                <w:rFonts w:ascii="Times New Roman" w:eastAsia="Arial Unicode MS" w:hAnsi="Times New Roman"/>
                <w:color w:val="333333"/>
                <w:sz w:val="20"/>
                <w:szCs w:val="20"/>
                <w:shd w:val="clear" w:color="auto" w:fill="FFFFFF"/>
              </w:rPr>
              <w:t>.</w:t>
            </w:r>
          </w:p>
          <w:p w14:paraId="5F70F6CE" w14:textId="3CBDE26B" w:rsidR="00124364" w:rsidRDefault="00000000" w:rsidP="00DD71BD">
            <w:pPr>
              <w:suppressAutoHyphens w:val="0"/>
              <w:autoSpaceDN/>
              <w:spacing w:after="0" w:line="240" w:lineRule="auto"/>
              <w:jc w:val="both"/>
              <w:textAlignment w:val="auto"/>
              <w:rPr>
                <w:rFonts w:ascii="Times New Roman" w:eastAsia="Arial Unicode MS" w:hAnsi="Times New Roman"/>
                <w:color w:val="333333"/>
                <w:sz w:val="20"/>
                <w:szCs w:val="20"/>
              </w:rPr>
            </w:pPr>
            <w:r>
              <w:rPr>
                <w:rStyle w:val="no-parag"/>
                <w:rFonts w:ascii="Times New Roman" w:eastAsia="Arial Unicode MS" w:hAnsi="Times New Roman"/>
                <w:color w:val="333333"/>
                <w:sz w:val="20"/>
                <w:szCs w:val="20"/>
              </w:rPr>
              <w:lastRenderedPageBreak/>
              <w:t>(3-c)</w:t>
            </w:r>
            <w:r w:rsidR="00DD71BD">
              <w:rPr>
                <w:rStyle w:val="no-parag"/>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Prin</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derogare</w:t>
            </w:r>
            <w:proofErr w:type="spellEnd"/>
            <w:r>
              <w:rPr>
                <w:rFonts w:ascii="Times New Roman" w:eastAsia="Arial Unicode MS" w:hAnsi="Times New Roman"/>
                <w:color w:val="333333"/>
                <w:sz w:val="20"/>
                <w:szCs w:val="20"/>
              </w:rPr>
              <w:t xml:space="preserve"> de la </w:t>
            </w:r>
            <w:proofErr w:type="spellStart"/>
            <w:r>
              <w:rPr>
                <w:rFonts w:ascii="Times New Roman" w:eastAsia="Arial Unicode MS" w:hAnsi="Times New Roman"/>
                <w:color w:val="333333"/>
                <w:sz w:val="20"/>
                <w:szCs w:val="20"/>
              </w:rPr>
              <w:t>alineatul</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(3) </w:t>
            </w:r>
            <w:proofErr w:type="spellStart"/>
            <w:r>
              <w:rPr>
                <w:rFonts w:ascii="Times New Roman" w:eastAsia="Arial Unicode MS" w:hAnsi="Times New Roman"/>
                <w:color w:val="333333"/>
                <w:sz w:val="20"/>
                <w:szCs w:val="20"/>
              </w:rPr>
              <w:t>primul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paragraf</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litera</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(c) de la </w:t>
            </w:r>
            <w:proofErr w:type="spellStart"/>
            <w:r>
              <w:rPr>
                <w:rFonts w:ascii="Times New Roman" w:eastAsia="Arial Unicode MS" w:hAnsi="Times New Roman"/>
                <w:color w:val="333333"/>
                <w:sz w:val="20"/>
                <w:szCs w:val="20"/>
              </w:rPr>
              <w:t>prezentul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articol</w:t>
            </w:r>
            <w:proofErr w:type="spellEnd"/>
            <w:r>
              <w:rPr>
                <w:rFonts w:ascii="Times New Roman" w:eastAsia="Arial Unicode MS" w:hAnsi="Times New Roman"/>
                <w:color w:val="333333"/>
                <w:sz w:val="20"/>
                <w:szCs w:val="20"/>
              </w:rPr>
              <w:t xml:space="preserve"> și de la </w:t>
            </w:r>
            <w:proofErr w:type="spellStart"/>
            <w:r>
              <w:rPr>
                <w:rFonts w:ascii="Times New Roman" w:eastAsia="Arial Unicode MS" w:hAnsi="Times New Roman"/>
                <w:color w:val="333333"/>
                <w:sz w:val="20"/>
                <w:szCs w:val="20"/>
              </w:rPr>
              <w:t>articolul</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16, la </w:t>
            </w:r>
            <w:proofErr w:type="spellStart"/>
            <w:r>
              <w:rPr>
                <w:rFonts w:ascii="Times New Roman" w:eastAsia="Arial Unicode MS" w:hAnsi="Times New Roman"/>
                <w:color w:val="333333"/>
                <w:sz w:val="20"/>
                <w:szCs w:val="20"/>
              </w:rPr>
              <w:t>cererea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comună</w:t>
            </w:r>
            <w:proofErr w:type="spellEnd"/>
            <w:r>
              <w:rPr>
                <w:rFonts w:ascii="Times New Roman" w:eastAsia="Arial Unicode MS" w:hAnsi="Times New Roman"/>
                <w:color w:val="333333"/>
                <w:sz w:val="20"/>
                <w:szCs w:val="20"/>
              </w:rPr>
              <w:t xml:space="preserve"> a </w:t>
            </w:r>
            <w:proofErr w:type="spellStart"/>
            <w:r>
              <w:rPr>
                <w:rFonts w:ascii="Times New Roman" w:eastAsia="Arial Unicode MS" w:hAnsi="Times New Roman"/>
                <w:color w:val="333333"/>
                <w:sz w:val="20"/>
                <w:szCs w:val="20"/>
              </w:rPr>
              <w:t>două</w:t>
            </w:r>
            <w:proofErr w:type="spellEnd"/>
            <w:r>
              <w:rPr>
                <w:rFonts w:ascii="Times New Roman" w:eastAsia="Arial Unicode MS" w:hAnsi="Times New Roman"/>
                <w:color w:val="333333"/>
                <w:sz w:val="20"/>
                <w:szCs w:val="20"/>
              </w:rPr>
              <w:t xml:space="preserve"> state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dintre</w:t>
            </w:r>
            <w:proofErr w:type="spellEnd"/>
            <w:r>
              <w:rPr>
                <w:rFonts w:ascii="Times New Roman" w:eastAsia="Arial Unicode MS" w:hAnsi="Times New Roman"/>
                <w:color w:val="333333"/>
                <w:sz w:val="20"/>
                <w:szCs w:val="20"/>
              </w:rPr>
              <w:t xml:space="preserve"> care </w:t>
            </w:r>
            <w:proofErr w:type="spellStart"/>
            <w:r>
              <w:rPr>
                <w:rFonts w:ascii="Times New Roman" w:eastAsia="Arial Unicode MS" w:hAnsi="Times New Roman"/>
                <w:color w:val="333333"/>
                <w:sz w:val="20"/>
                <w:szCs w:val="20"/>
              </w:rPr>
              <w:t>unul</w:t>
            </w:r>
            <w:proofErr w:type="spellEnd"/>
            <w:r>
              <w:rPr>
                <w:rFonts w:ascii="Times New Roman" w:eastAsia="Arial Unicode MS" w:hAnsi="Times New Roman"/>
                <w:color w:val="333333"/>
                <w:sz w:val="20"/>
                <w:szCs w:val="20"/>
              </w:rPr>
              <w:t xml:space="preserve"> nu are </w:t>
            </w:r>
            <w:proofErr w:type="spellStart"/>
            <w:r>
              <w:rPr>
                <w:rFonts w:ascii="Times New Roman" w:eastAsia="Arial Unicode MS" w:hAnsi="Times New Roman"/>
                <w:color w:val="333333"/>
                <w:sz w:val="20"/>
                <w:szCs w:val="20"/>
              </w:rPr>
              <w:t>frontieră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terestră</w:t>
            </w:r>
            <w:proofErr w:type="spellEnd"/>
            <w:r>
              <w:rPr>
                <w:rFonts w:ascii="Times New Roman" w:eastAsia="Arial Unicode MS" w:hAnsi="Times New Roman"/>
                <w:color w:val="333333"/>
                <w:sz w:val="20"/>
                <w:szCs w:val="20"/>
              </w:rPr>
              <w:t xml:space="preserve"> cu un alt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iar</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celălalt</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este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mai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apropiat</w:t>
            </w:r>
            <w:proofErr w:type="spellEnd"/>
            <w:r>
              <w:rPr>
                <w:rFonts w:ascii="Times New Roman" w:eastAsia="Arial Unicode MS" w:hAnsi="Times New Roman"/>
                <w:color w:val="333333"/>
                <w:sz w:val="20"/>
                <w:szCs w:val="20"/>
              </w:rPr>
              <w:t xml:space="preserve"> din </w:t>
            </w:r>
            <w:proofErr w:type="spellStart"/>
            <w:r>
              <w:rPr>
                <w:rFonts w:ascii="Times New Roman" w:eastAsia="Arial Unicode MS" w:hAnsi="Times New Roman"/>
                <w:color w:val="333333"/>
                <w:sz w:val="20"/>
                <w:szCs w:val="20"/>
              </w:rPr>
              <w:t>punct</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vedere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geografic</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statul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care nu are </w:t>
            </w:r>
            <w:proofErr w:type="spellStart"/>
            <w:r>
              <w:rPr>
                <w:rFonts w:ascii="Times New Roman" w:eastAsia="Arial Unicode MS" w:hAnsi="Times New Roman"/>
                <w:color w:val="333333"/>
                <w:sz w:val="20"/>
                <w:szCs w:val="20"/>
              </w:rPr>
              <w:t>frontieră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terestră</w:t>
            </w:r>
            <w:proofErr w:type="spellEnd"/>
            <w:r>
              <w:rPr>
                <w:rFonts w:ascii="Times New Roman" w:eastAsia="Arial Unicode MS" w:hAnsi="Times New Roman"/>
                <w:color w:val="333333"/>
                <w:sz w:val="20"/>
                <w:szCs w:val="20"/>
              </w:rPr>
              <w:t xml:space="preserve"> cu un alt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Comisia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prevede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prin</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intermediul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act de </w:t>
            </w:r>
            <w:proofErr w:type="spellStart"/>
            <w:r>
              <w:rPr>
                <w:rFonts w:ascii="Times New Roman" w:eastAsia="Arial Unicode MS" w:hAnsi="Times New Roman"/>
                <w:color w:val="333333"/>
                <w:sz w:val="20"/>
                <w:szCs w:val="20"/>
              </w:rPr>
              <w:t>punere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aplicare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statele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ia</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considerare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cerințele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prevăzute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dispozițiile</w:t>
            </w:r>
            <w:proofErr w:type="spellEnd"/>
            <w:r>
              <w:rPr>
                <w:rFonts w:ascii="Times New Roman" w:eastAsia="Arial Unicode MS" w:hAnsi="Times New Roman"/>
                <w:color w:val="333333"/>
                <w:sz w:val="20"/>
                <w:szCs w:val="20"/>
              </w:rPr>
              <w:t xml:space="preserve"> respective sunt </w:t>
            </w:r>
            <w:proofErr w:type="spellStart"/>
            <w:r>
              <w:rPr>
                <w:rFonts w:ascii="Times New Roman" w:eastAsia="Arial Unicode MS" w:hAnsi="Times New Roman"/>
                <w:color w:val="333333"/>
                <w:sz w:val="20"/>
                <w:szCs w:val="20"/>
              </w:rPr>
              <w:t>îndeplinite</w:t>
            </w:r>
            <w:proofErr w:type="spellEnd"/>
            <w:r>
              <w:rPr>
                <w:rFonts w:ascii="Times New Roman" w:eastAsia="Arial Unicode MS" w:hAnsi="Times New Roman"/>
                <w:color w:val="333333"/>
                <w:sz w:val="20"/>
                <w:szCs w:val="20"/>
              </w:rPr>
              <w:t xml:space="preserve"> și </w:t>
            </w:r>
            <w:proofErr w:type="spellStart"/>
            <w:r>
              <w:rPr>
                <w:rFonts w:ascii="Times New Roman" w:eastAsia="Arial Unicode MS" w:hAnsi="Times New Roman"/>
                <w:color w:val="333333"/>
                <w:sz w:val="20"/>
                <w:szCs w:val="20"/>
              </w:rPr>
              <w:t>că</w:t>
            </w:r>
            <w:proofErr w:type="spellEnd"/>
            <w:r>
              <w:rPr>
                <w:rFonts w:ascii="Times New Roman" w:eastAsia="Arial Unicode MS" w:hAnsi="Times New Roman"/>
                <w:color w:val="333333"/>
                <w:sz w:val="20"/>
                <w:szCs w:val="20"/>
              </w:rPr>
              <w:t xml:space="preserve"> nu </w:t>
            </w:r>
            <w:proofErr w:type="spellStart"/>
            <w:r>
              <w:rPr>
                <w:rFonts w:ascii="Times New Roman" w:eastAsia="Arial Unicode MS" w:hAnsi="Times New Roman"/>
                <w:color w:val="333333"/>
                <w:sz w:val="20"/>
                <w:szCs w:val="20"/>
              </w:rPr>
              <w:t>trebuie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nicio</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măsură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împotriva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companiilor</w:t>
            </w:r>
            <w:proofErr w:type="spellEnd"/>
            <w:r>
              <w:rPr>
                <w:rFonts w:ascii="Times New Roman" w:eastAsia="Arial Unicode MS" w:hAnsi="Times New Roman"/>
                <w:color w:val="333333"/>
                <w:sz w:val="20"/>
                <w:szCs w:val="20"/>
              </w:rPr>
              <w:t xml:space="preserve"> de transport maritim în </w:t>
            </w:r>
            <w:proofErr w:type="spellStart"/>
            <w:r>
              <w:rPr>
                <w:rFonts w:ascii="Times New Roman" w:eastAsia="Arial Unicode MS" w:hAnsi="Times New Roman"/>
                <w:color w:val="333333"/>
                <w:sz w:val="20"/>
                <w:szCs w:val="20"/>
              </w:rPr>
              <w:t>ceea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privește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emisiile</w:t>
            </w:r>
            <w:proofErr w:type="spellEnd"/>
            <w:r>
              <w:rPr>
                <w:rFonts w:ascii="Times New Roman" w:eastAsia="Arial Unicode MS" w:hAnsi="Times New Roman"/>
                <w:color w:val="333333"/>
                <w:sz w:val="20"/>
                <w:szCs w:val="20"/>
              </w:rPr>
              <w:t xml:space="preserve"> generate </w:t>
            </w:r>
            <w:proofErr w:type="spellStart"/>
            <w:r>
              <w:rPr>
                <w:rFonts w:ascii="Times New Roman" w:eastAsia="Arial Unicode MS" w:hAnsi="Times New Roman"/>
                <w:color w:val="333333"/>
                <w:sz w:val="20"/>
                <w:szCs w:val="20"/>
              </w:rPr>
              <w:t>până</w:t>
            </w:r>
            <w:proofErr w:type="spellEnd"/>
            <w:r>
              <w:rPr>
                <w:rFonts w:ascii="Times New Roman" w:eastAsia="Arial Unicode MS" w:hAnsi="Times New Roman"/>
                <w:color w:val="333333"/>
                <w:sz w:val="20"/>
                <w:szCs w:val="20"/>
              </w:rPr>
              <w:t xml:space="preserve"> la 31</w:t>
            </w:r>
            <w:r w:rsidR="00DD71BD">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decembrie</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2030 de </w:t>
            </w:r>
            <w:proofErr w:type="spellStart"/>
            <w:r>
              <w:rPr>
                <w:rFonts w:ascii="Times New Roman" w:eastAsia="Arial Unicode MS" w:hAnsi="Times New Roman"/>
                <w:color w:val="333333"/>
                <w:sz w:val="20"/>
                <w:szCs w:val="20"/>
              </w:rPr>
              <w:t>călătoriile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efectuate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navele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pasageri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sau</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navele</w:t>
            </w:r>
            <w:proofErr w:type="spellEnd"/>
            <w:r>
              <w:rPr>
                <w:rFonts w:ascii="Times New Roman" w:eastAsia="Arial Unicode MS" w:hAnsi="Times New Roman"/>
                <w:color w:val="333333"/>
                <w:sz w:val="20"/>
                <w:szCs w:val="20"/>
              </w:rPr>
              <w:t xml:space="preserve"> de tip Ro-Ro în </w:t>
            </w:r>
            <w:proofErr w:type="spellStart"/>
            <w:r>
              <w:rPr>
                <w:rFonts w:ascii="Times New Roman" w:eastAsia="Arial Unicode MS" w:hAnsi="Times New Roman"/>
                <w:color w:val="333333"/>
                <w:sz w:val="20"/>
                <w:szCs w:val="20"/>
              </w:rPr>
              <w:t>cadrul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contract </w:t>
            </w:r>
            <w:proofErr w:type="spellStart"/>
            <w:r>
              <w:rPr>
                <w:rFonts w:ascii="Times New Roman" w:eastAsia="Arial Unicode MS" w:hAnsi="Times New Roman"/>
                <w:color w:val="333333"/>
                <w:sz w:val="20"/>
                <w:szCs w:val="20"/>
              </w:rPr>
              <w:t>transnațional</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servicii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publice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sau</w:t>
            </w:r>
            <w:proofErr w:type="spellEnd"/>
            <w:r>
              <w:rPr>
                <w:rFonts w:ascii="Times New Roman" w:eastAsia="Arial Unicode MS" w:hAnsi="Times New Roman"/>
                <w:color w:val="333333"/>
                <w:sz w:val="20"/>
                <w:szCs w:val="20"/>
              </w:rPr>
              <w:t xml:space="preserve"> al </w:t>
            </w:r>
            <w:proofErr w:type="spellStart"/>
            <w:r>
              <w:rPr>
                <w:rFonts w:ascii="Times New Roman" w:eastAsia="Arial Unicode MS" w:hAnsi="Times New Roman"/>
                <w:color w:val="333333"/>
                <w:sz w:val="20"/>
                <w:szCs w:val="20"/>
              </w:rPr>
              <w:t>unei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obligații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transnaționale</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serviciu</w:t>
            </w:r>
            <w:proofErr w:type="spellEnd"/>
            <w:r>
              <w:rPr>
                <w:rFonts w:ascii="Times New Roman" w:eastAsia="Arial Unicode MS" w:hAnsi="Times New Roman"/>
                <w:color w:val="333333"/>
                <w:sz w:val="20"/>
                <w:szCs w:val="20"/>
              </w:rPr>
              <w:t xml:space="preserve"> public, </w:t>
            </w:r>
            <w:proofErr w:type="spellStart"/>
            <w:r>
              <w:rPr>
                <w:rFonts w:ascii="Times New Roman" w:eastAsia="Arial Unicode MS" w:hAnsi="Times New Roman"/>
                <w:color w:val="333333"/>
                <w:sz w:val="20"/>
                <w:szCs w:val="20"/>
              </w:rPr>
              <w:t>prevăzute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cererea</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comună</w:t>
            </w:r>
            <w:proofErr w:type="spellEnd"/>
            <w:r>
              <w:rPr>
                <w:rFonts w:ascii="Times New Roman" w:eastAsia="Arial Unicode MS" w:hAnsi="Times New Roman"/>
                <w:color w:val="333333"/>
                <w:sz w:val="20"/>
                <w:szCs w:val="20"/>
              </w:rPr>
              <w:t xml:space="preserve">, care </w:t>
            </w:r>
            <w:proofErr w:type="spellStart"/>
            <w:r>
              <w:rPr>
                <w:rFonts w:ascii="Times New Roman" w:eastAsia="Arial Unicode MS" w:hAnsi="Times New Roman"/>
                <w:color w:val="333333"/>
                <w:sz w:val="20"/>
                <w:szCs w:val="20"/>
              </w:rPr>
              <w:t>leagă</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două</w:t>
            </w:r>
            <w:proofErr w:type="spellEnd"/>
            <w:r>
              <w:rPr>
                <w:rFonts w:ascii="Times New Roman" w:eastAsia="Arial Unicode MS" w:hAnsi="Times New Roman"/>
                <w:color w:val="333333"/>
                <w:sz w:val="20"/>
                <w:szCs w:val="20"/>
              </w:rPr>
              <w:t xml:space="preserve"> state </w:t>
            </w:r>
            <w:proofErr w:type="spellStart"/>
            <w:r>
              <w:rPr>
                <w:rFonts w:ascii="Times New Roman" w:eastAsia="Arial Unicode MS" w:hAnsi="Times New Roman"/>
                <w:color w:val="333333"/>
                <w:sz w:val="20"/>
                <w:szCs w:val="20"/>
              </w:rPr>
              <w:t>membre</w:t>
            </w:r>
            <w:proofErr w:type="spellEnd"/>
            <w:r>
              <w:rPr>
                <w:rFonts w:ascii="Times New Roman" w:eastAsia="Arial Unicode MS" w:hAnsi="Times New Roman"/>
                <w:color w:val="333333"/>
                <w:sz w:val="20"/>
                <w:szCs w:val="20"/>
              </w:rPr>
              <w:t xml:space="preserve"> și de </w:t>
            </w:r>
            <w:proofErr w:type="spellStart"/>
            <w:r>
              <w:rPr>
                <w:rFonts w:ascii="Times New Roman" w:eastAsia="Arial Unicode MS" w:hAnsi="Times New Roman"/>
                <w:color w:val="333333"/>
                <w:sz w:val="20"/>
                <w:szCs w:val="20"/>
              </w:rPr>
              <w:t>activitățile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desfășurate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cadrul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port de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nave în </w:t>
            </w:r>
            <w:proofErr w:type="spellStart"/>
            <w:r>
              <w:rPr>
                <w:rFonts w:ascii="Times New Roman" w:eastAsia="Arial Unicode MS" w:hAnsi="Times New Roman"/>
                <w:color w:val="333333"/>
                <w:sz w:val="20"/>
                <w:szCs w:val="20"/>
              </w:rPr>
              <w:t>legătură</w:t>
            </w:r>
            <w:proofErr w:type="spellEnd"/>
            <w:r>
              <w:rPr>
                <w:rFonts w:ascii="Times New Roman" w:eastAsia="Arial Unicode MS" w:hAnsi="Times New Roman"/>
                <w:color w:val="333333"/>
                <w:sz w:val="20"/>
                <w:szCs w:val="20"/>
              </w:rPr>
              <w:t xml:space="preserve"> cu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călătorii</w:t>
            </w:r>
            <w:proofErr w:type="spellEnd"/>
            <w:r>
              <w:rPr>
                <w:rFonts w:ascii="Times New Roman" w:eastAsia="Arial Unicode MS" w:hAnsi="Times New Roman"/>
                <w:color w:val="333333"/>
                <w:sz w:val="20"/>
                <w:szCs w:val="20"/>
              </w:rPr>
              <w:t>.</w:t>
            </w:r>
          </w:p>
          <w:p w14:paraId="0BB91E65" w14:textId="5F8ED461" w:rsidR="00124364" w:rsidRDefault="00000000" w:rsidP="00DD71BD">
            <w:pPr>
              <w:suppressAutoHyphens w:val="0"/>
              <w:autoSpaceDN/>
              <w:spacing w:after="0" w:line="240" w:lineRule="auto"/>
              <w:jc w:val="both"/>
              <w:textAlignment w:val="auto"/>
              <w:rPr>
                <w:rFonts w:ascii="Times New Roman" w:eastAsia="Arial Unicode MS" w:hAnsi="Times New Roman"/>
                <w:color w:val="333333"/>
                <w:sz w:val="20"/>
                <w:szCs w:val="20"/>
              </w:rPr>
            </w:pPr>
            <w:r>
              <w:rPr>
                <w:rStyle w:val="no-parag"/>
                <w:rFonts w:ascii="Times New Roman" w:eastAsia="Arial Unicode MS" w:hAnsi="Times New Roman"/>
                <w:color w:val="333333"/>
                <w:sz w:val="20"/>
                <w:szCs w:val="20"/>
              </w:rPr>
              <w:t>(3-b)</w:t>
            </w:r>
            <w:r w:rsidR="00DD71BD">
              <w:rPr>
                <w:rStyle w:val="no-parag"/>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Obligația</w:t>
            </w:r>
            <w:proofErr w:type="spellEnd"/>
            <w:r>
              <w:rPr>
                <w:rFonts w:ascii="Times New Roman" w:eastAsia="Arial Unicode MS" w:hAnsi="Times New Roman"/>
                <w:color w:val="333333"/>
                <w:sz w:val="20"/>
                <w:szCs w:val="20"/>
              </w:rPr>
              <w:t xml:space="preserve"> de a </w:t>
            </w:r>
            <w:proofErr w:type="spellStart"/>
            <w:r>
              <w:rPr>
                <w:rFonts w:ascii="Times New Roman" w:eastAsia="Arial Unicode MS" w:hAnsi="Times New Roman"/>
                <w:color w:val="333333"/>
                <w:sz w:val="20"/>
                <w:szCs w:val="20"/>
              </w:rPr>
              <w:t>restitui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certificatele</w:t>
            </w:r>
            <w:proofErr w:type="spellEnd"/>
            <w:r>
              <w:rPr>
                <w:rFonts w:ascii="Times New Roman" w:eastAsia="Arial Unicode MS" w:hAnsi="Times New Roman"/>
                <w:color w:val="333333"/>
                <w:sz w:val="20"/>
                <w:szCs w:val="20"/>
              </w:rPr>
              <w:t xml:space="preserve"> nu se </w:t>
            </w:r>
            <w:proofErr w:type="spellStart"/>
            <w:r>
              <w:rPr>
                <w:rFonts w:ascii="Times New Roman" w:eastAsia="Arial Unicode MS" w:hAnsi="Times New Roman"/>
                <w:color w:val="333333"/>
                <w:sz w:val="20"/>
                <w:szCs w:val="20"/>
              </w:rPr>
              <w:t>aplică</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cazul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emisiilor</w:t>
            </w:r>
            <w:proofErr w:type="spellEnd"/>
            <w:r>
              <w:rPr>
                <w:rFonts w:ascii="Times New Roman" w:eastAsia="Arial Unicode MS" w:hAnsi="Times New Roman"/>
                <w:color w:val="333333"/>
                <w:sz w:val="20"/>
                <w:szCs w:val="20"/>
              </w:rPr>
              <w:t xml:space="preserve"> generate </w:t>
            </w:r>
            <w:proofErr w:type="spellStart"/>
            <w:r>
              <w:rPr>
                <w:rFonts w:ascii="Times New Roman" w:eastAsia="Arial Unicode MS" w:hAnsi="Times New Roman"/>
                <w:color w:val="333333"/>
                <w:sz w:val="20"/>
                <w:szCs w:val="20"/>
              </w:rPr>
              <w:t>până</w:t>
            </w:r>
            <w:proofErr w:type="spellEnd"/>
            <w:r>
              <w:rPr>
                <w:rFonts w:ascii="Times New Roman" w:eastAsia="Arial Unicode MS" w:hAnsi="Times New Roman"/>
                <w:color w:val="333333"/>
                <w:sz w:val="20"/>
                <w:szCs w:val="20"/>
              </w:rPr>
              <w:t xml:space="preserve"> la 31</w:t>
            </w:r>
            <w:r w:rsidR="00DD71BD">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decembrie</w:t>
            </w:r>
            <w:proofErr w:type="spellEnd"/>
            <w:r w:rsidR="00DD71BD">
              <w:rPr>
                <w:rFonts w:ascii="Times New Roman" w:eastAsia="Arial Unicode MS" w:hAnsi="Times New Roman"/>
                <w:color w:val="333333"/>
                <w:sz w:val="20"/>
                <w:szCs w:val="20"/>
              </w:rPr>
              <w:t xml:space="preserve"> </w:t>
            </w:r>
            <w:r>
              <w:rPr>
                <w:rFonts w:ascii="Times New Roman" w:eastAsia="Arial Unicode MS" w:hAnsi="Times New Roman"/>
                <w:color w:val="333333"/>
                <w:sz w:val="20"/>
                <w:szCs w:val="20"/>
              </w:rPr>
              <w:t xml:space="preserve">2030 de </w:t>
            </w:r>
            <w:proofErr w:type="spellStart"/>
            <w:r>
              <w:rPr>
                <w:rFonts w:ascii="Times New Roman" w:eastAsia="Arial Unicode MS" w:hAnsi="Times New Roman"/>
                <w:color w:val="333333"/>
                <w:sz w:val="20"/>
                <w:szCs w:val="20"/>
              </w:rPr>
              <w:t>călătoriile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între</w:t>
            </w:r>
            <w:proofErr w:type="spellEnd"/>
            <w:r>
              <w:rPr>
                <w:rFonts w:ascii="Times New Roman" w:eastAsia="Arial Unicode MS" w:hAnsi="Times New Roman"/>
                <w:color w:val="333333"/>
                <w:sz w:val="20"/>
                <w:szCs w:val="20"/>
              </w:rPr>
              <w:t xml:space="preserve"> un port </w:t>
            </w:r>
            <w:proofErr w:type="spellStart"/>
            <w:r>
              <w:rPr>
                <w:rFonts w:ascii="Times New Roman" w:eastAsia="Arial Unicode MS" w:hAnsi="Times New Roman"/>
                <w:color w:val="333333"/>
                <w:sz w:val="20"/>
                <w:szCs w:val="20"/>
              </w:rPr>
              <w:t>situat</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într</w:t>
            </w:r>
            <w:proofErr w:type="spellEnd"/>
            <w:r>
              <w:rPr>
                <w:rFonts w:ascii="Times New Roman" w:eastAsia="Arial Unicode MS" w:hAnsi="Times New Roman"/>
                <w:color w:val="333333"/>
                <w:sz w:val="20"/>
                <w:szCs w:val="20"/>
              </w:rPr>
              <w:t xml:space="preserve">-o </w:t>
            </w:r>
            <w:proofErr w:type="spellStart"/>
            <w:r>
              <w:rPr>
                <w:rFonts w:ascii="Times New Roman" w:eastAsia="Arial Unicode MS" w:hAnsi="Times New Roman"/>
                <w:color w:val="333333"/>
                <w:sz w:val="20"/>
                <w:szCs w:val="20"/>
              </w:rPr>
              <w:t>regiune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ultraperiferică</w:t>
            </w:r>
            <w:proofErr w:type="spellEnd"/>
            <w:r>
              <w:rPr>
                <w:rFonts w:ascii="Times New Roman" w:eastAsia="Arial Unicode MS" w:hAnsi="Times New Roman"/>
                <w:color w:val="333333"/>
                <w:sz w:val="20"/>
                <w:szCs w:val="20"/>
              </w:rPr>
              <w:t xml:space="preserve"> a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și un port </w:t>
            </w:r>
            <w:proofErr w:type="spellStart"/>
            <w:r>
              <w:rPr>
                <w:rFonts w:ascii="Times New Roman" w:eastAsia="Arial Unicode MS" w:hAnsi="Times New Roman"/>
                <w:color w:val="333333"/>
                <w:sz w:val="20"/>
                <w:szCs w:val="20"/>
              </w:rPr>
              <w:t>situat</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același</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inclusiv</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călătoriile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dintre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porturile</w:t>
            </w:r>
            <w:proofErr w:type="spellEnd"/>
            <w:r>
              <w:rPr>
                <w:rFonts w:ascii="Times New Roman" w:eastAsia="Arial Unicode MS" w:hAnsi="Times New Roman"/>
                <w:color w:val="333333"/>
                <w:sz w:val="20"/>
                <w:szCs w:val="20"/>
              </w:rPr>
              <w:t xml:space="preserve"> din </w:t>
            </w:r>
            <w:proofErr w:type="spellStart"/>
            <w:r>
              <w:rPr>
                <w:rFonts w:ascii="Times New Roman" w:eastAsia="Arial Unicode MS" w:hAnsi="Times New Roman"/>
                <w:color w:val="333333"/>
                <w:sz w:val="20"/>
                <w:szCs w:val="20"/>
              </w:rPr>
              <w:t>interiorul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unei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regiuni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ultraperiferice</w:t>
            </w:r>
            <w:proofErr w:type="spellEnd"/>
            <w:r>
              <w:rPr>
                <w:rFonts w:ascii="Times New Roman" w:eastAsia="Arial Unicode MS" w:hAnsi="Times New Roman"/>
                <w:color w:val="333333"/>
                <w:sz w:val="20"/>
                <w:szCs w:val="20"/>
              </w:rPr>
              <w:t xml:space="preserve"> și de </w:t>
            </w:r>
            <w:proofErr w:type="spellStart"/>
            <w:r>
              <w:rPr>
                <w:rFonts w:ascii="Times New Roman" w:eastAsia="Arial Unicode MS" w:hAnsi="Times New Roman"/>
                <w:color w:val="333333"/>
                <w:sz w:val="20"/>
                <w:szCs w:val="20"/>
              </w:rPr>
              <w:t>călătoriile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între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porturi</w:t>
            </w:r>
            <w:proofErr w:type="spellEnd"/>
            <w:r>
              <w:rPr>
                <w:rFonts w:ascii="Times New Roman" w:eastAsia="Arial Unicode MS" w:hAnsi="Times New Roman"/>
                <w:color w:val="333333"/>
                <w:sz w:val="20"/>
                <w:szCs w:val="20"/>
              </w:rPr>
              <w:t xml:space="preserve"> situate în </w:t>
            </w:r>
            <w:proofErr w:type="spellStart"/>
            <w:r>
              <w:rPr>
                <w:rFonts w:ascii="Times New Roman" w:eastAsia="Arial Unicode MS" w:hAnsi="Times New Roman"/>
                <w:color w:val="333333"/>
                <w:sz w:val="20"/>
                <w:szCs w:val="20"/>
              </w:rPr>
              <w:t>regiuni</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ultraperiferice</w:t>
            </w:r>
            <w:proofErr w:type="spellEnd"/>
            <w:r>
              <w:rPr>
                <w:rFonts w:ascii="Times New Roman" w:eastAsia="Arial Unicode MS" w:hAnsi="Times New Roman"/>
                <w:color w:val="333333"/>
                <w:sz w:val="20"/>
                <w:szCs w:val="20"/>
              </w:rPr>
              <w:t xml:space="preserve"> ale </w:t>
            </w:r>
            <w:proofErr w:type="spellStart"/>
            <w:r>
              <w:rPr>
                <w:rFonts w:ascii="Times New Roman" w:eastAsia="Arial Unicode MS" w:hAnsi="Times New Roman"/>
                <w:color w:val="333333"/>
                <w:sz w:val="20"/>
                <w:szCs w:val="20"/>
              </w:rPr>
              <w:t>aceluiași</w:t>
            </w:r>
            <w:proofErr w:type="spellEnd"/>
            <w:r>
              <w:rPr>
                <w:rFonts w:ascii="Times New Roman" w:eastAsia="Arial Unicode MS" w:hAnsi="Times New Roman"/>
                <w:color w:val="333333"/>
                <w:sz w:val="20"/>
                <w:szCs w:val="20"/>
              </w:rPr>
              <w:t xml:space="preserve"> stat </w:t>
            </w:r>
            <w:proofErr w:type="spellStart"/>
            <w:r>
              <w:rPr>
                <w:rFonts w:ascii="Times New Roman" w:eastAsia="Arial Unicode MS" w:hAnsi="Times New Roman"/>
                <w:color w:val="333333"/>
                <w:sz w:val="20"/>
                <w:szCs w:val="20"/>
              </w:rPr>
              <w:t>membru</w:t>
            </w:r>
            <w:proofErr w:type="spellEnd"/>
            <w:r>
              <w:rPr>
                <w:rFonts w:ascii="Times New Roman" w:eastAsia="Arial Unicode MS" w:hAnsi="Times New Roman"/>
                <w:color w:val="333333"/>
                <w:sz w:val="20"/>
                <w:szCs w:val="20"/>
              </w:rPr>
              <w:t xml:space="preserve">, precum și de </w:t>
            </w:r>
            <w:proofErr w:type="spellStart"/>
            <w:r>
              <w:rPr>
                <w:rFonts w:ascii="Times New Roman" w:eastAsia="Arial Unicode MS" w:hAnsi="Times New Roman"/>
                <w:color w:val="333333"/>
                <w:sz w:val="20"/>
                <w:szCs w:val="20"/>
              </w:rPr>
              <w:t>activitățile</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desfășurate</w:t>
            </w:r>
            <w:proofErr w:type="spellEnd"/>
            <w:r>
              <w:rPr>
                <w:rFonts w:ascii="Times New Roman" w:eastAsia="Arial Unicode MS" w:hAnsi="Times New Roman"/>
                <w:color w:val="333333"/>
                <w:sz w:val="20"/>
                <w:szCs w:val="20"/>
              </w:rPr>
              <w:t xml:space="preserve"> în </w:t>
            </w:r>
            <w:proofErr w:type="spellStart"/>
            <w:r>
              <w:rPr>
                <w:rFonts w:ascii="Times New Roman" w:eastAsia="Arial Unicode MS" w:hAnsi="Times New Roman"/>
                <w:color w:val="333333"/>
                <w:sz w:val="20"/>
                <w:szCs w:val="20"/>
              </w:rPr>
              <w:t>cadrul</w:t>
            </w:r>
            <w:proofErr w:type="spellEnd"/>
            <w:r>
              <w:rPr>
                <w:rFonts w:ascii="Times New Roman" w:eastAsia="Arial Unicode MS" w:hAnsi="Times New Roman"/>
                <w:color w:val="333333"/>
                <w:sz w:val="20"/>
                <w:szCs w:val="20"/>
              </w:rPr>
              <w:t xml:space="preserve"> </w:t>
            </w:r>
            <w:proofErr w:type="spellStart"/>
            <w:r>
              <w:rPr>
                <w:rFonts w:ascii="Times New Roman" w:eastAsia="Arial Unicode MS" w:hAnsi="Times New Roman"/>
                <w:color w:val="333333"/>
                <w:sz w:val="20"/>
                <w:szCs w:val="20"/>
              </w:rPr>
              <w:t>unui</w:t>
            </w:r>
            <w:proofErr w:type="spellEnd"/>
            <w:r>
              <w:rPr>
                <w:rFonts w:ascii="Times New Roman" w:eastAsia="Arial Unicode MS" w:hAnsi="Times New Roman"/>
                <w:color w:val="333333"/>
                <w:sz w:val="20"/>
                <w:szCs w:val="20"/>
              </w:rPr>
              <w:t xml:space="preserve"> port de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nave în </w:t>
            </w:r>
            <w:proofErr w:type="spellStart"/>
            <w:r>
              <w:rPr>
                <w:rFonts w:ascii="Times New Roman" w:eastAsia="Arial Unicode MS" w:hAnsi="Times New Roman"/>
                <w:color w:val="333333"/>
                <w:sz w:val="20"/>
                <w:szCs w:val="20"/>
              </w:rPr>
              <w:t>legătură</w:t>
            </w:r>
            <w:proofErr w:type="spellEnd"/>
            <w:r>
              <w:rPr>
                <w:rFonts w:ascii="Times New Roman" w:eastAsia="Arial Unicode MS" w:hAnsi="Times New Roman"/>
                <w:color w:val="333333"/>
                <w:sz w:val="20"/>
                <w:szCs w:val="20"/>
              </w:rPr>
              <w:t xml:space="preserve"> cu </w:t>
            </w:r>
            <w:proofErr w:type="spellStart"/>
            <w:r>
              <w:rPr>
                <w:rFonts w:ascii="Times New Roman" w:eastAsia="Arial Unicode MS" w:hAnsi="Times New Roman"/>
                <w:color w:val="333333"/>
                <w:sz w:val="20"/>
                <w:szCs w:val="20"/>
              </w:rPr>
              <w:t>astfel</w:t>
            </w:r>
            <w:proofErr w:type="spellEnd"/>
            <w:r>
              <w:rPr>
                <w:rFonts w:ascii="Times New Roman" w:eastAsia="Arial Unicode MS" w:hAnsi="Times New Roman"/>
                <w:color w:val="333333"/>
                <w:sz w:val="20"/>
                <w:szCs w:val="20"/>
              </w:rPr>
              <w:t xml:space="preserve"> de </w:t>
            </w:r>
            <w:proofErr w:type="spellStart"/>
            <w:r>
              <w:rPr>
                <w:rFonts w:ascii="Times New Roman" w:eastAsia="Arial Unicode MS" w:hAnsi="Times New Roman"/>
                <w:color w:val="333333"/>
                <w:sz w:val="20"/>
                <w:szCs w:val="20"/>
              </w:rPr>
              <w:t>călătorii</w:t>
            </w:r>
            <w:proofErr w:type="spellEnd"/>
            <w:r>
              <w:rPr>
                <w:rFonts w:ascii="Times New Roman" w:eastAsia="Arial Unicode MS" w:hAnsi="Times New Roman"/>
                <w:color w:val="333333"/>
                <w:sz w:val="20"/>
                <w:szCs w:val="20"/>
              </w:rPr>
              <w:t>.</w:t>
            </w:r>
          </w:p>
          <w:p w14:paraId="57CFCF33"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213" w:tooltip="32023L0959: REPLACED" w:history="1">
              <w:r>
                <w:rPr>
                  <w:rStyle w:val="af3"/>
                  <w:rFonts w:ascii="Times New Roman" w:eastAsia="Arial Unicode MS" w:hAnsi="Times New Roman"/>
                  <w:b/>
                  <w:bCs/>
                  <w:color w:val="4472C4" w:themeColor="accent1"/>
                  <w:sz w:val="20"/>
                  <w:szCs w:val="20"/>
                </w:rPr>
                <w:t>▼M15</w:t>
              </w:r>
            </w:hyperlink>
          </w:p>
          <w:p w14:paraId="5A4CAE71" w14:textId="7EB3923B"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rPr>
            </w:pPr>
            <w:r w:rsidRPr="00DD71BD">
              <w:rPr>
                <w:rStyle w:val="no-parag"/>
                <w:rFonts w:ascii="Times New Roman" w:eastAsia="Arial Unicode MS" w:hAnsi="Times New Roman"/>
                <w:color w:val="000000" w:themeColor="text1"/>
                <w:sz w:val="20"/>
                <w:szCs w:val="20"/>
              </w:rPr>
              <w:t>(3-a)</w:t>
            </w:r>
            <w:r w:rsidR="00DD71BD" w:rsidRPr="00DD71BD">
              <w:rPr>
                <w:rStyle w:val="no-parag"/>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În </w:t>
            </w:r>
            <w:proofErr w:type="spellStart"/>
            <w:r w:rsidRPr="00DD71BD">
              <w:rPr>
                <w:rFonts w:ascii="Times New Roman" w:eastAsia="Arial Unicode MS" w:hAnsi="Times New Roman"/>
                <w:color w:val="000000" w:themeColor="text1"/>
                <w:sz w:val="20"/>
                <w:szCs w:val="20"/>
              </w:rPr>
              <w:t>cazul</w:t>
            </w:r>
            <w:proofErr w:type="spellEnd"/>
            <w:r w:rsidRPr="00DD71BD">
              <w:rPr>
                <w:rFonts w:ascii="Times New Roman" w:eastAsia="Arial Unicode MS" w:hAnsi="Times New Roman"/>
                <w:color w:val="000000" w:themeColor="text1"/>
                <w:sz w:val="20"/>
                <w:szCs w:val="20"/>
              </w:rPr>
              <w:t xml:space="preserve"> în care </w:t>
            </w:r>
            <w:proofErr w:type="spellStart"/>
            <w:r w:rsidRPr="00DD71BD">
              <w:rPr>
                <w:rFonts w:ascii="Times New Roman" w:eastAsia="Arial Unicode MS" w:hAnsi="Times New Roman"/>
                <w:color w:val="000000" w:themeColor="text1"/>
                <w:sz w:val="20"/>
                <w:szCs w:val="20"/>
              </w:rPr>
              <w:t>este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necesar</w:t>
            </w:r>
            <w:proofErr w:type="spellEnd"/>
            <w:r w:rsidRPr="00DD71BD">
              <w:rPr>
                <w:rFonts w:ascii="Times New Roman" w:eastAsia="Arial Unicode MS" w:hAnsi="Times New Roman"/>
                <w:color w:val="000000" w:themeColor="text1"/>
                <w:sz w:val="20"/>
                <w:szCs w:val="20"/>
              </w:rPr>
              <w:t xml:space="preserve"> și </w:t>
            </w:r>
            <w:proofErr w:type="spellStart"/>
            <w:r w:rsidRPr="00DD71BD">
              <w:rPr>
                <w:rFonts w:ascii="Times New Roman" w:eastAsia="Arial Unicode MS" w:hAnsi="Times New Roman"/>
                <w:color w:val="000000" w:themeColor="text1"/>
                <w:sz w:val="20"/>
                <w:szCs w:val="20"/>
              </w:rPr>
              <w:t>atât</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timp</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cât</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este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necesar</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pentru</w:t>
            </w:r>
            <w:proofErr w:type="spellEnd"/>
            <w:r w:rsidRPr="00DD71BD">
              <w:rPr>
                <w:rFonts w:ascii="Times New Roman" w:eastAsia="Arial Unicode MS" w:hAnsi="Times New Roman"/>
                <w:color w:val="000000" w:themeColor="text1"/>
                <w:sz w:val="20"/>
                <w:szCs w:val="20"/>
              </w:rPr>
              <w:t xml:space="preserve"> a </w:t>
            </w:r>
            <w:proofErr w:type="spellStart"/>
            <w:r w:rsidRPr="00DD71BD">
              <w:rPr>
                <w:rFonts w:ascii="Times New Roman" w:eastAsia="Arial Unicode MS" w:hAnsi="Times New Roman"/>
                <w:color w:val="000000" w:themeColor="text1"/>
                <w:sz w:val="20"/>
                <w:szCs w:val="20"/>
              </w:rPr>
              <w:t>proteja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integritatea</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mediu</w:t>
            </w:r>
            <w:proofErr w:type="spellEnd"/>
            <w:r w:rsidRPr="00DD71BD">
              <w:rPr>
                <w:rFonts w:ascii="Times New Roman" w:eastAsia="Arial Unicode MS" w:hAnsi="Times New Roman"/>
                <w:color w:val="000000" w:themeColor="text1"/>
                <w:sz w:val="20"/>
                <w:szCs w:val="20"/>
              </w:rPr>
              <w:t xml:space="preserve"> </w:t>
            </w:r>
            <w:proofErr w:type="gramStart"/>
            <w:r w:rsidRPr="00DD71BD">
              <w:rPr>
                <w:rFonts w:ascii="Times New Roman" w:eastAsia="Arial Unicode MS" w:hAnsi="Times New Roman"/>
                <w:color w:val="000000" w:themeColor="text1"/>
                <w:sz w:val="20"/>
                <w:szCs w:val="20"/>
              </w:rPr>
              <w:t>a</w:t>
            </w:r>
            <w:proofErr w:type="gramEnd"/>
            <w:r w:rsidRPr="00DD71BD">
              <w:rPr>
                <w:rFonts w:ascii="Times New Roman" w:eastAsia="Arial Unicode MS" w:hAnsi="Times New Roman"/>
                <w:color w:val="000000" w:themeColor="text1"/>
                <w:sz w:val="20"/>
                <w:szCs w:val="20"/>
              </w:rPr>
              <w:t xml:space="preserve"> EU ETS, </w:t>
            </w:r>
            <w:proofErr w:type="spellStart"/>
            <w:r w:rsidRPr="00DD71BD">
              <w:rPr>
                <w:rFonts w:ascii="Times New Roman" w:eastAsia="Arial Unicode MS" w:hAnsi="Times New Roman"/>
                <w:color w:val="000000" w:themeColor="text1"/>
                <w:sz w:val="20"/>
                <w:szCs w:val="20"/>
              </w:rPr>
              <w:t>operatorilor</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operatorilor</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aeronave</w:t>
            </w:r>
            <w:proofErr w:type="spellEnd"/>
            <w:r w:rsidRPr="00DD71BD">
              <w:rPr>
                <w:rFonts w:ascii="Times New Roman" w:eastAsia="Arial Unicode MS" w:hAnsi="Times New Roman"/>
                <w:color w:val="000000" w:themeColor="text1"/>
                <w:sz w:val="20"/>
                <w:szCs w:val="20"/>
              </w:rPr>
              <w:t xml:space="preserve"> și </w:t>
            </w:r>
            <w:proofErr w:type="spellStart"/>
            <w:r w:rsidRPr="00DD71BD">
              <w:rPr>
                <w:rFonts w:ascii="Times New Roman" w:eastAsia="Arial Unicode MS" w:hAnsi="Times New Roman"/>
                <w:color w:val="000000" w:themeColor="text1"/>
                <w:sz w:val="20"/>
                <w:szCs w:val="20"/>
              </w:rPr>
              <w:t>companiilor</w:t>
            </w:r>
            <w:proofErr w:type="spellEnd"/>
            <w:r w:rsidRPr="00DD71BD">
              <w:rPr>
                <w:rFonts w:ascii="Times New Roman" w:eastAsia="Arial Unicode MS" w:hAnsi="Times New Roman"/>
                <w:color w:val="000000" w:themeColor="text1"/>
                <w:sz w:val="20"/>
                <w:szCs w:val="20"/>
              </w:rPr>
              <w:t xml:space="preserve"> de transport maritim din </w:t>
            </w:r>
            <w:proofErr w:type="spellStart"/>
            <w:r w:rsidRPr="00DD71BD">
              <w:rPr>
                <w:rFonts w:ascii="Times New Roman" w:eastAsia="Arial Unicode MS" w:hAnsi="Times New Roman"/>
                <w:color w:val="000000" w:themeColor="text1"/>
                <w:sz w:val="20"/>
                <w:szCs w:val="20"/>
              </w:rPr>
              <w:t>cadrul</w:t>
            </w:r>
            <w:proofErr w:type="spellEnd"/>
            <w:r w:rsidRPr="00DD71BD">
              <w:rPr>
                <w:rFonts w:ascii="Times New Roman" w:eastAsia="Arial Unicode MS" w:hAnsi="Times New Roman"/>
                <w:color w:val="000000" w:themeColor="text1"/>
                <w:sz w:val="20"/>
                <w:szCs w:val="20"/>
              </w:rPr>
              <w:t xml:space="preserve"> EU ETS li se </w:t>
            </w:r>
            <w:proofErr w:type="spellStart"/>
            <w:r w:rsidRPr="00DD71BD">
              <w:rPr>
                <w:rFonts w:ascii="Times New Roman" w:eastAsia="Arial Unicode MS" w:hAnsi="Times New Roman"/>
                <w:color w:val="000000" w:themeColor="text1"/>
                <w:sz w:val="20"/>
                <w:szCs w:val="20"/>
              </w:rPr>
              <w:t>interzice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utilizarea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certificatelor</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emise</w:t>
            </w:r>
            <w:proofErr w:type="spellEnd"/>
            <w:r w:rsidRPr="00DD71BD">
              <w:rPr>
                <w:rFonts w:ascii="Times New Roman" w:eastAsia="Arial Unicode MS" w:hAnsi="Times New Roman"/>
                <w:color w:val="000000" w:themeColor="text1"/>
                <w:sz w:val="20"/>
                <w:szCs w:val="20"/>
              </w:rPr>
              <w:t xml:space="preserve"> de un stat </w:t>
            </w:r>
            <w:proofErr w:type="spellStart"/>
            <w:r w:rsidRPr="00DD71BD">
              <w:rPr>
                <w:rFonts w:ascii="Times New Roman" w:eastAsia="Arial Unicode MS" w:hAnsi="Times New Roman"/>
                <w:color w:val="000000" w:themeColor="text1"/>
                <w:sz w:val="20"/>
                <w:szCs w:val="20"/>
              </w:rPr>
              <w:t>membru</w:t>
            </w:r>
            <w:proofErr w:type="spellEnd"/>
            <w:r w:rsidRPr="00DD71BD">
              <w:rPr>
                <w:rFonts w:ascii="Times New Roman" w:eastAsia="Arial Unicode MS" w:hAnsi="Times New Roman"/>
                <w:color w:val="000000" w:themeColor="text1"/>
                <w:sz w:val="20"/>
                <w:szCs w:val="20"/>
              </w:rPr>
              <w:t xml:space="preserve"> cu </w:t>
            </w:r>
            <w:proofErr w:type="spellStart"/>
            <w:r w:rsidRPr="00DD71BD">
              <w:rPr>
                <w:rFonts w:ascii="Times New Roman" w:eastAsia="Arial Unicode MS" w:hAnsi="Times New Roman"/>
                <w:color w:val="000000" w:themeColor="text1"/>
                <w:sz w:val="20"/>
                <w:szCs w:val="20"/>
              </w:rPr>
              <w:t>privire</w:t>
            </w:r>
            <w:proofErr w:type="spellEnd"/>
            <w:r w:rsidRPr="00DD71BD">
              <w:rPr>
                <w:rFonts w:ascii="Times New Roman" w:eastAsia="Arial Unicode MS" w:hAnsi="Times New Roman"/>
                <w:color w:val="000000" w:themeColor="text1"/>
                <w:sz w:val="20"/>
                <w:szCs w:val="20"/>
              </w:rPr>
              <w:t xml:space="preserve"> la care există </w:t>
            </w:r>
            <w:proofErr w:type="spellStart"/>
            <w:r w:rsidRPr="00DD71BD">
              <w:rPr>
                <w:rFonts w:ascii="Times New Roman" w:eastAsia="Arial Unicode MS" w:hAnsi="Times New Roman"/>
                <w:color w:val="000000" w:themeColor="text1"/>
                <w:sz w:val="20"/>
                <w:szCs w:val="20"/>
              </w:rPr>
              <w:t>obligații</w:t>
            </w:r>
            <w:proofErr w:type="spellEnd"/>
            <w:r w:rsidRPr="00DD71BD">
              <w:rPr>
                <w:rFonts w:ascii="Times New Roman" w:eastAsia="Arial Unicode MS" w:hAnsi="Times New Roman"/>
                <w:color w:val="000000" w:themeColor="text1"/>
                <w:sz w:val="20"/>
                <w:szCs w:val="20"/>
              </w:rPr>
              <w:t xml:space="preserve"> ale </w:t>
            </w:r>
            <w:proofErr w:type="spellStart"/>
            <w:r w:rsidRPr="00DD71BD">
              <w:rPr>
                <w:rFonts w:ascii="Times New Roman" w:eastAsia="Arial Unicode MS" w:hAnsi="Times New Roman"/>
                <w:color w:val="000000" w:themeColor="text1"/>
                <w:sz w:val="20"/>
                <w:szCs w:val="20"/>
              </w:rPr>
              <w:t>operatorilor</w:t>
            </w:r>
            <w:proofErr w:type="spellEnd"/>
            <w:r w:rsidRPr="00DD71BD">
              <w:rPr>
                <w:rFonts w:ascii="Times New Roman" w:eastAsia="Arial Unicode MS" w:hAnsi="Times New Roman"/>
                <w:color w:val="000000" w:themeColor="text1"/>
                <w:sz w:val="20"/>
                <w:szCs w:val="20"/>
              </w:rPr>
              <w:t xml:space="preserve">, ale </w:t>
            </w:r>
            <w:proofErr w:type="spellStart"/>
            <w:r w:rsidRPr="00DD71BD">
              <w:rPr>
                <w:rFonts w:ascii="Times New Roman" w:eastAsia="Arial Unicode MS" w:hAnsi="Times New Roman"/>
                <w:color w:val="000000" w:themeColor="text1"/>
                <w:sz w:val="20"/>
                <w:szCs w:val="20"/>
              </w:rPr>
              <w:t>operatorilor</w:t>
            </w:r>
            <w:proofErr w:type="spellEnd"/>
            <w:r w:rsidRPr="00DD71BD">
              <w:rPr>
                <w:rFonts w:ascii="Times New Roman" w:eastAsia="Arial Unicode MS" w:hAnsi="Times New Roman"/>
                <w:color w:val="000000" w:themeColor="text1"/>
                <w:sz w:val="20"/>
                <w:szCs w:val="20"/>
              </w:rPr>
              <w:t xml:space="preserve"> de </w:t>
            </w:r>
            <w:proofErr w:type="spellStart"/>
            <w:r w:rsidRPr="00DD71BD">
              <w:rPr>
                <w:rFonts w:ascii="Times New Roman" w:eastAsia="Arial Unicode MS" w:hAnsi="Times New Roman"/>
                <w:color w:val="000000" w:themeColor="text1"/>
                <w:sz w:val="20"/>
                <w:szCs w:val="20"/>
              </w:rPr>
              <w:t>aeronave</w:t>
            </w:r>
            <w:proofErr w:type="spellEnd"/>
            <w:r w:rsidRPr="00DD71BD">
              <w:rPr>
                <w:rFonts w:ascii="Times New Roman" w:eastAsia="Arial Unicode MS" w:hAnsi="Times New Roman"/>
                <w:color w:val="000000" w:themeColor="text1"/>
                <w:sz w:val="20"/>
                <w:szCs w:val="20"/>
              </w:rPr>
              <w:t xml:space="preserve"> și ale </w:t>
            </w:r>
            <w:proofErr w:type="spellStart"/>
            <w:r w:rsidRPr="00DD71BD">
              <w:rPr>
                <w:rFonts w:ascii="Times New Roman" w:eastAsia="Arial Unicode MS" w:hAnsi="Times New Roman"/>
                <w:color w:val="000000" w:themeColor="text1"/>
                <w:sz w:val="20"/>
                <w:szCs w:val="20"/>
              </w:rPr>
              <w:t>companiilor</w:t>
            </w:r>
            <w:proofErr w:type="spellEnd"/>
            <w:r w:rsidRPr="00DD71BD">
              <w:rPr>
                <w:rFonts w:ascii="Times New Roman" w:eastAsia="Arial Unicode MS" w:hAnsi="Times New Roman"/>
                <w:color w:val="000000" w:themeColor="text1"/>
                <w:sz w:val="20"/>
                <w:szCs w:val="20"/>
              </w:rPr>
              <w:t xml:space="preserve"> de transport maritim care au </w:t>
            </w:r>
            <w:proofErr w:type="spellStart"/>
            <w:r w:rsidRPr="00DD71BD">
              <w:rPr>
                <w:rFonts w:ascii="Times New Roman" w:eastAsia="Arial Unicode MS" w:hAnsi="Times New Roman"/>
                <w:color w:val="000000" w:themeColor="text1"/>
                <w:sz w:val="20"/>
                <w:szCs w:val="20"/>
              </w:rPr>
              <w:t>devenit</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caduce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Actele</w:t>
            </w:r>
            <w:proofErr w:type="spellEnd"/>
            <w:r w:rsidRPr="00DD71BD">
              <w:rPr>
                <w:rFonts w:ascii="Times New Roman" w:eastAsia="Arial Unicode MS" w:hAnsi="Times New Roman"/>
                <w:color w:val="000000" w:themeColor="text1"/>
                <w:sz w:val="20"/>
                <w:szCs w:val="20"/>
              </w:rPr>
              <w:t xml:space="preserve"> delegate </w:t>
            </w:r>
            <w:proofErr w:type="spellStart"/>
            <w:r w:rsidRPr="00DD71BD">
              <w:rPr>
                <w:rFonts w:ascii="Times New Roman" w:eastAsia="Arial Unicode MS" w:hAnsi="Times New Roman"/>
                <w:color w:val="000000" w:themeColor="text1"/>
                <w:sz w:val="20"/>
                <w:szCs w:val="20"/>
              </w:rPr>
              <w:t>menționate</w:t>
            </w:r>
            <w:proofErr w:type="spellEnd"/>
            <w:r w:rsidRPr="00DD71BD">
              <w:rPr>
                <w:rFonts w:ascii="Times New Roman" w:eastAsia="Arial Unicode MS" w:hAnsi="Times New Roman"/>
                <w:color w:val="000000" w:themeColor="text1"/>
                <w:sz w:val="20"/>
                <w:szCs w:val="20"/>
              </w:rPr>
              <w:t xml:space="preserve"> la </w:t>
            </w:r>
            <w:proofErr w:type="spellStart"/>
            <w:r w:rsidRPr="00DD71BD">
              <w:rPr>
                <w:rFonts w:ascii="Times New Roman" w:eastAsia="Arial Unicode MS" w:hAnsi="Times New Roman"/>
                <w:color w:val="000000" w:themeColor="text1"/>
                <w:sz w:val="20"/>
                <w:szCs w:val="20"/>
              </w:rPr>
              <w:t>articolul</w:t>
            </w:r>
            <w:proofErr w:type="spellEnd"/>
            <w:r w:rsid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19 </w:t>
            </w:r>
            <w:proofErr w:type="spellStart"/>
            <w:r w:rsidRPr="00DD71BD">
              <w:rPr>
                <w:rFonts w:ascii="Times New Roman" w:eastAsia="Arial Unicode MS" w:hAnsi="Times New Roman"/>
                <w:color w:val="000000" w:themeColor="text1"/>
                <w:sz w:val="20"/>
                <w:szCs w:val="20"/>
              </w:rPr>
              <w:t>alineatul</w:t>
            </w:r>
            <w:proofErr w:type="spellEnd"/>
            <w:r w:rsidRPr="00DD71BD">
              <w:rPr>
                <w:rFonts w:ascii="Times New Roman" w:eastAsia="Arial Unicode MS" w:hAnsi="Times New Roman"/>
                <w:color w:val="000000" w:themeColor="text1"/>
                <w:sz w:val="20"/>
                <w:szCs w:val="20"/>
              </w:rPr>
              <w:t xml:space="preserve"> (3) </w:t>
            </w:r>
            <w:proofErr w:type="spellStart"/>
            <w:r w:rsidRPr="00DD71BD">
              <w:rPr>
                <w:rFonts w:ascii="Times New Roman" w:eastAsia="Arial Unicode MS" w:hAnsi="Times New Roman"/>
                <w:color w:val="000000" w:themeColor="text1"/>
                <w:sz w:val="20"/>
                <w:szCs w:val="20"/>
              </w:rPr>
              <w:t>trebuie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să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includă</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măsurile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necesare</w:t>
            </w:r>
            <w:proofErr w:type="spellEnd"/>
            <w:r w:rsidRPr="00DD71BD">
              <w:rPr>
                <w:rFonts w:ascii="Times New Roman" w:eastAsia="Arial Unicode MS" w:hAnsi="Times New Roman"/>
                <w:color w:val="000000" w:themeColor="text1"/>
                <w:sz w:val="20"/>
                <w:szCs w:val="20"/>
              </w:rPr>
              <w:t xml:space="preserve"> în </w:t>
            </w:r>
            <w:proofErr w:type="spellStart"/>
            <w:r w:rsidRPr="00DD71BD">
              <w:rPr>
                <w:rFonts w:ascii="Times New Roman" w:eastAsia="Arial Unicode MS" w:hAnsi="Times New Roman"/>
                <w:color w:val="000000" w:themeColor="text1"/>
                <w:sz w:val="20"/>
                <w:szCs w:val="20"/>
              </w:rPr>
              <w:t>cazurile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menționate</w:t>
            </w:r>
            <w:proofErr w:type="spellEnd"/>
            <w:r w:rsidRPr="00DD71BD">
              <w:rPr>
                <w:rFonts w:ascii="Times New Roman" w:eastAsia="Arial Unicode MS" w:hAnsi="Times New Roman"/>
                <w:color w:val="000000" w:themeColor="text1"/>
                <w:sz w:val="20"/>
                <w:szCs w:val="20"/>
              </w:rPr>
              <w:t xml:space="preserve"> în </w:t>
            </w:r>
            <w:proofErr w:type="spellStart"/>
            <w:r w:rsidRPr="00DD71BD">
              <w:rPr>
                <w:rFonts w:ascii="Times New Roman" w:eastAsia="Arial Unicode MS" w:hAnsi="Times New Roman"/>
                <w:color w:val="000000" w:themeColor="text1"/>
                <w:sz w:val="20"/>
                <w:szCs w:val="20"/>
              </w:rPr>
              <w:t>prezentul</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alineat</w:t>
            </w:r>
            <w:proofErr w:type="spellEnd"/>
            <w:r w:rsidRPr="00DD71BD">
              <w:rPr>
                <w:rFonts w:ascii="Times New Roman" w:eastAsia="Arial Unicode MS" w:hAnsi="Times New Roman"/>
                <w:color w:val="000000" w:themeColor="text1"/>
                <w:sz w:val="20"/>
                <w:szCs w:val="20"/>
              </w:rPr>
              <w:t>.</w:t>
            </w:r>
          </w:p>
          <w:p w14:paraId="4ACD19DD"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214" w:tooltip="32009L0029: INSERTED" w:history="1">
              <w:r>
                <w:rPr>
                  <w:rStyle w:val="af3"/>
                  <w:rFonts w:ascii="Times New Roman" w:eastAsia="Arial Unicode MS" w:hAnsi="Times New Roman"/>
                  <w:b/>
                  <w:bCs/>
                  <w:color w:val="4472C4" w:themeColor="accent1"/>
                  <w:sz w:val="20"/>
                  <w:szCs w:val="20"/>
                </w:rPr>
                <w:t>▼M4</w:t>
              </w:r>
            </w:hyperlink>
          </w:p>
          <w:p w14:paraId="396613F2" w14:textId="74E475F4" w:rsidR="00124364" w:rsidRDefault="00000000" w:rsidP="00DD71BD">
            <w:pPr>
              <w:pStyle w:val="af8"/>
              <w:numPr>
                <w:ilvl w:val="0"/>
                <w:numId w:val="84"/>
              </w:numPr>
              <w:suppressAutoHyphens w:val="0"/>
              <w:autoSpaceDN/>
              <w:spacing w:after="0" w:line="240" w:lineRule="auto"/>
              <w:jc w:val="both"/>
              <w:textAlignment w:val="auto"/>
              <w:rPr>
                <w:rFonts w:ascii="Times New Roman" w:hAnsi="Times New Roman"/>
                <w:sz w:val="20"/>
                <w:szCs w:val="20"/>
                <w:lang w:val="en-US"/>
              </w:rPr>
            </w:pPr>
            <w:proofErr w:type="spellStart"/>
            <w:r w:rsidRPr="00DD71BD">
              <w:rPr>
                <w:rFonts w:ascii="Times New Roman" w:eastAsia="Arial Unicode MS" w:hAnsi="Times New Roman"/>
                <w:color w:val="000000" w:themeColor="text1"/>
                <w:sz w:val="20"/>
                <w:szCs w:val="20"/>
              </w:rPr>
              <w:t>Obligația</w:t>
            </w:r>
            <w:proofErr w:type="spellEnd"/>
            <w:r w:rsidRPr="00DD71BD">
              <w:rPr>
                <w:rFonts w:ascii="Times New Roman" w:eastAsia="Arial Unicode MS" w:hAnsi="Times New Roman"/>
                <w:color w:val="000000" w:themeColor="text1"/>
                <w:sz w:val="20"/>
                <w:szCs w:val="20"/>
              </w:rPr>
              <w:t xml:space="preserve"> de a </w:t>
            </w:r>
            <w:proofErr w:type="spellStart"/>
            <w:r w:rsidRPr="00DD71BD">
              <w:rPr>
                <w:rFonts w:ascii="Times New Roman" w:eastAsia="Arial Unicode MS" w:hAnsi="Times New Roman"/>
                <w:color w:val="000000" w:themeColor="text1"/>
                <w:sz w:val="20"/>
                <w:szCs w:val="20"/>
              </w:rPr>
              <w:t>restitui</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certificatele</w:t>
            </w:r>
            <w:proofErr w:type="spellEnd"/>
            <w:r w:rsidRPr="00DD71BD">
              <w:rPr>
                <w:rFonts w:ascii="Times New Roman" w:eastAsia="Arial Unicode MS" w:hAnsi="Times New Roman"/>
                <w:color w:val="000000" w:themeColor="text1"/>
                <w:sz w:val="20"/>
                <w:szCs w:val="20"/>
              </w:rPr>
              <w:t xml:space="preserve"> nu se </w:t>
            </w:r>
            <w:proofErr w:type="spellStart"/>
            <w:r w:rsidRPr="00DD71BD">
              <w:rPr>
                <w:rFonts w:ascii="Times New Roman" w:eastAsia="Arial Unicode MS" w:hAnsi="Times New Roman"/>
                <w:color w:val="000000" w:themeColor="text1"/>
                <w:sz w:val="20"/>
                <w:szCs w:val="20"/>
              </w:rPr>
              <w:t>aplică</w:t>
            </w:r>
            <w:proofErr w:type="spellEnd"/>
            <w:r w:rsidRPr="00DD71BD">
              <w:rPr>
                <w:rFonts w:ascii="Times New Roman" w:eastAsia="Arial Unicode MS" w:hAnsi="Times New Roman"/>
                <w:color w:val="000000" w:themeColor="text1"/>
                <w:sz w:val="20"/>
                <w:szCs w:val="20"/>
              </w:rPr>
              <w:t xml:space="preserve"> în </w:t>
            </w:r>
            <w:proofErr w:type="spellStart"/>
            <w:r w:rsidRPr="00DD71BD">
              <w:rPr>
                <w:rFonts w:ascii="Times New Roman" w:eastAsia="Arial Unicode MS" w:hAnsi="Times New Roman"/>
                <w:color w:val="000000" w:themeColor="text1"/>
                <w:sz w:val="20"/>
                <w:szCs w:val="20"/>
              </w:rPr>
              <w:t>ceea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ce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privește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emisiile</w:t>
            </w:r>
            <w:proofErr w:type="spellEnd"/>
            <w:r w:rsidRPr="00DD71BD">
              <w:rPr>
                <w:rFonts w:ascii="Times New Roman" w:eastAsia="Arial Unicode MS" w:hAnsi="Times New Roman"/>
                <w:color w:val="000000" w:themeColor="text1"/>
                <w:sz w:val="20"/>
                <w:szCs w:val="20"/>
              </w:rPr>
              <w:t xml:space="preserve"> care, conform </w:t>
            </w:r>
            <w:proofErr w:type="spellStart"/>
            <w:r w:rsidRPr="00DD71BD">
              <w:rPr>
                <w:rFonts w:ascii="Times New Roman" w:eastAsia="Arial Unicode MS" w:hAnsi="Times New Roman"/>
                <w:color w:val="000000" w:themeColor="text1"/>
                <w:sz w:val="20"/>
                <w:szCs w:val="20"/>
              </w:rPr>
              <w:t>verificărilor</w:t>
            </w:r>
            <w:proofErr w:type="spellEnd"/>
            <w:r w:rsidRPr="00DD71BD">
              <w:rPr>
                <w:rFonts w:ascii="Times New Roman" w:eastAsia="Arial Unicode MS" w:hAnsi="Times New Roman"/>
                <w:color w:val="000000" w:themeColor="text1"/>
                <w:sz w:val="20"/>
                <w:szCs w:val="20"/>
              </w:rPr>
              <w:t xml:space="preserve">, sunt </w:t>
            </w:r>
            <w:proofErr w:type="spellStart"/>
            <w:r w:rsidRPr="00DD71BD">
              <w:rPr>
                <w:rFonts w:ascii="Times New Roman" w:eastAsia="Arial Unicode MS" w:hAnsi="Times New Roman"/>
                <w:color w:val="000000" w:themeColor="text1"/>
                <w:sz w:val="20"/>
                <w:szCs w:val="20"/>
              </w:rPr>
              <w:t>captate</w:t>
            </w:r>
            <w:proofErr w:type="spellEnd"/>
            <w:r w:rsidRPr="00DD71BD">
              <w:rPr>
                <w:rFonts w:ascii="Times New Roman" w:eastAsia="Arial Unicode MS" w:hAnsi="Times New Roman"/>
                <w:color w:val="000000" w:themeColor="text1"/>
                <w:sz w:val="20"/>
                <w:szCs w:val="20"/>
              </w:rPr>
              <w:t xml:space="preserve"> și </w:t>
            </w:r>
            <w:proofErr w:type="spellStart"/>
            <w:r w:rsidRPr="00DD71BD">
              <w:rPr>
                <w:rFonts w:ascii="Times New Roman" w:eastAsia="Arial Unicode MS" w:hAnsi="Times New Roman"/>
                <w:color w:val="000000" w:themeColor="text1"/>
                <w:sz w:val="20"/>
                <w:szCs w:val="20"/>
              </w:rPr>
              <w:t>transportate</w:t>
            </w:r>
            <w:proofErr w:type="spellEnd"/>
            <w:r w:rsidRPr="00DD71BD">
              <w:rPr>
                <w:rFonts w:ascii="Times New Roman" w:eastAsia="Arial Unicode MS" w:hAnsi="Times New Roman"/>
                <w:color w:val="000000" w:themeColor="text1"/>
                <w:sz w:val="20"/>
                <w:szCs w:val="20"/>
              </w:rPr>
              <w:t xml:space="preserve"> în </w:t>
            </w:r>
            <w:proofErr w:type="spellStart"/>
            <w:r w:rsidRPr="00DD71BD">
              <w:rPr>
                <w:rFonts w:ascii="Times New Roman" w:eastAsia="Arial Unicode MS" w:hAnsi="Times New Roman"/>
                <w:color w:val="000000" w:themeColor="text1"/>
                <w:sz w:val="20"/>
                <w:szCs w:val="20"/>
              </w:rPr>
              <w:t>vederea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stocării</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permanente</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într</w:t>
            </w:r>
            <w:proofErr w:type="spellEnd"/>
            <w:r w:rsidRPr="00DD71BD">
              <w:rPr>
                <w:rFonts w:ascii="Times New Roman" w:eastAsia="Arial Unicode MS" w:hAnsi="Times New Roman"/>
                <w:color w:val="000000" w:themeColor="text1"/>
                <w:sz w:val="20"/>
                <w:szCs w:val="20"/>
              </w:rPr>
              <w:t xml:space="preserve">-o </w:t>
            </w:r>
            <w:proofErr w:type="spellStart"/>
            <w:r w:rsidRPr="00DD71BD">
              <w:rPr>
                <w:rFonts w:ascii="Times New Roman" w:eastAsia="Arial Unicode MS" w:hAnsi="Times New Roman"/>
                <w:color w:val="000000" w:themeColor="text1"/>
                <w:sz w:val="20"/>
                <w:szCs w:val="20"/>
              </w:rPr>
              <w:t>instalație</w:t>
            </w:r>
            <w:proofErr w:type="spellEnd"/>
            <w:r w:rsidRPr="00DD71BD">
              <w:rPr>
                <w:rFonts w:ascii="Times New Roman" w:eastAsia="Arial Unicode MS" w:hAnsi="Times New Roman"/>
                <w:color w:val="000000" w:themeColor="text1"/>
                <w:sz w:val="20"/>
                <w:szCs w:val="20"/>
              </w:rPr>
              <w:t xml:space="preserve"> care </w:t>
            </w:r>
            <w:proofErr w:type="spellStart"/>
            <w:r w:rsidRPr="00DD71BD">
              <w:rPr>
                <w:rFonts w:ascii="Times New Roman" w:eastAsia="Arial Unicode MS" w:hAnsi="Times New Roman"/>
                <w:color w:val="000000" w:themeColor="text1"/>
                <w:sz w:val="20"/>
                <w:szCs w:val="20"/>
              </w:rPr>
              <w:t>dispune</w:t>
            </w:r>
            <w:proofErr w:type="spellEnd"/>
            <w:r w:rsidRPr="00DD71BD">
              <w:rPr>
                <w:rFonts w:ascii="Times New Roman" w:eastAsia="Arial Unicode MS" w:hAnsi="Times New Roman"/>
                <w:color w:val="000000" w:themeColor="text1"/>
                <w:sz w:val="20"/>
                <w:szCs w:val="20"/>
              </w:rPr>
              <w:t xml:space="preserve"> de un </w:t>
            </w:r>
            <w:proofErr w:type="spellStart"/>
            <w:r w:rsidRPr="00DD71BD">
              <w:rPr>
                <w:rFonts w:ascii="Times New Roman" w:eastAsia="Arial Unicode MS" w:hAnsi="Times New Roman"/>
                <w:color w:val="000000" w:themeColor="text1"/>
                <w:sz w:val="20"/>
                <w:szCs w:val="20"/>
              </w:rPr>
              <w:t>permis</w:t>
            </w:r>
            <w:proofErr w:type="spellEnd"/>
            <w:r w:rsidRPr="00DD71BD">
              <w:rPr>
                <w:rFonts w:ascii="Times New Roman" w:eastAsia="Arial Unicode MS" w:hAnsi="Times New Roman"/>
                <w:color w:val="000000" w:themeColor="text1"/>
                <w:sz w:val="20"/>
                <w:szCs w:val="20"/>
              </w:rPr>
              <w:t xml:space="preserve"> în </w:t>
            </w:r>
            <w:proofErr w:type="spellStart"/>
            <w:r w:rsidRPr="00DD71BD">
              <w:rPr>
                <w:rFonts w:ascii="Times New Roman" w:eastAsia="Arial Unicode MS" w:hAnsi="Times New Roman"/>
                <w:color w:val="000000" w:themeColor="text1"/>
                <w:sz w:val="20"/>
                <w:szCs w:val="20"/>
              </w:rPr>
              <w:t>vigoare</w:t>
            </w:r>
            <w:proofErr w:type="spellEnd"/>
            <w:r w:rsidRPr="00DD71BD">
              <w:rPr>
                <w:rFonts w:ascii="Times New Roman" w:eastAsia="Arial Unicode MS" w:hAnsi="Times New Roman"/>
                <w:color w:val="000000" w:themeColor="text1"/>
                <w:sz w:val="20"/>
                <w:szCs w:val="20"/>
              </w:rPr>
              <w:t xml:space="preserve">, în conformitate cu </w:t>
            </w:r>
            <w:proofErr w:type="spellStart"/>
            <w:r w:rsidRPr="00DD71BD">
              <w:rPr>
                <w:rFonts w:ascii="Times New Roman" w:eastAsia="Arial Unicode MS" w:hAnsi="Times New Roman"/>
                <w:color w:val="000000" w:themeColor="text1"/>
                <w:sz w:val="20"/>
                <w:szCs w:val="20"/>
              </w:rPr>
              <w:t>Directiva</w:t>
            </w:r>
            <w:proofErr w:type="spellEnd"/>
            <w:r w:rsidR="00DD71BD" w:rsidRPr="00DD71BD">
              <w:rPr>
                <w:rFonts w:ascii="Times New Roman" w:eastAsia="Arial Unicode MS" w:hAnsi="Times New Roman"/>
                <w:color w:val="000000" w:themeColor="text1"/>
                <w:sz w:val="20"/>
                <w:szCs w:val="20"/>
              </w:rPr>
              <w:t xml:space="preserve"> </w:t>
            </w:r>
            <w:r w:rsidRPr="00DD71BD">
              <w:rPr>
                <w:rFonts w:ascii="Times New Roman" w:eastAsia="Arial Unicode MS" w:hAnsi="Times New Roman"/>
                <w:color w:val="000000" w:themeColor="text1"/>
                <w:sz w:val="20"/>
                <w:szCs w:val="20"/>
              </w:rPr>
              <w:t xml:space="preserve">2009/31/CE a </w:t>
            </w:r>
            <w:proofErr w:type="spellStart"/>
            <w:r w:rsidRPr="00DD71BD">
              <w:rPr>
                <w:rFonts w:ascii="Times New Roman" w:eastAsia="Arial Unicode MS" w:hAnsi="Times New Roman"/>
                <w:color w:val="000000" w:themeColor="text1"/>
                <w:sz w:val="20"/>
                <w:szCs w:val="20"/>
              </w:rPr>
              <w:t>Parlamentului</w:t>
            </w:r>
            <w:proofErr w:type="spellEnd"/>
            <w:r w:rsidRPr="00DD71BD">
              <w:rPr>
                <w:rFonts w:ascii="Times New Roman" w:eastAsia="Arial Unicode MS" w:hAnsi="Times New Roman"/>
                <w:color w:val="000000" w:themeColor="text1"/>
                <w:sz w:val="20"/>
                <w:szCs w:val="20"/>
              </w:rPr>
              <w:t xml:space="preserve"> European și a </w:t>
            </w:r>
            <w:proofErr w:type="spellStart"/>
            <w:r w:rsidRPr="00DD71BD">
              <w:rPr>
                <w:rFonts w:ascii="Times New Roman" w:eastAsia="Arial Unicode MS" w:hAnsi="Times New Roman"/>
                <w:color w:val="000000" w:themeColor="text1"/>
                <w:sz w:val="20"/>
                <w:szCs w:val="20"/>
              </w:rPr>
              <w:t>Consiliului</w:t>
            </w:r>
            <w:proofErr w:type="spellEnd"/>
            <w:r w:rsidRPr="00DD71BD">
              <w:rPr>
                <w:rFonts w:ascii="Times New Roman" w:eastAsia="Arial Unicode MS" w:hAnsi="Times New Roman"/>
                <w:color w:val="000000" w:themeColor="text1"/>
                <w:sz w:val="20"/>
                <w:szCs w:val="20"/>
              </w:rPr>
              <w:t xml:space="preserve"> din 23</w:t>
            </w:r>
            <w:r w:rsidR="00DD71BD"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aprilie</w:t>
            </w:r>
            <w:proofErr w:type="spellEnd"/>
            <w:r w:rsidRPr="00DD71BD">
              <w:rPr>
                <w:rFonts w:ascii="Times New Roman" w:eastAsia="Arial Unicode MS" w:hAnsi="Times New Roman"/>
                <w:color w:val="000000" w:themeColor="text1"/>
                <w:sz w:val="20"/>
                <w:szCs w:val="20"/>
              </w:rPr>
              <w:t xml:space="preserve"> 2009 </w:t>
            </w:r>
            <w:proofErr w:type="spellStart"/>
            <w:r w:rsidRPr="00DD71BD">
              <w:rPr>
                <w:rFonts w:ascii="Times New Roman" w:eastAsia="Arial Unicode MS" w:hAnsi="Times New Roman"/>
                <w:color w:val="000000" w:themeColor="text1"/>
                <w:sz w:val="20"/>
                <w:szCs w:val="20"/>
              </w:rPr>
              <w:t>privind</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stocarea</w:t>
            </w:r>
            <w:proofErr w:type="spellEnd"/>
            <w:r w:rsidRPr="00DD71BD">
              <w:rPr>
                <w:rFonts w:ascii="Times New Roman" w:eastAsia="Arial Unicode MS" w:hAnsi="Times New Roman"/>
                <w:color w:val="000000" w:themeColor="text1"/>
                <w:sz w:val="20"/>
                <w:szCs w:val="20"/>
              </w:rPr>
              <w:t xml:space="preserve"> </w:t>
            </w:r>
            <w:proofErr w:type="spellStart"/>
            <w:r w:rsidRPr="00DD71BD">
              <w:rPr>
                <w:rFonts w:ascii="Times New Roman" w:eastAsia="Arial Unicode MS" w:hAnsi="Times New Roman"/>
                <w:color w:val="000000" w:themeColor="text1"/>
                <w:sz w:val="20"/>
                <w:szCs w:val="20"/>
              </w:rPr>
              <w:t>geologică</w:t>
            </w:r>
            <w:proofErr w:type="spellEnd"/>
            <w:r w:rsidRPr="00DD71BD">
              <w:rPr>
                <w:rFonts w:ascii="Times New Roman" w:eastAsia="Arial Unicode MS" w:hAnsi="Times New Roman"/>
                <w:color w:val="000000" w:themeColor="text1"/>
                <w:sz w:val="20"/>
                <w:szCs w:val="20"/>
              </w:rPr>
              <w:t xml:space="preserve"> a </w:t>
            </w:r>
            <w:proofErr w:type="spellStart"/>
            <w:r w:rsidRPr="00DD71BD">
              <w:rPr>
                <w:rFonts w:ascii="Times New Roman" w:eastAsia="Arial Unicode MS" w:hAnsi="Times New Roman"/>
                <w:color w:val="000000" w:themeColor="text1"/>
                <w:sz w:val="20"/>
                <w:szCs w:val="20"/>
              </w:rPr>
              <w:t>dioxidului</w:t>
            </w:r>
            <w:proofErr w:type="spellEnd"/>
            <w:r w:rsidRPr="00DD71BD">
              <w:rPr>
                <w:rFonts w:ascii="Times New Roman" w:eastAsia="Arial Unicode MS" w:hAnsi="Times New Roman"/>
                <w:color w:val="000000" w:themeColor="text1"/>
                <w:sz w:val="20"/>
                <w:szCs w:val="20"/>
              </w:rPr>
              <w:t xml:space="preserve"> de carbon</w:t>
            </w:r>
            <w:r w:rsidR="00DD71BD">
              <w:rPr>
                <w:rFonts w:ascii="Times New Roman" w:eastAsia="Arial Unicode MS" w:hAnsi="Times New Roman"/>
                <w:color w:val="000000" w:themeColor="text1"/>
                <w:sz w:val="20"/>
                <w:szCs w:val="20"/>
              </w:rPr>
              <w:t xml:space="preserve"> </w:t>
            </w:r>
            <w:r>
              <w:rPr>
                <w:rFonts w:ascii="Times New Roman" w:eastAsia="Arial Unicode MS" w:hAnsi="Times New Roman"/>
                <w:color w:val="333333"/>
                <w:sz w:val="20"/>
                <w:szCs w:val="20"/>
              </w:rPr>
              <w:t>(</w:t>
            </w:r>
            <w:hyperlink r:id="rId215" w:anchor="E0029" w:history="1">
              <w:r w:rsidR="00DD71BD">
                <w:rPr>
                  <w:rStyle w:val="apple-converted-space"/>
                  <w:rFonts w:ascii="Times New Roman" w:eastAsia="Arial Unicode MS" w:hAnsi="Times New Roman"/>
                  <w:color w:val="4472C4" w:themeColor="accent1"/>
                  <w:sz w:val="20"/>
                  <w:szCs w:val="20"/>
                </w:rPr>
                <w:t xml:space="preserve"> </w:t>
              </w:r>
              <w:r>
                <w:rPr>
                  <w:rStyle w:val="superscript"/>
                  <w:rFonts w:ascii="Times New Roman" w:eastAsia="Arial Unicode MS" w:hAnsi="Times New Roman"/>
                  <w:color w:val="4472C4" w:themeColor="accent1"/>
                  <w:sz w:val="20"/>
                  <w:szCs w:val="20"/>
                  <w:vertAlign w:val="superscript"/>
                </w:rPr>
                <w:t>28</w:t>
              </w:r>
            </w:hyperlink>
            <w:r>
              <w:rPr>
                <w:rFonts w:ascii="Times New Roman" w:eastAsia="Arial Unicode MS" w:hAnsi="Times New Roman"/>
                <w:color w:val="333333"/>
                <w:sz w:val="20"/>
                <w:szCs w:val="20"/>
              </w:rPr>
              <w:t>).</w:t>
            </w:r>
          </w:p>
          <w:p w14:paraId="1C17EA88"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216" w:tooltip="32023L0959: INSERTED" w:history="1">
              <w:r>
                <w:rPr>
                  <w:rStyle w:val="af3"/>
                  <w:rFonts w:ascii="Times New Roman" w:eastAsia="Arial Unicode MS" w:hAnsi="Times New Roman"/>
                  <w:b/>
                  <w:bCs/>
                  <w:color w:val="4472C4" w:themeColor="accent1"/>
                  <w:sz w:val="20"/>
                  <w:szCs w:val="20"/>
                </w:rPr>
                <w:t>▼M15</w:t>
              </w:r>
            </w:hyperlink>
          </w:p>
          <w:p w14:paraId="5C8D1F0C" w14:textId="77777777" w:rsidR="00124364" w:rsidRPr="00DD71BD" w:rsidRDefault="00000000" w:rsidP="00DD71BD">
            <w:pPr>
              <w:pStyle w:val="af8"/>
              <w:numPr>
                <w:ilvl w:val="0"/>
                <w:numId w:val="85"/>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lastRenderedPageBreak/>
              <w:t>Obligația</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restituire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certificatelor</w:t>
            </w:r>
            <w:proofErr w:type="spellEnd"/>
            <w:r w:rsidRPr="00DD71BD">
              <w:rPr>
                <w:rFonts w:ascii="Times New Roman" w:eastAsia="Arial Unicode MS" w:hAnsi="Times New Roman"/>
                <w:color w:val="000000" w:themeColor="text1"/>
                <w:sz w:val="20"/>
                <w:szCs w:val="20"/>
                <w:shd w:val="clear" w:color="auto" w:fill="FFFFFF"/>
              </w:rPr>
              <w:t xml:space="preserve"> nu se </w:t>
            </w:r>
            <w:proofErr w:type="spellStart"/>
            <w:r w:rsidRPr="00DD71BD">
              <w:rPr>
                <w:rFonts w:ascii="Times New Roman" w:eastAsia="Arial Unicode MS" w:hAnsi="Times New Roman"/>
                <w:color w:val="000000" w:themeColor="text1"/>
                <w:sz w:val="20"/>
                <w:szCs w:val="20"/>
                <w:shd w:val="clear" w:color="auto" w:fill="FFFFFF"/>
              </w:rPr>
              <w:t>aplică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ceea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privește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de gaze cu </w:t>
            </w:r>
            <w:proofErr w:type="spellStart"/>
            <w:r w:rsidRPr="00DD71BD">
              <w:rPr>
                <w:rFonts w:ascii="Times New Roman" w:eastAsia="Arial Unicode MS" w:hAnsi="Times New Roman"/>
                <w:color w:val="000000" w:themeColor="text1"/>
                <w:sz w:val="20"/>
                <w:szCs w:val="20"/>
                <w:shd w:val="clear" w:color="auto" w:fill="FFFFFF"/>
              </w:rPr>
              <w:t>efect</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seră</w:t>
            </w:r>
            <w:proofErr w:type="spellEnd"/>
            <w:r w:rsidRPr="00DD71BD">
              <w:rPr>
                <w:rFonts w:ascii="Times New Roman" w:eastAsia="Arial Unicode MS" w:hAnsi="Times New Roman"/>
                <w:color w:val="000000" w:themeColor="text1"/>
                <w:sz w:val="20"/>
                <w:szCs w:val="20"/>
                <w:shd w:val="clear" w:color="auto" w:fill="FFFFFF"/>
              </w:rPr>
              <w:t xml:space="preserve"> care sunt considerate a fi </w:t>
            </w:r>
            <w:proofErr w:type="spellStart"/>
            <w:r w:rsidRPr="00DD71BD">
              <w:rPr>
                <w:rFonts w:ascii="Times New Roman" w:eastAsia="Arial Unicode MS" w:hAnsi="Times New Roman"/>
                <w:color w:val="000000" w:themeColor="text1"/>
                <w:sz w:val="20"/>
                <w:szCs w:val="20"/>
                <w:shd w:val="clear" w:color="auto" w:fill="FFFFFF"/>
              </w:rPr>
              <w:t>fost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captate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utilizate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încât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acestea</w:t>
            </w:r>
            <w:proofErr w:type="spellEnd"/>
            <w:r w:rsidRPr="00DD71BD">
              <w:rPr>
                <w:rFonts w:ascii="Times New Roman" w:eastAsia="Arial Unicode MS" w:hAnsi="Times New Roman"/>
                <w:color w:val="000000" w:themeColor="text1"/>
                <w:sz w:val="20"/>
                <w:szCs w:val="20"/>
                <w:shd w:val="clear" w:color="auto" w:fill="FFFFFF"/>
              </w:rPr>
              <w:t xml:space="preserve"> au </w:t>
            </w:r>
            <w:proofErr w:type="spellStart"/>
            <w:r w:rsidRPr="00DD71BD">
              <w:rPr>
                <w:rFonts w:ascii="Times New Roman" w:eastAsia="Arial Unicode MS" w:hAnsi="Times New Roman"/>
                <w:color w:val="000000" w:themeColor="text1"/>
                <w:sz w:val="20"/>
                <w:szCs w:val="20"/>
                <w:shd w:val="clear" w:color="auto" w:fill="FFFFFF"/>
              </w:rPr>
              <w:t>devenit</w:t>
            </w:r>
            <w:proofErr w:type="spellEnd"/>
            <w:r w:rsidRPr="00DD71BD">
              <w:rPr>
                <w:rFonts w:ascii="Times New Roman" w:eastAsia="Arial Unicode MS" w:hAnsi="Times New Roman"/>
                <w:color w:val="000000" w:themeColor="text1"/>
                <w:sz w:val="20"/>
                <w:szCs w:val="20"/>
                <w:shd w:val="clear" w:color="auto" w:fill="FFFFFF"/>
              </w:rPr>
              <w:t xml:space="preserve"> legate </w:t>
            </w:r>
            <w:proofErr w:type="spellStart"/>
            <w:r w:rsidRPr="00DD71BD">
              <w:rPr>
                <w:rFonts w:ascii="Times New Roman" w:eastAsia="Arial Unicode MS" w:hAnsi="Times New Roman"/>
                <w:color w:val="000000" w:themeColor="text1"/>
                <w:sz w:val="20"/>
                <w:szCs w:val="20"/>
                <w:shd w:val="clear" w:color="auto" w:fill="FFFFFF"/>
              </w:rPr>
              <w:t>chimic</w:t>
            </w:r>
            <w:proofErr w:type="spellEnd"/>
            <w:r w:rsidRPr="00DD71BD">
              <w:rPr>
                <w:rFonts w:ascii="Times New Roman" w:eastAsia="Arial Unicode MS" w:hAnsi="Times New Roman"/>
                <w:color w:val="000000" w:themeColor="text1"/>
                <w:sz w:val="20"/>
                <w:szCs w:val="20"/>
                <w:shd w:val="clear" w:color="auto" w:fill="FFFFFF"/>
              </w:rPr>
              <w:t xml:space="preserve"> permanent </w:t>
            </w:r>
            <w:proofErr w:type="spellStart"/>
            <w:r w:rsidRPr="00DD71BD">
              <w:rPr>
                <w:rFonts w:ascii="Times New Roman" w:eastAsia="Arial Unicode MS" w:hAnsi="Times New Roman"/>
                <w:color w:val="000000" w:themeColor="text1"/>
                <w:sz w:val="20"/>
                <w:szCs w:val="20"/>
                <w:shd w:val="clear" w:color="auto" w:fill="FFFFFF"/>
              </w:rPr>
              <w:t>într</w:t>
            </w:r>
            <w:proofErr w:type="spellEnd"/>
            <w:r w:rsidRPr="00DD71BD">
              <w:rPr>
                <w:rFonts w:ascii="Times New Roman" w:eastAsia="Arial Unicode MS" w:hAnsi="Times New Roman"/>
                <w:color w:val="000000" w:themeColor="text1"/>
                <w:sz w:val="20"/>
                <w:szCs w:val="20"/>
                <w:shd w:val="clear" w:color="auto" w:fill="FFFFFF"/>
              </w:rPr>
              <w:t xml:space="preserve">-un </w:t>
            </w:r>
            <w:proofErr w:type="spellStart"/>
            <w:r w:rsidRPr="00DD71BD">
              <w:rPr>
                <w:rFonts w:ascii="Times New Roman" w:eastAsia="Arial Unicode MS" w:hAnsi="Times New Roman"/>
                <w:color w:val="000000" w:themeColor="text1"/>
                <w:sz w:val="20"/>
                <w:szCs w:val="20"/>
                <w:shd w:val="clear" w:color="auto" w:fill="FFFFFF"/>
              </w:rPr>
              <w:t>produs</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ca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nu </w:t>
            </w:r>
            <w:proofErr w:type="spellStart"/>
            <w:r w:rsidRPr="00DD71BD">
              <w:rPr>
                <w:rFonts w:ascii="Times New Roman" w:eastAsia="Arial Unicode MS" w:hAnsi="Times New Roman"/>
                <w:color w:val="000000" w:themeColor="text1"/>
                <w:sz w:val="20"/>
                <w:szCs w:val="20"/>
                <w:shd w:val="clear" w:color="auto" w:fill="FFFFFF"/>
              </w:rPr>
              <w:t>intre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atmosferă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condiții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normale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utilizare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inclusiv</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orice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activitate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normală</w:t>
            </w:r>
            <w:proofErr w:type="spellEnd"/>
            <w:r w:rsidRPr="00DD71BD">
              <w:rPr>
                <w:rFonts w:ascii="Times New Roman" w:eastAsia="Arial Unicode MS" w:hAnsi="Times New Roman"/>
                <w:color w:val="000000" w:themeColor="text1"/>
                <w:sz w:val="20"/>
                <w:szCs w:val="20"/>
                <w:shd w:val="clear" w:color="auto" w:fill="FFFFFF"/>
              </w:rPr>
              <w:t xml:space="preserve"> care are </w:t>
            </w:r>
            <w:proofErr w:type="spellStart"/>
            <w:r w:rsidRPr="00DD71BD">
              <w:rPr>
                <w:rFonts w:ascii="Times New Roman" w:eastAsia="Arial Unicode MS" w:hAnsi="Times New Roman"/>
                <w:color w:val="000000" w:themeColor="text1"/>
                <w:sz w:val="20"/>
                <w:szCs w:val="20"/>
                <w:shd w:val="clear" w:color="auto" w:fill="FFFFFF"/>
              </w:rPr>
              <w:t>loc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după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sfârșitul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duratei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viață</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produsului</w:t>
            </w:r>
            <w:proofErr w:type="spellEnd"/>
            <w:r w:rsidRPr="00DD71BD">
              <w:rPr>
                <w:rFonts w:ascii="Times New Roman" w:eastAsia="Arial Unicode MS" w:hAnsi="Times New Roman"/>
                <w:color w:val="000000" w:themeColor="text1"/>
                <w:sz w:val="20"/>
                <w:szCs w:val="20"/>
                <w:shd w:val="clear" w:color="auto" w:fill="FFFFFF"/>
              </w:rPr>
              <w:t>.</w:t>
            </w:r>
          </w:p>
          <w:p w14:paraId="2CECFFAE" w14:textId="1083C8EE"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D71BD">
              <w:rPr>
                <w:rFonts w:ascii="Times New Roman" w:eastAsia="Arial Unicode MS" w:hAnsi="Times New Roman"/>
                <w:color w:val="000000" w:themeColor="text1"/>
                <w:sz w:val="20"/>
                <w:szCs w:val="20"/>
                <w:shd w:val="clear" w:color="auto" w:fill="FFFFFF"/>
              </w:rPr>
              <w:t>Comisia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acte</w:t>
            </w:r>
            <w:proofErr w:type="spellEnd"/>
            <w:r w:rsidRPr="00DD71BD">
              <w:rPr>
                <w:rFonts w:ascii="Times New Roman" w:eastAsia="Arial Unicode MS" w:hAnsi="Times New Roman"/>
                <w:color w:val="000000" w:themeColor="text1"/>
                <w:sz w:val="20"/>
                <w:szCs w:val="20"/>
                <w:shd w:val="clear" w:color="auto" w:fill="FFFFFF"/>
              </w:rPr>
              <w:t xml:space="preserve"> delegate în conformitate cu </w:t>
            </w:r>
            <w:proofErr w:type="spellStart"/>
            <w:r w:rsidRPr="00DD71BD">
              <w:rPr>
                <w:rFonts w:ascii="Times New Roman" w:eastAsia="Arial Unicode MS" w:hAnsi="Times New Roman"/>
                <w:color w:val="000000" w:themeColor="text1"/>
                <w:sz w:val="20"/>
                <w:szCs w:val="20"/>
                <w:shd w:val="clear" w:color="auto" w:fill="FFFFFF"/>
              </w:rPr>
              <w:t>articolul</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23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completa</w:t>
            </w:r>
            <w:proofErr w:type="spellEnd"/>
            <w:r w:rsidRPr="00DD71BD">
              <w:rPr>
                <w:rFonts w:ascii="Times New Roman" w:eastAsia="Arial Unicode MS" w:hAnsi="Times New Roman"/>
                <w:color w:val="000000" w:themeColor="text1"/>
                <w:sz w:val="20"/>
                <w:szCs w:val="20"/>
                <w:shd w:val="clear" w:color="auto" w:fill="FFFFFF"/>
              </w:rPr>
              <w:t xml:space="preserve"> prezenta </w:t>
            </w:r>
            <w:proofErr w:type="spellStart"/>
            <w:r w:rsidRPr="00DD71BD">
              <w:rPr>
                <w:rFonts w:ascii="Times New Roman" w:eastAsia="Arial Unicode MS" w:hAnsi="Times New Roman"/>
                <w:color w:val="000000" w:themeColor="text1"/>
                <w:sz w:val="20"/>
                <w:szCs w:val="20"/>
                <w:shd w:val="clear" w:color="auto" w:fill="FFFFFF"/>
              </w:rPr>
              <w:t>directivă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privind</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cerințele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baza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cărora</w:t>
            </w:r>
            <w:proofErr w:type="spellEnd"/>
            <w:r w:rsidRPr="00DD71BD">
              <w:rPr>
                <w:rFonts w:ascii="Times New Roman" w:eastAsia="Arial Unicode MS" w:hAnsi="Times New Roman"/>
                <w:color w:val="000000" w:themeColor="text1"/>
                <w:sz w:val="20"/>
                <w:szCs w:val="20"/>
                <w:shd w:val="clear" w:color="auto" w:fill="FFFFFF"/>
              </w:rPr>
              <w:t xml:space="preserve"> se </w:t>
            </w:r>
            <w:proofErr w:type="spellStart"/>
            <w:r w:rsidRPr="00DD71BD">
              <w:rPr>
                <w:rFonts w:ascii="Times New Roman" w:eastAsia="Arial Unicode MS" w:hAnsi="Times New Roman"/>
                <w:color w:val="000000" w:themeColor="text1"/>
                <w:sz w:val="20"/>
                <w:szCs w:val="20"/>
                <w:shd w:val="clear" w:color="auto" w:fill="FFFFFF"/>
              </w:rPr>
              <w:t>consideră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gazele</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efect</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seră</w:t>
            </w:r>
            <w:proofErr w:type="spellEnd"/>
            <w:r w:rsidRPr="00DD71BD">
              <w:rPr>
                <w:rFonts w:ascii="Times New Roman" w:eastAsia="Arial Unicode MS" w:hAnsi="Times New Roman"/>
                <w:color w:val="000000" w:themeColor="text1"/>
                <w:sz w:val="20"/>
                <w:szCs w:val="20"/>
                <w:shd w:val="clear" w:color="auto" w:fill="FFFFFF"/>
              </w:rPr>
              <w:t xml:space="preserve"> au </w:t>
            </w:r>
            <w:proofErr w:type="spellStart"/>
            <w:r w:rsidRPr="00DD71BD">
              <w:rPr>
                <w:rFonts w:ascii="Times New Roman" w:eastAsia="Arial Unicode MS" w:hAnsi="Times New Roman"/>
                <w:color w:val="000000" w:themeColor="text1"/>
                <w:sz w:val="20"/>
                <w:szCs w:val="20"/>
                <w:shd w:val="clear" w:color="auto" w:fill="FFFFFF"/>
              </w:rPr>
              <w:t>devenit</w:t>
            </w:r>
            <w:proofErr w:type="spellEnd"/>
            <w:r w:rsidRPr="00DD71BD">
              <w:rPr>
                <w:rFonts w:ascii="Times New Roman" w:eastAsia="Arial Unicode MS" w:hAnsi="Times New Roman"/>
                <w:color w:val="000000" w:themeColor="text1"/>
                <w:sz w:val="20"/>
                <w:szCs w:val="20"/>
                <w:shd w:val="clear" w:color="auto" w:fill="FFFFFF"/>
              </w:rPr>
              <w:t xml:space="preserve"> legate </w:t>
            </w:r>
            <w:proofErr w:type="spellStart"/>
            <w:r w:rsidRPr="00DD71BD">
              <w:rPr>
                <w:rFonts w:ascii="Times New Roman" w:eastAsia="Arial Unicode MS" w:hAnsi="Times New Roman"/>
                <w:color w:val="000000" w:themeColor="text1"/>
                <w:sz w:val="20"/>
                <w:szCs w:val="20"/>
                <w:shd w:val="clear" w:color="auto" w:fill="FFFFFF"/>
              </w:rPr>
              <w:t>chimic</w:t>
            </w:r>
            <w:proofErr w:type="spellEnd"/>
            <w:r w:rsidRPr="00DD71BD">
              <w:rPr>
                <w:rFonts w:ascii="Times New Roman" w:eastAsia="Arial Unicode MS" w:hAnsi="Times New Roman"/>
                <w:color w:val="000000" w:themeColor="text1"/>
                <w:sz w:val="20"/>
                <w:szCs w:val="20"/>
                <w:shd w:val="clear" w:color="auto" w:fill="FFFFFF"/>
              </w:rPr>
              <w:t xml:space="preserve"> permanent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cum </w:t>
            </w:r>
            <w:proofErr w:type="spellStart"/>
            <w:r w:rsidRPr="00DD71BD">
              <w:rPr>
                <w:rFonts w:ascii="Times New Roman" w:eastAsia="Arial Unicode MS" w:hAnsi="Times New Roman"/>
                <w:color w:val="000000" w:themeColor="text1"/>
                <w:sz w:val="20"/>
                <w:szCs w:val="20"/>
                <w:shd w:val="clear" w:color="auto" w:fill="FFFFFF"/>
              </w:rPr>
              <w:t>este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primul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paragraf</w:t>
            </w:r>
            <w:proofErr w:type="spellEnd"/>
            <w:r w:rsidRPr="00DD71BD">
              <w:rPr>
                <w:rFonts w:ascii="Times New Roman" w:eastAsia="Arial Unicode MS" w:hAnsi="Times New Roman"/>
                <w:color w:val="000000" w:themeColor="text1"/>
                <w:sz w:val="20"/>
                <w:szCs w:val="20"/>
                <w:shd w:val="clear" w:color="auto" w:fill="FFFFFF"/>
              </w:rPr>
              <w:t xml:space="preserve">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alineat</w:t>
            </w:r>
            <w:proofErr w:type="spellEnd"/>
            <w:r w:rsidRPr="00DD71BD">
              <w:rPr>
                <w:rFonts w:ascii="Times New Roman" w:eastAsia="Arial Unicode MS" w:hAnsi="Times New Roman"/>
                <w:color w:val="000000" w:themeColor="text1"/>
                <w:sz w:val="20"/>
                <w:szCs w:val="20"/>
                <w:shd w:val="clear" w:color="auto" w:fill="FFFFFF"/>
              </w:rPr>
              <w:t>.</w:t>
            </w:r>
          </w:p>
          <w:p w14:paraId="1B197467"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217" w:tooltip="32023L0959: REPLACED" w:history="1">
              <w:r>
                <w:rPr>
                  <w:rStyle w:val="af3"/>
                  <w:rFonts w:ascii="Times New Roman" w:eastAsia="Arial Unicode MS" w:hAnsi="Times New Roman"/>
                  <w:b/>
                  <w:bCs/>
                  <w:color w:val="4472C4" w:themeColor="accent1"/>
                  <w:sz w:val="20"/>
                  <w:szCs w:val="20"/>
                </w:rPr>
                <w:t>▼M15</w:t>
              </w:r>
            </w:hyperlink>
          </w:p>
          <w:p w14:paraId="3A93641E" w14:textId="284DB165"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iau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măsurile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necesare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a se </w:t>
            </w:r>
            <w:proofErr w:type="spellStart"/>
            <w:r w:rsidRPr="00DD71BD">
              <w:rPr>
                <w:rFonts w:ascii="Times New Roman" w:eastAsia="Arial Unicode MS" w:hAnsi="Times New Roman"/>
                <w:color w:val="000000" w:themeColor="text1"/>
                <w:sz w:val="20"/>
                <w:szCs w:val="20"/>
                <w:shd w:val="clear" w:color="auto" w:fill="FFFFFF"/>
              </w:rPr>
              <w:t>asigura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certificatele</w:t>
            </w:r>
            <w:proofErr w:type="spellEnd"/>
            <w:r w:rsidRPr="00DD71BD">
              <w:rPr>
                <w:rFonts w:ascii="Times New Roman" w:eastAsia="Arial Unicode MS" w:hAnsi="Times New Roman"/>
                <w:color w:val="000000" w:themeColor="text1"/>
                <w:sz w:val="20"/>
                <w:szCs w:val="20"/>
                <w:shd w:val="clear" w:color="auto" w:fill="FFFFFF"/>
              </w:rPr>
              <w:t xml:space="preserve"> sunt </w:t>
            </w:r>
            <w:proofErr w:type="spellStart"/>
            <w:r w:rsidRPr="00DD71BD">
              <w:rPr>
                <w:rFonts w:ascii="Times New Roman" w:eastAsia="Arial Unicode MS" w:hAnsi="Times New Roman"/>
                <w:color w:val="000000" w:themeColor="text1"/>
                <w:sz w:val="20"/>
                <w:szCs w:val="20"/>
                <w:shd w:val="clear" w:color="auto" w:fill="FFFFFF"/>
              </w:rPr>
              <w:t>anulate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orice</w:t>
            </w:r>
            <w:proofErr w:type="spellEnd"/>
            <w:r w:rsidRPr="00DD71BD">
              <w:rPr>
                <w:rFonts w:ascii="Times New Roman" w:eastAsia="Arial Unicode MS" w:hAnsi="Times New Roman"/>
                <w:color w:val="000000" w:themeColor="text1"/>
                <w:sz w:val="20"/>
                <w:szCs w:val="20"/>
                <w:shd w:val="clear" w:color="auto" w:fill="FFFFFF"/>
              </w:rPr>
              <w:t xml:space="preserve"> moment, la </w:t>
            </w:r>
            <w:proofErr w:type="spellStart"/>
            <w:r w:rsidRPr="00DD71BD">
              <w:rPr>
                <w:rFonts w:ascii="Times New Roman" w:eastAsia="Arial Unicode MS" w:hAnsi="Times New Roman"/>
                <w:color w:val="000000" w:themeColor="text1"/>
                <w:sz w:val="20"/>
                <w:szCs w:val="20"/>
                <w:shd w:val="clear" w:color="auto" w:fill="FFFFFF"/>
              </w:rPr>
              <w:t>cererea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persoanei</w:t>
            </w:r>
            <w:proofErr w:type="spellEnd"/>
            <w:r w:rsidRPr="00DD71BD">
              <w:rPr>
                <w:rFonts w:ascii="Times New Roman" w:eastAsia="Arial Unicode MS" w:hAnsi="Times New Roman"/>
                <w:color w:val="000000" w:themeColor="text1"/>
                <w:sz w:val="20"/>
                <w:szCs w:val="20"/>
                <w:shd w:val="clear" w:color="auto" w:fill="FFFFFF"/>
              </w:rPr>
              <w:t xml:space="preserve"> care le </w:t>
            </w:r>
            <w:proofErr w:type="spellStart"/>
            <w:r w:rsidRPr="00DD71BD">
              <w:rPr>
                <w:rFonts w:ascii="Times New Roman" w:eastAsia="Arial Unicode MS" w:hAnsi="Times New Roman"/>
                <w:color w:val="000000" w:themeColor="text1"/>
                <w:sz w:val="20"/>
                <w:szCs w:val="20"/>
                <w:shd w:val="clear" w:color="auto" w:fill="FFFFFF"/>
              </w:rPr>
              <w:t>deține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cazul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închiderii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unei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capacități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producție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energie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electrică</w:t>
            </w:r>
            <w:proofErr w:type="spellEnd"/>
            <w:r w:rsidRPr="00DD71BD">
              <w:rPr>
                <w:rFonts w:ascii="Times New Roman" w:eastAsia="Arial Unicode MS" w:hAnsi="Times New Roman"/>
                <w:color w:val="000000" w:themeColor="text1"/>
                <w:sz w:val="20"/>
                <w:szCs w:val="20"/>
                <w:shd w:val="clear" w:color="auto" w:fill="FFFFFF"/>
              </w:rPr>
              <w:t xml:space="preserve"> pe </w:t>
            </w:r>
            <w:proofErr w:type="spellStart"/>
            <w:r w:rsidRPr="00DD71BD">
              <w:rPr>
                <w:rFonts w:ascii="Times New Roman" w:eastAsia="Arial Unicode MS" w:hAnsi="Times New Roman"/>
                <w:color w:val="000000" w:themeColor="text1"/>
                <w:sz w:val="20"/>
                <w:szCs w:val="20"/>
                <w:shd w:val="clear" w:color="auto" w:fill="FFFFFF"/>
              </w:rPr>
              <w:t>teritoriul</w:t>
            </w:r>
            <w:proofErr w:type="spellEnd"/>
            <w:r w:rsidRPr="00DD71BD">
              <w:rPr>
                <w:rFonts w:ascii="Times New Roman" w:eastAsia="Arial Unicode MS" w:hAnsi="Times New Roman"/>
                <w:color w:val="000000" w:themeColor="text1"/>
                <w:sz w:val="20"/>
                <w:szCs w:val="20"/>
                <w:shd w:val="clear" w:color="auto" w:fill="FFFFFF"/>
              </w:rPr>
              <w:t xml:space="preserve"> lor ca </w:t>
            </w:r>
            <w:proofErr w:type="spellStart"/>
            <w:r w:rsidRPr="00DD71BD">
              <w:rPr>
                <w:rFonts w:ascii="Times New Roman" w:eastAsia="Arial Unicode MS" w:hAnsi="Times New Roman"/>
                <w:color w:val="000000" w:themeColor="text1"/>
                <w:sz w:val="20"/>
                <w:szCs w:val="20"/>
                <w:shd w:val="clear" w:color="auto" w:fill="FFFFFF"/>
              </w:rPr>
              <w:t>urmare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unor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măsuri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naționale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suplimentare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pot </w:t>
            </w:r>
            <w:proofErr w:type="spellStart"/>
            <w:r w:rsidRPr="00DD71BD">
              <w:rPr>
                <w:rFonts w:ascii="Times New Roman" w:eastAsia="Arial Unicode MS" w:hAnsi="Times New Roman"/>
                <w:color w:val="000000" w:themeColor="text1"/>
                <w:sz w:val="20"/>
                <w:szCs w:val="20"/>
                <w:shd w:val="clear" w:color="auto" w:fill="FFFFFF"/>
              </w:rPr>
              <w:t>anula</w:t>
            </w:r>
            <w:proofErr w:type="spellEnd"/>
            <w:r w:rsidRPr="00DD71BD">
              <w:rPr>
                <w:rFonts w:ascii="Times New Roman" w:eastAsia="Arial Unicode MS" w:hAnsi="Times New Roman"/>
                <w:color w:val="000000" w:themeColor="text1"/>
                <w:sz w:val="20"/>
                <w:szCs w:val="20"/>
                <w:shd w:val="clear" w:color="auto" w:fill="FFFFFF"/>
              </w:rPr>
              <w:t xml:space="preserve">, și sunt </w:t>
            </w:r>
            <w:proofErr w:type="spellStart"/>
            <w:r w:rsidRPr="00DD71BD">
              <w:rPr>
                <w:rFonts w:ascii="Times New Roman" w:eastAsia="Arial Unicode MS" w:hAnsi="Times New Roman"/>
                <w:color w:val="000000" w:themeColor="text1"/>
                <w:sz w:val="20"/>
                <w:szCs w:val="20"/>
                <w:shd w:val="clear" w:color="auto" w:fill="FFFFFF"/>
              </w:rPr>
              <w:t>încurajate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facă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acest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lucru</w:t>
            </w:r>
            <w:proofErr w:type="spellEnd"/>
            <w:r w:rsidRPr="00DD71BD">
              <w:rPr>
                <w:rFonts w:ascii="Times New Roman" w:eastAsia="Arial Unicode MS" w:hAnsi="Times New Roman"/>
                <w:color w:val="000000" w:themeColor="text1"/>
                <w:sz w:val="20"/>
                <w:szCs w:val="20"/>
                <w:shd w:val="clear" w:color="auto" w:fill="FFFFFF"/>
              </w:rPr>
              <w:t xml:space="preserve">, certificate din </w:t>
            </w:r>
            <w:proofErr w:type="spellStart"/>
            <w:r w:rsidRPr="00DD71BD">
              <w:rPr>
                <w:rFonts w:ascii="Times New Roman" w:eastAsia="Arial Unicode MS" w:hAnsi="Times New Roman"/>
                <w:color w:val="000000" w:themeColor="text1"/>
                <w:sz w:val="20"/>
                <w:szCs w:val="20"/>
                <w:shd w:val="clear" w:color="auto" w:fill="FFFFFF"/>
              </w:rPr>
              <w:t>cantitatea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totală</w:t>
            </w:r>
            <w:proofErr w:type="spellEnd"/>
            <w:r w:rsidRPr="00DD71BD">
              <w:rPr>
                <w:rFonts w:ascii="Times New Roman" w:eastAsia="Arial Unicode MS" w:hAnsi="Times New Roman"/>
                <w:color w:val="000000" w:themeColor="text1"/>
                <w:sz w:val="20"/>
                <w:szCs w:val="20"/>
                <w:shd w:val="clear" w:color="auto" w:fill="FFFFFF"/>
              </w:rPr>
              <w:t xml:space="preserve"> de certificate pe care </w:t>
            </w:r>
            <w:proofErr w:type="spellStart"/>
            <w:r w:rsidRPr="00DD71BD">
              <w:rPr>
                <w:rFonts w:ascii="Times New Roman" w:eastAsia="Arial Unicode MS" w:hAnsi="Times New Roman"/>
                <w:color w:val="000000" w:themeColor="text1"/>
                <w:sz w:val="20"/>
                <w:szCs w:val="20"/>
                <w:shd w:val="clear" w:color="auto" w:fill="FFFFFF"/>
              </w:rPr>
              <w:t>urmează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le </w:t>
            </w:r>
            <w:proofErr w:type="spellStart"/>
            <w:r w:rsidRPr="00DD71BD">
              <w:rPr>
                <w:rFonts w:ascii="Times New Roman" w:eastAsia="Arial Unicode MS" w:hAnsi="Times New Roman"/>
                <w:color w:val="000000" w:themeColor="text1"/>
                <w:sz w:val="20"/>
                <w:szCs w:val="20"/>
                <w:shd w:val="clear" w:color="auto" w:fill="FFFFFF"/>
              </w:rPr>
              <w:t>scoată</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licitație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menționată</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articolul</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10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un </w:t>
            </w:r>
            <w:proofErr w:type="spellStart"/>
            <w:r w:rsidRPr="00DD71BD">
              <w:rPr>
                <w:rFonts w:ascii="Times New Roman" w:eastAsia="Arial Unicode MS" w:hAnsi="Times New Roman"/>
                <w:color w:val="000000" w:themeColor="text1"/>
                <w:sz w:val="20"/>
                <w:szCs w:val="20"/>
                <w:shd w:val="clear" w:color="auto" w:fill="FFFFFF"/>
              </w:rPr>
              <w:t>cuantum</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corespunzător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valorii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medii</w:t>
            </w:r>
            <w:proofErr w:type="spellEnd"/>
            <w:r w:rsidRPr="00DD71BD">
              <w:rPr>
                <w:rFonts w:ascii="Times New Roman" w:eastAsia="Arial Unicode MS" w:hAnsi="Times New Roman"/>
                <w:color w:val="000000" w:themeColor="text1"/>
                <w:sz w:val="20"/>
                <w:szCs w:val="20"/>
                <w:shd w:val="clear" w:color="auto" w:fill="FFFFFF"/>
              </w:rPr>
              <w:t xml:space="preserve"> </w:t>
            </w:r>
            <w:proofErr w:type="gramStart"/>
            <w:r w:rsidRPr="00DD71BD">
              <w:rPr>
                <w:rFonts w:ascii="Times New Roman" w:eastAsia="Arial Unicode MS" w:hAnsi="Times New Roman"/>
                <w:color w:val="000000" w:themeColor="text1"/>
                <w:sz w:val="20"/>
                <w:szCs w:val="20"/>
                <w:shd w:val="clear" w:color="auto" w:fill="FFFFFF"/>
              </w:rPr>
              <w:t>a</w:t>
            </w:r>
            <w:proofErr w:type="gram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verificate</w:t>
            </w:r>
            <w:proofErr w:type="spellEnd"/>
            <w:r w:rsidRPr="00DD71BD">
              <w:rPr>
                <w:rFonts w:ascii="Times New Roman" w:eastAsia="Arial Unicode MS" w:hAnsi="Times New Roman"/>
                <w:color w:val="000000" w:themeColor="text1"/>
                <w:sz w:val="20"/>
                <w:szCs w:val="20"/>
                <w:shd w:val="clear" w:color="auto" w:fill="FFFFFF"/>
              </w:rPr>
              <w:t xml:space="preserve"> ale </w:t>
            </w:r>
            <w:proofErr w:type="spellStart"/>
            <w:r w:rsidRPr="00DD71BD">
              <w:rPr>
                <w:rFonts w:ascii="Times New Roman" w:eastAsia="Arial Unicode MS" w:hAnsi="Times New Roman"/>
                <w:color w:val="000000" w:themeColor="text1"/>
                <w:sz w:val="20"/>
                <w:szCs w:val="20"/>
                <w:shd w:val="clear" w:color="auto" w:fill="FFFFFF"/>
              </w:rPr>
              <w:t>instalației</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cauză</w:t>
            </w:r>
            <w:proofErr w:type="spellEnd"/>
            <w:r w:rsidRPr="00DD71BD">
              <w:rPr>
                <w:rFonts w:ascii="Times New Roman" w:eastAsia="Arial Unicode MS" w:hAnsi="Times New Roman"/>
                <w:color w:val="000000" w:themeColor="text1"/>
                <w:sz w:val="20"/>
                <w:szCs w:val="20"/>
                <w:shd w:val="clear" w:color="auto" w:fill="FFFFFF"/>
              </w:rPr>
              <w:t xml:space="preserve"> pe </w:t>
            </w:r>
            <w:proofErr w:type="spellStart"/>
            <w:r w:rsidRPr="00DD71BD">
              <w:rPr>
                <w:rFonts w:ascii="Times New Roman" w:eastAsia="Arial Unicode MS" w:hAnsi="Times New Roman"/>
                <w:color w:val="000000" w:themeColor="text1"/>
                <w:sz w:val="20"/>
                <w:szCs w:val="20"/>
                <w:shd w:val="clear" w:color="auto" w:fill="FFFFFF"/>
              </w:rPr>
              <w:t>parcursul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unei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perioade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cinci</w:t>
            </w:r>
            <w:proofErr w:type="spellEnd"/>
            <w:r w:rsidRPr="00DD71BD">
              <w:rPr>
                <w:rFonts w:ascii="Times New Roman" w:eastAsia="Arial Unicode MS" w:hAnsi="Times New Roman"/>
                <w:color w:val="000000" w:themeColor="text1"/>
                <w:sz w:val="20"/>
                <w:szCs w:val="20"/>
                <w:shd w:val="clear" w:color="auto" w:fill="FFFFFF"/>
              </w:rPr>
              <w:t xml:space="preserve"> ani </w:t>
            </w:r>
            <w:proofErr w:type="spellStart"/>
            <w:r w:rsidRPr="00DD71BD">
              <w:rPr>
                <w:rFonts w:ascii="Times New Roman" w:eastAsia="Arial Unicode MS" w:hAnsi="Times New Roman"/>
                <w:color w:val="000000" w:themeColor="text1"/>
                <w:sz w:val="20"/>
                <w:szCs w:val="20"/>
                <w:shd w:val="clear" w:color="auto" w:fill="FFFFFF"/>
              </w:rPr>
              <w:t>înainte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închidere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cauză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informează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Comisia</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legătură</w:t>
            </w:r>
            <w:proofErr w:type="spellEnd"/>
            <w:r w:rsidRPr="00DD71BD">
              <w:rPr>
                <w:rFonts w:ascii="Times New Roman" w:eastAsia="Arial Unicode MS" w:hAnsi="Times New Roman"/>
                <w:color w:val="000000" w:themeColor="text1"/>
                <w:sz w:val="20"/>
                <w:szCs w:val="20"/>
                <w:shd w:val="clear" w:color="auto" w:fill="FFFFFF"/>
              </w:rPr>
              <w:t xml:space="preserve"> cu o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intenție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anulare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motivele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neanulării</w:t>
            </w:r>
            <w:proofErr w:type="spellEnd"/>
            <w:r w:rsidRPr="00DD71BD">
              <w:rPr>
                <w:rFonts w:ascii="Times New Roman" w:eastAsia="Arial Unicode MS" w:hAnsi="Times New Roman"/>
                <w:color w:val="000000" w:themeColor="text1"/>
                <w:sz w:val="20"/>
                <w:szCs w:val="20"/>
                <w:shd w:val="clear" w:color="auto" w:fill="FFFFFF"/>
              </w:rPr>
              <w:t xml:space="preserve">, în conformitate cu </w:t>
            </w:r>
            <w:proofErr w:type="spellStart"/>
            <w:r w:rsidRPr="00DD71BD">
              <w:rPr>
                <w:rFonts w:ascii="Times New Roman" w:eastAsia="Arial Unicode MS" w:hAnsi="Times New Roman"/>
                <w:color w:val="000000" w:themeColor="text1"/>
                <w:sz w:val="20"/>
                <w:szCs w:val="20"/>
                <w:shd w:val="clear" w:color="auto" w:fill="FFFFFF"/>
              </w:rPr>
              <w:t>actele</w:t>
            </w:r>
            <w:proofErr w:type="spellEnd"/>
            <w:r w:rsidRPr="00DD71BD">
              <w:rPr>
                <w:rFonts w:ascii="Times New Roman" w:eastAsia="Arial Unicode MS" w:hAnsi="Times New Roman"/>
                <w:color w:val="000000" w:themeColor="text1"/>
                <w:sz w:val="20"/>
                <w:szCs w:val="20"/>
                <w:shd w:val="clear" w:color="auto" w:fill="FFFFFF"/>
              </w:rPr>
              <w:t xml:space="preserve"> delegate </w:t>
            </w:r>
            <w:proofErr w:type="spellStart"/>
            <w:r w:rsidRPr="00DD71BD">
              <w:rPr>
                <w:rFonts w:ascii="Times New Roman" w:eastAsia="Arial Unicode MS" w:hAnsi="Times New Roman"/>
                <w:color w:val="000000" w:themeColor="text1"/>
                <w:sz w:val="20"/>
                <w:szCs w:val="20"/>
                <w:shd w:val="clear" w:color="auto" w:fill="FFFFFF"/>
              </w:rPr>
              <w:t>adoptate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temeiul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10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(4).</w:t>
            </w:r>
          </w:p>
          <w:p w14:paraId="43749E6D"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lang w:val="en-US"/>
              </w:rPr>
            </w:pPr>
            <w:hyperlink r:id="rId218" w:tooltip="32009L0029: INSERTED" w:history="1">
              <w:r>
                <w:rPr>
                  <w:rStyle w:val="af3"/>
                  <w:rFonts w:ascii="Times New Roman" w:eastAsia="Arial Unicode MS" w:hAnsi="Times New Roman"/>
                  <w:b/>
                  <w:bCs/>
                  <w:color w:val="4472C4" w:themeColor="accent1"/>
                  <w:sz w:val="20"/>
                  <w:szCs w:val="20"/>
                </w:rPr>
                <w:t>▼M4</w:t>
              </w:r>
            </w:hyperlink>
          </w:p>
          <w:p w14:paraId="6BEE9908" w14:textId="77777777"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Alineatele</w:t>
            </w:r>
            <w:proofErr w:type="spellEnd"/>
            <w:r w:rsidRPr="00DD71BD">
              <w:rPr>
                <w:rFonts w:ascii="Times New Roman" w:eastAsia="Arial Unicode MS" w:hAnsi="Times New Roman"/>
                <w:color w:val="000000" w:themeColor="text1"/>
                <w:sz w:val="20"/>
                <w:szCs w:val="20"/>
                <w:shd w:val="clear" w:color="auto" w:fill="FFFFFF"/>
              </w:rPr>
              <w:t xml:space="preserve"> (1) și (2) se </w:t>
            </w:r>
            <w:proofErr w:type="spellStart"/>
            <w:r w:rsidRPr="00DD71BD">
              <w:rPr>
                <w:rFonts w:ascii="Times New Roman" w:eastAsia="Arial Unicode MS" w:hAnsi="Times New Roman"/>
                <w:color w:val="000000" w:themeColor="text1"/>
                <w:sz w:val="20"/>
                <w:szCs w:val="20"/>
                <w:shd w:val="clear" w:color="auto" w:fill="FFFFFF"/>
              </w:rPr>
              <w:t>aplică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fără</w:t>
            </w:r>
            <w:proofErr w:type="spellEnd"/>
            <w:r w:rsidRPr="00DD71BD">
              <w:rPr>
                <w:rFonts w:ascii="Times New Roman" w:eastAsia="Arial Unicode MS" w:hAnsi="Times New Roman"/>
                <w:color w:val="000000" w:themeColor="text1"/>
                <w:sz w:val="20"/>
                <w:szCs w:val="20"/>
                <w:shd w:val="clear" w:color="auto" w:fill="FFFFFF"/>
              </w:rPr>
              <w:t xml:space="preserve"> </w:t>
            </w:r>
            <w:proofErr w:type="gramStart"/>
            <w:r w:rsidRPr="00DD71BD">
              <w:rPr>
                <w:rFonts w:ascii="Times New Roman" w:eastAsia="Arial Unicode MS" w:hAnsi="Times New Roman"/>
                <w:color w:val="000000" w:themeColor="text1"/>
                <w:sz w:val="20"/>
                <w:szCs w:val="20"/>
                <w:shd w:val="clear" w:color="auto" w:fill="FFFFFF"/>
              </w:rPr>
              <w:t>a</w:t>
            </w:r>
            <w:proofErr w:type="gram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aduce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atingere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Pr="00DD71BD">
              <w:rPr>
                <w:rFonts w:ascii="Times New Roman" w:eastAsia="Arial Unicode MS" w:hAnsi="Times New Roman"/>
                <w:color w:val="000000" w:themeColor="text1"/>
                <w:sz w:val="20"/>
                <w:szCs w:val="20"/>
                <w:shd w:val="clear" w:color="auto" w:fill="FFFFFF"/>
              </w:rPr>
              <w:t xml:space="preserve"> 10c.</w:t>
            </w:r>
          </w:p>
          <w:p w14:paraId="3B71B527"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lang w:val="en-US"/>
              </w:rPr>
            </w:pPr>
            <w:hyperlink r:id="rId219" w:tooltip="32023L0958: REPLACED" w:history="1">
              <w:r>
                <w:rPr>
                  <w:rStyle w:val="af3"/>
                  <w:rFonts w:ascii="Times New Roman" w:eastAsia="Arial Unicode MS" w:hAnsi="Times New Roman"/>
                  <w:b/>
                  <w:bCs/>
                  <w:color w:val="4472C4" w:themeColor="accent1"/>
                  <w:sz w:val="20"/>
                  <w:szCs w:val="20"/>
                </w:rPr>
                <w:t>▼M14</w:t>
              </w:r>
            </w:hyperlink>
          </w:p>
          <w:p w14:paraId="143F6C91" w14:textId="28D10ECC"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lang w:val="en-US"/>
              </w:rPr>
            </w:pPr>
            <w:r>
              <w:rPr>
                <w:rFonts w:ascii="Times New Roman" w:eastAsia="Arial Unicode MS" w:hAnsi="Times New Roman"/>
                <w:color w:val="333333"/>
                <w:sz w:val="20"/>
                <w:szCs w:val="20"/>
                <w:shd w:val="clear" w:color="auto" w:fill="FFFFFF"/>
              </w:rPr>
              <w:t>Î</w:t>
            </w:r>
            <w:r w:rsidRPr="00DD71BD">
              <w:rPr>
                <w:rFonts w:ascii="Times New Roman" w:eastAsia="Arial Unicode MS" w:hAnsi="Times New Roman"/>
                <w:color w:val="000000" w:themeColor="text1"/>
                <w:sz w:val="20"/>
                <w:szCs w:val="20"/>
                <w:shd w:val="clear" w:color="auto" w:fill="FFFFFF"/>
              </w:rPr>
              <w:t xml:space="preserve">n conformitate cu </w:t>
            </w:r>
            <w:proofErr w:type="spellStart"/>
            <w:r w:rsidRPr="00DD71BD">
              <w:rPr>
                <w:rFonts w:ascii="Times New Roman" w:eastAsia="Arial Unicode MS" w:hAnsi="Times New Roman"/>
                <w:color w:val="000000" w:themeColor="text1"/>
                <w:sz w:val="20"/>
                <w:szCs w:val="20"/>
                <w:shd w:val="clear" w:color="auto" w:fill="FFFFFF"/>
              </w:rPr>
              <w:t>metodologia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stabilită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(8)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calculează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fiecare</w:t>
            </w:r>
            <w:proofErr w:type="spellEnd"/>
            <w:r w:rsidRPr="00DD71BD">
              <w:rPr>
                <w:rFonts w:ascii="Times New Roman" w:eastAsia="Arial Unicode MS" w:hAnsi="Times New Roman"/>
                <w:color w:val="000000" w:themeColor="text1"/>
                <w:sz w:val="20"/>
                <w:szCs w:val="20"/>
                <w:shd w:val="clear" w:color="auto" w:fill="FFFFFF"/>
              </w:rPr>
              <w:t xml:space="preserve"> an </w:t>
            </w:r>
            <w:proofErr w:type="spellStart"/>
            <w:r w:rsidRPr="00DD71BD">
              <w:rPr>
                <w:rFonts w:ascii="Times New Roman" w:eastAsia="Arial Unicode MS" w:hAnsi="Times New Roman"/>
                <w:color w:val="000000" w:themeColor="text1"/>
                <w:sz w:val="20"/>
                <w:szCs w:val="20"/>
                <w:shd w:val="clear" w:color="auto" w:fill="FFFFFF"/>
              </w:rPr>
              <w:t>cerințele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anul </w:t>
            </w:r>
            <w:proofErr w:type="spellStart"/>
            <w:r w:rsidRPr="00DD71BD">
              <w:rPr>
                <w:rFonts w:ascii="Times New Roman" w:eastAsia="Arial Unicode MS" w:hAnsi="Times New Roman"/>
                <w:color w:val="000000" w:themeColor="text1"/>
                <w:sz w:val="20"/>
                <w:szCs w:val="20"/>
                <w:shd w:val="clear" w:color="auto" w:fill="FFFFFF"/>
              </w:rPr>
              <w:t>calendaristic</w:t>
            </w:r>
            <w:proofErr w:type="spellEnd"/>
            <w:r w:rsidRPr="00DD71BD">
              <w:rPr>
                <w:rFonts w:ascii="Times New Roman" w:eastAsia="Arial Unicode MS" w:hAnsi="Times New Roman"/>
                <w:color w:val="000000" w:themeColor="text1"/>
                <w:sz w:val="20"/>
                <w:szCs w:val="20"/>
                <w:shd w:val="clear" w:color="auto" w:fill="FFFFFF"/>
              </w:rPr>
              <w:t xml:space="preserve"> precedent în </w:t>
            </w:r>
            <w:proofErr w:type="spellStart"/>
            <w:r w:rsidRPr="00DD71BD">
              <w:rPr>
                <w:rFonts w:ascii="Times New Roman" w:eastAsia="Arial Unicode MS" w:hAnsi="Times New Roman"/>
                <w:color w:val="000000" w:themeColor="text1"/>
                <w:sz w:val="20"/>
                <w:szCs w:val="20"/>
                <w:shd w:val="clear" w:color="auto" w:fill="FFFFFF"/>
              </w:rPr>
              <w:t>ceea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privește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zborurile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înspre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dinspre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dintre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care sunt enumerate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adoptat</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temeiul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25a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(3) și în </w:t>
            </w:r>
            <w:proofErr w:type="spellStart"/>
            <w:r w:rsidRPr="00DD71BD">
              <w:rPr>
                <w:rFonts w:ascii="Times New Roman" w:eastAsia="Arial Unicode MS" w:hAnsi="Times New Roman"/>
                <w:color w:val="000000" w:themeColor="text1"/>
                <w:sz w:val="20"/>
                <w:szCs w:val="20"/>
                <w:shd w:val="clear" w:color="auto" w:fill="FFFFFF"/>
              </w:rPr>
              <w:t>ceea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privește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zborurile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dintre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Elveția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Regatul</w:t>
            </w:r>
            <w:proofErr w:type="spellEnd"/>
            <w:r w:rsidRPr="00DD71BD">
              <w:rPr>
                <w:rFonts w:ascii="Times New Roman" w:eastAsia="Arial Unicode MS" w:hAnsi="Times New Roman"/>
                <w:color w:val="000000" w:themeColor="text1"/>
                <w:sz w:val="20"/>
                <w:szCs w:val="20"/>
                <w:shd w:val="clear" w:color="auto" w:fill="FFFFFF"/>
              </w:rPr>
              <w:t xml:space="preserve"> Unit și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care sunt enumerate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adoptat</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temeiul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25a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(3), și </w:t>
            </w:r>
            <w:proofErr w:type="spellStart"/>
            <w:r w:rsidRPr="00DD71BD">
              <w:rPr>
                <w:rFonts w:ascii="Times New Roman" w:eastAsia="Arial Unicode MS" w:hAnsi="Times New Roman"/>
                <w:color w:val="000000" w:themeColor="text1"/>
                <w:sz w:val="20"/>
                <w:szCs w:val="20"/>
                <w:shd w:val="clear" w:color="auto" w:fill="FFFFFF"/>
              </w:rPr>
              <w:t>informează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data de 30 </w:t>
            </w:r>
            <w:proofErr w:type="spellStart"/>
            <w:r w:rsidRPr="00DD71BD">
              <w:rPr>
                <w:rFonts w:ascii="Times New Roman" w:eastAsia="Arial Unicode MS" w:hAnsi="Times New Roman"/>
                <w:color w:val="000000" w:themeColor="text1"/>
                <w:sz w:val="20"/>
                <w:szCs w:val="20"/>
                <w:shd w:val="clear" w:color="auto" w:fill="FFFFFF"/>
              </w:rPr>
              <w:t>noiembrie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fiecărui</w:t>
            </w:r>
            <w:proofErr w:type="spellEnd"/>
            <w:r w:rsidRPr="00DD71BD">
              <w:rPr>
                <w:rFonts w:ascii="Times New Roman" w:eastAsia="Arial Unicode MS" w:hAnsi="Times New Roman"/>
                <w:color w:val="000000" w:themeColor="text1"/>
                <w:sz w:val="20"/>
                <w:szCs w:val="20"/>
                <w:shd w:val="clear" w:color="auto" w:fill="FFFFFF"/>
              </w:rPr>
              <w:t xml:space="preserve"> an, </w:t>
            </w: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w:t>
            </w:r>
          </w:p>
          <w:p w14:paraId="6034B085" w14:textId="77777777"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DD71BD">
              <w:rPr>
                <w:rFonts w:ascii="Times New Roman" w:eastAsia="Arial Unicode MS" w:hAnsi="Times New Roman"/>
                <w:color w:val="000000" w:themeColor="text1"/>
                <w:sz w:val="20"/>
                <w:szCs w:val="20"/>
                <w:shd w:val="clear" w:color="auto" w:fill="FFFFFF"/>
              </w:rPr>
              <w:lastRenderedPageBreak/>
              <w:t xml:space="preserve">În conformitate cu </w:t>
            </w:r>
            <w:proofErr w:type="spellStart"/>
            <w:r w:rsidRPr="00DD71BD">
              <w:rPr>
                <w:rFonts w:ascii="Times New Roman" w:eastAsia="Arial Unicode MS" w:hAnsi="Times New Roman"/>
                <w:color w:val="000000" w:themeColor="text1"/>
                <w:sz w:val="20"/>
                <w:szCs w:val="20"/>
                <w:shd w:val="clear" w:color="auto" w:fill="FFFFFF"/>
              </w:rPr>
              <w:t>metodologia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stabilită</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(8)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calculează</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asemenea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totalul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cerințelor</w:t>
            </w:r>
            <w:proofErr w:type="spellEnd"/>
            <w:r w:rsidRPr="00DD71BD">
              <w:rPr>
                <w:rFonts w:ascii="Times New Roman" w:eastAsia="Arial Unicode MS" w:hAnsi="Times New Roman"/>
                <w:color w:val="000000" w:themeColor="text1"/>
                <w:sz w:val="20"/>
                <w:szCs w:val="20"/>
                <w:shd w:val="clear" w:color="auto" w:fill="FFFFFF"/>
              </w:rPr>
              <w:t xml:space="preserve"> finale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o </w:t>
            </w:r>
            <w:proofErr w:type="spellStart"/>
            <w:r w:rsidRPr="00DD71BD">
              <w:rPr>
                <w:rFonts w:ascii="Times New Roman" w:eastAsia="Arial Unicode MS" w:hAnsi="Times New Roman"/>
                <w:color w:val="000000" w:themeColor="text1"/>
                <w:sz w:val="20"/>
                <w:szCs w:val="20"/>
                <w:shd w:val="clear" w:color="auto" w:fill="FFFFFF"/>
              </w:rPr>
              <w:t>anumită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perioadă</w:t>
            </w:r>
            <w:proofErr w:type="spellEnd"/>
            <w:r w:rsidRPr="00DD71BD">
              <w:rPr>
                <w:rFonts w:ascii="Times New Roman" w:eastAsia="Arial Unicode MS" w:hAnsi="Times New Roman"/>
                <w:color w:val="000000" w:themeColor="text1"/>
                <w:sz w:val="20"/>
                <w:szCs w:val="20"/>
                <w:shd w:val="clear" w:color="auto" w:fill="FFFFFF"/>
              </w:rPr>
              <w:t xml:space="preserve"> de conformitate cu CORSIA și,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data de 30 </w:t>
            </w:r>
            <w:proofErr w:type="spellStart"/>
            <w:r w:rsidRPr="00DD71BD">
              <w:rPr>
                <w:rFonts w:ascii="Times New Roman" w:eastAsia="Arial Unicode MS" w:hAnsi="Times New Roman"/>
                <w:color w:val="000000" w:themeColor="text1"/>
                <w:sz w:val="20"/>
                <w:szCs w:val="20"/>
                <w:shd w:val="clear" w:color="auto" w:fill="FFFFFF"/>
              </w:rPr>
              <w:t>noiembrie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anului</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urmează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ultimului</w:t>
            </w:r>
            <w:proofErr w:type="spellEnd"/>
            <w:r w:rsidRPr="00DD71BD">
              <w:rPr>
                <w:rFonts w:ascii="Times New Roman" w:eastAsia="Arial Unicode MS" w:hAnsi="Times New Roman"/>
                <w:color w:val="000000" w:themeColor="text1"/>
                <w:sz w:val="20"/>
                <w:szCs w:val="20"/>
                <w:shd w:val="clear" w:color="auto" w:fill="FFFFFF"/>
              </w:rPr>
              <w:t xml:space="preserve"> an al </w:t>
            </w:r>
            <w:proofErr w:type="spellStart"/>
            <w:r w:rsidRPr="00DD71BD">
              <w:rPr>
                <w:rFonts w:ascii="Times New Roman" w:eastAsia="Arial Unicode MS" w:hAnsi="Times New Roman"/>
                <w:color w:val="000000" w:themeColor="text1"/>
                <w:sz w:val="20"/>
                <w:szCs w:val="20"/>
                <w:shd w:val="clear" w:color="auto" w:fill="FFFFFF"/>
              </w:rPr>
              <w:t>perioadei</w:t>
            </w:r>
            <w:proofErr w:type="spellEnd"/>
            <w:r w:rsidRPr="00DD71BD">
              <w:rPr>
                <w:rFonts w:ascii="Times New Roman" w:eastAsia="Arial Unicode MS" w:hAnsi="Times New Roman"/>
                <w:color w:val="000000" w:themeColor="text1"/>
                <w:sz w:val="20"/>
                <w:szCs w:val="20"/>
                <w:shd w:val="clear" w:color="auto" w:fill="FFFFFF"/>
              </w:rPr>
              <w:t xml:space="preserve"> de conformitate cu CORSIA </w:t>
            </w:r>
            <w:proofErr w:type="spellStart"/>
            <w:r w:rsidRPr="00DD71BD">
              <w:rPr>
                <w:rFonts w:ascii="Times New Roman" w:eastAsia="Arial Unicode MS" w:hAnsi="Times New Roman"/>
                <w:color w:val="000000" w:themeColor="text1"/>
                <w:sz w:val="20"/>
                <w:szCs w:val="20"/>
                <w:shd w:val="clear" w:color="auto" w:fill="FFFFFF"/>
              </w:rPr>
              <w:t>corespunzătoare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informează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îndeplinesc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condițiile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stabilite</w:t>
            </w:r>
            <w:proofErr w:type="spellEnd"/>
            <w:r w:rsidRPr="00DD71BD">
              <w:rPr>
                <w:rFonts w:ascii="Times New Roman" w:eastAsia="Arial Unicode MS" w:hAnsi="Times New Roman"/>
                <w:color w:val="000000" w:themeColor="text1"/>
                <w:sz w:val="20"/>
                <w:szCs w:val="20"/>
                <w:shd w:val="clear" w:color="auto" w:fill="FFFFFF"/>
              </w:rPr>
              <w:t xml:space="preserve"> la al </w:t>
            </w:r>
            <w:proofErr w:type="spellStart"/>
            <w:r w:rsidRPr="00DD71BD">
              <w:rPr>
                <w:rFonts w:ascii="Times New Roman" w:eastAsia="Arial Unicode MS" w:hAnsi="Times New Roman"/>
                <w:color w:val="000000" w:themeColor="text1"/>
                <w:sz w:val="20"/>
                <w:szCs w:val="20"/>
                <w:shd w:val="clear" w:color="auto" w:fill="FFFFFF"/>
              </w:rPr>
              <w:t>treilea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paragraf</w:t>
            </w:r>
            <w:proofErr w:type="spellEnd"/>
            <w:r w:rsidRPr="00DD71BD">
              <w:rPr>
                <w:rFonts w:ascii="Times New Roman" w:eastAsia="Arial Unicode MS" w:hAnsi="Times New Roman"/>
                <w:color w:val="000000" w:themeColor="text1"/>
                <w:sz w:val="20"/>
                <w:szCs w:val="20"/>
                <w:shd w:val="clear" w:color="auto" w:fill="FFFFFF"/>
              </w:rPr>
              <w:t xml:space="preserve">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alineat</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privire</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cerințele</w:t>
            </w:r>
            <w:proofErr w:type="spellEnd"/>
            <w:r w:rsidRPr="00DD71BD">
              <w:rPr>
                <w:rFonts w:ascii="Times New Roman" w:eastAsia="Arial Unicode MS" w:hAnsi="Times New Roman"/>
                <w:color w:val="000000" w:themeColor="text1"/>
                <w:sz w:val="20"/>
                <w:szCs w:val="20"/>
                <w:shd w:val="clear" w:color="auto" w:fill="FFFFFF"/>
              </w:rPr>
              <w:t xml:space="preserve"> respective.</w:t>
            </w:r>
          </w:p>
          <w:p w14:paraId="6064C0D8" w14:textId="77777777" w:rsidR="00124364" w:rsidRPr="00DD71BD" w:rsidRDefault="00000000" w:rsidP="00DD71BD">
            <w:p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informează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îndeplinesc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toate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condițiile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următoare</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privire</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nivelul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w:t>
            </w:r>
          </w:p>
          <w:p w14:paraId="14471934" w14:textId="77777777" w:rsidR="00124364" w:rsidRPr="00DD71BD" w:rsidRDefault="00000000" w:rsidP="00DD71BD">
            <w:pPr>
              <w:pStyle w:val="af8"/>
              <w:numPr>
                <w:ilvl w:val="0"/>
                <w:numId w:val="8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dețin</w:t>
            </w:r>
            <w:proofErr w:type="spellEnd"/>
            <w:r w:rsidRPr="00DD71BD">
              <w:rPr>
                <w:rFonts w:ascii="Times New Roman" w:eastAsia="Arial Unicode MS" w:hAnsi="Times New Roman"/>
                <w:color w:val="000000" w:themeColor="text1"/>
                <w:sz w:val="20"/>
                <w:szCs w:val="20"/>
                <w:shd w:val="clear" w:color="auto" w:fill="FFFFFF"/>
              </w:rPr>
              <w:t xml:space="preserve"> un </w:t>
            </w:r>
            <w:proofErr w:type="spellStart"/>
            <w:r w:rsidRPr="00DD71BD">
              <w:rPr>
                <w:rFonts w:ascii="Times New Roman" w:eastAsia="Arial Unicode MS" w:hAnsi="Times New Roman"/>
                <w:color w:val="000000" w:themeColor="text1"/>
                <w:sz w:val="20"/>
                <w:szCs w:val="20"/>
                <w:shd w:val="clear" w:color="auto" w:fill="FFFFFF"/>
              </w:rPr>
              <w:t>certificat</w:t>
            </w:r>
            <w:proofErr w:type="spellEnd"/>
            <w:r w:rsidRPr="00DD71BD">
              <w:rPr>
                <w:rFonts w:ascii="Times New Roman" w:eastAsia="Arial Unicode MS" w:hAnsi="Times New Roman"/>
                <w:color w:val="000000" w:themeColor="text1"/>
                <w:sz w:val="20"/>
                <w:szCs w:val="20"/>
                <w:shd w:val="clear" w:color="auto" w:fill="FFFFFF"/>
              </w:rPr>
              <w:t xml:space="preserve"> de operator </w:t>
            </w:r>
            <w:proofErr w:type="spellStart"/>
            <w:r w:rsidRPr="00DD71BD">
              <w:rPr>
                <w:rFonts w:ascii="Times New Roman" w:eastAsia="Arial Unicode MS" w:hAnsi="Times New Roman"/>
                <w:color w:val="000000" w:themeColor="text1"/>
                <w:sz w:val="20"/>
                <w:szCs w:val="20"/>
                <w:shd w:val="clear" w:color="auto" w:fill="FFFFFF"/>
              </w:rPr>
              <w:t>aerian</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eliberat</w:t>
            </w:r>
            <w:proofErr w:type="spellEnd"/>
            <w:r w:rsidRPr="00DD71BD">
              <w:rPr>
                <w:rFonts w:ascii="Times New Roman" w:eastAsia="Arial Unicode MS" w:hAnsi="Times New Roman"/>
                <w:color w:val="000000" w:themeColor="text1"/>
                <w:sz w:val="20"/>
                <w:szCs w:val="20"/>
                <w:shd w:val="clear" w:color="auto" w:fill="FFFFFF"/>
              </w:rPr>
              <w:t xml:space="preserve"> de un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sunt </w:t>
            </w:r>
            <w:proofErr w:type="spellStart"/>
            <w:r w:rsidRPr="00DD71BD">
              <w:rPr>
                <w:rFonts w:ascii="Times New Roman" w:eastAsia="Arial Unicode MS" w:hAnsi="Times New Roman"/>
                <w:color w:val="000000" w:themeColor="text1"/>
                <w:sz w:val="20"/>
                <w:szCs w:val="20"/>
                <w:shd w:val="clear" w:color="auto" w:fill="FFFFFF"/>
              </w:rPr>
              <w:t>înregistrați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într</w:t>
            </w:r>
            <w:proofErr w:type="spellEnd"/>
            <w:r w:rsidRPr="00DD71BD">
              <w:rPr>
                <w:rFonts w:ascii="Times New Roman" w:eastAsia="Arial Unicode MS" w:hAnsi="Times New Roman"/>
                <w:color w:val="000000" w:themeColor="text1"/>
                <w:sz w:val="20"/>
                <w:szCs w:val="20"/>
                <w:shd w:val="clear" w:color="auto" w:fill="FFFFFF"/>
              </w:rPr>
              <w:t xml:space="preserve">-un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inclusiv</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regiunile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ultraperiferice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teritoriile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dependente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teritoriile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statului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respectiv</w:t>
            </w:r>
            <w:proofErr w:type="spellEnd"/>
            <w:r w:rsidRPr="00DD71BD">
              <w:rPr>
                <w:rFonts w:ascii="Times New Roman" w:eastAsia="Arial Unicode MS" w:hAnsi="Times New Roman"/>
                <w:color w:val="000000" w:themeColor="text1"/>
                <w:sz w:val="20"/>
                <w:szCs w:val="20"/>
                <w:shd w:val="clear" w:color="auto" w:fill="FFFFFF"/>
              </w:rPr>
              <w:t>; și</w:t>
            </w:r>
          </w:p>
          <w:p w14:paraId="069EA79A" w14:textId="7EF49D38" w:rsidR="00124364" w:rsidRPr="00DD71BD" w:rsidRDefault="00000000" w:rsidP="00DD71BD">
            <w:pPr>
              <w:pStyle w:val="af8"/>
              <w:numPr>
                <w:ilvl w:val="0"/>
                <w:numId w:val="8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produc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anuale</w:t>
            </w:r>
            <w:proofErr w:type="spellEnd"/>
            <w:r w:rsidRPr="00DD71BD">
              <w:rPr>
                <w:rFonts w:ascii="Times New Roman" w:eastAsia="Arial Unicode MS" w:hAnsi="Times New Roman"/>
                <w:color w:val="000000" w:themeColor="text1"/>
                <w:sz w:val="20"/>
                <w:szCs w:val="20"/>
                <w:shd w:val="clear" w:color="auto" w:fill="FFFFFF"/>
              </w:rPr>
              <w:t xml:space="preserve"> de CO</w:t>
            </w:r>
            <w:r w:rsidRPr="00DD71BD">
              <w:rPr>
                <w:rStyle w:val="subscript"/>
                <w:rFonts w:ascii="Times New Roman" w:eastAsia="Arial Unicode MS" w:hAnsi="Times New Roman"/>
                <w:color w:val="000000" w:themeColor="text1"/>
                <w:sz w:val="20"/>
                <w:szCs w:val="20"/>
                <w:vertAlign w:val="subscript"/>
              </w:rPr>
              <w:t>2</w:t>
            </w:r>
            <w:r w:rsidR="00DD71BD" w:rsidRPr="00DD71BD">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mai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mari</w:t>
            </w:r>
            <w:proofErr w:type="spellEnd"/>
            <w:r w:rsidRPr="00DD71BD">
              <w:rPr>
                <w:rFonts w:ascii="Times New Roman" w:eastAsia="Arial Unicode MS" w:hAnsi="Times New Roman"/>
                <w:color w:val="000000" w:themeColor="text1"/>
                <w:sz w:val="20"/>
                <w:szCs w:val="20"/>
                <w:shd w:val="clear" w:color="auto" w:fill="FFFFFF"/>
              </w:rPr>
              <w:t xml:space="preserve"> de 10 000 de tone, care </w:t>
            </w:r>
            <w:proofErr w:type="spellStart"/>
            <w:r w:rsidRPr="00DD71BD">
              <w:rPr>
                <w:rFonts w:ascii="Times New Roman" w:eastAsia="Arial Unicode MS" w:hAnsi="Times New Roman"/>
                <w:color w:val="000000" w:themeColor="text1"/>
                <w:sz w:val="20"/>
                <w:szCs w:val="20"/>
                <w:shd w:val="clear" w:color="auto" w:fill="FFFFFF"/>
              </w:rPr>
              <w:t>provin</w:t>
            </w:r>
            <w:proofErr w:type="spellEnd"/>
            <w:r w:rsidRPr="00DD71BD">
              <w:rPr>
                <w:rFonts w:ascii="Times New Roman" w:eastAsia="Arial Unicode MS" w:hAnsi="Times New Roman"/>
                <w:color w:val="000000" w:themeColor="text1"/>
                <w:sz w:val="20"/>
                <w:szCs w:val="20"/>
                <w:shd w:val="clear" w:color="auto" w:fill="FFFFFF"/>
              </w:rPr>
              <w:t xml:space="preserve"> din </w:t>
            </w:r>
            <w:proofErr w:type="spellStart"/>
            <w:r w:rsidRPr="00DD71BD">
              <w:rPr>
                <w:rFonts w:ascii="Times New Roman" w:eastAsia="Arial Unicode MS" w:hAnsi="Times New Roman"/>
                <w:color w:val="000000" w:themeColor="text1"/>
                <w:sz w:val="20"/>
                <w:szCs w:val="20"/>
                <w:shd w:val="clear" w:color="auto" w:fill="FFFFFF"/>
              </w:rPr>
              <w:t>utilizarea</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cu o </w:t>
            </w:r>
            <w:proofErr w:type="spellStart"/>
            <w:r w:rsidRPr="00DD71BD">
              <w:rPr>
                <w:rFonts w:ascii="Times New Roman" w:eastAsia="Arial Unicode MS" w:hAnsi="Times New Roman"/>
                <w:color w:val="000000" w:themeColor="text1"/>
                <w:sz w:val="20"/>
                <w:szCs w:val="20"/>
                <w:shd w:val="clear" w:color="auto" w:fill="FFFFFF"/>
              </w:rPr>
              <w:t>masă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maximă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certificată</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decolare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mai</w:t>
            </w:r>
            <w:proofErr w:type="spellEnd"/>
            <w:r w:rsidRPr="00DD71BD">
              <w:rPr>
                <w:rFonts w:ascii="Times New Roman" w:eastAsia="Arial Unicode MS" w:hAnsi="Times New Roman"/>
                <w:color w:val="000000" w:themeColor="text1"/>
                <w:sz w:val="20"/>
                <w:szCs w:val="20"/>
                <w:shd w:val="clear" w:color="auto" w:fill="FFFFFF"/>
              </w:rPr>
              <w:t xml:space="preserve"> mare de 5</w:t>
            </w:r>
            <w:r w:rsidR="00DD71BD" w:rsidRPr="00DD71BD">
              <w:rPr>
                <w:rFonts w:ascii="Times New Roman" w:eastAsia="Arial Unicode MS" w:hAnsi="Times New Roman"/>
                <w:color w:val="000000" w:themeColor="text1"/>
                <w:sz w:val="20"/>
                <w:szCs w:val="20"/>
                <w:shd w:val="clear" w:color="auto" w:fill="FFFFFF"/>
              </w:rPr>
              <w:t xml:space="preserve"> </w:t>
            </w:r>
            <w:proofErr w:type="gramStart"/>
            <w:r w:rsidRPr="00DD71BD">
              <w:rPr>
                <w:rFonts w:ascii="Times New Roman" w:eastAsia="Arial Unicode MS" w:hAnsi="Times New Roman"/>
                <w:color w:val="000000" w:themeColor="text1"/>
                <w:sz w:val="20"/>
                <w:szCs w:val="20"/>
                <w:shd w:val="clear" w:color="auto" w:fill="FFFFFF"/>
              </w:rPr>
              <w:t xml:space="preserve">700 </w:t>
            </w:r>
            <w:r w:rsidR="00DD71BD"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kg</w:t>
            </w:r>
            <w:proofErr w:type="gramEnd"/>
            <w:r w:rsidRPr="00DD71BD">
              <w:rPr>
                <w:rFonts w:ascii="Times New Roman" w:eastAsia="Arial Unicode MS" w:hAnsi="Times New Roman"/>
                <w:color w:val="000000" w:themeColor="text1"/>
                <w:sz w:val="20"/>
                <w:szCs w:val="20"/>
                <w:shd w:val="clear" w:color="auto" w:fill="FFFFFF"/>
              </w:rPr>
              <w:t xml:space="preserve">, care efectuează </w:t>
            </w: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incluse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anexa</w:t>
            </w:r>
            <w:proofErr w:type="spellEnd"/>
            <w:r w:rsidRPr="00DD71BD">
              <w:rPr>
                <w:rFonts w:ascii="Times New Roman" w:eastAsia="Arial Unicode MS" w:hAnsi="Times New Roman"/>
                <w:color w:val="000000" w:themeColor="text1"/>
                <w:sz w:val="20"/>
                <w:szCs w:val="20"/>
                <w:shd w:val="clear" w:color="auto" w:fill="FFFFFF"/>
              </w:rPr>
              <w:t xml:space="preserve"> I, </w:t>
            </w:r>
            <w:proofErr w:type="spellStart"/>
            <w:r w:rsidRPr="00DD71BD">
              <w:rPr>
                <w:rFonts w:ascii="Times New Roman" w:eastAsia="Arial Unicode MS" w:hAnsi="Times New Roman"/>
                <w:color w:val="000000" w:themeColor="text1"/>
                <w:sz w:val="20"/>
                <w:szCs w:val="20"/>
                <w:shd w:val="clear" w:color="auto" w:fill="FFFFFF"/>
              </w:rPr>
              <w:t>altele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decât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cele</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pleacă</w:t>
            </w:r>
            <w:proofErr w:type="spellEnd"/>
            <w:r w:rsidRPr="00DD71BD">
              <w:rPr>
                <w:rFonts w:ascii="Times New Roman" w:eastAsia="Arial Unicode MS" w:hAnsi="Times New Roman"/>
                <w:color w:val="000000" w:themeColor="text1"/>
                <w:sz w:val="20"/>
                <w:szCs w:val="20"/>
                <w:shd w:val="clear" w:color="auto" w:fill="FFFFFF"/>
              </w:rPr>
              <w:t xml:space="preserve"> și care </w:t>
            </w:r>
            <w:proofErr w:type="spellStart"/>
            <w:r w:rsidRPr="00DD71BD">
              <w:rPr>
                <w:rFonts w:ascii="Times New Roman" w:eastAsia="Arial Unicode MS" w:hAnsi="Times New Roman"/>
                <w:color w:val="000000" w:themeColor="text1"/>
                <w:sz w:val="20"/>
                <w:szCs w:val="20"/>
                <w:shd w:val="clear" w:color="auto" w:fill="FFFFFF"/>
              </w:rPr>
              <w:t>sosesc</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același</w:t>
            </w:r>
            <w:proofErr w:type="spellEnd"/>
            <w:r w:rsidRPr="00DD71BD">
              <w:rPr>
                <w:rFonts w:ascii="Times New Roman" w:eastAsia="Arial Unicode MS" w:hAnsi="Times New Roman"/>
                <w:color w:val="000000" w:themeColor="text1"/>
                <w:sz w:val="20"/>
                <w:szCs w:val="20"/>
                <w:shd w:val="clear" w:color="auto" w:fill="FFFFFF"/>
              </w:rPr>
              <w:t xml:space="preserve">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inclusiv</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regiunile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ultraperiferice</w:t>
            </w:r>
            <w:proofErr w:type="spellEnd"/>
            <w:r w:rsidRPr="00DD71BD">
              <w:rPr>
                <w:rFonts w:ascii="Times New Roman" w:eastAsia="Arial Unicode MS" w:hAnsi="Times New Roman"/>
                <w:color w:val="000000" w:themeColor="text1"/>
                <w:sz w:val="20"/>
                <w:szCs w:val="20"/>
                <w:shd w:val="clear" w:color="auto" w:fill="FFFFFF"/>
              </w:rPr>
              <w:t xml:space="preserve"> ale </w:t>
            </w:r>
            <w:proofErr w:type="spellStart"/>
            <w:r w:rsidRPr="00DD71BD">
              <w:rPr>
                <w:rFonts w:ascii="Times New Roman" w:eastAsia="Arial Unicode MS" w:hAnsi="Times New Roman"/>
                <w:color w:val="000000" w:themeColor="text1"/>
                <w:sz w:val="20"/>
                <w:szCs w:val="20"/>
                <w:shd w:val="clear" w:color="auto" w:fill="FFFFFF"/>
              </w:rPr>
              <w:t>aceluiași</w:t>
            </w:r>
            <w:proofErr w:type="spellEnd"/>
            <w:r w:rsidRPr="00DD71BD">
              <w:rPr>
                <w:rFonts w:ascii="Times New Roman" w:eastAsia="Arial Unicode MS" w:hAnsi="Times New Roman"/>
                <w:color w:val="000000" w:themeColor="text1"/>
                <w:sz w:val="20"/>
                <w:szCs w:val="20"/>
                <w:shd w:val="clear" w:color="auto" w:fill="FFFFFF"/>
              </w:rPr>
              <w:t xml:space="preserve">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începând</w:t>
            </w:r>
            <w:proofErr w:type="spellEnd"/>
            <w:r w:rsidRPr="00DD71BD">
              <w:rPr>
                <w:rFonts w:ascii="Times New Roman" w:eastAsia="Arial Unicode MS" w:hAnsi="Times New Roman"/>
                <w:color w:val="000000" w:themeColor="text1"/>
                <w:sz w:val="20"/>
                <w:szCs w:val="20"/>
                <w:shd w:val="clear" w:color="auto" w:fill="FFFFFF"/>
              </w:rPr>
              <w:t xml:space="preserve"> din 1</w:t>
            </w:r>
            <w:r w:rsidR="00DD71BD"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ianuarie</w:t>
            </w:r>
            <w:proofErr w:type="spellEnd"/>
            <w:r w:rsidRPr="00DD71BD">
              <w:rPr>
                <w:rFonts w:ascii="Times New Roman" w:eastAsia="Arial Unicode MS" w:hAnsi="Times New Roman"/>
                <w:color w:val="000000" w:themeColor="text1"/>
                <w:sz w:val="20"/>
                <w:szCs w:val="20"/>
                <w:shd w:val="clear" w:color="auto" w:fill="FFFFFF"/>
              </w:rPr>
              <w:t xml:space="preserve"> 2021.</w:t>
            </w:r>
          </w:p>
          <w:p w14:paraId="0F906BE8" w14:textId="08893C18" w:rsidR="00124364" w:rsidRPr="00DD71BD" w:rsidRDefault="00000000" w:rsidP="00DD71BD">
            <w:pPr>
              <w:suppressAutoHyphens w:val="0"/>
              <w:autoSpaceDN/>
              <w:spacing w:after="0" w:line="240" w:lineRule="auto"/>
              <w:jc w:val="both"/>
              <w:textAlignment w:val="auto"/>
              <w:rPr>
                <w:rFonts w:ascii="Times New Roman" w:hAnsi="Times New Roman"/>
                <w:color w:val="000000" w:themeColor="text1"/>
                <w:sz w:val="20"/>
                <w:szCs w:val="20"/>
                <w:lang w:val="en-US"/>
              </w:rPr>
            </w:pPr>
            <w:r w:rsidRPr="00DD71BD">
              <w:rPr>
                <w:rFonts w:ascii="Times New Roman" w:eastAsia="Arial Unicode MS" w:hAnsi="Times New Roman"/>
                <w:color w:val="000000" w:themeColor="text1"/>
                <w:sz w:val="20"/>
                <w:szCs w:val="20"/>
                <w:shd w:val="clear" w:color="auto" w:fill="FFFFFF"/>
              </w:rPr>
              <w:t xml:space="preserve">În </w:t>
            </w:r>
            <w:proofErr w:type="spellStart"/>
            <w:r w:rsidRPr="00DD71BD">
              <w:rPr>
                <w:rFonts w:ascii="Times New Roman" w:eastAsia="Arial Unicode MS" w:hAnsi="Times New Roman"/>
                <w:color w:val="000000" w:themeColor="text1"/>
                <w:sz w:val="20"/>
                <w:szCs w:val="20"/>
                <w:shd w:val="clear" w:color="auto" w:fill="FFFFFF"/>
              </w:rPr>
              <w:t>sensul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primului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paragraf</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litera</w:t>
            </w:r>
            <w:proofErr w:type="spellEnd"/>
            <w:r w:rsidRPr="00DD71BD">
              <w:rPr>
                <w:rFonts w:ascii="Times New Roman" w:eastAsia="Arial Unicode MS" w:hAnsi="Times New Roman"/>
                <w:color w:val="000000" w:themeColor="text1"/>
                <w:sz w:val="20"/>
                <w:szCs w:val="20"/>
                <w:shd w:val="clear" w:color="auto" w:fill="FFFFFF"/>
              </w:rPr>
              <w:t xml:space="preserve"> (b), nu se </w:t>
            </w:r>
            <w:proofErr w:type="spellStart"/>
            <w:r w:rsidRPr="00DD71BD">
              <w:rPr>
                <w:rFonts w:ascii="Times New Roman" w:eastAsia="Arial Unicode MS" w:hAnsi="Times New Roman"/>
                <w:color w:val="000000" w:themeColor="text1"/>
                <w:sz w:val="20"/>
                <w:szCs w:val="20"/>
                <w:shd w:val="clear" w:color="auto" w:fill="FFFFFF"/>
              </w:rPr>
              <w:t>iau</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considerare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de CO</w:t>
            </w:r>
            <w:r w:rsidRPr="00DD71BD">
              <w:rPr>
                <w:rStyle w:val="subscript"/>
                <w:rFonts w:ascii="Times New Roman" w:eastAsia="Arial Unicode MS" w:hAnsi="Times New Roman"/>
                <w:color w:val="000000" w:themeColor="text1"/>
                <w:sz w:val="20"/>
                <w:szCs w:val="20"/>
                <w:vertAlign w:val="subscript"/>
              </w:rPr>
              <w:t>2</w:t>
            </w:r>
            <w:r w:rsidR="00DD71BD" w:rsidRPr="00DD71BD">
              <w:rPr>
                <w:rStyle w:val="apple-converted-space"/>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generate de </w:t>
            </w:r>
            <w:proofErr w:type="spellStart"/>
            <w:r w:rsidRPr="00DD71BD">
              <w:rPr>
                <w:rFonts w:ascii="Times New Roman" w:eastAsia="Arial Unicode MS" w:hAnsi="Times New Roman"/>
                <w:color w:val="000000" w:themeColor="text1"/>
                <w:sz w:val="20"/>
                <w:szCs w:val="20"/>
                <w:shd w:val="clear" w:color="auto" w:fill="FFFFFF"/>
              </w:rPr>
              <w:t>următoarele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tipuri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w:t>
            </w:r>
          </w:p>
          <w:p w14:paraId="32885629"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gramStart"/>
            <w:r w:rsidRPr="00DD71BD">
              <w:rPr>
                <w:rFonts w:ascii="Times New Roman" w:eastAsia="Arial Unicode MS" w:hAnsi="Times New Roman"/>
                <w:color w:val="000000" w:themeColor="text1"/>
                <w:sz w:val="20"/>
                <w:szCs w:val="20"/>
                <w:shd w:val="clear" w:color="auto" w:fill="FFFFFF"/>
              </w:rPr>
              <w:t>stat;</w:t>
            </w:r>
            <w:proofErr w:type="gramEnd"/>
          </w:p>
          <w:p w14:paraId="335E232F"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proofErr w:type="gramStart"/>
            <w:r w:rsidRPr="00DD71BD">
              <w:rPr>
                <w:rFonts w:ascii="Times New Roman" w:eastAsia="Arial Unicode MS" w:hAnsi="Times New Roman"/>
                <w:color w:val="000000" w:themeColor="text1"/>
                <w:sz w:val="20"/>
                <w:szCs w:val="20"/>
                <w:shd w:val="clear" w:color="auto" w:fill="FFFFFF"/>
              </w:rPr>
              <w:t>umanitare</w:t>
            </w:r>
            <w:proofErr w:type="spellEnd"/>
            <w:r w:rsidRPr="00DD71BD">
              <w:rPr>
                <w:rFonts w:ascii="Times New Roman" w:eastAsia="Arial Unicode MS" w:hAnsi="Times New Roman"/>
                <w:color w:val="000000" w:themeColor="text1"/>
                <w:sz w:val="20"/>
                <w:szCs w:val="20"/>
                <w:shd w:val="clear" w:color="auto" w:fill="FFFFFF"/>
              </w:rPr>
              <w:t>;</w:t>
            </w:r>
            <w:proofErr w:type="gramEnd"/>
          </w:p>
          <w:p w14:paraId="3D789612"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proofErr w:type="gramStart"/>
            <w:r w:rsidRPr="00DD71BD">
              <w:rPr>
                <w:rFonts w:ascii="Times New Roman" w:eastAsia="Arial Unicode MS" w:hAnsi="Times New Roman"/>
                <w:color w:val="000000" w:themeColor="text1"/>
                <w:sz w:val="20"/>
                <w:szCs w:val="20"/>
                <w:shd w:val="clear" w:color="auto" w:fill="FFFFFF"/>
              </w:rPr>
              <w:t>medicale</w:t>
            </w:r>
            <w:proofErr w:type="spellEnd"/>
            <w:r w:rsidRPr="00DD71BD">
              <w:rPr>
                <w:rFonts w:ascii="Times New Roman" w:eastAsia="Arial Unicode MS" w:hAnsi="Times New Roman"/>
                <w:color w:val="000000" w:themeColor="text1"/>
                <w:sz w:val="20"/>
                <w:szCs w:val="20"/>
                <w:shd w:val="clear" w:color="auto" w:fill="FFFFFF"/>
              </w:rPr>
              <w:t>;</w:t>
            </w:r>
            <w:proofErr w:type="gramEnd"/>
          </w:p>
          <w:p w14:paraId="5621FBC4"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proofErr w:type="gramStart"/>
            <w:r w:rsidRPr="00DD71BD">
              <w:rPr>
                <w:rFonts w:ascii="Times New Roman" w:eastAsia="Arial Unicode MS" w:hAnsi="Times New Roman"/>
                <w:color w:val="000000" w:themeColor="text1"/>
                <w:sz w:val="20"/>
                <w:szCs w:val="20"/>
                <w:shd w:val="clear" w:color="auto" w:fill="FFFFFF"/>
              </w:rPr>
              <w:t>militare</w:t>
            </w:r>
            <w:proofErr w:type="spellEnd"/>
            <w:r w:rsidRPr="00DD71BD">
              <w:rPr>
                <w:rFonts w:ascii="Times New Roman" w:eastAsia="Arial Unicode MS" w:hAnsi="Times New Roman"/>
                <w:color w:val="000000" w:themeColor="text1"/>
                <w:sz w:val="20"/>
                <w:szCs w:val="20"/>
                <w:shd w:val="clear" w:color="auto" w:fill="FFFFFF"/>
              </w:rPr>
              <w:t>;</w:t>
            </w:r>
            <w:proofErr w:type="gramEnd"/>
          </w:p>
          <w:p w14:paraId="70C47620"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stingere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proofErr w:type="gramStart"/>
            <w:r w:rsidRPr="00DD71BD">
              <w:rPr>
                <w:rFonts w:ascii="Times New Roman" w:eastAsia="Arial Unicode MS" w:hAnsi="Times New Roman"/>
                <w:color w:val="000000" w:themeColor="text1"/>
                <w:sz w:val="20"/>
                <w:szCs w:val="20"/>
                <w:shd w:val="clear" w:color="auto" w:fill="FFFFFF"/>
              </w:rPr>
              <w:t>incendiilor</w:t>
            </w:r>
            <w:proofErr w:type="spellEnd"/>
            <w:r w:rsidRPr="00DD71BD">
              <w:rPr>
                <w:rFonts w:ascii="Times New Roman" w:eastAsia="Arial Unicode MS" w:hAnsi="Times New Roman"/>
                <w:color w:val="000000" w:themeColor="text1"/>
                <w:sz w:val="20"/>
                <w:szCs w:val="20"/>
                <w:shd w:val="clear" w:color="auto" w:fill="FFFFFF"/>
              </w:rPr>
              <w:t>;</w:t>
            </w:r>
            <w:proofErr w:type="gramEnd"/>
          </w:p>
          <w:p w14:paraId="3BF4A75B" w14:textId="77777777" w:rsidR="00124364" w:rsidRPr="00DD71BD" w:rsidRDefault="00000000" w:rsidP="00DD71BD">
            <w:pPr>
              <w:pStyle w:val="af8"/>
              <w:numPr>
                <w:ilvl w:val="0"/>
                <w:numId w:val="87"/>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anterioare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ulterioare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zbor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umanitar</w:t>
            </w:r>
            <w:proofErr w:type="spellEnd"/>
            <w:r w:rsidRPr="00DD71BD">
              <w:rPr>
                <w:rFonts w:ascii="Times New Roman" w:eastAsia="Arial Unicode MS" w:hAnsi="Times New Roman"/>
                <w:color w:val="000000" w:themeColor="text1"/>
                <w:sz w:val="20"/>
                <w:szCs w:val="20"/>
                <w:shd w:val="clear" w:color="auto" w:fill="FFFFFF"/>
              </w:rPr>
              <w:t xml:space="preserve">, medical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stingere</w:t>
            </w:r>
            <w:proofErr w:type="spellEnd"/>
            <w:r w:rsidRPr="00DD71BD">
              <w:rPr>
                <w:rFonts w:ascii="Times New Roman" w:eastAsia="Arial Unicode MS" w:hAnsi="Times New Roman"/>
                <w:color w:val="000000" w:themeColor="text1"/>
                <w:sz w:val="20"/>
                <w:szCs w:val="20"/>
                <w:shd w:val="clear" w:color="auto" w:fill="FFFFFF"/>
              </w:rPr>
              <w:t xml:space="preserve"> </w:t>
            </w:r>
            <w:proofErr w:type="gramStart"/>
            <w:r w:rsidRPr="00DD71BD">
              <w:rPr>
                <w:rFonts w:ascii="Times New Roman" w:eastAsia="Arial Unicode MS" w:hAnsi="Times New Roman"/>
                <w:color w:val="000000" w:themeColor="text1"/>
                <w:sz w:val="20"/>
                <w:szCs w:val="20"/>
                <w:shd w:val="clear" w:color="auto" w:fill="FFFFFF"/>
              </w:rPr>
              <w:t>a</w:t>
            </w:r>
            <w:proofErr w:type="gram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incendiilor</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condiția</w:t>
            </w:r>
            <w:proofErr w:type="spellEnd"/>
            <w:r w:rsidRPr="00DD71BD">
              <w:rPr>
                <w:rFonts w:ascii="Times New Roman" w:eastAsia="Arial Unicode MS" w:hAnsi="Times New Roman"/>
                <w:color w:val="000000" w:themeColor="text1"/>
                <w:sz w:val="20"/>
                <w:szCs w:val="20"/>
                <w:shd w:val="clear" w:color="auto" w:fill="FFFFFF"/>
              </w:rPr>
              <w:t xml:space="preserve"> ca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zboruri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fi </w:t>
            </w:r>
            <w:proofErr w:type="spellStart"/>
            <w:r w:rsidRPr="00DD71BD">
              <w:rPr>
                <w:rFonts w:ascii="Times New Roman" w:eastAsia="Arial Unicode MS" w:hAnsi="Times New Roman"/>
                <w:color w:val="000000" w:themeColor="text1"/>
                <w:sz w:val="20"/>
                <w:szCs w:val="20"/>
                <w:shd w:val="clear" w:color="auto" w:fill="FFFFFF"/>
              </w:rPr>
              <w:t>fost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efectuate</w:t>
            </w:r>
            <w:proofErr w:type="spellEnd"/>
            <w:r w:rsidRPr="00DD71BD">
              <w:rPr>
                <w:rFonts w:ascii="Times New Roman" w:eastAsia="Arial Unicode MS" w:hAnsi="Times New Roman"/>
                <w:color w:val="000000" w:themeColor="text1"/>
                <w:sz w:val="20"/>
                <w:szCs w:val="20"/>
                <w:shd w:val="clear" w:color="auto" w:fill="FFFFFF"/>
              </w:rPr>
              <w:t xml:space="preserve"> cu </w:t>
            </w:r>
            <w:proofErr w:type="spellStart"/>
            <w:r w:rsidRPr="00DD71BD">
              <w:rPr>
                <w:rFonts w:ascii="Times New Roman" w:eastAsia="Arial Unicode MS" w:hAnsi="Times New Roman"/>
                <w:color w:val="000000" w:themeColor="text1"/>
                <w:sz w:val="20"/>
                <w:szCs w:val="20"/>
                <w:shd w:val="clear" w:color="auto" w:fill="FFFFFF"/>
              </w:rPr>
              <w:t>aceeași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aeronavă</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fi </w:t>
            </w:r>
            <w:proofErr w:type="spellStart"/>
            <w:r w:rsidRPr="00DD71BD">
              <w:rPr>
                <w:rFonts w:ascii="Times New Roman" w:eastAsia="Arial Unicode MS" w:hAnsi="Times New Roman"/>
                <w:color w:val="000000" w:themeColor="text1"/>
                <w:sz w:val="20"/>
                <w:szCs w:val="20"/>
                <w:shd w:val="clear" w:color="auto" w:fill="FFFFFF"/>
              </w:rPr>
              <w:t>fost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necesare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îndeplinirea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activităților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umanitare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medicale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stingere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incendiilor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aferente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repoziționarea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aeronavei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după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îndeplinirea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activităților</w:t>
            </w:r>
            <w:proofErr w:type="spellEnd"/>
            <w:r w:rsidRPr="00DD71BD">
              <w:rPr>
                <w:rFonts w:ascii="Times New Roman" w:eastAsia="Arial Unicode MS" w:hAnsi="Times New Roman"/>
                <w:color w:val="000000" w:themeColor="text1"/>
                <w:sz w:val="20"/>
                <w:szCs w:val="20"/>
                <w:shd w:val="clear" w:color="auto" w:fill="FFFFFF"/>
              </w:rPr>
              <w:t xml:space="preserve"> respective în </w:t>
            </w:r>
            <w:proofErr w:type="spellStart"/>
            <w:r w:rsidRPr="00DD71BD">
              <w:rPr>
                <w:rFonts w:ascii="Times New Roman" w:eastAsia="Arial Unicode MS" w:hAnsi="Times New Roman"/>
                <w:color w:val="000000" w:themeColor="text1"/>
                <w:sz w:val="20"/>
                <w:szCs w:val="20"/>
                <w:shd w:val="clear" w:color="auto" w:fill="FFFFFF"/>
              </w:rPr>
              <w:t>vederea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următoarei</w:t>
            </w:r>
            <w:proofErr w:type="spellEnd"/>
            <w:r w:rsidRPr="00DD71BD">
              <w:rPr>
                <w:rFonts w:ascii="Times New Roman" w:eastAsia="Arial Unicode MS" w:hAnsi="Times New Roman"/>
                <w:color w:val="000000" w:themeColor="text1"/>
                <w:sz w:val="20"/>
                <w:szCs w:val="20"/>
                <w:shd w:val="clear" w:color="auto" w:fill="FFFFFF"/>
              </w:rPr>
              <w:t xml:space="preserve"> sale </w:t>
            </w:r>
            <w:proofErr w:type="spellStart"/>
            <w:r w:rsidRPr="00DD71BD">
              <w:rPr>
                <w:rFonts w:ascii="Times New Roman" w:eastAsia="Arial Unicode MS" w:hAnsi="Times New Roman"/>
                <w:color w:val="000000" w:themeColor="text1"/>
                <w:sz w:val="20"/>
                <w:szCs w:val="20"/>
                <w:shd w:val="clear" w:color="auto" w:fill="FFFFFF"/>
              </w:rPr>
              <w:t>activități</w:t>
            </w:r>
            <w:proofErr w:type="spellEnd"/>
            <w:r w:rsidRPr="00DD71BD">
              <w:rPr>
                <w:rFonts w:ascii="Times New Roman" w:eastAsia="Arial Unicode MS" w:hAnsi="Times New Roman"/>
                <w:color w:val="000000" w:themeColor="text1"/>
                <w:sz w:val="20"/>
                <w:szCs w:val="20"/>
                <w:shd w:val="clear" w:color="auto" w:fill="FFFFFF"/>
              </w:rPr>
              <w:t>.</w:t>
            </w:r>
          </w:p>
          <w:p w14:paraId="33C51FF5" w14:textId="77777777" w:rsidR="00124364" w:rsidRPr="00DD71BD" w:rsidRDefault="00000000" w:rsidP="00DD71BD">
            <w:pPr>
              <w:suppressAutoHyphens w:val="0"/>
              <w:autoSpaceDN/>
              <w:spacing w:after="0" w:line="240" w:lineRule="auto"/>
              <w:jc w:val="both"/>
              <w:textAlignment w:val="auto"/>
              <w:rPr>
                <w:rFonts w:ascii="Times New Roman" w:hAnsi="Times New Roman"/>
                <w:color w:val="000000" w:themeColor="text1"/>
                <w:sz w:val="20"/>
                <w:szCs w:val="20"/>
                <w:lang w:val="en-US"/>
              </w:rPr>
            </w:pPr>
            <w:hyperlink r:id="rId220" w:tooltip="32023D0136: INSERTED" w:history="1">
              <w:r w:rsidRPr="00DD71BD">
                <w:rPr>
                  <w:rStyle w:val="af3"/>
                  <w:rFonts w:ascii="Times New Roman" w:eastAsia="Arial Unicode MS" w:hAnsi="Times New Roman"/>
                  <w:b/>
                  <w:bCs/>
                  <w:color w:val="000000" w:themeColor="text1"/>
                  <w:sz w:val="20"/>
                  <w:szCs w:val="20"/>
                </w:rPr>
                <w:t>▼M12</w:t>
              </w:r>
            </w:hyperlink>
          </w:p>
          <w:p w14:paraId="2C67C1F0" w14:textId="252B9E23"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intrarea</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vigoare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unui</w:t>
            </w:r>
            <w:proofErr w:type="spellEnd"/>
            <w:r w:rsidRPr="00DD71BD">
              <w:rPr>
                <w:rFonts w:ascii="Times New Roman" w:eastAsia="Arial Unicode MS" w:hAnsi="Times New Roman"/>
                <w:color w:val="000000" w:themeColor="text1"/>
                <w:sz w:val="20"/>
                <w:szCs w:val="20"/>
                <w:shd w:val="clear" w:color="auto" w:fill="FFFFFF"/>
              </w:rPr>
              <w:t xml:space="preserve"> act </w:t>
            </w:r>
            <w:proofErr w:type="spellStart"/>
            <w:r w:rsidRPr="00DD71BD">
              <w:rPr>
                <w:rFonts w:ascii="Times New Roman" w:eastAsia="Arial Unicode MS" w:hAnsi="Times New Roman"/>
                <w:color w:val="000000" w:themeColor="text1"/>
                <w:sz w:val="20"/>
                <w:szCs w:val="20"/>
                <w:shd w:val="clear" w:color="auto" w:fill="FFFFFF"/>
              </w:rPr>
              <w:t>legislativ</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modificare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prezentei</w:t>
            </w:r>
            <w:proofErr w:type="spellEnd"/>
            <w:r w:rsidRPr="00DD71BD">
              <w:rPr>
                <w:rFonts w:ascii="Times New Roman" w:eastAsia="Arial Unicode MS" w:hAnsi="Times New Roman"/>
                <w:color w:val="000000" w:themeColor="text1"/>
                <w:sz w:val="20"/>
                <w:szCs w:val="20"/>
                <w:shd w:val="clear" w:color="auto" w:fill="FFFFFF"/>
              </w:rPr>
              <w:t xml:space="preserve"> directive în </w:t>
            </w:r>
            <w:proofErr w:type="spellStart"/>
            <w:r w:rsidRPr="00DD71BD">
              <w:rPr>
                <w:rFonts w:ascii="Times New Roman" w:eastAsia="Arial Unicode MS" w:hAnsi="Times New Roman"/>
                <w:color w:val="000000" w:themeColor="text1"/>
                <w:sz w:val="20"/>
                <w:szCs w:val="20"/>
                <w:shd w:val="clear" w:color="auto" w:fill="FFFFFF"/>
              </w:rPr>
              <w:t>ceea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privește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contribuția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sectorului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aviației</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obiectivul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Uniunii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reducere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emisiilor</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nivelul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întregii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economii</w:t>
            </w:r>
            <w:proofErr w:type="spellEnd"/>
            <w:r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lastRenderedPageBreak/>
              <w:t xml:space="preserve">și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în mod </w:t>
            </w:r>
            <w:proofErr w:type="spellStart"/>
            <w:r w:rsidRPr="00DD71BD">
              <w:rPr>
                <w:rFonts w:ascii="Times New Roman" w:eastAsia="Arial Unicode MS" w:hAnsi="Times New Roman"/>
                <w:color w:val="000000" w:themeColor="text1"/>
                <w:sz w:val="20"/>
                <w:szCs w:val="20"/>
                <w:shd w:val="clear" w:color="auto" w:fill="FFFFFF"/>
              </w:rPr>
              <w:t>corespunzător</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unei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măsuri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globale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bazate</w:t>
            </w:r>
            <w:proofErr w:type="spellEnd"/>
            <w:r w:rsidRPr="00DD71BD">
              <w:rPr>
                <w:rFonts w:ascii="Times New Roman" w:eastAsia="Arial Unicode MS" w:hAnsi="Times New Roman"/>
                <w:color w:val="000000" w:themeColor="text1"/>
                <w:sz w:val="20"/>
                <w:szCs w:val="20"/>
                <w:shd w:val="clear" w:color="auto" w:fill="FFFFFF"/>
              </w:rPr>
              <w:t xml:space="preserve"> pe </w:t>
            </w:r>
            <w:proofErr w:type="spellStart"/>
            <w:r w:rsidRPr="00DD71BD">
              <w:rPr>
                <w:rFonts w:ascii="Times New Roman" w:eastAsia="Arial Unicode MS" w:hAnsi="Times New Roman"/>
                <w:color w:val="000000" w:themeColor="text1"/>
                <w:sz w:val="20"/>
                <w:szCs w:val="20"/>
                <w:shd w:val="clear" w:color="auto" w:fill="FFFFFF"/>
              </w:rPr>
              <w:t>piață</w:t>
            </w:r>
            <w:proofErr w:type="spellEnd"/>
            <w:r w:rsidRPr="00DD71BD">
              <w:rPr>
                <w:rFonts w:ascii="Times New Roman" w:eastAsia="Arial Unicode MS" w:hAnsi="Times New Roman"/>
                <w:color w:val="000000" w:themeColor="text1"/>
                <w:sz w:val="20"/>
                <w:szCs w:val="20"/>
                <w:shd w:val="clear" w:color="auto" w:fill="FFFFFF"/>
              </w:rPr>
              <w:t xml:space="preserve"> și în </w:t>
            </w:r>
            <w:proofErr w:type="spellStart"/>
            <w:r w:rsidRPr="00DD71BD">
              <w:rPr>
                <w:rFonts w:ascii="Times New Roman" w:eastAsia="Arial Unicode MS" w:hAnsi="Times New Roman"/>
                <w:color w:val="000000" w:themeColor="text1"/>
                <w:sz w:val="20"/>
                <w:szCs w:val="20"/>
                <w:shd w:val="clear" w:color="auto" w:fill="FFFFFF"/>
              </w:rPr>
              <w:t>cazul</w:t>
            </w:r>
            <w:proofErr w:type="spellEnd"/>
            <w:r w:rsidRPr="00DD71BD">
              <w:rPr>
                <w:rFonts w:ascii="Times New Roman" w:eastAsia="Arial Unicode MS" w:hAnsi="Times New Roman"/>
                <w:color w:val="000000" w:themeColor="text1"/>
                <w:sz w:val="20"/>
                <w:szCs w:val="20"/>
                <w:shd w:val="clear" w:color="auto" w:fill="FFFFFF"/>
              </w:rPr>
              <w:t xml:space="preserve"> în care perioada de </w:t>
            </w:r>
            <w:proofErr w:type="spellStart"/>
            <w:r w:rsidRPr="00DD71BD">
              <w:rPr>
                <w:rFonts w:ascii="Times New Roman" w:eastAsia="Arial Unicode MS" w:hAnsi="Times New Roman"/>
                <w:color w:val="000000" w:themeColor="text1"/>
                <w:sz w:val="20"/>
                <w:szCs w:val="20"/>
                <w:shd w:val="clear" w:color="auto" w:fill="FFFFFF"/>
              </w:rPr>
              <w:t>transpunere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unui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de act </w:t>
            </w:r>
            <w:proofErr w:type="spellStart"/>
            <w:r w:rsidRPr="00DD71BD">
              <w:rPr>
                <w:rFonts w:ascii="Times New Roman" w:eastAsia="Arial Unicode MS" w:hAnsi="Times New Roman"/>
                <w:color w:val="000000" w:themeColor="text1"/>
                <w:sz w:val="20"/>
                <w:szCs w:val="20"/>
                <w:shd w:val="clear" w:color="auto" w:fill="FFFFFF"/>
              </w:rPr>
              <w:t>legislativ</w:t>
            </w:r>
            <w:proofErr w:type="spellEnd"/>
            <w:r w:rsidRPr="00DD71BD">
              <w:rPr>
                <w:rFonts w:ascii="Times New Roman" w:eastAsia="Arial Unicode MS" w:hAnsi="Times New Roman"/>
                <w:color w:val="000000" w:themeColor="text1"/>
                <w:sz w:val="20"/>
                <w:szCs w:val="20"/>
                <w:shd w:val="clear" w:color="auto" w:fill="FFFFFF"/>
              </w:rPr>
              <w:t xml:space="preserve"> nu a </w:t>
            </w:r>
            <w:proofErr w:type="spellStart"/>
            <w:r w:rsidRPr="00DD71BD">
              <w:rPr>
                <w:rFonts w:ascii="Times New Roman" w:eastAsia="Arial Unicode MS" w:hAnsi="Times New Roman"/>
                <w:color w:val="000000" w:themeColor="text1"/>
                <w:sz w:val="20"/>
                <w:szCs w:val="20"/>
                <w:shd w:val="clear" w:color="auto" w:fill="FFFFFF"/>
              </w:rPr>
              <w:t>expirat</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30 </w:t>
            </w:r>
            <w:proofErr w:type="spellStart"/>
            <w:r w:rsidRPr="00DD71BD">
              <w:rPr>
                <w:rFonts w:ascii="Times New Roman" w:eastAsia="Arial Unicode MS" w:hAnsi="Times New Roman"/>
                <w:color w:val="000000" w:themeColor="text1"/>
                <w:sz w:val="20"/>
                <w:szCs w:val="20"/>
                <w:shd w:val="clear" w:color="auto" w:fill="FFFFFF"/>
              </w:rPr>
              <w:t>noiembrie</w:t>
            </w:r>
            <w:proofErr w:type="spellEnd"/>
            <w:r w:rsidRPr="00DD71BD">
              <w:rPr>
                <w:rFonts w:ascii="Times New Roman" w:eastAsia="Arial Unicode MS" w:hAnsi="Times New Roman"/>
                <w:color w:val="000000" w:themeColor="text1"/>
                <w:sz w:val="20"/>
                <w:szCs w:val="20"/>
                <w:shd w:val="clear" w:color="auto" w:fill="FFFFFF"/>
              </w:rPr>
              <w:t xml:space="preserve"> 2023, </w:t>
            </w:r>
            <w:proofErr w:type="spellStart"/>
            <w:r w:rsidRPr="00DD71BD">
              <w:rPr>
                <w:rFonts w:ascii="Times New Roman" w:eastAsia="Arial Unicode MS" w:hAnsi="Times New Roman"/>
                <w:color w:val="000000" w:themeColor="text1"/>
                <w:sz w:val="20"/>
                <w:szCs w:val="20"/>
                <w:shd w:val="clear" w:color="auto" w:fill="FFFFFF"/>
              </w:rPr>
              <w:t>iar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factorul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creștere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sectorială</w:t>
            </w:r>
            <w:proofErr w:type="spellEnd"/>
            <w:r w:rsidRPr="00DD71BD">
              <w:rPr>
                <w:rFonts w:ascii="Times New Roman" w:eastAsia="Arial Unicode MS" w:hAnsi="Times New Roman"/>
                <w:color w:val="000000" w:themeColor="text1"/>
                <w:sz w:val="20"/>
                <w:szCs w:val="20"/>
                <w:shd w:val="clear" w:color="auto" w:fill="FFFFFF"/>
              </w:rPr>
              <w:t xml:space="preserve"> (SGF)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din 2022, care </w:t>
            </w:r>
            <w:proofErr w:type="spellStart"/>
            <w:r w:rsidRPr="00DD71BD">
              <w:rPr>
                <w:rFonts w:ascii="Times New Roman" w:eastAsia="Arial Unicode MS" w:hAnsi="Times New Roman"/>
                <w:color w:val="000000" w:themeColor="text1"/>
                <w:sz w:val="20"/>
                <w:szCs w:val="20"/>
                <w:shd w:val="clear" w:color="auto" w:fill="FFFFFF"/>
              </w:rPr>
              <w:t>urmează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fie </w:t>
            </w:r>
            <w:proofErr w:type="spellStart"/>
            <w:r w:rsidRPr="00DD71BD">
              <w:rPr>
                <w:rFonts w:ascii="Times New Roman" w:eastAsia="Arial Unicode MS" w:hAnsi="Times New Roman"/>
                <w:color w:val="000000" w:themeColor="text1"/>
                <w:sz w:val="20"/>
                <w:szCs w:val="20"/>
                <w:shd w:val="clear" w:color="auto" w:fill="FFFFFF"/>
              </w:rPr>
              <w:t>publicat</w:t>
            </w:r>
            <w:proofErr w:type="spellEnd"/>
            <w:r w:rsidRPr="00DD71BD">
              <w:rPr>
                <w:rFonts w:ascii="Times New Roman" w:eastAsia="Arial Unicode MS" w:hAnsi="Times New Roman"/>
                <w:color w:val="000000" w:themeColor="text1"/>
                <w:sz w:val="20"/>
                <w:szCs w:val="20"/>
                <w:shd w:val="clear" w:color="auto" w:fill="FFFFFF"/>
              </w:rPr>
              <w:t xml:space="preserve"> de OACI, </w:t>
            </w:r>
            <w:proofErr w:type="spellStart"/>
            <w:r w:rsidRPr="00DD71BD">
              <w:rPr>
                <w:rFonts w:ascii="Times New Roman" w:eastAsia="Arial Unicode MS" w:hAnsi="Times New Roman"/>
                <w:color w:val="000000" w:themeColor="text1"/>
                <w:sz w:val="20"/>
                <w:szCs w:val="20"/>
                <w:shd w:val="clear" w:color="auto" w:fill="FFFFFF"/>
              </w:rPr>
              <w:t>este</w:t>
            </w:r>
            <w:proofErr w:type="spellEnd"/>
            <w:r w:rsidRPr="00DD71BD">
              <w:rPr>
                <w:rFonts w:ascii="Times New Roman" w:eastAsia="Arial Unicode MS" w:hAnsi="Times New Roman"/>
                <w:color w:val="000000" w:themeColor="text1"/>
                <w:sz w:val="20"/>
                <w:szCs w:val="20"/>
                <w:shd w:val="clear" w:color="auto" w:fill="FFFFFF"/>
              </w:rPr>
              <w:t xml:space="preserve"> egal cu zero,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notifică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operatorilor</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30</w:t>
            </w:r>
            <w:r w:rsidR="00DD71BD"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noiembrie</w:t>
            </w:r>
            <w:proofErr w:type="spellEnd"/>
            <w:r w:rsidRPr="00DD71BD">
              <w:rPr>
                <w:rFonts w:ascii="Times New Roman" w:eastAsia="Arial Unicode MS" w:hAnsi="Times New Roman"/>
                <w:color w:val="000000" w:themeColor="text1"/>
                <w:sz w:val="20"/>
                <w:szCs w:val="20"/>
                <w:shd w:val="clear" w:color="auto" w:fill="FFFFFF"/>
              </w:rPr>
              <w:t xml:space="preserve"> 2023, </w:t>
            </w:r>
            <w:proofErr w:type="spellStart"/>
            <w:r w:rsidRPr="00DD71BD">
              <w:rPr>
                <w:rFonts w:ascii="Times New Roman" w:eastAsia="Arial Unicode MS" w:hAnsi="Times New Roman"/>
                <w:color w:val="000000" w:themeColor="text1"/>
                <w:sz w:val="20"/>
                <w:szCs w:val="20"/>
                <w:shd w:val="clear" w:color="auto" w:fill="FFFFFF"/>
              </w:rPr>
              <w:t>faptul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anul 2022, </w:t>
            </w:r>
            <w:proofErr w:type="spellStart"/>
            <w:r w:rsidRPr="00DD71BD">
              <w:rPr>
                <w:rFonts w:ascii="Times New Roman" w:eastAsia="Arial Unicode MS" w:hAnsi="Times New Roman"/>
                <w:color w:val="000000" w:themeColor="text1"/>
                <w:sz w:val="20"/>
                <w:szCs w:val="20"/>
                <w:shd w:val="clear" w:color="auto" w:fill="FFFFFF"/>
              </w:rPr>
              <w:t>cerințele</w:t>
            </w:r>
            <w:proofErr w:type="spellEnd"/>
            <w:r w:rsidRPr="00DD71BD">
              <w:rPr>
                <w:rFonts w:ascii="Times New Roman" w:eastAsia="Arial Unicode MS" w:hAnsi="Times New Roman"/>
                <w:color w:val="000000" w:themeColor="text1"/>
                <w:sz w:val="20"/>
                <w:szCs w:val="20"/>
                <w:shd w:val="clear" w:color="auto" w:fill="FFFFFF"/>
              </w:rPr>
              <w:t xml:space="preserve"> lor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înțelesul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punctului</w:t>
            </w:r>
            <w:proofErr w:type="spellEnd"/>
            <w:r w:rsidRPr="00DD71BD">
              <w:rPr>
                <w:rFonts w:ascii="Times New Roman" w:eastAsia="Arial Unicode MS" w:hAnsi="Times New Roman"/>
                <w:color w:val="000000" w:themeColor="text1"/>
                <w:sz w:val="20"/>
                <w:szCs w:val="20"/>
                <w:shd w:val="clear" w:color="auto" w:fill="FFFFFF"/>
              </w:rPr>
              <w:t xml:space="preserve"> 3.2.1 din </w:t>
            </w:r>
            <w:proofErr w:type="spellStart"/>
            <w:r w:rsidRPr="00DD71BD">
              <w:rPr>
                <w:rFonts w:ascii="Times New Roman" w:eastAsia="Arial Unicode MS" w:hAnsi="Times New Roman"/>
                <w:color w:val="000000" w:themeColor="text1"/>
                <w:sz w:val="20"/>
                <w:szCs w:val="20"/>
                <w:shd w:val="clear" w:color="auto" w:fill="FFFFFF"/>
              </w:rPr>
              <w:t>standardele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practicile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recomandate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CORSIA ale OACI, sunt </w:t>
            </w:r>
            <w:proofErr w:type="spellStart"/>
            <w:r w:rsidRPr="00DD71BD">
              <w:rPr>
                <w:rFonts w:ascii="Times New Roman" w:eastAsia="Arial Unicode MS" w:hAnsi="Times New Roman"/>
                <w:color w:val="000000" w:themeColor="text1"/>
                <w:sz w:val="20"/>
                <w:szCs w:val="20"/>
                <w:shd w:val="clear" w:color="auto" w:fill="FFFFFF"/>
              </w:rPr>
              <w:t>egale</w:t>
            </w:r>
            <w:proofErr w:type="spellEnd"/>
            <w:r w:rsidRPr="00DD71BD">
              <w:rPr>
                <w:rFonts w:ascii="Times New Roman" w:eastAsia="Arial Unicode MS" w:hAnsi="Times New Roman"/>
                <w:color w:val="000000" w:themeColor="text1"/>
                <w:sz w:val="20"/>
                <w:szCs w:val="20"/>
                <w:shd w:val="clear" w:color="auto" w:fill="FFFFFF"/>
              </w:rPr>
              <w:t xml:space="preserve"> cu zero.</w:t>
            </w:r>
          </w:p>
          <w:p w14:paraId="2387D60D" w14:textId="77777777" w:rsidR="00124364" w:rsidRDefault="00000000">
            <w:pPr>
              <w:pStyle w:val="af8"/>
              <w:suppressAutoHyphens w:val="0"/>
              <w:autoSpaceDN/>
              <w:spacing w:after="0" w:line="240" w:lineRule="auto"/>
              <w:textAlignment w:val="auto"/>
              <w:rPr>
                <w:rFonts w:ascii="Times New Roman" w:hAnsi="Times New Roman"/>
                <w:color w:val="4472C4" w:themeColor="accent1"/>
                <w:sz w:val="20"/>
                <w:szCs w:val="20"/>
              </w:rPr>
            </w:pPr>
            <w:hyperlink r:id="rId221" w:tooltip="32023L0958: INSERTED" w:history="1">
              <w:r>
                <w:rPr>
                  <w:rStyle w:val="af3"/>
                  <w:rFonts w:ascii="Times New Roman" w:eastAsia="Arial Unicode MS" w:hAnsi="Times New Roman"/>
                  <w:b/>
                  <w:bCs/>
                  <w:color w:val="4472C4" w:themeColor="accent1"/>
                  <w:sz w:val="20"/>
                  <w:szCs w:val="20"/>
                </w:rPr>
                <w:t>▼M14</w:t>
              </w:r>
            </w:hyperlink>
          </w:p>
          <w:p w14:paraId="2D2B7D9A" w14:textId="177FAD48"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D71BD">
              <w:rPr>
                <w:rFonts w:ascii="Times New Roman" w:eastAsia="Arial Unicode MS" w:hAnsi="Times New Roman"/>
                <w:color w:val="000000" w:themeColor="text1"/>
                <w:sz w:val="20"/>
                <w:szCs w:val="20"/>
                <w:shd w:val="clear" w:color="auto" w:fill="FFFFFF"/>
              </w:rPr>
              <w:t>Calcularea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cerințelor</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menționate</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(6)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sensul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schemei</w:t>
            </w:r>
            <w:proofErr w:type="spellEnd"/>
            <w:r w:rsidRPr="00DD71BD">
              <w:rPr>
                <w:rFonts w:ascii="Times New Roman" w:eastAsia="Arial Unicode MS" w:hAnsi="Times New Roman"/>
                <w:color w:val="000000" w:themeColor="text1"/>
                <w:sz w:val="20"/>
                <w:szCs w:val="20"/>
                <w:shd w:val="clear" w:color="auto" w:fill="FFFFFF"/>
              </w:rPr>
              <w:t xml:space="preserve"> CORSIA se efectuează pe </w:t>
            </w:r>
            <w:proofErr w:type="spellStart"/>
            <w:r w:rsidRPr="00DD71BD">
              <w:rPr>
                <w:rFonts w:ascii="Times New Roman" w:eastAsia="Arial Unicode MS" w:hAnsi="Times New Roman"/>
                <w:color w:val="000000" w:themeColor="text1"/>
                <w:sz w:val="20"/>
                <w:szCs w:val="20"/>
                <w:shd w:val="clear" w:color="auto" w:fill="FFFFFF"/>
              </w:rPr>
              <w:t>baza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unei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metodologii</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urmează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să</w:t>
            </w:r>
            <w:proofErr w:type="spellEnd"/>
            <w:r w:rsidRPr="00DD71BD">
              <w:rPr>
                <w:rFonts w:ascii="Times New Roman" w:eastAsia="Arial Unicode MS" w:hAnsi="Times New Roman"/>
                <w:color w:val="000000" w:themeColor="text1"/>
                <w:sz w:val="20"/>
                <w:szCs w:val="20"/>
                <w:shd w:val="clear" w:color="auto" w:fill="FFFFFF"/>
              </w:rPr>
              <w:t xml:space="preserve"> fie </w:t>
            </w:r>
            <w:proofErr w:type="spellStart"/>
            <w:r w:rsidRPr="00DD71BD">
              <w:rPr>
                <w:rFonts w:ascii="Times New Roman" w:eastAsia="Arial Unicode MS" w:hAnsi="Times New Roman"/>
                <w:color w:val="000000" w:themeColor="text1"/>
                <w:sz w:val="20"/>
                <w:szCs w:val="20"/>
                <w:shd w:val="clear" w:color="auto" w:fill="FFFFFF"/>
              </w:rPr>
              <w:t>stabilită</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Comisie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zborurile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înspre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dinspre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dintre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care sunt enumerate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adoptat</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temeiul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25a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(3), precum și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zborurile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dintre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Elveția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Regatul</w:t>
            </w:r>
            <w:proofErr w:type="spellEnd"/>
            <w:r w:rsidRPr="00DD71BD">
              <w:rPr>
                <w:rFonts w:ascii="Times New Roman" w:eastAsia="Arial Unicode MS" w:hAnsi="Times New Roman"/>
                <w:color w:val="000000" w:themeColor="text1"/>
                <w:sz w:val="20"/>
                <w:szCs w:val="20"/>
                <w:shd w:val="clear" w:color="auto" w:fill="FFFFFF"/>
              </w:rPr>
              <w:t xml:space="preserve"> Unit și </w:t>
            </w:r>
            <w:proofErr w:type="spellStart"/>
            <w:r w:rsidRPr="00DD71BD">
              <w:rPr>
                <w:rFonts w:ascii="Times New Roman" w:eastAsia="Arial Unicode MS" w:hAnsi="Times New Roman"/>
                <w:color w:val="000000" w:themeColor="text1"/>
                <w:sz w:val="20"/>
                <w:szCs w:val="20"/>
                <w:shd w:val="clear" w:color="auto" w:fill="FFFFFF"/>
              </w:rPr>
              <w:t>statele</w:t>
            </w:r>
            <w:proofErr w:type="spellEnd"/>
            <w:r w:rsidRPr="00DD71BD">
              <w:rPr>
                <w:rFonts w:ascii="Times New Roman" w:eastAsia="Arial Unicode MS" w:hAnsi="Times New Roman"/>
                <w:color w:val="000000" w:themeColor="text1"/>
                <w:sz w:val="20"/>
                <w:szCs w:val="20"/>
                <w:shd w:val="clear" w:color="auto" w:fill="FFFFFF"/>
              </w:rPr>
              <w:t xml:space="preserve"> care sunt enumerate în </w:t>
            </w:r>
            <w:proofErr w:type="spellStart"/>
            <w:r w:rsidRPr="00DD71BD">
              <w:rPr>
                <w:rFonts w:ascii="Times New Roman" w:eastAsia="Arial Unicode MS" w:hAnsi="Times New Roman"/>
                <w:color w:val="000000" w:themeColor="text1"/>
                <w:sz w:val="20"/>
                <w:szCs w:val="20"/>
                <w:shd w:val="clear" w:color="auto" w:fill="FFFFFF"/>
              </w:rPr>
              <w:t>actul</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adoptat</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temeiul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articolului</w:t>
            </w:r>
            <w:proofErr w:type="spellEnd"/>
            <w:r w:rsid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25a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(3).</w:t>
            </w:r>
          </w:p>
          <w:p w14:paraId="787E3E5B" w14:textId="77777777"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D71BD">
              <w:rPr>
                <w:rFonts w:ascii="Times New Roman" w:eastAsia="Arial Unicode MS" w:hAnsi="Times New Roman"/>
                <w:color w:val="000000" w:themeColor="text1"/>
                <w:sz w:val="20"/>
                <w:szCs w:val="20"/>
                <w:shd w:val="clear" w:color="auto" w:fill="FFFFFF"/>
              </w:rPr>
              <w:t>Comisia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adoptă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acte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preciza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metodologia</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calculare</w:t>
            </w:r>
            <w:proofErr w:type="spellEnd"/>
            <w:r w:rsidRPr="00DD71BD">
              <w:rPr>
                <w:rFonts w:ascii="Times New Roman" w:eastAsia="Arial Unicode MS" w:hAnsi="Times New Roman"/>
                <w:color w:val="000000" w:themeColor="text1"/>
                <w:sz w:val="20"/>
                <w:szCs w:val="20"/>
                <w:shd w:val="clear" w:color="auto" w:fill="FFFFFF"/>
              </w:rPr>
              <w:t xml:space="preserve"> a </w:t>
            </w:r>
            <w:proofErr w:type="spellStart"/>
            <w:r w:rsidRPr="00DD71BD">
              <w:rPr>
                <w:rFonts w:ascii="Times New Roman" w:eastAsia="Arial Unicode MS" w:hAnsi="Times New Roman"/>
                <w:color w:val="000000" w:themeColor="text1"/>
                <w:sz w:val="20"/>
                <w:szCs w:val="20"/>
                <w:shd w:val="clear" w:color="auto" w:fill="FFFFFF"/>
              </w:rPr>
              <w:t>cerințelor</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compensare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menționați</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primul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paragraf</w:t>
            </w:r>
            <w:proofErr w:type="spellEnd"/>
            <w:r w:rsidRPr="00DD71BD">
              <w:rPr>
                <w:rFonts w:ascii="Times New Roman" w:eastAsia="Arial Unicode MS" w:hAnsi="Times New Roman"/>
                <w:color w:val="000000" w:themeColor="text1"/>
                <w:sz w:val="20"/>
                <w:szCs w:val="20"/>
                <w:shd w:val="clear" w:color="auto" w:fill="FFFFFF"/>
              </w:rPr>
              <w:t xml:space="preserve"> de la </w:t>
            </w:r>
            <w:proofErr w:type="spellStart"/>
            <w:r w:rsidRPr="00DD71BD">
              <w:rPr>
                <w:rFonts w:ascii="Times New Roman" w:eastAsia="Arial Unicode MS" w:hAnsi="Times New Roman"/>
                <w:color w:val="000000" w:themeColor="text1"/>
                <w:sz w:val="20"/>
                <w:szCs w:val="20"/>
                <w:shd w:val="clear" w:color="auto" w:fill="FFFFFF"/>
              </w:rPr>
              <w:t>prezentul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alineat</w:t>
            </w:r>
            <w:proofErr w:type="spellEnd"/>
            <w:r w:rsidRPr="00DD71BD">
              <w:rPr>
                <w:rFonts w:ascii="Times New Roman" w:eastAsia="Arial Unicode MS" w:hAnsi="Times New Roman"/>
                <w:color w:val="000000" w:themeColor="text1"/>
                <w:sz w:val="20"/>
                <w:szCs w:val="20"/>
                <w:shd w:val="clear" w:color="auto" w:fill="FFFFFF"/>
              </w:rPr>
              <w:t>.</w:t>
            </w:r>
          </w:p>
          <w:p w14:paraId="1E2B18DB" w14:textId="2EF7CEAE"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D71BD">
              <w:rPr>
                <w:rFonts w:ascii="Times New Roman" w:eastAsia="Arial Unicode MS" w:hAnsi="Times New Roman"/>
                <w:color w:val="000000" w:themeColor="text1"/>
                <w:sz w:val="20"/>
                <w:szCs w:val="20"/>
                <w:shd w:val="clear" w:color="auto" w:fill="FFFFFF"/>
              </w:rPr>
              <w:t>Actele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respective </w:t>
            </w:r>
            <w:proofErr w:type="spellStart"/>
            <w:r w:rsidRPr="00DD71BD">
              <w:rPr>
                <w:rFonts w:ascii="Times New Roman" w:eastAsia="Arial Unicode MS" w:hAnsi="Times New Roman"/>
                <w:color w:val="000000" w:themeColor="text1"/>
                <w:sz w:val="20"/>
                <w:szCs w:val="20"/>
                <w:shd w:val="clear" w:color="auto" w:fill="FFFFFF"/>
              </w:rPr>
              <w:t>detaliază</w:t>
            </w:r>
            <w:proofErr w:type="spellEnd"/>
            <w:r w:rsidRPr="00DD71BD">
              <w:rPr>
                <w:rFonts w:ascii="Times New Roman" w:eastAsia="Arial Unicode MS" w:hAnsi="Times New Roman"/>
                <w:color w:val="000000" w:themeColor="text1"/>
                <w:sz w:val="20"/>
                <w:szCs w:val="20"/>
                <w:shd w:val="clear" w:color="auto" w:fill="FFFFFF"/>
              </w:rPr>
              <w:t xml:space="preserve"> în special </w:t>
            </w:r>
            <w:proofErr w:type="spellStart"/>
            <w:r w:rsidRPr="00DD71BD">
              <w:rPr>
                <w:rFonts w:ascii="Times New Roman" w:eastAsia="Arial Unicode MS" w:hAnsi="Times New Roman"/>
                <w:color w:val="000000" w:themeColor="text1"/>
                <w:sz w:val="20"/>
                <w:szCs w:val="20"/>
                <w:shd w:val="clear" w:color="auto" w:fill="FFFFFF"/>
              </w:rPr>
              <w:t>aplicarea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cerințelor</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decurg</w:t>
            </w:r>
            <w:proofErr w:type="spellEnd"/>
            <w:r w:rsidRPr="00DD71BD">
              <w:rPr>
                <w:rFonts w:ascii="Times New Roman" w:eastAsia="Arial Unicode MS" w:hAnsi="Times New Roman"/>
                <w:color w:val="000000" w:themeColor="text1"/>
                <w:sz w:val="20"/>
                <w:szCs w:val="20"/>
                <w:shd w:val="clear" w:color="auto" w:fill="FFFFFF"/>
              </w:rPr>
              <w:t xml:space="preserve"> din </w:t>
            </w:r>
            <w:proofErr w:type="spellStart"/>
            <w:r w:rsidRPr="00DD71BD">
              <w:rPr>
                <w:rFonts w:ascii="Times New Roman" w:eastAsia="Arial Unicode MS" w:hAnsi="Times New Roman"/>
                <w:color w:val="000000" w:themeColor="text1"/>
                <w:sz w:val="20"/>
                <w:szCs w:val="20"/>
                <w:shd w:val="clear" w:color="auto" w:fill="FFFFFF"/>
              </w:rPr>
              <w:t>dispozițiile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relevante</w:t>
            </w:r>
            <w:proofErr w:type="spellEnd"/>
            <w:r w:rsidRPr="00DD71BD">
              <w:rPr>
                <w:rFonts w:ascii="Times New Roman" w:eastAsia="Arial Unicode MS" w:hAnsi="Times New Roman"/>
                <w:color w:val="000000" w:themeColor="text1"/>
                <w:sz w:val="20"/>
                <w:szCs w:val="20"/>
                <w:shd w:val="clear" w:color="auto" w:fill="FFFFFF"/>
              </w:rPr>
              <w:t xml:space="preserve"> ale </w:t>
            </w:r>
            <w:proofErr w:type="spellStart"/>
            <w:r w:rsidRPr="00DD71BD">
              <w:rPr>
                <w:rFonts w:ascii="Times New Roman" w:eastAsia="Arial Unicode MS" w:hAnsi="Times New Roman"/>
                <w:color w:val="000000" w:themeColor="text1"/>
                <w:sz w:val="20"/>
                <w:szCs w:val="20"/>
                <w:shd w:val="clear" w:color="auto" w:fill="FFFFFF"/>
              </w:rPr>
              <w:t>prezentei</w:t>
            </w:r>
            <w:proofErr w:type="spellEnd"/>
            <w:r w:rsidRPr="00DD71BD">
              <w:rPr>
                <w:rFonts w:ascii="Times New Roman" w:eastAsia="Arial Unicode MS" w:hAnsi="Times New Roman"/>
                <w:color w:val="000000" w:themeColor="text1"/>
                <w:sz w:val="20"/>
                <w:szCs w:val="20"/>
                <w:shd w:val="clear" w:color="auto" w:fill="FFFFFF"/>
              </w:rPr>
              <w:t xml:space="preserve"> directive, în special din </w:t>
            </w:r>
            <w:proofErr w:type="spellStart"/>
            <w:r w:rsidRPr="00DD71BD">
              <w:rPr>
                <w:rFonts w:ascii="Times New Roman" w:eastAsia="Arial Unicode MS" w:hAnsi="Times New Roman"/>
                <w:color w:val="000000" w:themeColor="text1"/>
                <w:sz w:val="20"/>
                <w:szCs w:val="20"/>
                <w:shd w:val="clear" w:color="auto" w:fill="FFFFFF"/>
              </w:rPr>
              <w:t>articolele</w:t>
            </w:r>
            <w:proofErr w:type="spellEnd"/>
            <w:r w:rsidRPr="00DD71BD">
              <w:rPr>
                <w:rFonts w:ascii="Times New Roman" w:eastAsia="Arial Unicode MS" w:hAnsi="Times New Roman"/>
                <w:color w:val="000000" w:themeColor="text1"/>
                <w:sz w:val="20"/>
                <w:szCs w:val="20"/>
                <w:shd w:val="clear" w:color="auto" w:fill="FFFFFF"/>
              </w:rPr>
              <w:t xml:space="preserve"> 3c, 11a, 12 și</w:t>
            </w:r>
            <w:r w:rsid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25a, și, în </w:t>
            </w:r>
            <w:proofErr w:type="spellStart"/>
            <w:r w:rsidRPr="00DD71BD">
              <w:rPr>
                <w:rFonts w:ascii="Times New Roman" w:eastAsia="Arial Unicode MS" w:hAnsi="Times New Roman"/>
                <w:color w:val="000000" w:themeColor="text1"/>
                <w:sz w:val="20"/>
                <w:szCs w:val="20"/>
                <w:shd w:val="clear" w:color="auto" w:fill="FFFFFF"/>
              </w:rPr>
              <w:t>măsura</w:t>
            </w:r>
            <w:proofErr w:type="spellEnd"/>
            <w:r w:rsidRPr="00DD71BD">
              <w:rPr>
                <w:rFonts w:ascii="Times New Roman" w:eastAsia="Arial Unicode MS" w:hAnsi="Times New Roman"/>
                <w:color w:val="000000" w:themeColor="text1"/>
                <w:sz w:val="20"/>
                <w:szCs w:val="20"/>
                <w:shd w:val="clear" w:color="auto" w:fill="FFFFFF"/>
              </w:rPr>
              <w:t xml:space="preserve"> în care </w:t>
            </w:r>
            <w:proofErr w:type="spellStart"/>
            <w:r w:rsidRPr="00DD71BD">
              <w:rPr>
                <w:rFonts w:ascii="Times New Roman" w:eastAsia="Arial Unicode MS" w:hAnsi="Times New Roman"/>
                <w:color w:val="000000" w:themeColor="text1"/>
                <w:sz w:val="20"/>
                <w:szCs w:val="20"/>
                <w:shd w:val="clear" w:color="auto" w:fill="FFFFFF"/>
              </w:rPr>
              <w:t>este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posibil</w:t>
            </w:r>
            <w:proofErr w:type="spellEnd"/>
            <w:r w:rsidRPr="00DD71BD">
              <w:rPr>
                <w:rFonts w:ascii="Times New Roman" w:eastAsia="Arial Unicode MS" w:hAnsi="Times New Roman"/>
                <w:color w:val="000000" w:themeColor="text1"/>
                <w:sz w:val="20"/>
                <w:szCs w:val="20"/>
                <w:shd w:val="clear" w:color="auto" w:fill="FFFFFF"/>
              </w:rPr>
              <w:t xml:space="preserve"> în lumina </w:t>
            </w:r>
            <w:proofErr w:type="spellStart"/>
            <w:r w:rsidRPr="00DD71BD">
              <w:rPr>
                <w:rFonts w:ascii="Times New Roman" w:eastAsia="Arial Unicode MS" w:hAnsi="Times New Roman"/>
                <w:color w:val="000000" w:themeColor="text1"/>
                <w:sz w:val="20"/>
                <w:szCs w:val="20"/>
                <w:shd w:val="clear" w:color="auto" w:fill="FFFFFF"/>
              </w:rPr>
              <w:t>dispozițiilor</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aplicabile</w:t>
            </w:r>
            <w:proofErr w:type="spellEnd"/>
            <w:r w:rsidRPr="00DD71BD">
              <w:rPr>
                <w:rFonts w:ascii="Times New Roman" w:eastAsia="Arial Unicode MS" w:hAnsi="Times New Roman"/>
                <w:color w:val="000000" w:themeColor="text1"/>
                <w:sz w:val="20"/>
                <w:szCs w:val="20"/>
                <w:shd w:val="clear" w:color="auto" w:fill="FFFFFF"/>
              </w:rPr>
              <w:t xml:space="preserve"> ale </w:t>
            </w:r>
            <w:proofErr w:type="spellStart"/>
            <w:r w:rsidRPr="00DD71BD">
              <w:rPr>
                <w:rFonts w:ascii="Times New Roman" w:eastAsia="Arial Unicode MS" w:hAnsi="Times New Roman"/>
                <w:color w:val="000000" w:themeColor="text1"/>
                <w:sz w:val="20"/>
                <w:szCs w:val="20"/>
                <w:shd w:val="clear" w:color="auto" w:fill="FFFFFF"/>
              </w:rPr>
              <w:t>prezentei</w:t>
            </w:r>
            <w:proofErr w:type="spellEnd"/>
            <w:r w:rsidRPr="00DD71BD">
              <w:rPr>
                <w:rFonts w:ascii="Times New Roman" w:eastAsia="Arial Unicode MS" w:hAnsi="Times New Roman"/>
                <w:color w:val="000000" w:themeColor="text1"/>
                <w:sz w:val="20"/>
                <w:szCs w:val="20"/>
                <w:shd w:val="clear" w:color="auto" w:fill="FFFFFF"/>
              </w:rPr>
              <w:t xml:space="preserve"> directive, din </w:t>
            </w:r>
            <w:proofErr w:type="spellStart"/>
            <w:r w:rsidRPr="00DD71BD">
              <w:rPr>
                <w:rFonts w:ascii="Times New Roman" w:eastAsia="Arial Unicode MS" w:hAnsi="Times New Roman"/>
                <w:color w:val="000000" w:themeColor="text1"/>
                <w:sz w:val="20"/>
                <w:szCs w:val="20"/>
                <w:shd w:val="clear" w:color="auto" w:fill="FFFFFF"/>
              </w:rPr>
              <w:t>standardele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internaționale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practicile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recomandate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privind</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protecția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mediului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CORSIA (</w:t>
            </w:r>
            <w:proofErr w:type="spellStart"/>
            <w:r w:rsidRPr="00DD71BD">
              <w:rPr>
                <w:rFonts w:ascii="Times New Roman" w:eastAsia="Arial Unicode MS" w:hAnsi="Times New Roman"/>
                <w:color w:val="000000" w:themeColor="text1"/>
                <w:sz w:val="20"/>
                <w:szCs w:val="20"/>
                <w:shd w:val="clear" w:color="auto" w:fill="FFFFFF"/>
              </w:rPr>
              <w:t>denumite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continuare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standardele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practicile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recomandate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CORSIA”).</w:t>
            </w:r>
          </w:p>
          <w:p w14:paraId="76653D55" w14:textId="4DF012F6" w:rsidR="00124364" w:rsidRPr="00DD71BD" w:rsidRDefault="00000000" w:rsidP="00DD71BD">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DD71BD">
              <w:rPr>
                <w:rFonts w:ascii="Times New Roman" w:eastAsia="Arial Unicode MS" w:hAnsi="Times New Roman"/>
                <w:color w:val="000000" w:themeColor="text1"/>
                <w:sz w:val="20"/>
                <w:szCs w:val="20"/>
                <w:shd w:val="clear" w:color="auto" w:fill="FFFFFF"/>
              </w:rPr>
              <w:t>Actele</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respective se </w:t>
            </w:r>
            <w:proofErr w:type="spellStart"/>
            <w:r w:rsidRPr="00DD71BD">
              <w:rPr>
                <w:rFonts w:ascii="Times New Roman" w:eastAsia="Arial Unicode MS" w:hAnsi="Times New Roman"/>
                <w:color w:val="000000" w:themeColor="text1"/>
                <w:sz w:val="20"/>
                <w:szCs w:val="20"/>
                <w:shd w:val="clear" w:color="auto" w:fill="FFFFFF"/>
              </w:rPr>
              <w:t>adoptă</w:t>
            </w:r>
            <w:proofErr w:type="spellEnd"/>
            <w:r w:rsidRPr="00DD71BD">
              <w:rPr>
                <w:rFonts w:ascii="Times New Roman" w:eastAsia="Arial Unicode MS" w:hAnsi="Times New Roman"/>
                <w:color w:val="000000" w:themeColor="text1"/>
                <w:sz w:val="20"/>
                <w:szCs w:val="20"/>
                <w:shd w:val="clear" w:color="auto" w:fill="FFFFFF"/>
              </w:rPr>
              <w:t xml:space="preserve"> în conformitate cu </w:t>
            </w:r>
            <w:proofErr w:type="spellStart"/>
            <w:r w:rsidRPr="00DD71BD">
              <w:rPr>
                <w:rFonts w:ascii="Times New Roman" w:eastAsia="Arial Unicode MS" w:hAnsi="Times New Roman"/>
                <w:color w:val="000000" w:themeColor="text1"/>
                <w:sz w:val="20"/>
                <w:szCs w:val="20"/>
                <w:shd w:val="clear" w:color="auto" w:fill="FFFFFF"/>
              </w:rPr>
              <w:t>procedura</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examinare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menționată</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articolul</w:t>
            </w:r>
            <w:proofErr w:type="spellEnd"/>
            <w:r w:rsid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22a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(2). </w:t>
            </w:r>
            <w:proofErr w:type="spellStart"/>
            <w:r w:rsidRPr="00DD71BD">
              <w:rPr>
                <w:rFonts w:ascii="Times New Roman" w:eastAsia="Arial Unicode MS" w:hAnsi="Times New Roman"/>
                <w:color w:val="000000" w:themeColor="text1"/>
                <w:sz w:val="20"/>
                <w:szCs w:val="20"/>
                <w:shd w:val="clear" w:color="auto" w:fill="FFFFFF"/>
              </w:rPr>
              <w:t>Primul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astfel</w:t>
            </w:r>
            <w:proofErr w:type="spellEnd"/>
            <w:r w:rsidRPr="00DD71BD">
              <w:rPr>
                <w:rFonts w:ascii="Times New Roman" w:eastAsia="Arial Unicode MS" w:hAnsi="Times New Roman"/>
                <w:color w:val="000000" w:themeColor="text1"/>
                <w:sz w:val="20"/>
                <w:szCs w:val="20"/>
                <w:shd w:val="clear" w:color="auto" w:fill="FFFFFF"/>
              </w:rPr>
              <w:t xml:space="preserve"> de act de </w:t>
            </w:r>
            <w:proofErr w:type="spellStart"/>
            <w:r w:rsidRPr="00DD71BD">
              <w:rPr>
                <w:rFonts w:ascii="Times New Roman" w:eastAsia="Arial Unicode MS" w:hAnsi="Times New Roman"/>
                <w:color w:val="000000" w:themeColor="text1"/>
                <w:sz w:val="20"/>
                <w:szCs w:val="20"/>
                <w:shd w:val="clear" w:color="auto" w:fill="FFFFFF"/>
              </w:rPr>
              <w:t>punere</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aplicare</w:t>
            </w:r>
            <w:proofErr w:type="spellEnd"/>
            <w:r w:rsidRPr="00DD71BD">
              <w:rPr>
                <w:rFonts w:ascii="Times New Roman" w:eastAsia="Arial Unicode MS" w:hAnsi="Times New Roman"/>
                <w:color w:val="000000" w:themeColor="text1"/>
                <w:sz w:val="20"/>
                <w:szCs w:val="20"/>
                <w:shd w:val="clear" w:color="auto" w:fill="FFFFFF"/>
              </w:rPr>
              <w:t xml:space="preserve"> se </w:t>
            </w:r>
            <w:proofErr w:type="spellStart"/>
            <w:r w:rsidRPr="00DD71BD">
              <w:rPr>
                <w:rFonts w:ascii="Times New Roman" w:eastAsia="Arial Unicode MS" w:hAnsi="Times New Roman"/>
                <w:color w:val="000000" w:themeColor="text1"/>
                <w:sz w:val="20"/>
                <w:szCs w:val="20"/>
                <w:shd w:val="clear" w:color="auto" w:fill="FFFFFF"/>
              </w:rPr>
              <w:t>adoptă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30</w:t>
            </w:r>
            <w:r w:rsid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iunie</w:t>
            </w:r>
            <w:proofErr w:type="spellEnd"/>
            <w:r w:rsidRPr="00DD71BD">
              <w:rPr>
                <w:rFonts w:ascii="Times New Roman" w:eastAsia="Arial Unicode MS" w:hAnsi="Times New Roman"/>
                <w:color w:val="000000" w:themeColor="text1"/>
                <w:sz w:val="20"/>
                <w:szCs w:val="20"/>
                <w:shd w:val="clear" w:color="auto" w:fill="FFFFFF"/>
              </w:rPr>
              <w:t xml:space="preserve"> 2024.</w:t>
            </w:r>
          </w:p>
          <w:p w14:paraId="24EED36D" w14:textId="30426DCF" w:rsidR="00124364" w:rsidRPr="00DD71BD" w:rsidRDefault="00000000" w:rsidP="00DD71BD">
            <w:pPr>
              <w:pStyle w:val="af8"/>
              <w:numPr>
                <w:ilvl w:val="0"/>
                <w:numId w:val="2"/>
              </w:numPr>
              <w:suppressAutoHyphens w:val="0"/>
              <w:autoSpaceDN/>
              <w:spacing w:after="0" w:line="240" w:lineRule="auto"/>
              <w:jc w:val="both"/>
              <w:textAlignment w:val="auto"/>
              <w:rPr>
                <w:rFonts w:ascii="Times New Roman" w:hAnsi="Times New Roman"/>
                <w:color w:val="000000" w:themeColor="text1"/>
                <w:sz w:val="20"/>
                <w:szCs w:val="20"/>
              </w:rPr>
            </w:pPr>
            <w:proofErr w:type="spellStart"/>
            <w:r w:rsidRPr="00DD71BD">
              <w:rPr>
                <w:rFonts w:ascii="Times New Roman" w:eastAsia="Arial Unicode MS" w:hAnsi="Times New Roman"/>
                <w:color w:val="000000" w:themeColor="text1"/>
                <w:sz w:val="20"/>
                <w:szCs w:val="20"/>
                <w:shd w:val="clear" w:color="auto" w:fill="FFFFFF"/>
              </w:rPr>
              <w:t>Operatorii</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aeronave</w:t>
            </w:r>
            <w:proofErr w:type="spellEnd"/>
            <w:r w:rsidRPr="00DD71BD">
              <w:rPr>
                <w:rFonts w:ascii="Times New Roman" w:eastAsia="Arial Unicode MS" w:hAnsi="Times New Roman"/>
                <w:color w:val="000000" w:themeColor="text1"/>
                <w:sz w:val="20"/>
                <w:szCs w:val="20"/>
                <w:shd w:val="clear" w:color="auto" w:fill="FFFFFF"/>
              </w:rPr>
              <w:t xml:space="preserve"> care </w:t>
            </w:r>
            <w:proofErr w:type="spellStart"/>
            <w:r w:rsidRPr="00DD71BD">
              <w:rPr>
                <w:rFonts w:ascii="Times New Roman" w:eastAsia="Arial Unicode MS" w:hAnsi="Times New Roman"/>
                <w:color w:val="000000" w:themeColor="text1"/>
                <w:sz w:val="20"/>
                <w:szCs w:val="20"/>
                <w:shd w:val="clear" w:color="auto" w:fill="FFFFFF"/>
              </w:rPr>
              <w:t>dețin</w:t>
            </w:r>
            <w:proofErr w:type="spellEnd"/>
            <w:r w:rsidRPr="00DD71BD">
              <w:rPr>
                <w:rFonts w:ascii="Times New Roman" w:eastAsia="Arial Unicode MS" w:hAnsi="Times New Roman"/>
                <w:color w:val="000000" w:themeColor="text1"/>
                <w:sz w:val="20"/>
                <w:szCs w:val="20"/>
                <w:shd w:val="clear" w:color="auto" w:fill="FFFFFF"/>
              </w:rPr>
              <w:t xml:space="preserve"> un </w:t>
            </w:r>
            <w:proofErr w:type="spellStart"/>
            <w:r w:rsidRPr="00DD71BD">
              <w:rPr>
                <w:rFonts w:ascii="Times New Roman" w:eastAsia="Arial Unicode MS" w:hAnsi="Times New Roman"/>
                <w:color w:val="000000" w:themeColor="text1"/>
                <w:sz w:val="20"/>
                <w:szCs w:val="20"/>
                <w:shd w:val="clear" w:color="auto" w:fill="FFFFFF"/>
              </w:rPr>
              <w:t>certificat</w:t>
            </w:r>
            <w:proofErr w:type="spellEnd"/>
            <w:r w:rsidRPr="00DD71BD">
              <w:rPr>
                <w:rFonts w:ascii="Times New Roman" w:eastAsia="Arial Unicode MS" w:hAnsi="Times New Roman"/>
                <w:color w:val="000000" w:themeColor="text1"/>
                <w:sz w:val="20"/>
                <w:szCs w:val="20"/>
                <w:shd w:val="clear" w:color="auto" w:fill="FFFFFF"/>
              </w:rPr>
              <w:t xml:space="preserve"> de operator </w:t>
            </w:r>
            <w:proofErr w:type="spellStart"/>
            <w:r w:rsidRPr="00DD71BD">
              <w:rPr>
                <w:rFonts w:ascii="Times New Roman" w:eastAsia="Arial Unicode MS" w:hAnsi="Times New Roman"/>
                <w:color w:val="000000" w:themeColor="text1"/>
                <w:sz w:val="20"/>
                <w:szCs w:val="20"/>
                <w:shd w:val="clear" w:color="auto" w:fill="FFFFFF"/>
              </w:rPr>
              <w:t>aerian</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eliberat</w:t>
            </w:r>
            <w:proofErr w:type="spellEnd"/>
            <w:r w:rsidRPr="00DD71BD">
              <w:rPr>
                <w:rFonts w:ascii="Times New Roman" w:eastAsia="Arial Unicode MS" w:hAnsi="Times New Roman"/>
                <w:color w:val="000000" w:themeColor="text1"/>
                <w:sz w:val="20"/>
                <w:szCs w:val="20"/>
                <w:shd w:val="clear" w:color="auto" w:fill="FFFFFF"/>
              </w:rPr>
              <w:t xml:space="preserve"> de un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sau</w:t>
            </w:r>
            <w:proofErr w:type="spellEnd"/>
            <w:r w:rsidRPr="00DD71BD">
              <w:rPr>
                <w:rFonts w:ascii="Times New Roman" w:eastAsia="Arial Unicode MS" w:hAnsi="Times New Roman"/>
                <w:color w:val="000000" w:themeColor="text1"/>
                <w:sz w:val="20"/>
                <w:szCs w:val="20"/>
                <w:shd w:val="clear" w:color="auto" w:fill="FFFFFF"/>
              </w:rPr>
              <w:t xml:space="preserve"> care sunt </w:t>
            </w:r>
            <w:proofErr w:type="spellStart"/>
            <w:r w:rsidRPr="00DD71BD">
              <w:rPr>
                <w:rFonts w:ascii="Times New Roman" w:eastAsia="Arial Unicode MS" w:hAnsi="Times New Roman"/>
                <w:color w:val="000000" w:themeColor="text1"/>
                <w:sz w:val="20"/>
                <w:szCs w:val="20"/>
                <w:shd w:val="clear" w:color="auto" w:fill="FFFFFF"/>
              </w:rPr>
              <w:t>înregistrați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într</w:t>
            </w:r>
            <w:proofErr w:type="spellEnd"/>
            <w:r w:rsidRPr="00DD71BD">
              <w:rPr>
                <w:rFonts w:ascii="Times New Roman" w:eastAsia="Arial Unicode MS" w:hAnsi="Times New Roman"/>
                <w:color w:val="000000" w:themeColor="text1"/>
                <w:sz w:val="20"/>
                <w:szCs w:val="20"/>
                <w:shd w:val="clear" w:color="auto" w:fill="FFFFFF"/>
              </w:rPr>
              <w:t xml:space="preserve">-un stat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inclusiv</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regiunile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ultraperiferice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teritoriile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dependente</w:t>
            </w:r>
            <w:proofErr w:type="spellEnd"/>
            <w:r w:rsidRPr="00DD71BD">
              <w:rPr>
                <w:rFonts w:ascii="Times New Roman" w:eastAsia="Arial Unicode MS" w:hAnsi="Times New Roman"/>
                <w:color w:val="000000" w:themeColor="text1"/>
                <w:sz w:val="20"/>
                <w:szCs w:val="20"/>
                <w:shd w:val="clear" w:color="auto" w:fill="FFFFFF"/>
              </w:rPr>
              <w:t xml:space="preserve"> și </w:t>
            </w:r>
            <w:proofErr w:type="spellStart"/>
            <w:r w:rsidRPr="00DD71BD">
              <w:rPr>
                <w:rFonts w:ascii="Times New Roman" w:eastAsia="Arial Unicode MS" w:hAnsi="Times New Roman"/>
                <w:color w:val="000000" w:themeColor="text1"/>
                <w:sz w:val="20"/>
                <w:szCs w:val="20"/>
                <w:shd w:val="clear" w:color="auto" w:fill="FFFFFF"/>
              </w:rPr>
              <w:t>teritoriile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statului</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respectiv</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anulează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unitățile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menționate</w:t>
            </w:r>
            <w:proofErr w:type="spellEnd"/>
            <w:r w:rsidRPr="00DD71BD">
              <w:rPr>
                <w:rFonts w:ascii="Times New Roman" w:eastAsia="Arial Unicode MS" w:hAnsi="Times New Roman"/>
                <w:color w:val="000000" w:themeColor="text1"/>
                <w:sz w:val="20"/>
                <w:szCs w:val="20"/>
                <w:shd w:val="clear" w:color="auto" w:fill="FFFFFF"/>
              </w:rPr>
              <w:t xml:space="preserve"> la </w:t>
            </w:r>
            <w:proofErr w:type="spellStart"/>
            <w:r w:rsidRPr="00DD71BD">
              <w:rPr>
                <w:rFonts w:ascii="Times New Roman" w:eastAsia="Arial Unicode MS" w:hAnsi="Times New Roman"/>
                <w:color w:val="000000" w:themeColor="text1"/>
                <w:sz w:val="20"/>
                <w:szCs w:val="20"/>
                <w:shd w:val="clear" w:color="auto" w:fill="FFFFFF"/>
              </w:rPr>
              <w:t>articolul</w:t>
            </w:r>
            <w:proofErr w:type="spellEnd"/>
            <w:r w:rsid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t xml:space="preserve">11a </w:t>
            </w:r>
            <w:proofErr w:type="spellStart"/>
            <w:r w:rsidRPr="00DD71BD">
              <w:rPr>
                <w:rFonts w:ascii="Times New Roman" w:eastAsia="Arial Unicode MS" w:hAnsi="Times New Roman"/>
                <w:color w:val="000000" w:themeColor="text1"/>
                <w:sz w:val="20"/>
                <w:szCs w:val="20"/>
                <w:shd w:val="clear" w:color="auto" w:fill="FFFFFF"/>
              </w:rPr>
              <w:t>numai</w:t>
            </w:r>
            <w:proofErr w:type="spellEnd"/>
            <w:r w:rsidRPr="00DD71BD">
              <w:rPr>
                <w:rFonts w:ascii="Times New Roman" w:eastAsia="Arial Unicode MS" w:hAnsi="Times New Roman"/>
                <w:color w:val="000000" w:themeColor="text1"/>
                <w:sz w:val="20"/>
                <w:szCs w:val="20"/>
                <w:shd w:val="clear" w:color="auto" w:fill="FFFFFF"/>
              </w:rPr>
              <w:t xml:space="preserve"> în </w:t>
            </w:r>
            <w:proofErr w:type="spellStart"/>
            <w:r w:rsidRPr="00DD71BD">
              <w:rPr>
                <w:rFonts w:ascii="Times New Roman" w:eastAsia="Arial Unicode MS" w:hAnsi="Times New Roman"/>
                <w:color w:val="000000" w:themeColor="text1"/>
                <w:sz w:val="20"/>
                <w:szCs w:val="20"/>
                <w:shd w:val="clear" w:color="auto" w:fill="FFFFFF"/>
              </w:rPr>
              <w:t>ceea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privește</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cantitatea</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notificată</w:t>
            </w:r>
            <w:proofErr w:type="spellEnd"/>
            <w:r w:rsidRPr="00DD71BD">
              <w:rPr>
                <w:rFonts w:ascii="Times New Roman" w:eastAsia="Arial Unicode MS" w:hAnsi="Times New Roman"/>
                <w:color w:val="000000" w:themeColor="text1"/>
                <w:sz w:val="20"/>
                <w:szCs w:val="20"/>
                <w:shd w:val="clear" w:color="auto" w:fill="FFFFFF"/>
              </w:rPr>
              <w:t xml:space="preserve"> de </w:t>
            </w:r>
            <w:proofErr w:type="spellStart"/>
            <w:r w:rsidRPr="00DD71BD">
              <w:rPr>
                <w:rFonts w:ascii="Times New Roman" w:eastAsia="Arial Unicode MS" w:hAnsi="Times New Roman"/>
                <w:color w:val="000000" w:themeColor="text1"/>
                <w:sz w:val="20"/>
                <w:szCs w:val="20"/>
                <w:shd w:val="clear" w:color="auto" w:fill="FFFFFF"/>
              </w:rPr>
              <w:t>statul</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membru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respectiv</w:t>
            </w:r>
            <w:proofErr w:type="spellEnd"/>
            <w:r w:rsidRPr="00DD71BD">
              <w:rPr>
                <w:rFonts w:ascii="Times New Roman" w:eastAsia="Arial Unicode MS" w:hAnsi="Times New Roman"/>
                <w:color w:val="000000" w:themeColor="text1"/>
                <w:sz w:val="20"/>
                <w:szCs w:val="20"/>
                <w:shd w:val="clear" w:color="auto" w:fill="FFFFFF"/>
              </w:rPr>
              <w:t xml:space="preserve">, în conformitate cu </w:t>
            </w:r>
            <w:proofErr w:type="spellStart"/>
            <w:r w:rsidRPr="00DD71BD">
              <w:rPr>
                <w:rFonts w:ascii="Times New Roman" w:eastAsia="Arial Unicode MS" w:hAnsi="Times New Roman"/>
                <w:color w:val="000000" w:themeColor="text1"/>
                <w:sz w:val="20"/>
                <w:szCs w:val="20"/>
                <w:shd w:val="clear" w:color="auto" w:fill="FFFFFF"/>
              </w:rPr>
              <w:t>alineatul</w:t>
            </w:r>
            <w:proofErr w:type="spellEnd"/>
            <w:r w:rsidRPr="00DD71BD">
              <w:rPr>
                <w:rFonts w:ascii="Times New Roman" w:eastAsia="Arial Unicode MS" w:hAnsi="Times New Roman"/>
                <w:color w:val="000000" w:themeColor="text1"/>
                <w:sz w:val="20"/>
                <w:szCs w:val="20"/>
                <w:shd w:val="clear" w:color="auto" w:fill="FFFFFF"/>
              </w:rPr>
              <w:t xml:space="preserve"> (6), </w:t>
            </w:r>
            <w:proofErr w:type="spellStart"/>
            <w:r w:rsidRPr="00DD71BD">
              <w:rPr>
                <w:rFonts w:ascii="Times New Roman" w:eastAsia="Arial Unicode MS" w:hAnsi="Times New Roman"/>
                <w:color w:val="000000" w:themeColor="text1"/>
                <w:sz w:val="20"/>
                <w:szCs w:val="20"/>
                <w:shd w:val="clear" w:color="auto" w:fill="FFFFFF"/>
              </w:rPr>
              <w:t>referitor</w:t>
            </w:r>
            <w:proofErr w:type="spellEnd"/>
            <w:r w:rsidRPr="00DD71BD">
              <w:rPr>
                <w:rFonts w:ascii="Times New Roman" w:eastAsia="Arial Unicode MS" w:hAnsi="Times New Roman"/>
                <w:color w:val="000000" w:themeColor="text1"/>
                <w:sz w:val="20"/>
                <w:szCs w:val="20"/>
                <w:shd w:val="clear" w:color="auto" w:fill="FFFFFF"/>
              </w:rPr>
              <w:t xml:space="preserve"> </w:t>
            </w:r>
            <w:r w:rsidRPr="00DD71BD">
              <w:rPr>
                <w:rFonts w:ascii="Times New Roman" w:eastAsia="Arial Unicode MS" w:hAnsi="Times New Roman"/>
                <w:color w:val="000000" w:themeColor="text1"/>
                <w:sz w:val="20"/>
                <w:szCs w:val="20"/>
                <w:shd w:val="clear" w:color="auto" w:fill="FFFFFF"/>
              </w:rPr>
              <w:lastRenderedPageBreak/>
              <w:t xml:space="preserve">la perioada de conformitate cu CORSIA </w:t>
            </w:r>
            <w:proofErr w:type="spellStart"/>
            <w:r w:rsidRPr="00DD71BD">
              <w:rPr>
                <w:rFonts w:ascii="Times New Roman" w:eastAsia="Arial Unicode MS" w:hAnsi="Times New Roman"/>
                <w:color w:val="000000" w:themeColor="text1"/>
                <w:sz w:val="20"/>
                <w:szCs w:val="20"/>
                <w:shd w:val="clear" w:color="auto" w:fill="FFFFFF"/>
              </w:rPr>
              <w:t>relevantă</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Anularea</w:t>
            </w:r>
            <w:proofErr w:type="spellEnd"/>
            <w:r w:rsidRPr="00DD71BD">
              <w:rPr>
                <w:rFonts w:ascii="Times New Roman" w:eastAsia="Arial Unicode MS" w:hAnsi="Times New Roman"/>
                <w:color w:val="000000" w:themeColor="text1"/>
                <w:sz w:val="20"/>
                <w:szCs w:val="20"/>
                <w:shd w:val="clear" w:color="auto" w:fill="FFFFFF"/>
              </w:rPr>
              <w:t xml:space="preserve"> are </w:t>
            </w:r>
            <w:proofErr w:type="spellStart"/>
            <w:r w:rsidRPr="00DD71BD">
              <w:rPr>
                <w:rFonts w:ascii="Times New Roman" w:eastAsia="Arial Unicode MS" w:hAnsi="Times New Roman"/>
                <w:color w:val="000000" w:themeColor="text1"/>
                <w:sz w:val="20"/>
                <w:szCs w:val="20"/>
                <w:shd w:val="clear" w:color="auto" w:fill="FFFFFF"/>
              </w:rPr>
              <w:t>loc</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31</w:t>
            </w:r>
            <w:r w:rsid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ianuarie</w:t>
            </w:r>
            <w:proofErr w:type="spellEnd"/>
            <w:r w:rsidRPr="00DD71BD">
              <w:rPr>
                <w:rFonts w:ascii="Times New Roman" w:eastAsia="Arial Unicode MS" w:hAnsi="Times New Roman"/>
                <w:color w:val="000000" w:themeColor="text1"/>
                <w:sz w:val="20"/>
                <w:szCs w:val="20"/>
                <w:shd w:val="clear" w:color="auto" w:fill="FFFFFF"/>
              </w:rPr>
              <w:t xml:space="preserve"> 2025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din perioada 2021-2023 și </w:t>
            </w:r>
            <w:proofErr w:type="spellStart"/>
            <w:r w:rsidRPr="00DD71BD">
              <w:rPr>
                <w:rFonts w:ascii="Times New Roman" w:eastAsia="Arial Unicode MS" w:hAnsi="Times New Roman"/>
                <w:color w:val="000000" w:themeColor="text1"/>
                <w:sz w:val="20"/>
                <w:szCs w:val="20"/>
                <w:shd w:val="clear" w:color="auto" w:fill="FFFFFF"/>
              </w:rPr>
              <w:t>până</w:t>
            </w:r>
            <w:proofErr w:type="spellEnd"/>
            <w:r w:rsidRPr="00DD71BD">
              <w:rPr>
                <w:rFonts w:ascii="Times New Roman" w:eastAsia="Arial Unicode MS" w:hAnsi="Times New Roman"/>
                <w:color w:val="000000" w:themeColor="text1"/>
                <w:sz w:val="20"/>
                <w:szCs w:val="20"/>
                <w:shd w:val="clear" w:color="auto" w:fill="FFFFFF"/>
              </w:rPr>
              <w:t xml:space="preserve"> la 31</w:t>
            </w:r>
            <w:r w:rsid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ianuarie</w:t>
            </w:r>
            <w:proofErr w:type="spellEnd"/>
            <w:r w:rsidRPr="00DD71BD">
              <w:rPr>
                <w:rFonts w:ascii="Times New Roman" w:eastAsia="Arial Unicode MS" w:hAnsi="Times New Roman"/>
                <w:color w:val="000000" w:themeColor="text1"/>
                <w:sz w:val="20"/>
                <w:szCs w:val="20"/>
                <w:shd w:val="clear" w:color="auto" w:fill="FFFFFF"/>
              </w:rPr>
              <w:t xml:space="preserve"> 2028 </w:t>
            </w:r>
            <w:proofErr w:type="spellStart"/>
            <w:r w:rsidRPr="00DD71BD">
              <w:rPr>
                <w:rFonts w:ascii="Times New Roman" w:eastAsia="Arial Unicode MS" w:hAnsi="Times New Roman"/>
                <w:color w:val="000000" w:themeColor="text1"/>
                <w:sz w:val="20"/>
                <w:szCs w:val="20"/>
                <w:shd w:val="clear" w:color="auto" w:fill="FFFFFF"/>
              </w:rPr>
              <w:t>pentru</w:t>
            </w:r>
            <w:proofErr w:type="spellEnd"/>
            <w:r w:rsidRPr="00DD71BD">
              <w:rPr>
                <w:rFonts w:ascii="Times New Roman" w:eastAsia="Arial Unicode MS" w:hAnsi="Times New Roman"/>
                <w:color w:val="000000" w:themeColor="text1"/>
                <w:sz w:val="20"/>
                <w:szCs w:val="20"/>
                <w:shd w:val="clear" w:color="auto" w:fill="FFFFFF"/>
              </w:rPr>
              <w:t xml:space="preserve"> </w:t>
            </w:r>
            <w:proofErr w:type="spellStart"/>
            <w:r w:rsidRPr="00DD71BD">
              <w:rPr>
                <w:rFonts w:ascii="Times New Roman" w:eastAsia="Arial Unicode MS" w:hAnsi="Times New Roman"/>
                <w:color w:val="000000" w:themeColor="text1"/>
                <w:sz w:val="20"/>
                <w:szCs w:val="20"/>
                <w:shd w:val="clear" w:color="auto" w:fill="FFFFFF"/>
              </w:rPr>
              <w:t>emisiile</w:t>
            </w:r>
            <w:proofErr w:type="spellEnd"/>
            <w:r w:rsidRPr="00DD71BD">
              <w:rPr>
                <w:rFonts w:ascii="Times New Roman" w:eastAsia="Arial Unicode MS" w:hAnsi="Times New Roman"/>
                <w:color w:val="000000" w:themeColor="text1"/>
                <w:sz w:val="20"/>
                <w:szCs w:val="20"/>
                <w:shd w:val="clear" w:color="auto" w:fill="FFFFFF"/>
              </w:rPr>
              <w:t xml:space="preserve"> din perioada 2024-2026.</w:t>
            </w:r>
          </w:p>
          <w:p w14:paraId="7931C580"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rPr>
            </w:pPr>
            <w:hyperlink r:id="rId222" w:tooltip="32018L0410: REPLACED" w:history="1">
              <w:r>
                <w:rPr>
                  <w:rStyle w:val="af3"/>
                  <w:rFonts w:ascii="Times New Roman" w:eastAsia="Arial Unicode MS" w:hAnsi="Times New Roman"/>
                  <w:b/>
                  <w:bCs/>
                  <w:color w:val="4472C4" w:themeColor="accent1"/>
                  <w:sz w:val="20"/>
                  <w:szCs w:val="20"/>
                </w:rPr>
                <w:t>▼M9</w:t>
              </w:r>
            </w:hyperlink>
          </w:p>
        </w:tc>
        <w:tc>
          <w:tcPr>
            <w:tcW w:w="4394" w:type="dxa"/>
            <w:shd w:val="clear" w:color="auto" w:fill="auto"/>
          </w:tcPr>
          <w:p w14:paraId="25466264" w14:textId="38A4DC2F" w:rsidR="00DD71BD" w:rsidRPr="00DD71BD" w:rsidRDefault="00DD71BD" w:rsidP="00DD71BD">
            <w:pPr>
              <w:suppressAutoHyphens w:val="0"/>
              <w:autoSpaceDN/>
              <w:spacing w:after="0" w:line="240" w:lineRule="atLeast"/>
              <w:jc w:val="both"/>
              <w:textAlignment w:val="auto"/>
              <w:rPr>
                <w:rFonts w:ascii="Times New Roman" w:hAnsi="Times New Roman"/>
                <w:sz w:val="20"/>
                <w:szCs w:val="20"/>
                <w:lang w:val="ro-MD"/>
              </w:rPr>
            </w:pPr>
            <w:r w:rsidRPr="00DD71BD">
              <w:rPr>
                <w:rFonts w:ascii="Times New Roman" w:hAnsi="Times New Roman"/>
                <w:b/>
                <w:bCs/>
                <w:sz w:val="20"/>
                <w:szCs w:val="20"/>
                <w:lang w:val="ro-MD"/>
              </w:rPr>
              <w:lastRenderedPageBreak/>
              <w:t>Articolul 54.</w:t>
            </w:r>
            <w:r>
              <w:rPr>
                <w:rFonts w:ascii="Times New Roman" w:hAnsi="Times New Roman"/>
                <w:b/>
                <w:bCs/>
                <w:sz w:val="20"/>
                <w:szCs w:val="20"/>
                <w:lang w:val="ro-MD"/>
              </w:rPr>
              <w:t xml:space="preserve"> </w:t>
            </w:r>
            <w:r>
              <w:rPr>
                <w:rFonts w:ascii="Times New Roman" w:hAnsi="Times New Roman"/>
                <w:sz w:val="20"/>
                <w:szCs w:val="20"/>
                <w:lang w:val="ro-MD"/>
              </w:rPr>
              <w:t>Emisiile de GES de la activitățile de aviație</w:t>
            </w:r>
          </w:p>
          <w:p w14:paraId="01CF947A" w14:textId="21EEA872" w:rsidR="00DD71BD" w:rsidRPr="00DD71BD" w:rsidRDefault="00DD71BD" w:rsidP="00DD71BD">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DD71BD">
              <w:rPr>
                <w:rFonts w:ascii="Times New Roman" w:hAnsi="Times New Roman"/>
                <w:color w:val="000000" w:themeColor="text1"/>
                <w:sz w:val="20"/>
                <w:szCs w:val="20"/>
                <w:lang w:val="ro-MD"/>
              </w:rPr>
              <w:t>(1)</w:t>
            </w:r>
            <w:r w:rsidRPr="00DD71BD">
              <w:rPr>
                <w:rFonts w:ascii="Times New Roman" w:hAnsi="Times New Roman"/>
                <w:color w:val="000000" w:themeColor="text1"/>
                <w:sz w:val="20"/>
                <w:szCs w:val="20"/>
                <w:lang w:val="ro-MD"/>
              </w:rPr>
              <w:t>Pentru decarbonizarea aviației civile și încurajarea utilizării tehnologiilor mai puțin poluante şi a surselor regenerabile prin aplicarea măsurilor economice se instituie schema CORSIA în conformitate cu prevederile Regulamentului privind instituirea și funcționarea schemei de compensare și de reducere a emisiilor de carbon pentru aviația internațională , aprobat de Guvern.</w:t>
            </w:r>
          </w:p>
          <w:p w14:paraId="137FB9A8" w14:textId="3DC96A11" w:rsidR="00DD71BD" w:rsidRPr="00DD71BD" w:rsidRDefault="00DD71BD" w:rsidP="00DD71BD">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DD71BD">
              <w:rPr>
                <w:rFonts w:ascii="Times New Roman" w:hAnsi="Times New Roman"/>
                <w:bCs/>
                <w:color w:val="000000" w:themeColor="text1"/>
                <w:sz w:val="20"/>
                <w:szCs w:val="20"/>
                <w:lang w:val="ro-MD"/>
              </w:rPr>
              <w:t>(2)</w:t>
            </w:r>
            <w:r w:rsidRPr="00DD71BD">
              <w:rPr>
                <w:rFonts w:ascii="Times New Roman" w:hAnsi="Times New Roman"/>
                <w:bCs/>
                <w:color w:val="000000" w:themeColor="text1"/>
                <w:sz w:val="20"/>
                <w:szCs w:val="20"/>
                <w:lang w:val="ro-MD"/>
              </w:rPr>
              <w:t>Cerințele privind MRV</w:t>
            </w:r>
            <w:r w:rsidRPr="00DD71BD">
              <w:rPr>
                <w:rFonts w:ascii="Times New Roman" w:hAnsi="Times New Roman"/>
                <w:bCs/>
                <w:color w:val="000000" w:themeColor="text1"/>
                <w:sz w:val="20"/>
                <w:szCs w:val="20"/>
                <w:shd w:val="clear" w:color="auto" w:fill="FFFFFF"/>
                <w:lang w:val="ro-MD"/>
              </w:rPr>
              <w:t xml:space="preserve"> emisiilor de GES, inclusiv evaluarea progresului înregistrat în atingerea angajamentelor de </w:t>
            </w:r>
            <w:r w:rsidRPr="00DD71BD">
              <w:rPr>
                <w:rFonts w:ascii="Times New Roman" w:hAnsi="Times New Roman"/>
                <w:color w:val="000000" w:themeColor="text1"/>
                <w:sz w:val="20"/>
                <w:szCs w:val="20"/>
                <w:shd w:val="clear" w:color="auto" w:fill="FFFFFF"/>
                <w:lang w:val="ro-MD"/>
              </w:rPr>
              <w:t xml:space="preserve">reducere a acestora </w:t>
            </w:r>
            <w:r w:rsidRPr="00DD71BD">
              <w:rPr>
                <w:rFonts w:ascii="Times New Roman" w:hAnsi="Times New Roman"/>
                <w:color w:val="000000" w:themeColor="text1"/>
                <w:sz w:val="20"/>
                <w:szCs w:val="20"/>
                <w:lang w:val="ro-MD"/>
              </w:rPr>
              <w:t>generate de operatori aerieni naționali, sunt stabilite în Regulamentul prevăzut la alin.(1).</w:t>
            </w:r>
          </w:p>
          <w:p w14:paraId="0572B597" w14:textId="77777777" w:rsidR="00124364" w:rsidRPr="00DD71BD" w:rsidRDefault="00124364">
            <w:pPr>
              <w:pStyle w:val="af8"/>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1CAD1F86" w14:textId="0627D833" w:rsidR="00124364" w:rsidRDefault="00DD71B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Parțial compatibil</w:t>
            </w:r>
          </w:p>
          <w:p w14:paraId="389F1DF7"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B4D4EB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BC9D216" w14:textId="77777777" w:rsidR="00DD71BD" w:rsidRPr="0066519A" w:rsidRDefault="00DD71BD" w:rsidP="00DD71BD">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p w14:paraId="21B341AD" w14:textId="77777777" w:rsidR="00124364" w:rsidRDefault="00124364">
            <w:pPr>
              <w:autoSpaceDE w:val="0"/>
              <w:spacing w:after="0" w:line="240" w:lineRule="auto"/>
              <w:rPr>
                <w:rFonts w:ascii="Times New Roman" w:eastAsia="Times New Roman" w:hAnsi="Times New Roman"/>
                <w:sz w:val="20"/>
                <w:szCs w:val="20"/>
                <w:lang w:val="ro-RO"/>
              </w:rPr>
            </w:pPr>
          </w:p>
          <w:p w14:paraId="6FD2A9D5" w14:textId="2F8CF923" w:rsidR="00A21942" w:rsidRDefault="00A21942">
            <w:pPr>
              <w:autoSpaceDE w:val="0"/>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xml:space="preserve">Prevederile referitoare la schema CORSIA vor fi reglementate prin </w:t>
            </w:r>
            <w:r w:rsidRPr="00DD71BD">
              <w:rPr>
                <w:rFonts w:ascii="Times New Roman" w:hAnsi="Times New Roman"/>
                <w:color w:val="000000" w:themeColor="text1"/>
                <w:sz w:val="20"/>
                <w:szCs w:val="20"/>
                <w:lang w:val="ro-MD"/>
              </w:rPr>
              <w:t xml:space="preserve"> </w:t>
            </w:r>
            <w:r w:rsidRPr="00DD71BD">
              <w:rPr>
                <w:rFonts w:ascii="Times New Roman" w:hAnsi="Times New Roman"/>
                <w:color w:val="000000" w:themeColor="text1"/>
                <w:sz w:val="20"/>
                <w:szCs w:val="20"/>
                <w:lang w:val="ro-MD"/>
              </w:rPr>
              <w:t>Regulamentului privind instituirea și funcționarea schemei de compensare și de reducere a emisiilor de carbon pentru aviația internațională , aprobat de Guvern</w:t>
            </w:r>
            <w:r>
              <w:rPr>
                <w:rFonts w:ascii="Times New Roman" w:hAnsi="Times New Roman"/>
                <w:color w:val="000000" w:themeColor="text1"/>
                <w:sz w:val="20"/>
                <w:szCs w:val="20"/>
                <w:lang w:val="ro-MD"/>
              </w:rPr>
              <w:t>.</w:t>
            </w:r>
          </w:p>
        </w:tc>
        <w:tc>
          <w:tcPr>
            <w:tcW w:w="1464" w:type="dxa"/>
            <w:shd w:val="clear" w:color="auto" w:fill="auto"/>
          </w:tcPr>
          <w:p w14:paraId="44221BBD" w14:textId="77777777" w:rsidR="00DD71BD" w:rsidRPr="00B53434" w:rsidRDefault="00DD71BD" w:rsidP="00DD71B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6B8EFABF" w14:textId="77777777" w:rsidR="00DD71BD" w:rsidRDefault="00DD71BD" w:rsidP="00DD71BD">
            <w:pPr>
              <w:autoSpaceDE w:val="0"/>
              <w:spacing w:after="0" w:line="240" w:lineRule="auto"/>
              <w:rPr>
                <w:rFonts w:ascii="Times New Roman" w:hAnsi="Times New Roman"/>
                <w:sz w:val="20"/>
                <w:szCs w:val="20"/>
                <w:shd w:val="clear" w:color="auto" w:fill="FFFFFF"/>
                <w:lang w:val="ro-RO"/>
              </w:rPr>
            </w:pPr>
          </w:p>
          <w:p w14:paraId="67367077" w14:textId="77777777" w:rsidR="00DD71BD" w:rsidRPr="003F755D" w:rsidRDefault="00DD71BD" w:rsidP="00DD71B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05CAC0D" w14:textId="7CD77DB3" w:rsidR="00124364" w:rsidRPr="00DD71BD" w:rsidRDefault="00124364" w:rsidP="00DD71BD">
            <w:pPr>
              <w:autoSpaceDE w:val="0"/>
              <w:spacing w:after="0" w:line="240" w:lineRule="auto"/>
              <w:rPr>
                <w:rFonts w:ascii="Times New Roman" w:hAnsi="Times New Roman"/>
                <w:sz w:val="20"/>
                <w:szCs w:val="20"/>
                <w:lang w:val="ro-RO"/>
              </w:rPr>
            </w:pPr>
          </w:p>
        </w:tc>
      </w:tr>
      <w:tr w:rsidR="00124364" w14:paraId="7CDAF9D4" w14:textId="77777777">
        <w:trPr>
          <w:trHeight w:val="558"/>
        </w:trPr>
        <w:tc>
          <w:tcPr>
            <w:tcW w:w="4957" w:type="dxa"/>
            <w:shd w:val="clear" w:color="auto" w:fill="auto"/>
          </w:tcPr>
          <w:p w14:paraId="33D54FAF" w14:textId="77777777" w:rsidR="00124364" w:rsidRPr="00DD71BD"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D71BD">
              <w:rPr>
                <w:rFonts w:eastAsia="Arial Unicode MS"/>
                <w:i/>
                <w:iCs/>
                <w:color w:val="000000" w:themeColor="text1"/>
                <w:sz w:val="20"/>
                <w:szCs w:val="20"/>
                <w:shd w:val="clear" w:color="auto" w:fill="FFFFFF"/>
                <w:lang w:val="en-US"/>
              </w:rPr>
              <w:lastRenderedPageBreak/>
              <w:t>Articolul</w:t>
            </w:r>
            <w:proofErr w:type="spellEnd"/>
            <w:r w:rsidRPr="00DD71BD">
              <w:rPr>
                <w:rFonts w:eastAsia="Arial Unicode MS"/>
                <w:i/>
                <w:iCs/>
                <w:color w:val="000000" w:themeColor="text1"/>
                <w:sz w:val="20"/>
                <w:szCs w:val="20"/>
                <w:shd w:val="clear" w:color="auto" w:fill="FFFFFF"/>
                <w:lang w:val="en-US"/>
              </w:rPr>
              <w:t xml:space="preserve"> 13</w:t>
            </w:r>
          </w:p>
          <w:p w14:paraId="195EB57B" w14:textId="77777777" w:rsidR="00124364" w:rsidRPr="00DD71BD"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DD71BD">
              <w:rPr>
                <w:rFonts w:eastAsia="Arial Unicode MS"/>
                <w:b/>
                <w:bCs/>
                <w:color w:val="000000" w:themeColor="text1"/>
                <w:sz w:val="20"/>
                <w:szCs w:val="20"/>
                <w:shd w:val="clear" w:color="auto" w:fill="FFFFFF"/>
                <w:lang w:val="en-US"/>
              </w:rPr>
              <w:t>Valabilitatea</w:t>
            </w:r>
            <w:proofErr w:type="spellEnd"/>
            <w:r w:rsidRPr="00DD71BD">
              <w:rPr>
                <w:rFonts w:eastAsia="Arial Unicode MS"/>
                <w:b/>
                <w:bCs/>
                <w:color w:val="000000" w:themeColor="text1"/>
                <w:sz w:val="20"/>
                <w:szCs w:val="20"/>
                <w:shd w:val="clear" w:color="auto" w:fill="FFFFFF"/>
                <w:lang w:val="en-US"/>
              </w:rPr>
              <w:t xml:space="preserve"> </w:t>
            </w:r>
            <w:proofErr w:type="spellStart"/>
            <w:r w:rsidRPr="00DD71BD">
              <w:rPr>
                <w:rFonts w:eastAsia="Arial Unicode MS"/>
                <w:b/>
                <w:bCs/>
                <w:color w:val="000000" w:themeColor="text1"/>
                <w:sz w:val="20"/>
                <w:szCs w:val="20"/>
                <w:shd w:val="clear" w:color="auto" w:fill="FFFFFF"/>
                <w:lang w:val="en-US"/>
              </w:rPr>
              <w:t>certificatelor</w:t>
            </w:r>
            <w:proofErr w:type="spellEnd"/>
          </w:p>
          <w:p w14:paraId="6164FF68" w14:textId="1BB5002C" w:rsidR="00124364" w:rsidRPr="00DD71BD" w:rsidRDefault="00000000" w:rsidP="00DD71B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D71BD">
              <w:rPr>
                <w:rFonts w:eastAsia="Arial Unicode MS"/>
                <w:color w:val="000000" w:themeColor="text1"/>
                <w:sz w:val="20"/>
                <w:szCs w:val="20"/>
                <w:shd w:val="clear" w:color="auto" w:fill="FFFFFF"/>
                <w:lang w:val="en-US"/>
              </w:rPr>
              <w:t>Certificatele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începând</w:t>
            </w:r>
            <w:proofErr w:type="spellEnd"/>
            <w:r w:rsidRPr="00DD71BD">
              <w:rPr>
                <w:rFonts w:eastAsia="Arial Unicode MS"/>
                <w:color w:val="000000" w:themeColor="text1"/>
                <w:sz w:val="20"/>
                <w:szCs w:val="20"/>
                <w:shd w:val="clear" w:color="auto" w:fill="FFFFFF"/>
                <w:lang w:val="en-US"/>
              </w:rPr>
              <w:t xml:space="preserve"> cu 1</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ianuarie</w:t>
            </w:r>
            <w:proofErr w:type="spellEnd"/>
            <w:r w:rsidRPr="00DD71BD">
              <w:rPr>
                <w:rFonts w:eastAsia="Arial Unicode MS"/>
                <w:color w:val="000000" w:themeColor="text1"/>
                <w:sz w:val="20"/>
                <w:szCs w:val="20"/>
                <w:shd w:val="clear" w:color="auto" w:fill="FFFFFF"/>
                <w:lang w:val="en-US"/>
              </w:rPr>
              <w:t xml:space="preserve"> 2013 sunt </w:t>
            </w:r>
            <w:proofErr w:type="spellStart"/>
            <w:r w:rsidRPr="00DD71BD">
              <w:rPr>
                <w:rFonts w:eastAsia="Arial Unicode MS"/>
                <w:color w:val="000000" w:themeColor="text1"/>
                <w:sz w:val="20"/>
                <w:szCs w:val="20"/>
                <w:shd w:val="clear" w:color="auto" w:fill="FFFFFF"/>
                <w:lang w:val="en-US"/>
              </w:rPr>
              <w:t>valabile</w:t>
            </w:r>
            <w:proofErr w:type="spellEnd"/>
            <w:r w:rsidRPr="00DD71BD">
              <w:rPr>
                <w:rFonts w:eastAsia="Arial Unicode MS"/>
                <w:color w:val="000000" w:themeColor="text1"/>
                <w:sz w:val="20"/>
                <w:szCs w:val="20"/>
                <w:shd w:val="clear" w:color="auto" w:fill="FFFFFF"/>
                <w:lang w:val="en-US"/>
              </w:rPr>
              <w:t xml:space="preserve"> o </w:t>
            </w:r>
            <w:proofErr w:type="spellStart"/>
            <w:r w:rsidRPr="00DD71BD">
              <w:rPr>
                <w:rFonts w:eastAsia="Arial Unicode MS"/>
                <w:color w:val="000000" w:themeColor="text1"/>
                <w:sz w:val="20"/>
                <w:szCs w:val="20"/>
                <w:shd w:val="clear" w:color="auto" w:fill="FFFFFF"/>
                <w:lang w:val="en-US"/>
              </w:rPr>
              <w:t>perioadă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nelimitată</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Certificatele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începând</w:t>
            </w:r>
            <w:proofErr w:type="spellEnd"/>
            <w:r w:rsidRPr="00DD71BD">
              <w:rPr>
                <w:rFonts w:eastAsia="Arial Unicode MS"/>
                <w:color w:val="000000" w:themeColor="text1"/>
                <w:sz w:val="20"/>
                <w:szCs w:val="20"/>
                <w:shd w:val="clear" w:color="auto" w:fill="FFFFFF"/>
                <w:lang w:val="en-US"/>
              </w:rPr>
              <w:t xml:space="preserve"> cu 1</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ianuarie</w:t>
            </w:r>
            <w:proofErr w:type="spellEnd"/>
            <w:r w:rsidRPr="00DD71BD">
              <w:rPr>
                <w:rFonts w:eastAsia="Arial Unicode MS"/>
                <w:color w:val="000000" w:themeColor="text1"/>
                <w:sz w:val="20"/>
                <w:szCs w:val="20"/>
                <w:shd w:val="clear" w:color="auto" w:fill="FFFFFF"/>
                <w:lang w:val="en-US"/>
              </w:rPr>
              <w:t xml:space="preserve"> 2021 </w:t>
            </w:r>
            <w:proofErr w:type="spellStart"/>
            <w:r w:rsidRPr="00DD71BD">
              <w:rPr>
                <w:rFonts w:eastAsia="Arial Unicode MS"/>
                <w:color w:val="000000" w:themeColor="text1"/>
                <w:sz w:val="20"/>
                <w:szCs w:val="20"/>
                <w:shd w:val="clear" w:color="auto" w:fill="FFFFFF"/>
                <w:lang w:val="en-US"/>
              </w:rPr>
              <w:t>includ</w:t>
            </w:r>
            <w:proofErr w:type="spellEnd"/>
            <w:r w:rsidRPr="00DD71BD">
              <w:rPr>
                <w:rFonts w:eastAsia="Arial Unicode MS"/>
                <w:color w:val="000000" w:themeColor="text1"/>
                <w:sz w:val="20"/>
                <w:szCs w:val="20"/>
                <w:shd w:val="clear" w:color="auto" w:fill="FFFFFF"/>
                <w:lang w:val="en-US"/>
              </w:rPr>
              <w:t xml:space="preserve"> o </w:t>
            </w:r>
            <w:proofErr w:type="spellStart"/>
            <w:r w:rsidRPr="00DD71BD">
              <w:rPr>
                <w:rFonts w:eastAsia="Arial Unicode MS"/>
                <w:color w:val="000000" w:themeColor="text1"/>
                <w:sz w:val="20"/>
                <w:szCs w:val="20"/>
                <w:shd w:val="clear" w:color="auto" w:fill="FFFFFF"/>
                <w:lang w:val="en-US"/>
              </w:rPr>
              <w:t>mențiune</w:t>
            </w:r>
            <w:proofErr w:type="spellEnd"/>
            <w:r w:rsidRPr="00DD71BD">
              <w:rPr>
                <w:rFonts w:eastAsia="Arial Unicode MS"/>
                <w:color w:val="000000" w:themeColor="text1"/>
                <w:sz w:val="20"/>
                <w:szCs w:val="20"/>
                <w:shd w:val="clear" w:color="auto" w:fill="FFFFFF"/>
                <w:lang w:val="en-US"/>
              </w:rPr>
              <w:t xml:space="preserve"> care </w:t>
            </w:r>
            <w:proofErr w:type="spellStart"/>
            <w:r w:rsidRPr="00DD71BD">
              <w:rPr>
                <w:rFonts w:eastAsia="Arial Unicode MS"/>
                <w:color w:val="000000" w:themeColor="text1"/>
                <w:sz w:val="20"/>
                <w:szCs w:val="20"/>
                <w:shd w:val="clear" w:color="auto" w:fill="FFFFFF"/>
                <w:lang w:val="en-US"/>
              </w:rPr>
              <w:t>indică</w:t>
            </w:r>
            <w:proofErr w:type="spellEnd"/>
            <w:r w:rsidRPr="00DD71BD">
              <w:rPr>
                <w:rFonts w:eastAsia="Arial Unicode MS"/>
                <w:color w:val="000000" w:themeColor="text1"/>
                <w:sz w:val="20"/>
                <w:szCs w:val="20"/>
                <w:shd w:val="clear" w:color="auto" w:fill="FFFFFF"/>
                <w:lang w:val="en-US"/>
              </w:rPr>
              <w:t xml:space="preserve"> în </w:t>
            </w:r>
            <w:proofErr w:type="spellStart"/>
            <w:r w:rsidRPr="00DD71BD">
              <w:rPr>
                <w:rFonts w:eastAsia="Arial Unicode MS"/>
                <w:color w:val="000000" w:themeColor="text1"/>
                <w:sz w:val="20"/>
                <w:szCs w:val="20"/>
                <w:shd w:val="clear" w:color="auto" w:fill="FFFFFF"/>
                <w:lang w:val="en-US"/>
              </w:rPr>
              <w:t>ce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perioadă</w:t>
            </w:r>
            <w:proofErr w:type="spellEnd"/>
            <w:r w:rsidRPr="00DD71BD">
              <w:rPr>
                <w:rFonts w:eastAsia="Arial Unicode MS"/>
                <w:color w:val="000000" w:themeColor="text1"/>
                <w:sz w:val="20"/>
                <w:szCs w:val="20"/>
                <w:shd w:val="clear" w:color="auto" w:fill="FFFFFF"/>
                <w:lang w:val="en-US"/>
              </w:rPr>
              <w:t xml:space="preserve"> de </w:t>
            </w:r>
            <w:proofErr w:type="spellStart"/>
            <w:r w:rsidRPr="00DD71BD">
              <w:rPr>
                <w:rFonts w:eastAsia="Arial Unicode MS"/>
                <w:color w:val="000000" w:themeColor="text1"/>
                <w:sz w:val="20"/>
                <w:szCs w:val="20"/>
                <w:shd w:val="clear" w:color="auto" w:fill="FFFFFF"/>
                <w:lang w:val="en-US"/>
              </w:rPr>
              <w:t>zece</w:t>
            </w:r>
            <w:proofErr w:type="spellEnd"/>
            <w:r w:rsidRPr="00DD71BD">
              <w:rPr>
                <w:rFonts w:eastAsia="Arial Unicode MS"/>
                <w:color w:val="000000" w:themeColor="text1"/>
                <w:sz w:val="20"/>
                <w:szCs w:val="20"/>
                <w:shd w:val="clear" w:color="auto" w:fill="FFFFFF"/>
                <w:lang w:val="en-US"/>
              </w:rPr>
              <w:t xml:space="preserve"> ani, </w:t>
            </w:r>
            <w:proofErr w:type="spellStart"/>
            <w:r w:rsidRPr="00DD71BD">
              <w:rPr>
                <w:rFonts w:eastAsia="Arial Unicode MS"/>
                <w:color w:val="000000" w:themeColor="text1"/>
                <w:sz w:val="20"/>
                <w:szCs w:val="20"/>
                <w:shd w:val="clear" w:color="auto" w:fill="FFFFFF"/>
                <w:lang w:val="en-US"/>
              </w:rPr>
              <w:t>începând</w:t>
            </w:r>
            <w:proofErr w:type="spellEnd"/>
            <w:r w:rsidRPr="00DD71BD">
              <w:rPr>
                <w:rFonts w:eastAsia="Arial Unicode MS"/>
                <w:color w:val="000000" w:themeColor="text1"/>
                <w:sz w:val="20"/>
                <w:szCs w:val="20"/>
                <w:shd w:val="clear" w:color="auto" w:fill="FFFFFF"/>
                <w:lang w:val="en-US"/>
              </w:rPr>
              <w:t xml:space="preserve"> cu 1</w:t>
            </w:r>
            <w:r w:rsidR="00DD71BD"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ianuarie</w:t>
            </w:r>
            <w:proofErr w:type="spellEnd"/>
            <w:r w:rsidRPr="00DD71BD">
              <w:rPr>
                <w:rFonts w:eastAsia="Arial Unicode MS"/>
                <w:color w:val="000000" w:themeColor="text1"/>
                <w:sz w:val="20"/>
                <w:szCs w:val="20"/>
                <w:shd w:val="clear" w:color="auto" w:fill="FFFFFF"/>
                <w:lang w:val="en-US"/>
              </w:rPr>
              <w:t xml:space="preserve"> 2021, au </w:t>
            </w:r>
            <w:proofErr w:type="spellStart"/>
            <w:r w:rsidRPr="00DD71BD">
              <w:rPr>
                <w:rFonts w:eastAsia="Arial Unicode MS"/>
                <w:color w:val="000000" w:themeColor="text1"/>
                <w:sz w:val="20"/>
                <w:szCs w:val="20"/>
                <w:shd w:val="clear" w:color="auto" w:fill="FFFFFF"/>
                <w:lang w:val="en-US"/>
              </w:rPr>
              <w:t>fost</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eliberate</w:t>
            </w:r>
            <w:proofErr w:type="spellEnd"/>
            <w:r w:rsidRPr="00DD71BD">
              <w:rPr>
                <w:rFonts w:eastAsia="Arial Unicode MS"/>
                <w:color w:val="000000" w:themeColor="text1"/>
                <w:sz w:val="20"/>
                <w:szCs w:val="20"/>
                <w:shd w:val="clear" w:color="auto" w:fill="FFFFFF"/>
                <w:lang w:val="en-US"/>
              </w:rPr>
              <w:t xml:space="preserve"> și sunt </w:t>
            </w:r>
            <w:proofErr w:type="spellStart"/>
            <w:r w:rsidRPr="00DD71BD">
              <w:rPr>
                <w:rFonts w:eastAsia="Arial Unicode MS"/>
                <w:color w:val="000000" w:themeColor="text1"/>
                <w:sz w:val="20"/>
                <w:szCs w:val="20"/>
                <w:shd w:val="clear" w:color="auto" w:fill="FFFFFF"/>
                <w:lang w:val="en-US"/>
              </w:rPr>
              <w:t>valabile</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pentru</w:t>
            </w:r>
            <w:proofErr w:type="spellEnd"/>
            <w:r w:rsidRPr="00DD71BD">
              <w:rPr>
                <w:rFonts w:eastAsia="Arial Unicode MS"/>
                <w:color w:val="000000" w:themeColor="text1"/>
                <w:sz w:val="20"/>
                <w:szCs w:val="20"/>
                <w:shd w:val="clear" w:color="auto" w:fill="FFFFFF"/>
                <w:lang w:val="en-US"/>
              </w:rPr>
              <w:t xml:space="preserve"> </w:t>
            </w:r>
            <w:proofErr w:type="spellStart"/>
            <w:r w:rsidRPr="00DD71BD">
              <w:rPr>
                <w:rFonts w:eastAsia="Arial Unicode MS"/>
                <w:color w:val="000000" w:themeColor="text1"/>
                <w:sz w:val="20"/>
                <w:szCs w:val="20"/>
                <w:shd w:val="clear" w:color="auto" w:fill="FFFFFF"/>
                <w:lang w:val="en-US"/>
              </w:rPr>
              <w:t>emisiile</w:t>
            </w:r>
            <w:proofErr w:type="spellEnd"/>
            <w:r w:rsidRPr="00DD71BD">
              <w:rPr>
                <w:rFonts w:eastAsia="Arial Unicode MS"/>
                <w:color w:val="000000" w:themeColor="text1"/>
                <w:sz w:val="20"/>
                <w:szCs w:val="20"/>
                <w:shd w:val="clear" w:color="auto" w:fill="FFFFFF"/>
                <w:lang w:val="en-US"/>
              </w:rPr>
              <w:t xml:space="preserve"> generate </w:t>
            </w:r>
            <w:proofErr w:type="spellStart"/>
            <w:r w:rsidRPr="00DD71BD">
              <w:rPr>
                <w:rFonts w:eastAsia="Arial Unicode MS"/>
                <w:color w:val="000000" w:themeColor="text1"/>
                <w:sz w:val="20"/>
                <w:szCs w:val="20"/>
                <w:shd w:val="clear" w:color="auto" w:fill="FFFFFF"/>
                <w:lang w:val="en-US"/>
              </w:rPr>
              <w:t>începând</w:t>
            </w:r>
            <w:proofErr w:type="spellEnd"/>
            <w:r w:rsidRPr="00DD71BD">
              <w:rPr>
                <w:rFonts w:eastAsia="Arial Unicode MS"/>
                <w:color w:val="000000" w:themeColor="text1"/>
                <w:sz w:val="20"/>
                <w:szCs w:val="20"/>
                <w:shd w:val="clear" w:color="auto" w:fill="FFFFFF"/>
                <w:lang w:val="en-US"/>
              </w:rPr>
              <w:t xml:space="preserve"> cu </w:t>
            </w:r>
            <w:proofErr w:type="spellStart"/>
            <w:r w:rsidRPr="00DD71BD">
              <w:rPr>
                <w:rFonts w:eastAsia="Arial Unicode MS"/>
                <w:color w:val="000000" w:themeColor="text1"/>
                <w:sz w:val="20"/>
                <w:szCs w:val="20"/>
                <w:shd w:val="clear" w:color="auto" w:fill="FFFFFF"/>
                <w:lang w:val="en-US"/>
              </w:rPr>
              <w:t>primul</w:t>
            </w:r>
            <w:proofErr w:type="spellEnd"/>
            <w:r w:rsidRPr="00DD71BD">
              <w:rPr>
                <w:rFonts w:eastAsia="Arial Unicode MS"/>
                <w:color w:val="000000" w:themeColor="text1"/>
                <w:sz w:val="20"/>
                <w:szCs w:val="20"/>
                <w:shd w:val="clear" w:color="auto" w:fill="FFFFFF"/>
                <w:lang w:val="en-US"/>
              </w:rPr>
              <w:t xml:space="preserve"> </w:t>
            </w:r>
            <w:proofErr w:type="spellStart"/>
            <w:proofErr w:type="gramStart"/>
            <w:r w:rsidRPr="00DD71BD">
              <w:rPr>
                <w:rFonts w:eastAsia="Arial Unicode MS"/>
                <w:color w:val="000000" w:themeColor="text1"/>
                <w:sz w:val="20"/>
                <w:szCs w:val="20"/>
                <w:shd w:val="clear" w:color="auto" w:fill="FFFFFF"/>
                <w:lang w:val="en-US"/>
              </w:rPr>
              <w:t>an</w:t>
            </w:r>
            <w:proofErr w:type="gramEnd"/>
            <w:r w:rsidRPr="00DD71BD">
              <w:rPr>
                <w:rFonts w:eastAsia="Arial Unicode MS"/>
                <w:color w:val="000000" w:themeColor="text1"/>
                <w:sz w:val="20"/>
                <w:szCs w:val="20"/>
                <w:shd w:val="clear" w:color="auto" w:fill="FFFFFF"/>
                <w:lang w:val="en-US"/>
              </w:rPr>
              <w:t xml:space="preserve"> din</w:t>
            </w:r>
            <w:proofErr w:type="spellEnd"/>
            <w:r w:rsidRPr="00DD71BD">
              <w:rPr>
                <w:rFonts w:eastAsia="Arial Unicode MS"/>
                <w:color w:val="000000" w:themeColor="text1"/>
                <w:sz w:val="20"/>
                <w:szCs w:val="20"/>
                <w:shd w:val="clear" w:color="auto" w:fill="FFFFFF"/>
                <w:lang w:val="en-US"/>
              </w:rPr>
              <w:t xml:space="preserve"> perioada </w:t>
            </w:r>
            <w:proofErr w:type="spellStart"/>
            <w:r w:rsidRPr="00DD71BD">
              <w:rPr>
                <w:rFonts w:eastAsia="Arial Unicode MS"/>
                <w:color w:val="000000" w:themeColor="text1"/>
                <w:sz w:val="20"/>
                <w:szCs w:val="20"/>
                <w:shd w:val="clear" w:color="auto" w:fill="FFFFFF"/>
                <w:lang w:val="en-US"/>
              </w:rPr>
              <w:t>respectivă</w:t>
            </w:r>
            <w:proofErr w:type="spellEnd"/>
            <w:r w:rsidRPr="00DD71BD">
              <w:rPr>
                <w:rFonts w:eastAsia="Arial Unicode MS"/>
                <w:color w:val="000000" w:themeColor="text1"/>
                <w:sz w:val="20"/>
                <w:szCs w:val="20"/>
                <w:shd w:val="clear" w:color="auto" w:fill="FFFFFF"/>
                <w:lang w:val="en-US"/>
              </w:rPr>
              <w:t>.</w:t>
            </w:r>
          </w:p>
          <w:p w14:paraId="7AA71CCF"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23"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78091DD8"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F946C5B" w14:textId="0E415E1B" w:rsidR="00124364" w:rsidRDefault="00313E92" w:rsidP="00313E92">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 xml:space="preserve">Incompatibil </w:t>
            </w:r>
          </w:p>
        </w:tc>
        <w:tc>
          <w:tcPr>
            <w:tcW w:w="1275" w:type="dxa"/>
            <w:shd w:val="clear" w:color="auto" w:fill="auto"/>
          </w:tcPr>
          <w:p w14:paraId="0C0DC590"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760EB60" w14:textId="52DF6580" w:rsidR="00124364" w:rsidRPr="003567EB" w:rsidRDefault="00313E92" w:rsidP="003567EB">
            <w:pPr>
              <w:autoSpaceDE w:val="0"/>
              <w:spacing w:after="0" w:line="240" w:lineRule="auto"/>
              <w:rPr>
                <w:rFonts w:ascii="Times New Roman" w:eastAsiaTheme="minorHAnsi" w:hAnsi="Times New Roman"/>
                <w:color w:val="000000" w:themeColor="text1"/>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25D87A5D" w14:textId="77777777" w:rsidR="00124364" w:rsidRDefault="00124364" w:rsidP="00313E92">
            <w:pPr>
              <w:autoSpaceDE w:val="0"/>
              <w:spacing w:after="0" w:line="240" w:lineRule="auto"/>
              <w:rPr>
                <w:rFonts w:ascii="Times New Roman" w:hAnsi="Times New Roman"/>
                <w:sz w:val="20"/>
                <w:szCs w:val="20"/>
                <w:lang w:val="fr-FR"/>
              </w:rPr>
            </w:pPr>
          </w:p>
        </w:tc>
      </w:tr>
      <w:tr w:rsidR="00124364" w14:paraId="606742C9" w14:textId="77777777">
        <w:trPr>
          <w:trHeight w:val="558"/>
        </w:trPr>
        <w:tc>
          <w:tcPr>
            <w:tcW w:w="4957" w:type="dxa"/>
            <w:shd w:val="clear" w:color="auto" w:fill="auto"/>
          </w:tcPr>
          <w:p w14:paraId="77AF351F"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14</w:t>
            </w:r>
          </w:p>
          <w:p w14:paraId="1795D0E3" w14:textId="7777777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Monitorizarea</w:t>
            </w:r>
            <w:proofErr w:type="spellEnd"/>
            <w:r w:rsidRPr="00E34C2B">
              <w:rPr>
                <w:rFonts w:eastAsia="Arial Unicode MS"/>
                <w:b/>
                <w:bCs/>
                <w:color w:val="333333"/>
                <w:sz w:val="20"/>
                <w:szCs w:val="20"/>
                <w:shd w:val="clear" w:color="auto" w:fill="FFFFFF"/>
                <w:lang w:val="en-US"/>
              </w:rPr>
              <w:t xml:space="preserve"> și </w:t>
            </w:r>
            <w:proofErr w:type="spellStart"/>
            <w:r w:rsidRPr="00E34C2B">
              <w:rPr>
                <w:rFonts w:eastAsia="Arial Unicode MS"/>
                <w:b/>
                <w:bCs/>
                <w:color w:val="333333"/>
                <w:sz w:val="20"/>
                <w:szCs w:val="20"/>
                <w:shd w:val="clear" w:color="auto" w:fill="FFFFFF"/>
                <w:lang w:val="en-US"/>
              </w:rPr>
              <w:t>raportarea</w:t>
            </w:r>
            <w:proofErr w:type="spellEnd"/>
            <w:r w:rsidRPr="00E34C2B">
              <w:rPr>
                <w:rFonts w:eastAsia="Arial Unicode MS"/>
                <w:b/>
                <w:bCs/>
                <w:color w:val="333333"/>
                <w:sz w:val="20"/>
                <w:szCs w:val="20"/>
                <w:shd w:val="clear" w:color="auto" w:fill="FFFFFF"/>
                <w:lang w:val="en-US"/>
              </w:rPr>
              <w:t xml:space="preserve"> </w:t>
            </w:r>
            <w:proofErr w:type="spellStart"/>
            <w:r w:rsidRPr="00E34C2B">
              <w:rPr>
                <w:rFonts w:eastAsia="Arial Unicode MS"/>
                <w:b/>
                <w:bCs/>
                <w:color w:val="333333"/>
                <w:sz w:val="20"/>
                <w:szCs w:val="20"/>
                <w:shd w:val="clear" w:color="auto" w:fill="FFFFFF"/>
                <w:lang w:val="en-US"/>
              </w:rPr>
              <w:t>emisiilor</w:t>
            </w:r>
            <w:proofErr w:type="spellEnd"/>
          </w:p>
          <w:p w14:paraId="697B5A39"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24" w:tooltip="32018L0410: REPLACED" w:history="1">
              <w:r w:rsidRPr="00E34C2B">
                <w:rPr>
                  <w:rStyle w:val="af3"/>
                  <w:rFonts w:eastAsia="Arial Unicode MS"/>
                  <w:b/>
                  <w:bCs/>
                  <w:color w:val="4472C4" w:themeColor="accent1"/>
                  <w:sz w:val="20"/>
                  <w:szCs w:val="20"/>
                  <w:lang w:val="en-US"/>
                </w:rPr>
                <w:t>▼M9</w:t>
              </w:r>
            </w:hyperlink>
          </w:p>
          <w:p w14:paraId="3C411AAB" w14:textId="72265189" w:rsidR="00124364" w:rsidRPr="00313E92" w:rsidRDefault="00000000" w:rsidP="00313E92">
            <w:pPr>
              <w:pStyle w:val="ti-art"/>
              <w:numPr>
                <w:ilvl w:val="0"/>
                <w:numId w:val="88"/>
              </w:numPr>
              <w:shd w:val="clear" w:color="auto" w:fill="FFFFFF"/>
              <w:spacing w:before="0" w:beforeAutospacing="0" w:after="0" w:afterAutospacing="0"/>
              <w:jc w:val="both"/>
              <w:rPr>
                <w:rStyle w:val="boldface"/>
                <w:rFonts w:eastAsia="Arial Unicode MS"/>
                <w:color w:val="000000" w:themeColor="text1"/>
                <w:sz w:val="20"/>
                <w:szCs w:val="20"/>
                <w:shd w:val="clear" w:color="auto" w:fill="FFFFFF"/>
                <w:lang w:val="en-US"/>
              </w:rPr>
            </w:pPr>
            <w:hyperlink r:id="rId225" w:tooltip="32023L0959: REPLACED" w:history="1">
              <w:r>
                <w:rPr>
                  <w:rStyle w:val="boldface"/>
                  <w:rFonts w:eastAsia="Arial Unicode MS"/>
                  <w:b/>
                  <w:bCs/>
                  <w:color w:val="800080"/>
                  <w:sz w:val="20"/>
                  <w:szCs w:val="20"/>
                  <w:lang w:val="en-US"/>
                </w:rPr>
                <w:t>►M15</w:t>
              </w:r>
            </w:hyperlink>
            <w:r w:rsidR="00313E92">
              <w:rPr>
                <w:rStyle w:val="apple-converted-space"/>
                <w:rFonts w:eastAsia="Arial Unicode MS"/>
                <w:color w:val="800080"/>
                <w:sz w:val="20"/>
                <w:szCs w:val="20"/>
                <w:lang w:val="en-US"/>
              </w:rPr>
              <w:t xml:space="preserve"> </w:t>
            </w: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adoptă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modalitățile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detaliate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după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caz</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datelor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aferente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activităților</w:t>
            </w:r>
            <w:proofErr w:type="spellEnd"/>
            <w:r w:rsidRPr="00313E92">
              <w:rPr>
                <w:rFonts w:eastAsia="Arial Unicode MS"/>
                <w:color w:val="000000" w:themeColor="text1"/>
                <w:sz w:val="20"/>
                <w:szCs w:val="20"/>
                <w:shd w:val="clear" w:color="auto" w:fill="FFFFFF"/>
                <w:lang w:val="en-US"/>
              </w:rPr>
              <w:t xml:space="preserve"> enumerate în </w:t>
            </w:r>
            <w:proofErr w:type="spellStart"/>
            <w:r w:rsidRPr="00313E92">
              <w:rPr>
                <w:rFonts w:eastAsia="Arial Unicode MS"/>
                <w:color w:val="000000" w:themeColor="text1"/>
                <w:sz w:val="20"/>
                <w:szCs w:val="20"/>
                <w:shd w:val="clear" w:color="auto" w:fill="FFFFFF"/>
                <w:lang w:val="en-US"/>
              </w:rPr>
              <w:t>anexa</w:t>
            </w:r>
            <w:proofErr w:type="spellEnd"/>
            <w:r w:rsidRPr="00313E92">
              <w:rPr>
                <w:rFonts w:eastAsia="Arial Unicode MS"/>
                <w:color w:val="000000" w:themeColor="text1"/>
                <w:sz w:val="20"/>
                <w:szCs w:val="20"/>
                <w:shd w:val="clear" w:color="auto" w:fill="FFFFFF"/>
                <w:lang w:val="en-US"/>
              </w:rPr>
              <w:t xml:space="preserve"> I la prezenta </w:t>
            </w:r>
            <w:proofErr w:type="spellStart"/>
            <w:r w:rsidRPr="00313E92">
              <w:rPr>
                <w:rFonts w:eastAsia="Arial Unicode MS"/>
                <w:color w:val="000000" w:themeColor="text1"/>
                <w:sz w:val="20"/>
                <w:szCs w:val="20"/>
                <w:shd w:val="clear" w:color="auto" w:fill="FFFFFF"/>
                <w:lang w:val="en-US"/>
              </w:rPr>
              <w:t>directivă</w:t>
            </w:r>
            <w:proofErr w:type="spellEnd"/>
            <w:r w:rsidRPr="00313E92">
              <w:rPr>
                <w:rFonts w:eastAsia="Arial Unicode MS"/>
                <w:color w:val="000000" w:themeColor="text1"/>
                <w:sz w:val="20"/>
                <w:szCs w:val="20"/>
                <w:shd w:val="clear" w:color="auto" w:fill="FFFFFF"/>
                <w:lang w:val="en-US"/>
              </w:rPr>
              <w:t xml:space="preserve">, precum și a </w:t>
            </w:r>
            <w:proofErr w:type="spellStart"/>
            <w:r w:rsidRPr="00313E92">
              <w:rPr>
                <w:rFonts w:eastAsia="Arial Unicode MS"/>
                <w:color w:val="000000" w:themeColor="text1"/>
                <w:sz w:val="20"/>
                <w:szCs w:val="20"/>
                <w:shd w:val="clear" w:color="auto" w:fill="FFFFFF"/>
                <w:lang w:val="en-US"/>
              </w:rPr>
              <w:t>efectelor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cele</w:t>
            </w:r>
            <w:proofErr w:type="spellEnd"/>
            <w:r w:rsidRPr="00313E92">
              <w:rPr>
                <w:rFonts w:eastAsia="Arial Unicode MS"/>
                <w:color w:val="000000" w:themeColor="text1"/>
                <w:sz w:val="20"/>
                <w:szCs w:val="20"/>
                <w:shd w:val="clear" w:color="auto" w:fill="FFFFFF"/>
                <w:lang w:val="en-US"/>
              </w:rPr>
              <w:t xml:space="preserve"> legate de CO</w:t>
            </w:r>
            <w:r w:rsidRPr="00313E92">
              <w:rPr>
                <w:rStyle w:val="subscript"/>
                <w:rFonts w:eastAsia="Arial Unicode MS"/>
                <w:color w:val="000000" w:themeColor="text1"/>
                <w:sz w:val="20"/>
                <w:szCs w:val="20"/>
                <w:vertAlign w:val="subscript"/>
                <w:lang w:val="en-US"/>
              </w:rPr>
              <w:t>2</w:t>
            </w:r>
            <w:r w:rsidR="00313E92">
              <w:rPr>
                <w:rStyle w:val="apple-converted-space"/>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pe </w:t>
            </w:r>
            <w:proofErr w:type="spellStart"/>
            <w:r w:rsidRPr="00313E92">
              <w:rPr>
                <w:rFonts w:eastAsia="Arial Unicode MS"/>
                <w:color w:val="000000" w:themeColor="text1"/>
                <w:sz w:val="20"/>
                <w:szCs w:val="20"/>
                <w:shd w:val="clear" w:color="auto" w:fill="FFFFFF"/>
                <w:lang w:val="en-US"/>
              </w:rPr>
              <w:t>rutele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care se </w:t>
            </w:r>
            <w:proofErr w:type="spellStart"/>
            <w:r w:rsidRPr="00313E92">
              <w:rPr>
                <w:rFonts w:eastAsia="Arial Unicode MS"/>
                <w:color w:val="000000" w:themeColor="text1"/>
                <w:sz w:val="20"/>
                <w:szCs w:val="20"/>
                <w:shd w:val="clear" w:color="auto" w:fill="FFFFFF"/>
                <w:lang w:val="en-US"/>
              </w:rPr>
              <w:t>raportează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prezentei</w:t>
            </w:r>
            <w:proofErr w:type="spellEnd"/>
            <w:r w:rsidRPr="00313E92">
              <w:rPr>
                <w:rFonts w:eastAsia="Arial Unicode MS"/>
                <w:color w:val="000000" w:themeColor="text1"/>
                <w:sz w:val="20"/>
                <w:szCs w:val="20"/>
                <w:shd w:val="clear" w:color="auto" w:fill="FFFFFF"/>
                <w:lang w:val="en-US"/>
              </w:rPr>
              <w:t xml:space="preserve"> directive, care se </w:t>
            </w:r>
            <w:proofErr w:type="spellStart"/>
            <w:r w:rsidRPr="00313E92">
              <w:rPr>
                <w:rFonts w:eastAsia="Arial Unicode MS"/>
                <w:color w:val="000000" w:themeColor="text1"/>
                <w:sz w:val="20"/>
                <w:szCs w:val="20"/>
                <w:shd w:val="clear" w:color="auto" w:fill="FFFFFF"/>
                <w:lang w:val="en-US"/>
              </w:rPr>
              <w:t>bazează</w:t>
            </w:r>
            <w:proofErr w:type="spellEnd"/>
            <w:r w:rsidRPr="00313E92">
              <w:rPr>
                <w:rFonts w:eastAsia="Arial Unicode MS"/>
                <w:color w:val="000000" w:themeColor="text1"/>
                <w:sz w:val="20"/>
                <w:szCs w:val="20"/>
                <w:shd w:val="clear" w:color="auto" w:fill="FFFFFF"/>
                <w:lang w:val="en-US"/>
              </w:rPr>
              <w:t xml:space="preserve"> pe </w:t>
            </w:r>
            <w:proofErr w:type="spellStart"/>
            <w:r w:rsidRPr="00313E92">
              <w:rPr>
                <w:rFonts w:eastAsia="Arial Unicode MS"/>
                <w:color w:val="000000" w:themeColor="text1"/>
                <w:sz w:val="20"/>
                <w:szCs w:val="20"/>
                <w:shd w:val="clear" w:color="auto" w:fill="FFFFFF"/>
                <w:lang w:val="en-US"/>
              </w:rPr>
              <w:t>principiile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prevăzute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anexa</w:t>
            </w:r>
            <w:proofErr w:type="spellEnd"/>
            <w:r w:rsidRPr="00313E92">
              <w:rPr>
                <w:rFonts w:eastAsia="Arial Unicode MS"/>
                <w:color w:val="000000" w:themeColor="text1"/>
                <w:sz w:val="20"/>
                <w:szCs w:val="20"/>
                <w:shd w:val="clear" w:color="auto" w:fill="FFFFFF"/>
                <w:lang w:val="en-US"/>
              </w:rPr>
              <w:t xml:space="preserve"> IV la prezenta </w:t>
            </w:r>
            <w:proofErr w:type="spellStart"/>
            <w:r w:rsidRPr="00313E92">
              <w:rPr>
                <w:rFonts w:eastAsia="Arial Unicode MS"/>
                <w:color w:val="000000" w:themeColor="text1"/>
                <w:sz w:val="20"/>
                <w:szCs w:val="20"/>
                <w:shd w:val="clear" w:color="auto" w:fill="FFFFFF"/>
                <w:lang w:val="en-US"/>
              </w:rPr>
              <w:t>directivă</w:t>
            </w:r>
            <w:proofErr w:type="spellEnd"/>
            <w:r w:rsidRPr="00313E92">
              <w:rPr>
                <w:rFonts w:eastAsia="Arial Unicode MS"/>
                <w:color w:val="000000" w:themeColor="text1"/>
                <w:sz w:val="20"/>
                <w:szCs w:val="20"/>
                <w:shd w:val="clear" w:color="auto" w:fill="FFFFFF"/>
                <w:lang w:val="en-US"/>
              </w:rPr>
              <w:t xml:space="preserve"> și pe </w:t>
            </w:r>
            <w:proofErr w:type="spellStart"/>
            <w:r w:rsidRPr="00313E92">
              <w:rPr>
                <w:rFonts w:eastAsia="Arial Unicode MS"/>
                <w:color w:val="000000" w:themeColor="text1"/>
                <w:sz w:val="20"/>
                <w:szCs w:val="20"/>
                <w:shd w:val="clear" w:color="auto" w:fill="FFFFFF"/>
                <w:lang w:val="en-US"/>
              </w:rPr>
              <w:t>cerințele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prevăzute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alineatele</w:t>
            </w:r>
            <w:proofErr w:type="spellEnd"/>
            <w:r w:rsid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(2) și</w:t>
            </w:r>
            <w:r w:rsid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(5) de la </w:t>
            </w:r>
            <w:proofErr w:type="spellStart"/>
            <w:r w:rsidRPr="00313E92">
              <w:rPr>
                <w:rFonts w:eastAsia="Arial Unicode MS"/>
                <w:color w:val="000000" w:themeColor="text1"/>
                <w:sz w:val="20"/>
                <w:szCs w:val="20"/>
                <w:shd w:val="clear" w:color="auto" w:fill="FFFFFF"/>
                <w:lang w:val="en-US"/>
              </w:rPr>
              <w:t>prezentul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articol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Actele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respective </w:t>
            </w:r>
            <w:proofErr w:type="spellStart"/>
            <w:r w:rsidRPr="00313E92">
              <w:rPr>
                <w:rFonts w:eastAsia="Arial Unicode MS"/>
                <w:color w:val="000000" w:themeColor="text1"/>
                <w:sz w:val="20"/>
                <w:szCs w:val="20"/>
                <w:shd w:val="clear" w:color="auto" w:fill="FFFFFF"/>
                <w:lang w:val="en-US"/>
              </w:rPr>
              <w:t>precizează</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asemenea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potențialul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încălzire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globală</w:t>
            </w:r>
            <w:proofErr w:type="spellEnd"/>
            <w:r w:rsidRPr="00313E92">
              <w:rPr>
                <w:rFonts w:eastAsia="Arial Unicode MS"/>
                <w:color w:val="000000" w:themeColor="text1"/>
                <w:sz w:val="20"/>
                <w:szCs w:val="20"/>
                <w:shd w:val="clear" w:color="auto" w:fill="FFFFFF"/>
                <w:lang w:val="en-US"/>
              </w:rPr>
              <w:t xml:space="preserve"> al </w:t>
            </w:r>
            <w:proofErr w:type="spellStart"/>
            <w:r w:rsidRPr="00313E92">
              <w:rPr>
                <w:rFonts w:eastAsia="Arial Unicode MS"/>
                <w:color w:val="000000" w:themeColor="text1"/>
                <w:sz w:val="20"/>
                <w:szCs w:val="20"/>
                <w:shd w:val="clear" w:color="auto" w:fill="FFFFFF"/>
                <w:lang w:val="en-US"/>
              </w:rPr>
              <w:t>fiecărui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gaz</w:t>
            </w:r>
            <w:proofErr w:type="spellEnd"/>
            <w:r w:rsidRPr="00313E92">
              <w:rPr>
                <w:rFonts w:eastAsia="Arial Unicode MS"/>
                <w:color w:val="000000" w:themeColor="text1"/>
                <w:sz w:val="20"/>
                <w:szCs w:val="20"/>
                <w:shd w:val="clear" w:color="auto" w:fill="FFFFFF"/>
                <w:lang w:val="en-US"/>
              </w:rPr>
              <w:t xml:space="preserve"> cu </w:t>
            </w:r>
            <w:proofErr w:type="spellStart"/>
            <w:r w:rsidRPr="00313E92">
              <w:rPr>
                <w:rFonts w:eastAsia="Arial Unicode MS"/>
                <w:color w:val="000000" w:themeColor="text1"/>
                <w:sz w:val="20"/>
                <w:szCs w:val="20"/>
                <w:shd w:val="clear" w:color="auto" w:fill="FFFFFF"/>
                <w:lang w:val="en-US"/>
              </w:rPr>
              <w:t>efect</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seră</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țin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seama</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cunoștințele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științifice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actualizate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efectele </w:t>
            </w:r>
            <w:proofErr w:type="spellStart"/>
            <w:r w:rsidRPr="00313E92">
              <w:rPr>
                <w:rFonts w:eastAsia="Arial Unicode MS"/>
                <w:color w:val="000000" w:themeColor="text1"/>
                <w:sz w:val="20"/>
                <w:szCs w:val="20"/>
                <w:shd w:val="clear" w:color="auto" w:fill="FFFFFF"/>
                <w:lang w:val="en-US"/>
              </w:rPr>
              <w:t>altor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00313E92">
              <w:rPr>
                <w:rStyle w:val="apple-converted-space"/>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generate de </w:t>
            </w:r>
            <w:proofErr w:type="spellStart"/>
            <w:r w:rsidRPr="00313E92">
              <w:rPr>
                <w:rFonts w:eastAsia="Arial Unicode MS"/>
                <w:color w:val="000000" w:themeColor="text1"/>
                <w:sz w:val="20"/>
                <w:szCs w:val="20"/>
                <w:shd w:val="clear" w:color="auto" w:fill="FFFFFF"/>
                <w:lang w:val="en-US"/>
              </w:rPr>
              <w:t>aviație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cadrul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și a </w:t>
            </w:r>
            <w:proofErr w:type="spellStart"/>
            <w:r w:rsidRPr="00313E92">
              <w:rPr>
                <w:rFonts w:eastAsia="Arial Unicode MS"/>
                <w:color w:val="000000" w:themeColor="text1"/>
                <w:sz w:val="20"/>
                <w:szCs w:val="20"/>
                <w:shd w:val="clear" w:color="auto" w:fill="FFFFFF"/>
                <w:lang w:val="en-US"/>
              </w:rPr>
              <w:t>efectelor</w:t>
            </w:r>
            <w:proofErr w:type="spellEnd"/>
            <w:r w:rsidRPr="00313E92">
              <w:rPr>
                <w:rFonts w:eastAsia="Arial Unicode MS"/>
                <w:color w:val="000000" w:themeColor="text1"/>
                <w:sz w:val="20"/>
                <w:szCs w:val="20"/>
                <w:shd w:val="clear" w:color="auto" w:fill="FFFFFF"/>
                <w:lang w:val="en-US"/>
              </w:rPr>
              <w:t xml:space="preserve"> lor, </w:t>
            </w:r>
            <w:proofErr w:type="spellStart"/>
            <w:r w:rsidRPr="00313E92">
              <w:rPr>
                <w:rFonts w:eastAsia="Arial Unicode MS"/>
                <w:color w:val="000000" w:themeColor="text1"/>
                <w:sz w:val="20"/>
                <w:szCs w:val="20"/>
                <w:shd w:val="clear" w:color="auto" w:fill="FFFFFF"/>
                <w:lang w:val="en-US"/>
              </w:rPr>
              <w:t>inclusiv</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efectelor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cele</w:t>
            </w:r>
            <w:proofErr w:type="spellEnd"/>
            <w:r w:rsidRPr="00313E92">
              <w:rPr>
                <w:rFonts w:eastAsia="Arial Unicode MS"/>
                <w:color w:val="000000" w:themeColor="text1"/>
                <w:sz w:val="20"/>
                <w:szCs w:val="20"/>
                <w:shd w:val="clear" w:color="auto" w:fill="FFFFFF"/>
                <w:lang w:val="en-US"/>
              </w:rPr>
              <w:t xml:space="preserve"> legate de CO</w:t>
            </w:r>
            <w:r w:rsidRPr="00313E92">
              <w:rPr>
                <w:rStyle w:val="subscript"/>
                <w:rFonts w:eastAsia="Arial Unicode MS"/>
                <w:color w:val="000000" w:themeColor="text1"/>
                <w:sz w:val="20"/>
                <w:szCs w:val="20"/>
                <w:vertAlign w:val="subscript"/>
                <w:lang w:val="en-US"/>
              </w:rPr>
              <w:t>2</w:t>
            </w:r>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Actele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respective </w:t>
            </w:r>
            <w:proofErr w:type="spellStart"/>
            <w:r w:rsidRPr="00313E92">
              <w:rPr>
                <w:rFonts w:eastAsia="Arial Unicode MS"/>
                <w:color w:val="000000" w:themeColor="text1"/>
                <w:sz w:val="20"/>
                <w:szCs w:val="20"/>
                <w:shd w:val="clear" w:color="auto" w:fill="FFFFFF"/>
                <w:lang w:val="en-US"/>
              </w:rPr>
              <w:t>reglementează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aplicarea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criteriilor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durabilitate</w:t>
            </w:r>
            <w:proofErr w:type="spellEnd"/>
            <w:r w:rsidRPr="00313E92">
              <w:rPr>
                <w:rFonts w:eastAsia="Arial Unicode MS"/>
                <w:color w:val="000000" w:themeColor="text1"/>
                <w:sz w:val="20"/>
                <w:szCs w:val="20"/>
                <w:shd w:val="clear" w:color="auto" w:fill="FFFFFF"/>
                <w:lang w:val="en-US"/>
              </w:rPr>
              <w:t xml:space="preserve"> și de </w:t>
            </w:r>
            <w:proofErr w:type="spellStart"/>
            <w:r w:rsidRPr="00313E92">
              <w:rPr>
                <w:rFonts w:eastAsia="Arial Unicode MS"/>
                <w:color w:val="000000" w:themeColor="text1"/>
                <w:sz w:val="20"/>
                <w:szCs w:val="20"/>
                <w:shd w:val="clear" w:color="auto" w:fill="FFFFFF"/>
                <w:lang w:val="en-US"/>
              </w:rPr>
              <w:t>reducere</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de gaze cu </w:t>
            </w:r>
            <w:proofErr w:type="spellStart"/>
            <w:r w:rsidRPr="00313E92">
              <w:rPr>
                <w:rFonts w:eastAsia="Arial Unicode MS"/>
                <w:color w:val="000000" w:themeColor="text1"/>
                <w:sz w:val="20"/>
                <w:szCs w:val="20"/>
                <w:shd w:val="clear" w:color="auto" w:fill="FFFFFF"/>
                <w:lang w:val="en-US"/>
              </w:rPr>
              <w:t>efect</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seră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lastRenderedPageBreak/>
              <w:t>utilizarea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biomasei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stabilite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Directiva</w:t>
            </w:r>
            <w:proofErr w:type="spellEnd"/>
            <w:r w:rsid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(UE)</w:t>
            </w:r>
            <w:r w:rsid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2018/2001, cu </w:t>
            </w:r>
            <w:proofErr w:type="spellStart"/>
            <w:r w:rsidRPr="00313E92">
              <w:rPr>
                <w:rFonts w:eastAsia="Arial Unicode MS"/>
                <w:color w:val="000000" w:themeColor="text1"/>
                <w:sz w:val="20"/>
                <w:szCs w:val="20"/>
                <w:shd w:val="clear" w:color="auto" w:fill="FFFFFF"/>
                <w:lang w:val="en-US"/>
              </w:rPr>
              <w:t>toate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ajustările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necesare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ceea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privește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aplicarea</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prezentei</w:t>
            </w:r>
            <w:proofErr w:type="spellEnd"/>
            <w:r w:rsidRPr="00313E92">
              <w:rPr>
                <w:rFonts w:eastAsia="Arial Unicode MS"/>
                <w:color w:val="000000" w:themeColor="text1"/>
                <w:sz w:val="20"/>
                <w:szCs w:val="20"/>
                <w:shd w:val="clear" w:color="auto" w:fill="FFFFFF"/>
                <w:lang w:val="en-US"/>
              </w:rPr>
              <w:t xml:space="preserve"> directive,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ca </w:t>
            </w:r>
            <w:proofErr w:type="spellStart"/>
            <w:r w:rsidRPr="00313E92">
              <w:rPr>
                <w:rFonts w:eastAsia="Arial Unicode MS"/>
                <w:color w:val="000000" w:themeColor="text1"/>
                <w:sz w:val="20"/>
                <w:szCs w:val="20"/>
                <w:shd w:val="clear" w:color="auto" w:fill="FFFFFF"/>
                <w:lang w:val="en-US"/>
              </w:rPr>
              <w:t>unei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astfel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biomase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w:t>
            </w:r>
            <w:proofErr w:type="spellEnd"/>
            <w:r w:rsidRPr="00313E92">
              <w:rPr>
                <w:rFonts w:eastAsia="Arial Unicode MS"/>
                <w:color w:val="000000" w:themeColor="text1"/>
                <w:sz w:val="20"/>
                <w:szCs w:val="20"/>
                <w:shd w:val="clear" w:color="auto" w:fill="FFFFFF"/>
                <w:lang w:val="en-US"/>
              </w:rPr>
              <w:t xml:space="preserve"> se </w:t>
            </w:r>
            <w:proofErr w:type="spellStart"/>
            <w:r w:rsidRPr="00313E92">
              <w:rPr>
                <w:rFonts w:eastAsia="Arial Unicode MS"/>
                <w:color w:val="000000" w:themeColor="text1"/>
                <w:sz w:val="20"/>
                <w:szCs w:val="20"/>
                <w:shd w:val="clear" w:color="auto" w:fill="FFFFFF"/>
                <w:lang w:val="en-US"/>
              </w:rPr>
              <w:t>aplice</w:t>
            </w:r>
            <w:proofErr w:type="spellEnd"/>
            <w:r w:rsidRPr="00313E92">
              <w:rPr>
                <w:rFonts w:eastAsia="Arial Unicode MS"/>
                <w:color w:val="000000" w:themeColor="text1"/>
                <w:sz w:val="20"/>
                <w:szCs w:val="20"/>
                <w:shd w:val="clear" w:color="auto" w:fill="FFFFFF"/>
                <w:lang w:val="en-US"/>
              </w:rPr>
              <w:t xml:space="preserve"> un factor de </w:t>
            </w:r>
            <w:proofErr w:type="spellStart"/>
            <w:r w:rsidRPr="00313E92">
              <w:rPr>
                <w:rFonts w:eastAsia="Arial Unicode MS"/>
                <w:color w:val="000000" w:themeColor="text1"/>
                <w:sz w:val="20"/>
                <w:szCs w:val="20"/>
                <w:shd w:val="clear" w:color="auto" w:fill="FFFFFF"/>
                <w:lang w:val="en-US"/>
              </w:rPr>
              <w:t>emisie</w:t>
            </w:r>
            <w:proofErr w:type="spellEnd"/>
            <w:r w:rsidRPr="00313E92">
              <w:rPr>
                <w:rFonts w:eastAsia="Arial Unicode MS"/>
                <w:color w:val="000000" w:themeColor="text1"/>
                <w:sz w:val="20"/>
                <w:szCs w:val="20"/>
                <w:shd w:val="clear" w:color="auto" w:fill="FFFFFF"/>
                <w:lang w:val="en-US"/>
              </w:rPr>
              <w:t xml:space="preserve"> zero. </w:t>
            </w:r>
            <w:proofErr w:type="spellStart"/>
            <w:r w:rsidRPr="00313E92">
              <w:rPr>
                <w:rFonts w:eastAsia="Arial Unicode MS"/>
                <w:color w:val="000000" w:themeColor="text1"/>
                <w:sz w:val="20"/>
                <w:szCs w:val="20"/>
                <w:shd w:val="clear" w:color="auto" w:fill="FFFFFF"/>
                <w:lang w:val="en-US"/>
              </w:rPr>
              <w:t>Acestea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precizează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modalitatea</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contabilizare</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stocării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generate </w:t>
            </w:r>
            <w:proofErr w:type="spellStart"/>
            <w:r w:rsidRPr="00313E92">
              <w:rPr>
                <w:rFonts w:eastAsia="Arial Unicode MS"/>
                <w:color w:val="000000" w:themeColor="text1"/>
                <w:sz w:val="20"/>
                <w:szCs w:val="20"/>
                <w:shd w:val="clear" w:color="auto" w:fill="FFFFFF"/>
                <w:lang w:val="en-US"/>
              </w:rPr>
              <w:t>dintr</w:t>
            </w:r>
            <w:proofErr w:type="spellEnd"/>
            <w:r w:rsidRPr="00313E92">
              <w:rPr>
                <w:rFonts w:eastAsia="Arial Unicode MS"/>
                <w:color w:val="000000" w:themeColor="text1"/>
                <w:sz w:val="20"/>
                <w:szCs w:val="20"/>
                <w:shd w:val="clear" w:color="auto" w:fill="FFFFFF"/>
                <w:lang w:val="en-US"/>
              </w:rPr>
              <w:t xml:space="preserve">-o </w:t>
            </w:r>
            <w:proofErr w:type="spellStart"/>
            <w:r w:rsidRPr="00313E92">
              <w:rPr>
                <w:rFonts w:eastAsia="Arial Unicode MS"/>
                <w:color w:val="000000" w:themeColor="text1"/>
                <w:sz w:val="20"/>
                <w:szCs w:val="20"/>
                <w:shd w:val="clear" w:color="auto" w:fill="FFFFFF"/>
                <w:lang w:val="en-US"/>
              </w:rPr>
              <w:t>combinație</w:t>
            </w:r>
            <w:proofErr w:type="spellEnd"/>
            <w:r w:rsidRPr="00313E92">
              <w:rPr>
                <w:rFonts w:eastAsia="Arial Unicode MS"/>
                <w:color w:val="000000" w:themeColor="text1"/>
                <w:sz w:val="20"/>
                <w:szCs w:val="20"/>
                <w:shd w:val="clear" w:color="auto" w:fill="FFFFFF"/>
                <w:lang w:val="en-US"/>
              </w:rPr>
              <w:t xml:space="preserve"> de surse cu factor de </w:t>
            </w:r>
            <w:proofErr w:type="spellStart"/>
            <w:r w:rsidRPr="00313E92">
              <w:rPr>
                <w:rFonts w:eastAsia="Arial Unicode MS"/>
                <w:color w:val="000000" w:themeColor="text1"/>
                <w:sz w:val="20"/>
                <w:szCs w:val="20"/>
                <w:shd w:val="clear" w:color="auto" w:fill="FFFFFF"/>
                <w:lang w:val="en-US"/>
              </w:rPr>
              <w:t>emisie</w:t>
            </w:r>
            <w:proofErr w:type="spellEnd"/>
            <w:r w:rsidRPr="00313E92">
              <w:rPr>
                <w:rFonts w:eastAsia="Arial Unicode MS"/>
                <w:color w:val="000000" w:themeColor="text1"/>
                <w:sz w:val="20"/>
                <w:szCs w:val="20"/>
                <w:shd w:val="clear" w:color="auto" w:fill="FFFFFF"/>
                <w:lang w:val="en-US"/>
              </w:rPr>
              <w:t xml:space="preserve"> zero și surse </w:t>
            </w:r>
            <w:proofErr w:type="spellStart"/>
            <w:r w:rsidRPr="00313E92">
              <w:rPr>
                <w:rFonts w:eastAsia="Arial Unicode MS"/>
                <w:color w:val="000000" w:themeColor="text1"/>
                <w:sz w:val="20"/>
                <w:szCs w:val="20"/>
                <w:shd w:val="clear" w:color="auto" w:fill="FFFFFF"/>
                <w:lang w:val="en-US"/>
              </w:rPr>
              <w:t>cărora</w:t>
            </w:r>
            <w:proofErr w:type="spellEnd"/>
            <w:r w:rsidRPr="00313E92">
              <w:rPr>
                <w:rFonts w:eastAsia="Arial Unicode MS"/>
                <w:color w:val="000000" w:themeColor="text1"/>
                <w:sz w:val="20"/>
                <w:szCs w:val="20"/>
                <w:shd w:val="clear" w:color="auto" w:fill="FFFFFF"/>
                <w:lang w:val="en-US"/>
              </w:rPr>
              <w:t xml:space="preserve"> nu li se </w:t>
            </w:r>
            <w:proofErr w:type="spellStart"/>
            <w:r w:rsidRPr="00313E92">
              <w:rPr>
                <w:rFonts w:eastAsia="Arial Unicode MS"/>
                <w:color w:val="000000" w:themeColor="text1"/>
                <w:sz w:val="20"/>
                <w:szCs w:val="20"/>
                <w:shd w:val="clear" w:color="auto" w:fill="FFFFFF"/>
                <w:lang w:val="en-US"/>
              </w:rPr>
              <w:t>aplică</w:t>
            </w:r>
            <w:proofErr w:type="spellEnd"/>
            <w:r w:rsidRPr="00313E92">
              <w:rPr>
                <w:rFonts w:eastAsia="Arial Unicode MS"/>
                <w:color w:val="000000" w:themeColor="text1"/>
                <w:sz w:val="20"/>
                <w:szCs w:val="20"/>
                <w:shd w:val="clear" w:color="auto" w:fill="FFFFFF"/>
                <w:lang w:val="en-US"/>
              </w:rPr>
              <w:t xml:space="preserve"> un factor de </w:t>
            </w:r>
            <w:proofErr w:type="spellStart"/>
            <w:r w:rsidRPr="00313E92">
              <w:rPr>
                <w:rFonts w:eastAsia="Arial Unicode MS"/>
                <w:color w:val="000000" w:themeColor="text1"/>
                <w:sz w:val="20"/>
                <w:szCs w:val="20"/>
                <w:shd w:val="clear" w:color="auto" w:fill="FFFFFF"/>
                <w:lang w:val="en-US"/>
              </w:rPr>
              <w:t>emisie</w:t>
            </w:r>
            <w:proofErr w:type="spellEnd"/>
            <w:r w:rsidRPr="00313E92">
              <w:rPr>
                <w:rFonts w:eastAsia="Arial Unicode MS"/>
                <w:color w:val="000000" w:themeColor="text1"/>
                <w:sz w:val="20"/>
                <w:szCs w:val="20"/>
                <w:shd w:val="clear" w:color="auto" w:fill="FFFFFF"/>
                <w:lang w:val="en-US"/>
              </w:rPr>
              <w:t xml:space="preserve"> zero. De </w:t>
            </w:r>
            <w:proofErr w:type="spellStart"/>
            <w:r w:rsidRPr="00313E92">
              <w:rPr>
                <w:rFonts w:eastAsia="Arial Unicode MS"/>
                <w:color w:val="000000" w:themeColor="text1"/>
                <w:sz w:val="20"/>
                <w:szCs w:val="20"/>
                <w:shd w:val="clear" w:color="auto" w:fill="FFFFFF"/>
                <w:lang w:val="en-US"/>
              </w:rPr>
              <w:t>asemenea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actele</w:t>
            </w:r>
            <w:proofErr w:type="spellEnd"/>
            <w:r w:rsidRPr="00313E92">
              <w:rPr>
                <w:rFonts w:eastAsia="Arial Unicode MS"/>
                <w:color w:val="000000" w:themeColor="text1"/>
                <w:sz w:val="20"/>
                <w:szCs w:val="20"/>
                <w:shd w:val="clear" w:color="auto" w:fill="FFFFFF"/>
                <w:lang w:val="en-US"/>
              </w:rPr>
              <w:t xml:space="preserve"> respective </w:t>
            </w:r>
            <w:proofErr w:type="spellStart"/>
            <w:r w:rsidRPr="00313E92">
              <w:rPr>
                <w:rFonts w:eastAsia="Arial Unicode MS"/>
                <w:color w:val="000000" w:themeColor="text1"/>
                <w:sz w:val="20"/>
                <w:szCs w:val="20"/>
                <w:shd w:val="clear" w:color="auto" w:fill="FFFFFF"/>
                <w:lang w:val="en-US"/>
              </w:rPr>
              <w:t>precizează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modalitatea</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contabilizare</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generate de </w:t>
            </w:r>
            <w:proofErr w:type="spellStart"/>
            <w:r w:rsidRPr="00313E92">
              <w:rPr>
                <w:rFonts w:eastAsia="Arial Unicode MS"/>
                <w:color w:val="000000" w:themeColor="text1"/>
                <w:sz w:val="20"/>
                <w:szCs w:val="20"/>
                <w:shd w:val="clear" w:color="auto" w:fill="FFFFFF"/>
                <w:lang w:val="en-US"/>
              </w:rPr>
              <w:t>combustibili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origine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nebiologică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produși</w:t>
            </w:r>
            <w:proofErr w:type="spellEnd"/>
            <w:r w:rsidRPr="00313E92">
              <w:rPr>
                <w:rFonts w:eastAsia="Arial Unicode MS"/>
                <w:color w:val="000000" w:themeColor="text1"/>
                <w:sz w:val="20"/>
                <w:szCs w:val="20"/>
                <w:shd w:val="clear" w:color="auto" w:fill="FFFFFF"/>
                <w:lang w:val="en-US"/>
              </w:rPr>
              <w:t xml:space="preserve"> din surse </w:t>
            </w:r>
            <w:proofErr w:type="spellStart"/>
            <w:r w:rsidRPr="00313E92">
              <w:rPr>
                <w:rFonts w:eastAsia="Arial Unicode MS"/>
                <w:color w:val="000000" w:themeColor="text1"/>
                <w:sz w:val="20"/>
                <w:szCs w:val="20"/>
                <w:shd w:val="clear" w:color="auto" w:fill="FFFFFF"/>
                <w:lang w:val="en-US"/>
              </w:rPr>
              <w:t>regenerabile</w:t>
            </w:r>
            <w:proofErr w:type="spellEnd"/>
            <w:r w:rsidRPr="00313E92">
              <w:rPr>
                <w:rFonts w:eastAsia="Arial Unicode MS"/>
                <w:color w:val="000000" w:themeColor="text1"/>
                <w:sz w:val="20"/>
                <w:szCs w:val="20"/>
                <w:shd w:val="clear" w:color="auto" w:fill="FFFFFF"/>
                <w:lang w:val="en-US"/>
              </w:rPr>
              <w:t xml:space="preserve"> și de </w:t>
            </w:r>
            <w:proofErr w:type="spellStart"/>
            <w:r w:rsidRPr="00313E92">
              <w:rPr>
                <w:rFonts w:eastAsia="Arial Unicode MS"/>
                <w:color w:val="000000" w:themeColor="text1"/>
                <w:sz w:val="20"/>
                <w:szCs w:val="20"/>
                <w:shd w:val="clear" w:color="auto" w:fill="FFFFFF"/>
                <w:lang w:val="en-US"/>
              </w:rPr>
              <w:t>combustibili</w:t>
            </w:r>
            <w:proofErr w:type="spellEnd"/>
            <w:r w:rsidRPr="00313E92">
              <w:rPr>
                <w:rFonts w:eastAsia="Arial Unicode MS"/>
                <w:color w:val="000000" w:themeColor="text1"/>
                <w:sz w:val="20"/>
                <w:szCs w:val="20"/>
                <w:shd w:val="clear" w:color="auto" w:fill="FFFFFF"/>
                <w:lang w:val="en-US"/>
              </w:rPr>
              <w:t xml:space="preserve"> pe </w:t>
            </w:r>
            <w:proofErr w:type="spellStart"/>
            <w:r w:rsidRPr="00313E92">
              <w:rPr>
                <w:rFonts w:eastAsia="Arial Unicode MS"/>
                <w:color w:val="000000" w:themeColor="text1"/>
                <w:sz w:val="20"/>
                <w:szCs w:val="20"/>
                <w:shd w:val="clear" w:color="auto" w:fill="FFFFFF"/>
                <w:lang w:val="en-US"/>
              </w:rPr>
              <w:t>bază</w:t>
            </w:r>
            <w:proofErr w:type="spellEnd"/>
            <w:r w:rsidRPr="00313E92">
              <w:rPr>
                <w:rFonts w:eastAsia="Arial Unicode MS"/>
                <w:color w:val="000000" w:themeColor="text1"/>
                <w:sz w:val="20"/>
                <w:szCs w:val="20"/>
                <w:shd w:val="clear" w:color="auto" w:fill="FFFFFF"/>
                <w:lang w:val="en-US"/>
              </w:rPr>
              <w:t xml:space="preserve"> de carbon </w:t>
            </w:r>
            <w:proofErr w:type="spellStart"/>
            <w:r w:rsidRPr="00313E92">
              <w:rPr>
                <w:rFonts w:eastAsia="Arial Unicode MS"/>
                <w:color w:val="000000" w:themeColor="text1"/>
                <w:sz w:val="20"/>
                <w:szCs w:val="20"/>
                <w:shd w:val="clear" w:color="auto" w:fill="FFFFFF"/>
                <w:lang w:val="en-US"/>
              </w:rPr>
              <w:t>reciclat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asigurându</w:t>
            </w:r>
            <w:proofErr w:type="spellEnd"/>
            <w:r w:rsidRPr="00313E92">
              <w:rPr>
                <w:rFonts w:eastAsia="Arial Unicode MS"/>
                <w:color w:val="000000" w:themeColor="text1"/>
                <w:sz w:val="20"/>
                <w:szCs w:val="20"/>
                <w:shd w:val="clear" w:color="auto" w:fill="FFFFFF"/>
                <w:lang w:val="en-US"/>
              </w:rPr>
              <w:t xml:space="preserve">-se </w:t>
            </w:r>
            <w:proofErr w:type="spellStart"/>
            <w:r w:rsidRPr="00313E92">
              <w:rPr>
                <w:rFonts w:eastAsia="Arial Unicode MS"/>
                <w:color w:val="000000" w:themeColor="text1"/>
                <w:sz w:val="20"/>
                <w:szCs w:val="20"/>
                <w:shd w:val="clear" w:color="auto" w:fill="FFFFFF"/>
                <w:lang w:val="en-US"/>
              </w:rPr>
              <w:t>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astfel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emisii</w:t>
            </w:r>
            <w:proofErr w:type="spellEnd"/>
            <w:r w:rsidRPr="00313E92">
              <w:rPr>
                <w:rFonts w:eastAsia="Arial Unicode MS"/>
                <w:color w:val="000000" w:themeColor="text1"/>
                <w:sz w:val="20"/>
                <w:szCs w:val="20"/>
                <w:shd w:val="clear" w:color="auto" w:fill="FFFFFF"/>
                <w:lang w:val="en-US"/>
              </w:rPr>
              <w:t xml:space="preserve"> sunt </w:t>
            </w:r>
            <w:proofErr w:type="spellStart"/>
            <w:r w:rsidRPr="00313E92">
              <w:rPr>
                <w:rFonts w:eastAsia="Arial Unicode MS"/>
                <w:color w:val="000000" w:themeColor="text1"/>
                <w:sz w:val="20"/>
                <w:szCs w:val="20"/>
                <w:shd w:val="clear" w:color="auto" w:fill="FFFFFF"/>
                <w:lang w:val="en-US"/>
              </w:rPr>
              <w:t>contabilizate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evitându</w:t>
            </w:r>
            <w:proofErr w:type="spellEnd"/>
            <w:r w:rsidRPr="00313E92">
              <w:rPr>
                <w:rFonts w:eastAsia="Arial Unicode MS"/>
                <w:color w:val="000000" w:themeColor="text1"/>
                <w:sz w:val="20"/>
                <w:szCs w:val="20"/>
                <w:shd w:val="clear" w:color="auto" w:fill="FFFFFF"/>
                <w:lang w:val="en-US"/>
              </w:rPr>
              <w:t xml:space="preserve">-se </w:t>
            </w:r>
            <w:proofErr w:type="spellStart"/>
            <w:r w:rsidRPr="00313E92">
              <w:rPr>
                <w:rFonts w:eastAsia="Arial Unicode MS"/>
                <w:color w:val="000000" w:themeColor="text1"/>
                <w:sz w:val="20"/>
                <w:szCs w:val="20"/>
                <w:shd w:val="clear" w:color="auto" w:fill="FFFFFF"/>
                <w:lang w:val="en-US"/>
              </w:rPr>
              <w:t>dubla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contabilizare</w:t>
            </w:r>
            <w:proofErr w:type="spellEnd"/>
            <w:r w:rsidRPr="00313E92">
              <w:rPr>
                <w:rFonts w:eastAsia="Arial Unicode MS"/>
                <w:color w:val="000000" w:themeColor="text1"/>
                <w:sz w:val="20"/>
                <w:szCs w:val="20"/>
                <w:shd w:val="clear" w:color="auto" w:fill="FFFFFF"/>
                <w:lang w:val="en-US"/>
              </w:rPr>
              <w:t>.</w:t>
            </w:r>
            <w:r w:rsidR="00313E92">
              <w:rPr>
                <w:rStyle w:val="boldface"/>
                <w:rFonts w:eastAsia="Arial Unicode MS"/>
                <w:b/>
                <w:bCs/>
                <w:color w:val="000000" w:themeColor="text1"/>
                <w:sz w:val="20"/>
                <w:szCs w:val="20"/>
                <w:lang w:val="en-US"/>
              </w:rPr>
              <w:t xml:space="preserve"> </w:t>
            </w:r>
            <w:r w:rsidRPr="00313E92">
              <w:rPr>
                <w:rStyle w:val="boldface"/>
                <w:rFonts w:eastAsia="Arial Unicode MS"/>
                <w:b/>
                <w:bCs/>
                <w:color w:val="000000" w:themeColor="text1"/>
                <w:sz w:val="20"/>
                <w:szCs w:val="20"/>
              </w:rPr>
              <w:t>◄</w:t>
            </w:r>
          </w:p>
          <w:p w14:paraId="28A8E36C" w14:textId="35EAAB3F" w:rsidR="00124364" w:rsidRDefault="00000000" w:rsidP="00313E92">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respective se </w:t>
            </w:r>
            <w:proofErr w:type="spellStart"/>
            <w:r>
              <w:rPr>
                <w:rFonts w:eastAsia="Arial Unicode MS"/>
                <w:color w:val="333333"/>
                <w:sz w:val="20"/>
                <w:szCs w:val="20"/>
                <w:shd w:val="clear" w:color="auto" w:fill="FFFFFF"/>
                <w:lang w:val="en-US"/>
              </w:rPr>
              <w:t>adoptă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procedura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examinare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313E92">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22a </w:t>
            </w:r>
            <w:proofErr w:type="spellStart"/>
            <w:r>
              <w:rPr>
                <w:rFonts w:eastAsia="Arial Unicode MS"/>
                <w:color w:val="333333"/>
                <w:sz w:val="20"/>
                <w:szCs w:val="20"/>
                <w:shd w:val="clear" w:color="auto" w:fill="FFFFFF"/>
                <w:lang w:val="en-US"/>
              </w:rPr>
              <w:t>alineatul</w:t>
            </w:r>
            <w:proofErr w:type="spellEnd"/>
            <w:r w:rsidR="00313E92">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(2).</w:t>
            </w:r>
          </w:p>
          <w:p w14:paraId="72295CC8" w14:textId="77777777" w:rsidR="00124364" w:rsidRDefault="00000000">
            <w:pPr>
              <w:pStyle w:val="ti-art"/>
              <w:shd w:val="clear" w:color="auto" w:fill="FFFFFF"/>
              <w:spacing w:before="0" w:beforeAutospacing="0" w:after="0" w:afterAutospacing="0"/>
              <w:rPr>
                <w:rStyle w:val="boldface"/>
                <w:rFonts w:eastAsia="Arial Unicode MS"/>
                <w:color w:val="4472C4" w:themeColor="accent1"/>
                <w:sz w:val="20"/>
                <w:szCs w:val="20"/>
                <w:shd w:val="clear" w:color="auto" w:fill="FFFFFF"/>
                <w:lang w:val="en-US"/>
              </w:rPr>
            </w:pPr>
            <w:hyperlink r:id="rId226" w:tooltip="32009L0029: REPLACED" w:history="1">
              <w:r>
                <w:rPr>
                  <w:rStyle w:val="af3"/>
                  <w:rFonts w:eastAsia="Arial Unicode MS"/>
                  <w:b/>
                  <w:bCs/>
                  <w:color w:val="4472C4" w:themeColor="accent1"/>
                  <w:sz w:val="20"/>
                  <w:szCs w:val="20"/>
                  <w:lang w:val="en-US"/>
                </w:rPr>
                <w:t>▼M4</w:t>
              </w:r>
            </w:hyperlink>
          </w:p>
          <w:p w14:paraId="37D9477D" w14:textId="3EE4762A" w:rsidR="00124364" w:rsidRPr="00313E92" w:rsidRDefault="00000000" w:rsidP="00313E92">
            <w:pPr>
              <w:pStyle w:val="ti-art"/>
              <w:numPr>
                <w:ilvl w:val="0"/>
                <w:numId w:val="8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hyperlink r:id="rId227" w:tooltip="32018L0410: REPLACED" w:history="1">
              <w:r w:rsidRPr="00313E92">
                <w:rPr>
                  <w:rStyle w:val="boldface"/>
                  <w:rFonts w:eastAsia="Arial Unicode MS"/>
                  <w:b/>
                  <w:bCs/>
                  <w:color w:val="000000" w:themeColor="text1"/>
                  <w:sz w:val="20"/>
                  <w:szCs w:val="20"/>
                  <w:lang w:val="en-US"/>
                </w:rPr>
                <w:t>►M9</w:t>
              </w:r>
            </w:hyperlink>
            <w:r w:rsidRPr="00313E92">
              <w:rPr>
                <w:rFonts w:eastAsia="Arial Unicode MS"/>
                <w:color w:val="000000" w:themeColor="text1"/>
                <w:sz w:val="20"/>
                <w:szCs w:val="20"/>
                <w:shd w:val="clear" w:color="auto" w:fill="FFFFFF"/>
                <w:lang w:val="en-US"/>
              </w:rPr>
              <w:t>Actele</w:t>
            </w:r>
            <w:r w:rsidRPr="00313E92">
              <w:rPr>
                <w:rStyle w:val="boldface"/>
                <w:rFonts w:eastAsia="Arial Unicode MS"/>
                <w:b/>
                <w:bCs/>
                <w:color w:val="000000" w:themeColor="text1"/>
                <w:sz w:val="20"/>
                <w:szCs w:val="20"/>
                <w:lang w:val="en-US"/>
              </w:rPr>
              <w:t>◄</w:t>
            </w:r>
            <w:r w:rsidRPr="00313E92">
              <w:rPr>
                <w:rFonts w:eastAsia="Arial Unicode MS"/>
                <w:color w:val="000000" w:themeColor="text1"/>
                <w:sz w:val="20"/>
                <w:szCs w:val="20"/>
                <w:shd w:val="clear" w:color="auto" w:fill="FFFFFF"/>
                <w:lang w:val="en-US"/>
              </w:rPr>
              <w:t xml:space="preserve">menționate la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(1) </w:t>
            </w:r>
            <w:proofErr w:type="spellStart"/>
            <w:r w:rsidRPr="00313E92">
              <w:rPr>
                <w:rFonts w:eastAsia="Arial Unicode MS"/>
                <w:color w:val="000000" w:themeColor="text1"/>
                <w:sz w:val="20"/>
                <w:szCs w:val="20"/>
                <w:shd w:val="clear" w:color="auto" w:fill="FFFFFF"/>
                <w:lang w:val="en-US"/>
              </w:rPr>
              <w:t>țin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seama</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datele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științifice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mai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exacte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actualizate</w:t>
            </w:r>
            <w:proofErr w:type="spellEnd"/>
            <w:r w:rsidRPr="00313E92">
              <w:rPr>
                <w:rFonts w:eastAsia="Arial Unicode MS"/>
                <w:color w:val="000000" w:themeColor="text1"/>
                <w:sz w:val="20"/>
                <w:szCs w:val="20"/>
                <w:shd w:val="clear" w:color="auto" w:fill="FFFFFF"/>
                <w:lang w:val="en-US"/>
              </w:rPr>
              <w:t xml:space="preserve"> care sunt </w:t>
            </w:r>
            <w:proofErr w:type="spellStart"/>
            <w:r w:rsidRPr="00313E92">
              <w:rPr>
                <w:rFonts w:eastAsia="Arial Unicode MS"/>
                <w:color w:val="000000" w:themeColor="text1"/>
                <w:sz w:val="20"/>
                <w:szCs w:val="20"/>
                <w:shd w:val="clear" w:color="auto" w:fill="FFFFFF"/>
                <w:lang w:val="en-US"/>
              </w:rPr>
              <w:t>disponibile</w:t>
            </w:r>
            <w:proofErr w:type="spellEnd"/>
            <w:r w:rsidRPr="00313E92">
              <w:rPr>
                <w:rFonts w:eastAsia="Arial Unicode MS"/>
                <w:color w:val="000000" w:themeColor="text1"/>
                <w:sz w:val="20"/>
                <w:szCs w:val="20"/>
                <w:shd w:val="clear" w:color="auto" w:fill="FFFFFF"/>
                <w:lang w:val="en-US"/>
              </w:rPr>
              <w:t xml:space="preserve">, în special de </w:t>
            </w:r>
            <w:proofErr w:type="spellStart"/>
            <w:r w:rsidRPr="00313E92">
              <w:rPr>
                <w:rFonts w:eastAsia="Arial Unicode MS"/>
                <w:color w:val="000000" w:themeColor="text1"/>
                <w:sz w:val="20"/>
                <w:szCs w:val="20"/>
                <w:shd w:val="clear" w:color="auto" w:fill="FFFFFF"/>
                <w:lang w:val="en-US"/>
              </w:rPr>
              <w:t>datele</w:t>
            </w:r>
            <w:proofErr w:type="spellEnd"/>
            <w:r w:rsidRPr="00313E92">
              <w:rPr>
                <w:rFonts w:eastAsia="Arial Unicode MS"/>
                <w:color w:val="000000" w:themeColor="text1"/>
                <w:sz w:val="20"/>
                <w:szCs w:val="20"/>
                <w:shd w:val="clear" w:color="auto" w:fill="FFFFFF"/>
                <w:lang w:val="en-US"/>
              </w:rPr>
              <w:t xml:space="preserve"> IPCC, și pot include, de </w:t>
            </w:r>
            <w:proofErr w:type="spellStart"/>
            <w:r w:rsidRPr="00313E92">
              <w:rPr>
                <w:rFonts w:eastAsia="Arial Unicode MS"/>
                <w:color w:val="000000" w:themeColor="text1"/>
                <w:sz w:val="20"/>
                <w:szCs w:val="20"/>
                <w:shd w:val="clear" w:color="auto" w:fill="FFFFFF"/>
                <w:lang w:val="en-US"/>
              </w:rPr>
              <w:t>asemenea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dispoziții</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îi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obligă</w:t>
            </w:r>
            <w:proofErr w:type="spellEnd"/>
            <w:r w:rsidRPr="00313E92">
              <w:rPr>
                <w:rFonts w:eastAsia="Arial Unicode MS"/>
                <w:color w:val="000000" w:themeColor="text1"/>
                <w:sz w:val="20"/>
                <w:szCs w:val="20"/>
                <w:shd w:val="clear" w:color="auto" w:fill="FFFFFF"/>
                <w:lang w:val="en-US"/>
              </w:rPr>
              <w:t xml:space="preserve"> pe </w:t>
            </w:r>
            <w:proofErr w:type="spellStart"/>
            <w:r w:rsidRPr="00313E92">
              <w:rPr>
                <w:rFonts w:eastAsia="Arial Unicode MS"/>
                <w:color w:val="000000" w:themeColor="text1"/>
                <w:sz w:val="20"/>
                <w:szCs w:val="20"/>
                <w:shd w:val="clear" w:color="auto" w:fill="FFFFFF"/>
                <w:lang w:val="en-US"/>
              </w:rPr>
              <w:t>operatori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raporteze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aferente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producerii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bunuri</w:t>
            </w:r>
            <w:proofErr w:type="spellEnd"/>
            <w:r w:rsidRPr="00313E92">
              <w:rPr>
                <w:rFonts w:eastAsia="Arial Unicode MS"/>
                <w:color w:val="000000" w:themeColor="text1"/>
                <w:sz w:val="20"/>
                <w:szCs w:val="20"/>
                <w:shd w:val="clear" w:color="auto" w:fill="FFFFFF"/>
                <w:lang w:val="en-US"/>
              </w:rPr>
              <w:t xml:space="preserve"> fabricate de </w:t>
            </w:r>
            <w:proofErr w:type="spellStart"/>
            <w:r w:rsidRPr="00313E92">
              <w:rPr>
                <w:rFonts w:eastAsia="Arial Unicode MS"/>
                <w:color w:val="000000" w:themeColor="text1"/>
                <w:sz w:val="20"/>
                <w:szCs w:val="20"/>
                <w:shd w:val="clear" w:color="auto" w:fill="FFFFFF"/>
                <w:lang w:val="en-US"/>
              </w:rPr>
              <w:t>industriile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mari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consumatoare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energie</w:t>
            </w:r>
            <w:proofErr w:type="spellEnd"/>
            <w:r w:rsidRPr="00313E92">
              <w:rPr>
                <w:rFonts w:eastAsia="Arial Unicode MS"/>
                <w:color w:val="000000" w:themeColor="text1"/>
                <w:sz w:val="20"/>
                <w:szCs w:val="20"/>
                <w:shd w:val="clear" w:color="auto" w:fill="FFFFFF"/>
                <w:lang w:val="en-US"/>
              </w:rPr>
              <w:t xml:space="preserve"> care pot fi </w:t>
            </w:r>
            <w:proofErr w:type="spellStart"/>
            <w:r w:rsidRPr="00313E92">
              <w:rPr>
                <w:rFonts w:eastAsia="Arial Unicode MS"/>
                <w:color w:val="000000" w:themeColor="text1"/>
                <w:sz w:val="20"/>
                <w:szCs w:val="20"/>
                <w:shd w:val="clear" w:color="auto" w:fill="FFFFFF"/>
                <w:lang w:val="en-US"/>
              </w:rPr>
              <w:t>expuse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concurenței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internaționale</w:t>
            </w:r>
            <w:proofErr w:type="spellEnd"/>
            <w:r w:rsidRPr="00313E92">
              <w:rPr>
                <w:rFonts w:eastAsia="Arial Unicode MS"/>
                <w:color w:val="000000" w:themeColor="text1"/>
                <w:sz w:val="20"/>
                <w:szCs w:val="20"/>
                <w:shd w:val="clear" w:color="auto" w:fill="FFFFFF"/>
                <w:lang w:val="en-US"/>
              </w:rPr>
              <w:t>. De asemenea,</w:t>
            </w:r>
            <w:hyperlink r:id="rId228" w:tooltip="32018L0410: REPLACED" w:history="1">
              <w:r w:rsidRPr="00313E92">
                <w:rPr>
                  <w:rStyle w:val="boldface"/>
                  <w:rFonts w:eastAsia="Arial Unicode MS"/>
                  <w:b/>
                  <w:bCs/>
                  <w:color w:val="000000" w:themeColor="text1"/>
                  <w:sz w:val="20"/>
                  <w:szCs w:val="20"/>
                  <w:lang w:val="en-US"/>
                </w:rPr>
                <w:t>►M9</w:t>
              </w:r>
            </w:hyperlink>
            <w:r w:rsidRPr="00313E92">
              <w:rPr>
                <w:rFonts w:eastAsia="Arial Unicode MS"/>
                <w:color w:val="000000" w:themeColor="text1"/>
                <w:sz w:val="20"/>
                <w:szCs w:val="20"/>
                <w:shd w:val="clear" w:color="auto" w:fill="FFFFFF"/>
                <w:lang w:val="en-US"/>
              </w:rPr>
              <w:t>actele</w:t>
            </w:r>
            <w:r w:rsidRPr="00313E92">
              <w:rPr>
                <w:rStyle w:val="boldface"/>
                <w:rFonts w:eastAsia="Arial Unicode MS"/>
                <w:b/>
                <w:bCs/>
                <w:color w:val="000000" w:themeColor="text1"/>
                <w:sz w:val="20"/>
                <w:szCs w:val="20"/>
                <w:lang w:val="en-US"/>
              </w:rPr>
              <w:t>◄</w:t>
            </w:r>
            <w:r w:rsidRPr="00313E92">
              <w:rPr>
                <w:rFonts w:eastAsia="Arial Unicode MS"/>
                <w:color w:val="000000" w:themeColor="text1"/>
                <w:sz w:val="20"/>
                <w:szCs w:val="20"/>
                <w:shd w:val="clear" w:color="auto" w:fill="FFFFFF"/>
                <w:lang w:val="en-US"/>
              </w:rPr>
              <w:t xml:space="preserve">în </w:t>
            </w:r>
            <w:proofErr w:type="spellStart"/>
            <w:r w:rsidRPr="00313E92">
              <w:rPr>
                <w:rFonts w:eastAsia="Arial Unicode MS"/>
                <w:color w:val="000000" w:themeColor="text1"/>
                <w:sz w:val="20"/>
                <w:szCs w:val="20"/>
                <w:shd w:val="clear" w:color="auto" w:fill="FFFFFF"/>
                <w:lang w:val="en-US"/>
              </w:rPr>
              <w:t>cauză</w:t>
            </w:r>
            <w:proofErr w:type="spellEnd"/>
            <w:r w:rsidRPr="00313E92">
              <w:rPr>
                <w:rFonts w:eastAsia="Arial Unicode MS"/>
                <w:color w:val="000000" w:themeColor="text1"/>
                <w:sz w:val="20"/>
                <w:szCs w:val="20"/>
                <w:shd w:val="clear" w:color="auto" w:fill="FFFFFF"/>
                <w:lang w:val="en-US"/>
              </w:rPr>
              <w:t xml:space="preserve"> pot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prevadă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verificarea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independentă</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acestor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informații</w:t>
            </w:r>
            <w:proofErr w:type="spellEnd"/>
            <w:r w:rsidRPr="00313E92">
              <w:rPr>
                <w:rFonts w:eastAsia="Arial Unicode MS"/>
                <w:color w:val="000000" w:themeColor="text1"/>
                <w:sz w:val="20"/>
                <w:szCs w:val="20"/>
                <w:shd w:val="clear" w:color="auto" w:fill="FFFFFF"/>
                <w:lang w:val="en-US"/>
              </w:rPr>
              <w:t>.</w:t>
            </w:r>
          </w:p>
          <w:p w14:paraId="2598505E" w14:textId="66A04DCF" w:rsidR="00124364" w:rsidRPr="00313E92" w:rsidRDefault="00000000" w:rsidP="00313E9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Aceste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w:t>
            </w:r>
            <w:proofErr w:type="spellEnd"/>
            <w:r w:rsidRPr="00313E92">
              <w:rPr>
                <w:rFonts w:eastAsia="Arial Unicode MS"/>
                <w:color w:val="000000" w:themeColor="text1"/>
                <w:sz w:val="20"/>
                <w:szCs w:val="20"/>
                <w:shd w:val="clear" w:color="auto" w:fill="FFFFFF"/>
                <w:lang w:val="en-US"/>
              </w:rPr>
              <w:t xml:space="preserve"> pot include </w:t>
            </w:r>
            <w:proofErr w:type="spellStart"/>
            <w:r w:rsidRPr="00313E92">
              <w:rPr>
                <w:rFonts w:eastAsia="Arial Unicode MS"/>
                <w:color w:val="000000" w:themeColor="text1"/>
                <w:sz w:val="20"/>
                <w:szCs w:val="20"/>
                <w:shd w:val="clear" w:color="auto" w:fill="FFFFFF"/>
                <w:lang w:val="en-US"/>
              </w:rPr>
              <w:t>raportarea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provenite</w:t>
            </w:r>
            <w:proofErr w:type="spellEnd"/>
            <w:r w:rsidRPr="00313E92">
              <w:rPr>
                <w:rFonts w:eastAsia="Arial Unicode MS"/>
                <w:color w:val="000000" w:themeColor="text1"/>
                <w:sz w:val="20"/>
                <w:szCs w:val="20"/>
                <w:shd w:val="clear" w:color="auto" w:fill="FFFFFF"/>
                <w:lang w:val="en-US"/>
              </w:rPr>
              <w:t xml:space="preserve"> din </w:t>
            </w:r>
            <w:proofErr w:type="spellStart"/>
            <w:r w:rsidRPr="00313E92">
              <w:rPr>
                <w:rFonts w:eastAsia="Arial Unicode MS"/>
                <w:color w:val="000000" w:themeColor="text1"/>
                <w:sz w:val="20"/>
                <w:szCs w:val="20"/>
                <w:shd w:val="clear" w:color="auto" w:fill="FFFFFF"/>
                <w:lang w:val="en-US"/>
              </w:rPr>
              <w:t>producerea</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energie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electrică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aflate</w:t>
            </w:r>
            <w:proofErr w:type="spellEnd"/>
            <w:r w:rsidRPr="00313E92">
              <w:rPr>
                <w:rFonts w:eastAsia="Arial Unicode MS"/>
                <w:color w:val="000000" w:themeColor="text1"/>
                <w:sz w:val="20"/>
                <w:szCs w:val="20"/>
                <w:shd w:val="clear" w:color="auto" w:fill="FFFFFF"/>
                <w:lang w:val="en-US"/>
              </w:rPr>
              <w:t xml:space="preserve"> sub incidența</w:t>
            </w:r>
            <w:hyperlink r:id="rId229" w:tooltip="32018L0410: REPLACED" w:history="1">
              <w:r w:rsidRPr="00313E92">
                <w:rPr>
                  <w:rStyle w:val="boldface"/>
                  <w:rFonts w:eastAsia="Arial Unicode MS"/>
                  <w:b/>
                  <w:bCs/>
                  <w:color w:val="000000" w:themeColor="text1"/>
                  <w:sz w:val="20"/>
                  <w:szCs w:val="20"/>
                  <w:lang w:val="en-US"/>
                </w:rPr>
                <w:t>►M9</w:t>
              </w:r>
            </w:hyperlink>
            <w:r w:rsidRPr="00313E92">
              <w:rPr>
                <w:rFonts w:eastAsia="Arial Unicode MS"/>
                <w:color w:val="000000" w:themeColor="text1"/>
                <w:sz w:val="20"/>
                <w:szCs w:val="20"/>
                <w:shd w:val="clear" w:color="auto" w:fill="FFFFFF"/>
                <w:lang w:val="en-US"/>
              </w:rPr>
              <w:t xml:space="preserve">EU </w:t>
            </w:r>
            <w:proofErr w:type="spellStart"/>
            <w:r w:rsidRPr="00313E92">
              <w:rPr>
                <w:rFonts w:eastAsia="Arial Unicode MS"/>
                <w:color w:val="000000" w:themeColor="text1"/>
                <w:sz w:val="20"/>
                <w:szCs w:val="20"/>
                <w:shd w:val="clear" w:color="auto" w:fill="FFFFFF"/>
                <w:lang w:val="en-US"/>
              </w:rPr>
              <w:t>ETS</w:t>
            </w:r>
            <w:r w:rsidRPr="00313E92">
              <w:rPr>
                <w:rStyle w:val="boldface"/>
                <w:rFonts w:eastAsia="Arial Unicode MS"/>
                <w:b/>
                <w:bCs/>
                <w:color w:val="000000" w:themeColor="text1"/>
                <w:sz w:val="20"/>
                <w:szCs w:val="20"/>
                <w:lang w:val="en-US"/>
              </w:rPr>
              <w:t>◄</w:t>
            </w:r>
            <w:r w:rsidRPr="00313E92">
              <w:rPr>
                <w:rFonts w:eastAsia="Arial Unicode MS"/>
                <w:color w:val="000000" w:themeColor="text1"/>
                <w:sz w:val="20"/>
                <w:szCs w:val="20"/>
                <w:shd w:val="clear" w:color="auto" w:fill="FFFFFF"/>
                <w:lang w:val="en-US"/>
              </w:rPr>
              <w:t>și</w:t>
            </w:r>
            <w:proofErr w:type="spellEnd"/>
            <w:r w:rsidRPr="00313E92">
              <w:rPr>
                <w:rFonts w:eastAsia="Arial Unicode MS"/>
                <w:color w:val="000000" w:themeColor="text1"/>
                <w:sz w:val="20"/>
                <w:szCs w:val="20"/>
                <w:shd w:val="clear" w:color="auto" w:fill="FFFFFF"/>
                <w:lang w:val="en-US"/>
              </w:rPr>
              <w:t xml:space="preserve"> legate de </w:t>
            </w:r>
            <w:proofErr w:type="spellStart"/>
            <w:r w:rsidRPr="00313E92">
              <w:rPr>
                <w:rFonts w:eastAsia="Arial Unicode MS"/>
                <w:color w:val="000000" w:themeColor="text1"/>
                <w:sz w:val="20"/>
                <w:szCs w:val="20"/>
                <w:shd w:val="clear" w:color="auto" w:fill="FFFFFF"/>
                <w:lang w:val="en-US"/>
              </w:rPr>
              <w:t>producerea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unor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astfel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bunuri</w:t>
            </w:r>
            <w:proofErr w:type="spellEnd"/>
            <w:r w:rsidRPr="00313E92">
              <w:rPr>
                <w:rFonts w:eastAsia="Arial Unicode MS"/>
                <w:color w:val="000000" w:themeColor="text1"/>
                <w:sz w:val="20"/>
                <w:szCs w:val="20"/>
                <w:shd w:val="clear" w:color="auto" w:fill="FFFFFF"/>
                <w:lang w:val="en-US"/>
              </w:rPr>
              <w:t>.</w:t>
            </w:r>
          </w:p>
          <w:p w14:paraId="5F4FE456" w14:textId="2065981C" w:rsidR="00124364" w:rsidRPr="00313E92" w:rsidRDefault="00000000" w:rsidP="00313E92">
            <w:pPr>
              <w:pStyle w:val="ti-art"/>
              <w:numPr>
                <w:ilvl w:val="0"/>
                <w:numId w:val="8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Statele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membre</w:t>
            </w:r>
            <w:proofErr w:type="spellEnd"/>
            <w:r w:rsidRPr="00313E92">
              <w:rPr>
                <w:rFonts w:eastAsia="Arial Unicode MS"/>
                <w:color w:val="000000" w:themeColor="text1"/>
                <w:sz w:val="20"/>
                <w:szCs w:val="20"/>
                <w:shd w:val="clear" w:color="auto" w:fill="FFFFFF"/>
                <w:lang w:val="en-US"/>
              </w:rPr>
              <w:t xml:space="preserve"> se </w:t>
            </w:r>
            <w:proofErr w:type="spellStart"/>
            <w:r w:rsidRPr="00313E92">
              <w:rPr>
                <w:rFonts w:eastAsia="Arial Unicode MS"/>
                <w:color w:val="000000" w:themeColor="text1"/>
                <w:sz w:val="20"/>
                <w:szCs w:val="20"/>
                <w:shd w:val="clear" w:color="auto" w:fill="FFFFFF"/>
                <w:lang w:val="en-US"/>
              </w:rPr>
              <w:t>asigură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operator al </w:t>
            </w:r>
            <w:proofErr w:type="spellStart"/>
            <w:r w:rsidRPr="00313E92">
              <w:rPr>
                <w:rFonts w:eastAsia="Arial Unicode MS"/>
                <w:color w:val="000000" w:themeColor="text1"/>
                <w:sz w:val="20"/>
                <w:szCs w:val="20"/>
                <w:shd w:val="clear" w:color="auto" w:fill="FFFFFF"/>
                <w:lang w:val="en-US"/>
              </w:rPr>
              <w:t>unei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instalații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un operator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monitorizează</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raportează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autorității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competente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instalației</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cauză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produse</w:t>
            </w:r>
            <w:proofErr w:type="spellEnd"/>
            <w:r w:rsidRPr="00313E92">
              <w:rPr>
                <w:rFonts w:eastAsia="Arial Unicode MS"/>
                <w:color w:val="000000" w:themeColor="text1"/>
                <w:sz w:val="20"/>
                <w:szCs w:val="20"/>
                <w:shd w:val="clear" w:color="auto" w:fill="FFFFFF"/>
                <w:lang w:val="en-US"/>
              </w:rPr>
              <w:t xml:space="preserve"> pe </w:t>
            </w:r>
            <w:proofErr w:type="spellStart"/>
            <w:r w:rsidRPr="00313E92">
              <w:rPr>
                <w:rFonts w:eastAsia="Arial Unicode MS"/>
                <w:color w:val="000000" w:themeColor="text1"/>
                <w:sz w:val="20"/>
                <w:szCs w:val="20"/>
                <w:shd w:val="clear" w:color="auto" w:fill="FFFFFF"/>
                <w:lang w:val="en-US"/>
              </w:rPr>
              <w:t>parcursul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fiecărui</w:t>
            </w:r>
            <w:proofErr w:type="spellEnd"/>
            <w:r w:rsidRPr="00313E92">
              <w:rPr>
                <w:rFonts w:eastAsia="Arial Unicode MS"/>
                <w:color w:val="000000" w:themeColor="text1"/>
                <w:sz w:val="20"/>
                <w:szCs w:val="20"/>
                <w:shd w:val="clear" w:color="auto" w:fill="FFFFFF"/>
                <w:lang w:val="en-US"/>
              </w:rPr>
              <w:t xml:space="preserve"> an </w:t>
            </w:r>
            <w:proofErr w:type="spellStart"/>
            <w:r w:rsidRPr="00313E92">
              <w:rPr>
                <w:rFonts w:eastAsia="Arial Unicode MS"/>
                <w:color w:val="000000" w:themeColor="text1"/>
                <w:sz w:val="20"/>
                <w:szCs w:val="20"/>
                <w:shd w:val="clear" w:color="auto" w:fill="FFFFFF"/>
                <w:lang w:val="en-US"/>
              </w:rPr>
              <w:t>calendaristic</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de la 1 </w:t>
            </w:r>
            <w:proofErr w:type="spellStart"/>
            <w:r w:rsidRPr="00313E92">
              <w:rPr>
                <w:rFonts w:eastAsia="Arial Unicode MS"/>
                <w:color w:val="000000" w:themeColor="text1"/>
                <w:sz w:val="20"/>
                <w:szCs w:val="20"/>
                <w:shd w:val="clear" w:color="auto" w:fill="FFFFFF"/>
                <w:lang w:val="en-US"/>
              </w:rPr>
              <w:t>ianuarie</w:t>
            </w:r>
            <w:proofErr w:type="spellEnd"/>
            <w:r w:rsidRPr="00313E92">
              <w:rPr>
                <w:rFonts w:eastAsia="Arial Unicode MS"/>
                <w:color w:val="000000" w:themeColor="text1"/>
                <w:sz w:val="20"/>
                <w:szCs w:val="20"/>
                <w:shd w:val="clear" w:color="auto" w:fill="FFFFFF"/>
                <w:lang w:val="en-US"/>
              </w:rPr>
              <w:t xml:space="preserve"> 2010, ale </w:t>
            </w:r>
            <w:proofErr w:type="spellStart"/>
            <w:r w:rsidRPr="00313E92">
              <w:rPr>
                <w:rFonts w:eastAsia="Arial Unicode MS"/>
                <w:color w:val="000000" w:themeColor="text1"/>
                <w:sz w:val="20"/>
                <w:szCs w:val="20"/>
                <w:shd w:val="clear" w:color="auto" w:fill="FFFFFF"/>
                <w:lang w:val="en-US"/>
              </w:rPr>
              <w:t>aeronavei</w:t>
            </w:r>
            <w:proofErr w:type="spellEnd"/>
            <w:r w:rsidRPr="00313E92">
              <w:rPr>
                <w:rFonts w:eastAsia="Arial Unicode MS"/>
                <w:color w:val="000000" w:themeColor="text1"/>
                <w:sz w:val="20"/>
                <w:szCs w:val="20"/>
                <w:shd w:val="clear" w:color="auto" w:fill="FFFFFF"/>
                <w:lang w:val="en-US"/>
              </w:rPr>
              <w:t xml:space="preserve"> al </w:t>
            </w:r>
            <w:proofErr w:type="spellStart"/>
            <w:r w:rsidRPr="00313E92">
              <w:rPr>
                <w:rFonts w:eastAsia="Arial Unicode MS"/>
                <w:color w:val="000000" w:themeColor="text1"/>
                <w:sz w:val="20"/>
                <w:szCs w:val="20"/>
                <w:shd w:val="clear" w:color="auto" w:fill="FFFFFF"/>
                <w:lang w:val="en-US"/>
              </w:rPr>
              <w:t>cărui</w:t>
            </w:r>
            <w:proofErr w:type="spellEnd"/>
            <w:r w:rsidRPr="00313E92">
              <w:rPr>
                <w:rFonts w:eastAsia="Arial Unicode MS"/>
                <w:color w:val="000000" w:themeColor="text1"/>
                <w:sz w:val="20"/>
                <w:szCs w:val="20"/>
                <w:shd w:val="clear" w:color="auto" w:fill="FFFFFF"/>
                <w:lang w:val="en-US"/>
              </w:rPr>
              <w:t xml:space="preserve"> operator </w:t>
            </w:r>
            <w:proofErr w:type="spellStart"/>
            <w:r w:rsidRPr="00313E92">
              <w:rPr>
                <w:rFonts w:eastAsia="Arial Unicode MS"/>
                <w:color w:val="000000" w:themeColor="text1"/>
                <w:sz w:val="20"/>
                <w:szCs w:val="20"/>
                <w:shd w:val="clear" w:color="auto" w:fill="FFFFFF"/>
                <w:lang w:val="en-US"/>
              </w:rPr>
              <w:t>este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după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încheierea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anului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respectiv</w:t>
            </w:r>
            <w:proofErr w:type="spellEnd"/>
            <w:r w:rsidRPr="00313E92">
              <w:rPr>
                <w:rFonts w:eastAsia="Arial Unicode MS"/>
                <w:color w:val="000000" w:themeColor="text1"/>
                <w:sz w:val="20"/>
                <w:szCs w:val="20"/>
                <w:shd w:val="clear" w:color="auto" w:fill="FFFFFF"/>
                <w:lang w:val="en-US"/>
              </w:rPr>
              <w:t>, în conformitate cu</w:t>
            </w:r>
            <w:r w:rsidR="00313E92">
              <w:rPr>
                <w:rStyle w:val="apple-converted-space"/>
                <w:rFonts w:eastAsia="Arial Unicode MS"/>
                <w:color w:val="000000" w:themeColor="text1"/>
                <w:sz w:val="20"/>
                <w:szCs w:val="20"/>
                <w:shd w:val="clear" w:color="auto" w:fill="FFFFFF"/>
                <w:lang w:val="en-US"/>
              </w:rPr>
              <w:t xml:space="preserve"> </w:t>
            </w:r>
            <w:hyperlink r:id="rId230" w:tooltip="32018L0410: REPLACED" w:history="1">
              <w:r w:rsidRPr="00313E92">
                <w:rPr>
                  <w:rStyle w:val="boldface"/>
                  <w:rFonts w:eastAsia="Arial Unicode MS"/>
                  <w:b/>
                  <w:bCs/>
                  <w:color w:val="000000" w:themeColor="text1"/>
                  <w:sz w:val="20"/>
                  <w:szCs w:val="20"/>
                  <w:lang w:val="en-US"/>
                </w:rPr>
                <w:t>►M9</w:t>
              </w:r>
            </w:hyperlink>
            <w:r w:rsidR="00313E92">
              <w:rPr>
                <w:rStyle w:val="apple-converted-space"/>
                <w:rFonts w:eastAsia="Arial Unicode MS"/>
                <w:color w:val="000000" w:themeColor="text1"/>
                <w:sz w:val="20"/>
                <w:szCs w:val="20"/>
                <w:lang w:val="en-US"/>
              </w:rPr>
              <w:t xml:space="preserve"> </w:t>
            </w:r>
            <w:proofErr w:type="spellStart"/>
            <w:r w:rsidRPr="00313E92">
              <w:rPr>
                <w:rFonts w:eastAsia="Arial Unicode MS"/>
                <w:color w:val="000000" w:themeColor="text1"/>
                <w:sz w:val="20"/>
                <w:szCs w:val="20"/>
                <w:shd w:val="clear" w:color="auto" w:fill="FFFFFF"/>
                <w:lang w:val="en-US"/>
              </w:rPr>
              <w:t>actele</w:t>
            </w:r>
            <w:r w:rsidRPr="00313E92">
              <w:rPr>
                <w:rStyle w:val="boldface"/>
                <w:rFonts w:eastAsia="Arial Unicode MS"/>
                <w:b/>
                <w:bCs/>
                <w:color w:val="000000" w:themeColor="text1"/>
                <w:sz w:val="20"/>
                <w:szCs w:val="20"/>
                <w:lang w:val="en-US"/>
              </w:rPr>
              <w:t>◄</w:t>
            </w:r>
            <w:r w:rsidRPr="00313E92">
              <w:rPr>
                <w:rFonts w:eastAsia="Arial Unicode MS"/>
                <w:color w:val="000000" w:themeColor="text1"/>
                <w:sz w:val="20"/>
                <w:szCs w:val="20"/>
                <w:shd w:val="clear" w:color="auto" w:fill="FFFFFF"/>
                <w:lang w:val="en-US"/>
              </w:rPr>
              <w:t>menționate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(1).</w:t>
            </w:r>
          </w:p>
          <w:p w14:paraId="16F7AE4E" w14:textId="728C862C" w:rsidR="00124364" w:rsidRPr="00313E92" w:rsidRDefault="00000000" w:rsidP="00313E92">
            <w:pPr>
              <w:pStyle w:val="ti-art"/>
              <w:numPr>
                <w:ilvl w:val="0"/>
                <w:numId w:val="8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hyperlink r:id="rId231" w:tooltip="32018L0410: REPLACED" w:history="1">
              <w:r w:rsidRPr="00313E92">
                <w:rPr>
                  <w:rStyle w:val="boldface"/>
                  <w:rFonts w:eastAsia="Arial Unicode MS"/>
                  <w:b/>
                  <w:bCs/>
                  <w:color w:val="000000" w:themeColor="text1"/>
                  <w:sz w:val="20"/>
                  <w:szCs w:val="20"/>
                  <w:lang w:val="en-US"/>
                </w:rPr>
                <w:t>►M9</w:t>
              </w:r>
            </w:hyperlink>
            <w:r w:rsidRPr="00313E92">
              <w:rPr>
                <w:rFonts w:eastAsia="Arial Unicode MS"/>
                <w:color w:val="000000" w:themeColor="text1"/>
                <w:sz w:val="20"/>
                <w:szCs w:val="20"/>
                <w:shd w:val="clear" w:color="auto" w:fill="FFFFFF"/>
                <w:lang w:val="en-US"/>
              </w:rPr>
              <w:t>Actele</w:t>
            </w:r>
            <w:r w:rsidR="00313E92" w:rsidRPr="00313E92">
              <w:rPr>
                <w:rStyle w:val="boldface"/>
                <w:rFonts w:eastAsia="Arial Unicode MS"/>
                <w:b/>
                <w:bCs/>
                <w:color w:val="000000" w:themeColor="text1"/>
                <w:sz w:val="20"/>
                <w:szCs w:val="20"/>
                <w:lang w:val="en-US"/>
              </w:rPr>
              <w:t xml:space="preserve"> </w:t>
            </w:r>
            <w:r w:rsidRPr="00313E92">
              <w:rPr>
                <w:rStyle w:val="boldface"/>
                <w:rFonts w:eastAsia="Arial Unicode MS"/>
                <w:b/>
                <w:bCs/>
                <w:color w:val="000000" w:themeColor="text1"/>
                <w:sz w:val="20"/>
                <w:szCs w:val="20"/>
                <w:lang w:val="en-US"/>
              </w:rPr>
              <w:t>◄</w:t>
            </w:r>
            <w:r w:rsidR="00313E92" w:rsidRPr="00313E92">
              <w:rPr>
                <w:rStyle w:val="apple-converted-space"/>
                <w:rFonts w:eastAsia="Arial Unicode MS"/>
                <w:b/>
                <w:bCs/>
                <w:color w:val="000000" w:themeColor="text1"/>
                <w:sz w:val="20"/>
                <w:szCs w:val="20"/>
                <w:lang w:val="en-US"/>
              </w:rPr>
              <w:t xml:space="preserve"> </w:t>
            </w:r>
            <w:proofErr w:type="spellStart"/>
            <w:r w:rsidRPr="00313E92">
              <w:rPr>
                <w:rFonts w:eastAsia="Arial Unicode MS"/>
                <w:color w:val="000000" w:themeColor="text1"/>
                <w:sz w:val="20"/>
                <w:szCs w:val="20"/>
                <w:shd w:val="clear" w:color="auto" w:fill="FFFFFF"/>
                <w:lang w:val="en-US"/>
              </w:rPr>
              <w:t>menționate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(1) pot include </w:t>
            </w:r>
            <w:proofErr w:type="spellStart"/>
            <w:r w:rsidRPr="00313E92">
              <w:rPr>
                <w:rFonts w:eastAsia="Arial Unicode MS"/>
                <w:color w:val="000000" w:themeColor="text1"/>
                <w:sz w:val="20"/>
                <w:szCs w:val="20"/>
                <w:shd w:val="clear" w:color="auto" w:fill="FFFFFF"/>
                <w:lang w:val="en-US"/>
              </w:rPr>
              <w:t>cerințe</w:t>
            </w:r>
            <w:proofErr w:type="spellEnd"/>
            <w:r w:rsidRPr="00313E92">
              <w:rPr>
                <w:rFonts w:eastAsia="Arial Unicode MS"/>
                <w:color w:val="000000" w:themeColor="text1"/>
                <w:sz w:val="20"/>
                <w:szCs w:val="20"/>
                <w:shd w:val="clear" w:color="auto" w:fill="FFFFFF"/>
                <w:lang w:val="en-US"/>
              </w:rPr>
              <w:t xml:space="preserve"> cu </w:t>
            </w:r>
            <w:proofErr w:type="spellStart"/>
            <w:r w:rsidRPr="00313E92">
              <w:rPr>
                <w:rFonts w:eastAsia="Arial Unicode MS"/>
                <w:color w:val="000000" w:themeColor="text1"/>
                <w:sz w:val="20"/>
                <w:szCs w:val="20"/>
                <w:shd w:val="clear" w:color="auto" w:fill="FFFFFF"/>
                <w:lang w:val="en-US"/>
              </w:rPr>
              <w:t>privire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utilizarea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unor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sisteme</w:t>
            </w:r>
            <w:proofErr w:type="spellEnd"/>
            <w:r w:rsidRPr="00313E92">
              <w:rPr>
                <w:rFonts w:eastAsia="Arial Unicode MS"/>
                <w:color w:val="000000" w:themeColor="text1"/>
                <w:sz w:val="20"/>
                <w:szCs w:val="20"/>
                <w:shd w:val="clear" w:color="auto" w:fill="FFFFFF"/>
                <w:lang w:val="en-US"/>
              </w:rPr>
              <w:t xml:space="preserve"> automate și a </w:t>
            </w:r>
            <w:proofErr w:type="spellStart"/>
            <w:r w:rsidRPr="00313E92">
              <w:rPr>
                <w:rFonts w:eastAsia="Arial Unicode MS"/>
                <w:color w:val="000000" w:themeColor="text1"/>
                <w:sz w:val="20"/>
                <w:szCs w:val="20"/>
                <w:shd w:val="clear" w:color="auto" w:fill="FFFFFF"/>
                <w:lang w:val="en-US"/>
              </w:rPr>
              <w:t>unor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formate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schimb</w:t>
            </w:r>
            <w:proofErr w:type="spellEnd"/>
            <w:r w:rsidRPr="00313E92">
              <w:rPr>
                <w:rFonts w:eastAsia="Arial Unicode MS"/>
                <w:color w:val="000000" w:themeColor="text1"/>
                <w:sz w:val="20"/>
                <w:szCs w:val="20"/>
                <w:shd w:val="clear" w:color="auto" w:fill="FFFFFF"/>
                <w:lang w:val="en-US"/>
              </w:rPr>
              <w:t xml:space="preserve"> de date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armoniza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comunicarea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dintre</w:t>
            </w:r>
            <w:proofErr w:type="spellEnd"/>
            <w:r w:rsidRPr="00313E92">
              <w:rPr>
                <w:rFonts w:eastAsia="Arial Unicode MS"/>
                <w:color w:val="000000" w:themeColor="text1"/>
                <w:sz w:val="20"/>
                <w:szCs w:val="20"/>
                <w:shd w:val="clear" w:color="auto" w:fill="FFFFFF"/>
                <w:lang w:val="en-US"/>
              </w:rPr>
              <w:t xml:space="preserve"> operator, </w:t>
            </w:r>
            <w:proofErr w:type="spellStart"/>
            <w:r w:rsidRPr="00313E92">
              <w:rPr>
                <w:rFonts w:eastAsia="Arial Unicode MS"/>
                <w:color w:val="000000" w:themeColor="text1"/>
                <w:sz w:val="20"/>
                <w:szCs w:val="20"/>
                <w:shd w:val="clear" w:color="auto" w:fill="FFFFFF"/>
                <w:lang w:val="en-US"/>
              </w:rPr>
              <w:t>verificator</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autoritățile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competente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ceea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privește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planul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anual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activitățile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verificare</w:t>
            </w:r>
            <w:proofErr w:type="spellEnd"/>
            <w:r w:rsidRPr="00313E92">
              <w:rPr>
                <w:rFonts w:eastAsia="Arial Unicode MS"/>
                <w:color w:val="000000" w:themeColor="text1"/>
                <w:sz w:val="20"/>
                <w:szCs w:val="20"/>
                <w:shd w:val="clear" w:color="auto" w:fill="FFFFFF"/>
                <w:lang w:val="en-US"/>
              </w:rPr>
              <w:t>.</w:t>
            </w:r>
          </w:p>
          <w:p w14:paraId="36E6B1DD"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232" w:tooltip="32023L0958: INSERTED" w:history="1">
              <w:r>
                <w:rPr>
                  <w:rStyle w:val="af3"/>
                  <w:rFonts w:eastAsia="Arial Unicode MS"/>
                  <w:b/>
                  <w:bCs/>
                  <w:color w:val="4472C4" w:themeColor="accent1"/>
                  <w:sz w:val="20"/>
                  <w:szCs w:val="20"/>
                </w:rPr>
                <w:t>▼M14</w:t>
              </w:r>
            </w:hyperlink>
          </w:p>
          <w:p w14:paraId="4B4248B8" w14:textId="2F9D5C77" w:rsidR="00124364" w:rsidRPr="00313E92" w:rsidRDefault="00000000" w:rsidP="00313E92">
            <w:pPr>
              <w:pStyle w:val="ti-art"/>
              <w:numPr>
                <w:ilvl w:val="0"/>
                <w:numId w:val="8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Operatorii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raportează</w:t>
            </w:r>
            <w:proofErr w:type="spellEnd"/>
            <w:r w:rsidRPr="00313E92">
              <w:rPr>
                <w:rFonts w:eastAsia="Arial Unicode MS"/>
                <w:color w:val="000000" w:themeColor="text1"/>
                <w:sz w:val="20"/>
                <w:szCs w:val="20"/>
                <w:shd w:val="clear" w:color="auto" w:fill="FFFFFF"/>
                <w:lang w:val="en-US"/>
              </w:rPr>
              <w:t xml:space="preserve"> o </w:t>
            </w:r>
            <w:proofErr w:type="spellStart"/>
            <w:r w:rsidRPr="00313E92">
              <w:rPr>
                <w:rFonts w:eastAsia="Arial Unicode MS"/>
                <w:color w:val="000000" w:themeColor="text1"/>
                <w:sz w:val="20"/>
                <w:szCs w:val="20"/>
                <w:shd w:val="clear" w:color="auto" w:fill="FFFFFF"/>
                <w:lang w:val="en-US"/>
              </w:rPr>
              <w:t>dată</w:t>
            </w:r>
            <w:proofErr w:type="spellEnd"/>
            <w:r w:rsidRPr="00313E92">
              <w:rPr>
                <w:rFonts w:eastAsia="Arial Unicode MS"/>
                <w:color w:val="000000" w:themeColor="text1"/>
                <w:sz w:val="20"/>
                <w:szCs w:val="20"/>
                <w:shd w:val="clear" w:color="auto" w:fill="FFFFFF"/>
                <w:lang w:val="en-US"/>
              </w:rPr>
              <w:t xml:space="preserve"> pe </w:t>
            </w:r>
            <w:proofErr w:type="gramStart"/>
            <w:r w:rsidRPr="00313E92">
              <w:rPr>
                <w:rFonts w:eastAsia="Arial Unicode MS"/>
                <w:color w:val="000000" w:themeColor="text1"/>
                <w:sz w:val="20"/>
                <w:szCs w:val="20"/>
                <w:shd w:val="clear" w:color="auto" w:fill="FFFFFF"/>
                <w:lang w:val="en-US"/>
              </w:rPr>
              <w:t>an</w:t>
            </w:r>
            <w:proofErr w:type="gramEnd"/>
            <w:r w:rsidRPr="00313E92">
              <w:rPr>
                <w:rFonts w:eastAsia="Arial Unicode MS"/>
                <w:color w:val="000000" w:themeColor="text1"/>
                <w:sz w:val="20"/>
                <w:szCs w:val="20"/>
                <w:shd w:val="clear" w:color="auto" w:fill="FFFFFF"/>
                <w:lang w:val="en-US"/>
              </w:rPr>
              <w:t xml:space="preserve"> cu </w:t>
            </w:r>
            <w:proofErr w:type="spellStart"/>
            <w:r w:rsidRPr="00313E92">
              <w:rPr>
                <w:rFonts w:eastAsia="Arial Unicode MS"/>
                <w:color w:val="000000" w:themeColor="text1"/>
                <w:sz w:val="20"/>
                <w:szCs w:val="20"/>
                <w:shd w:val="clear" w:color="auto" w:fill="FFFFFF"/>
                <w:lang w:val="en-US"/>
              </w:rPr>
              <w:t>privire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Pr="00313E92">
              <w:rPr>
                <w:rFonts w:eastAsia="Arial Unicode MS"/>
                <w:color w:val="000000" w:themeColor="text1"/>
                <w:sz w:val="20"/>
                <w:szCs w:val="20"/>
                <w:shd w:val="clear" w:color="auto" w:fill="FFFFFF"/>
                <w:lang w:val="en-US"/>
              </w:rPr>
              <w:t xml:space="preserve">, care au loc </w:t>
            </w:r>
            <w:proofErr w:type="spellStart"/>
            <w:r w:rsidRPr="00313E92">
              <w:rPr>
                <w:rFonts w:eastAsia="Arial Unicode MS"/>
                <w:color w:val="000000" w:themeColor="text1"/>
                <w:sz w:val="20"/>
                <w:szCs w:val="20"/>
                <w:shd w:val="clear" w:color="auto" w:fill="FFFFFF"/>
                <w:lang w:val="en-US"/>
              </w:rPr>
              <w:t>începând</w:t>
            </w:r>
            <w:proofErr w:type="spellEnd"/>
            <w:r w:rsidRPr="00313E92">
              <w:rPr>
                <w:rFonts w:eastAsia="Arial Unicode MS"/>
                <w:color w:val="000000" w:themeColor="text1"/>
                <w:sz w:val="20"/>
                <w:szCs w:val="20"/>
                <w:shd w:val="clear" w:color="auto" w:fill="FFFFFF"/>
                <w:lang w:val="en-US"/>
              </w:rPr>
              <w:t xml:space="preserve"> din 1</w:t>
            </w:r>
            <w:r w:rsidR="00313E92"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ianuarie</w:t>
            </w:r>
            <w:proofErr w:type="spellEnd"/>
            <w:r w:rsidRPr="00313E92">
              <w:rPr>
                <w:rFonts w:eastAsia="Arial Unicode MS"/>
                <w:color w:val="000000" w:themeColor="text1"/>
                <w:sz w:val="20"/>
                <w:szCs w:val="20"/>
                <w:shd w:val="clear" w:color="auto" w:fill="FFFFFF"/>
                <w:lang w:val="en-US"/>
              </w:rPr>
              <w:t xml:space="preserve"> 2025. În </w:t>
            </w:r>
            <w:proofErr w:type="spellStart"/>
            <w:r w:rsidRPr="00313E92">
              <w:rPr>
                <w:rFonts w:eastAsia="Arial Unicode MS"/>
                <w:color w:val="000000" w:themeColor="text1"/>
                <w:sz w:val="20"/>
                <w:szCs w:val="20"/>
                <w:shd w:val="clear" w:color="auto" w:fill="FFFFFF"/>
                <w:lang w:val="en-US"/>
              </w:rPr>
              <w:t>acest</w:t>
            </w:r>
            <w:proofErr w:type="spellEnd"/>
            <w:r w:rsidRPr="00313E92">
              <w:rPr>
                <w:rFonts w:eastAsia="Arial Unicode MS"/>
                <w:color w:val="000000" w:themeColor="text1"/>
                <w:sz w:val="20"/>
                <w:szCs w:val="20"/>
                <w:shd w:val="clear" w:color="auto" w:fill="FFFFFF"/>
                <w:lang w:val="en-US"/>
              </w:rPr>
              <w:t xml:space="preserve"> scop, </w:t>
            </w: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adoptă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până</w:t>
            </w:r>
            <w:proofErr w:type="spellEnd"/>
            <w:r w:rsidRPr="00313E92">
              <w:rPr>
                <w:rFonts w:eastAsia="Arial Unicode MS"/>
                <w:color w:val="000000" w:themeColor="text1"/>
                <w:sz w:val="20"/>
                <w:szCs w:val="20"/>
                <w:shd w:val="clear" w:color="auto" w:fill="FFFFFF"/>
                <w:lang w:val="en-US"/>
              </w:rPr>
              <w:t xml:space="preserve"> la 31</w:t>
            </w:r>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august 2024, un act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alineatului</w:t>
            </w:r>
            <w:proofErr w:type="spellEnd"/>
            <w:r w:rsidRPr="00313E92">
              <w:rPr>
                <w:rFonts w:eastAsia="Arial Unicode MS"/>
                <w:color w:val="000000" w:themeColor="text1"/>
                <w:sz w:val="20"/>
                <w:szCs w:val="20"/>
                <w:shd w:val="clear" w:color="auto" w:fill="FFFFFF"/>
                <w:lang w:val="en-US"/>
              </w:rPr>
              <w:t xml:space="preserve"> (1),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a include </w:t>
            </w:r>
            <w:proofErr w:type="spellStart"/>
            <w:r w:rsidRPr="00313E92">
              <w:rPr>
                <w:rFonts w:eastAsia="Arial Unicode MS"/>
                <w:color w:val="000000" w:themeColor="text1"/>
                <w:sz w:val="20"/>
                <w:szCs w:val="20"/>
                <w:shd w:val="clear" w:color="auto" w:fill="FFFFFF"/>
                <w:lang w:val="en-US"/>
              </w:rPr>
              <w:t>într</w:t>
            </w:r>
            <w:proofErr w:type="spellEnd"/>
            <w:r w:rsidRPr="00313E92">
              <w:rPr>
                <w:rFonts w:eastAsia="Arial Unicode MS"/>
                <w:color w:val="000000" w:themeColor="text1"/>
                <w:sz w:val="20"/>
                <w:szCs w:val="20"/>
                <w:shd w:val="clear" w:color="auto" w:fill="FFFFFF"/>
                <w:lang w:val="en-US"/>
              </w:rPr>
              <w:t xml:space="preserve">-un </w:t>
            </w:r>
            <w:proofErr w:type="spellStart"/>
            <w:r w:rsidRPr="00313E92">
              <w:rPr>
                <w:rFonts w:eastAsia="Arial Unicode MS"/>
                <w:color w:val="000000" w:themeColor="text1"/>
                <w:sz w:val="20"/>
                <w:szCs w:val="20"/>
                <w:shd w:val="clear" w:color="auto" w:fill="FFFFFF"/>
                <w:lang w:val="en-US"/>
              </w:rPr>
              <w:t>cadru</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verificare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Cadrul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verificare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respectiv</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conține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puțin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datele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disponibile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traiectoria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tridimensională</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aeronavelor</w:t>
            </w:r>
            <w:proofErr w:type="spellEnd"/>
            <w:r w:rsidRPr="00313E92">
              <w:rPr>
                <w:rFonts w:eastAsia="Arial Unicode MS"/>
                <w:color w:val="000000" w:themeColor="text1"/>
                <w:sz w:val="20"/>
                <w:szCs w:val="20"/>
                <w:shd w:val="clear" w:color="auto" w:fill="FFFFFF"/>
                <w:lang w:val="en-US"/>
              </w:rPr>
              <w:t xml:space="preserve">, precum și </w:t>
            </w:r>
            <w:proofErr w:type="spellStart"/>
            <w:r w:rsidRPr="00313E92">
              <w:rPr>
                <w:rFonts w:eastAsia="Arial Unicode MS"/>
                <w:color w:val="000000" w:themeColor="text1"/>
                <w:sz w:val="20"/>
                <w:szCs w:val="20"/>
                <w:shd w:val="clear" w:color="auto" w:fill="FFFFFF"/>
                <w:lang w:val="en-US"/>
              </w:rPr>
              <w:t>umiditatea</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temperatura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ambientale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permite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obținerea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unui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echivalent</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00313E92" w:rsidRPr="00313E92">
              <w:rPr>
                <w:rStyle w:val="apple-converted-space"/>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per </w:t>
            </w:r>
            <w:proofErr w:type="spellStart"/>
            <w:r w:rsidRPr="00313E92">
              <w:rPr>
                <w:rFonts w:eastAsia="Arial Unicode MS"/>
                <w:color w:val="000000" w:themeColor="text1"/>
                <w:sz w:val="20"/>
                <w:szCs w:val="20"/>
                <w:shd w:val="clear" w:color="auto" w:fill="FFFFFF"/>
                <w:lang w:val="en-US"/>
              </w:rPr>
              <w:t>zbor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asigură</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funcție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resursele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disponibile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disponibilitatea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unor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instrumente</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faciliteze</w:t>
            </w:r>
            <w:proofErr w:type="spellEnd"/>
            <w:r w:rsidRPr="00313E92">
              <w:rPr>
                <w:rFonts w:eastAsia="Arial Unicode MS"/>
                <w:color w:val="000000" w:themeColor="text1"/>
                <w:sz w:val="20"/>
                <w:szCs w:val="20"/>
                <w:shd w:val="clear" w:color="auto" w:fill="FFFFFF"/>
                <w:lang w:val="en-US"/>
              </w:rPr>
              <w:t xml:space="preserve"> și, în </w:t>
            </w:r>
            <w:proofErr w:type="spellStart"/>
            <w:r w:rsidRPr="00313E92">
              <w:rPr>
                <w:rFonts w:eastAsia="Arial Unicode MS"/>
                <w:color w:val="000000" w:themeColor="text1"/>
                <w:sz w:val="20"/>
                <w:szCs w:val="20"/>
                <w:shd w:val="clear" w:color="auto" w:fill="FFFFFF"/>
                <w:lang w:val="en-US"/>
              </w:rPr>
              <w:t>măsura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posibilului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automatizeze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monitorizarea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raportarea</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verificarea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a reduce la minimum </w:t>
            </w:r>
            <w:proofErr w:type="spellStart"/>
            <w:r w:rsidRPr="00313E92">
              <w:rPr>
                <w:rFonts w:eastAsia="Arial Unicode MS"/>
                <w:color w:val="000000" w:themeColor="text1"/>
                <w:sz w:val="20"/>
                <w:szCs w:val="20"/>
                <w:shd w:val="clear" w:color="auto" w:fill="FFFFFF"/>
                <w:lang w:val="en-US"/>
              </w:rPr>
              <w:t>eventualele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sarcini</w:t>
            </w:r>
            <w:proofErr w:type="spellEnd"/>
            <w:r w:rsidRPr="00313E92">
              <w:rPr>
                <w:rFonts w:eastAsia="Arial Unicode MS"/>
                <w:color w:val="000000" w:themeColor="text1"/>
                <w:sz w:val="20"/>
                <w:szCs w:val="20"/>
                <w:shd w:val="clear" w:color="auto" w:fill="FFFFFF"/>
                <w:lang w:val="en-US"/>
              </w:rPr>
              <w:t xml:space="preserve"> administrative.</w:t>
            </w:r>
          </w:p>
          <w:p w14:paraId="48ECA817" w14:textId="3F145CA6" w:rsidR="00124364" w:rsidRPr="00313E92" w:rsidRDefault="00000000" w:rsidP="00313E9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Începând</w:t>
            </w:r>
            <w:proofErr w:type="spellEnd"/>
            <w:r w:rsidRPr="00313E92">
              <w:rPr>
                <w:rFonts w:eastAsia="Arial Unicode MS"/>
                <w:color w:val="000000" w:themeColor="text1"/>
                <w:sz w:val="20"/>
                <w:szCs w:val="20"/>
                <w:shd w:val="clear" w:color="auto" w:fill="FFFFFF"/>
                <w:lang w:val="en-US"/>
              </w:rPr>
              <w:t xml:space="preserve"> din 1</w:t>
            </w:r>
            <w:r w:rsidR="00313E92"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ianuarie</w:t>
            </w:r>
            <w:proofErr w:type="spellEnd"/>
            <w:r w:rsidRPr="00313E92">
              <w:rPr>
                <w:rFonts w:eastAsia="Arial Unicode MS"/>
                <w:color w:val="000000" w:themeColor="text1"/>
                <w:sz w:val="20"/>
                <w:szCs w:val="20"/>
                <w:shd w:val="clear" w:color="auto" w:fill="FFFFFF"/>
                <w:lang w:val="en-US"/>
              </w:rPr>
              <w:t xml:space="preserve"> 2025, </w:t>
            </w:r>
            <w:proofErr w:type="spellStart"/>
            <w:r w:rsidRPr="00313E92">
              <w:rPr>
                <w:rFonts w:eastAsia="Arial Unicode MS"/>
                <w:color w:val="000000" w:themeColor="text1"/>
                <w:sz w:val="20"/>
                <w:szCs w:val="20"/>
                <w:shd w:val="clear" w:color="auto" w:fill="FFFFFF"/>
                <w:lang w:val="en-US"/>
              </w:rPr>
              <w:t>statele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membre</w:t>
            </w:r>
            <w:proofErr w:type="spellEnd"/>
            <w:r w:rsidRPr="00313E92">
              <w:rPr>
                <w:rFonts w:eastAsia="Arial Unicode MS"/>
                <w:color w:val="000000" w:themeColor="text1"/>
                <w:sz w:val="20"/>
                <w:szCs w:val="20"/>
                <w:shd w:val="clear" w:color="auto" w:fill="FFFFFF"/>
                <w:lang w:val="en-US"/>
              </w:rPr>
              <w:t xml:space="preserve"> se </w:t>
            </w:r>
            <w:proofErr w:type="spellStart"/>
            <w:r w:rsidRPr="00313E92">
              <w:rPr>
                <w:rFonts w:eastAsia="Arial Unicode MS"/>
                <w:color w:val="000000" w:themeColor="text1"/>
                <w:sz w:val="20"/>
                <w:szCs w:val="20"/>
                <w:shd w:val="clear" w:color="auto" w:fill="FFFFFF"/>
                <w:lang w:val="en-US"/>
              </w:rPr>
              <w:t>asigură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operator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monitorizează</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raportează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autorității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competente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după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sfârșitul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fiecărui</w:t>
            </w:r>
            <w:proofErr w:type="spellEnd"/>
            <w:r w:rsidRPr="00313E92">
              <w:rPr>
                <w:rFonts w:eastAsia="Arial Unicode MS"/>
                <w:color w:val="000000" w:themeColor="text1"/>
                <w:sz w:val="20"/>
                <w:szCs w:val="20"/>
                <w:shd w:val="clear" w:color="auto" w:fill="FFFFFF"/>
                <w:lang w:val="en-US"/>
              </w:rPr>
              <w:t xml:space="preserve"> an,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00313E92" w:rsidRPr="00313E92">
              <w:rPr>
                <w:rStyle w:val="apple-converted-space"/>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produse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aeronavă</w:t>
            </w:r>
            <w:proofErr w:type="spellEnd"/>
            <w:r w:rsidRPr="00313E92">
              <w:rPr>
                <w:rFonts w:eastAsia="Arial Unicode MS"/>
                <w:color w:val="000000" w:themeColor="text1"/>
                <w:sz w:val="20"/>
                <w:szCs w:val="20"/>
                <w:shd w:val="clear" w:color="auto" w:fill="FFFFFF"/>
                <w:lang w:val="en-US"/>
              </w:rPr>
              <w:t xml:space="preserve"> pe care o </w:t>
            </w:r>
            <w:proofErr w:type="spellStart"/>
            <w:r w:rsidRPr="00313E92">
              <w:rPr>
                <w:rFonts w:eastAsia="Arial Unicode MS"/>
                <w:color w:val="000000" w:themeColor="text1"/>
                <w:sz w:val="20"/>
                <w:szCs w:val="20"/>
                <w:shd w:val="clear" w:color="auto" w:fill="FFFFFF"/>
                <w:lang w:val="en-US"/>
              </w:rPr>
              <w:t>exploatează</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calendaristic</w:t>
            </w:r>
            <w:proofErr w:type="spellEnd"/>
            <w:r w:rsidRPr="00313E92">
              <w:rPr>
                <w:rFonts w:eastAsia="Arial Unicode MS"/>
                <w:color w:val="000000" w:themeColor="text1"/>
                <w:sz w:val="20"/>
                <w:szCs w:val="20"/>
                <w:shd w:val="clear" w:color="auto" w:fill="FFFFFF"/>
                <w:lang w:val="en-US"/>
              </w:rPr>
              <w:t xml:space="preserve">, în conformitate cu </w:t>
            </w:r>
            <w:proofErr w:type="spellStart"/>
            <w:r w:rsidRPr="00313E92">
              <w:rPr>
                <w:rFonts w:eastAsia="Arial Unicode MS"/>
                <w:color w:val="000000" w:themeColor="text1"/>
                <w:sz w:val="20"/>
                <w:szCs w:val="20"/>
                <w:shd w:val="clear" w:color="auto" w:fill="FFFFFF"/>
                <w:lang w:val="en-US"/>
              </w:rPr>
              <w:t>actele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menționate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(1).</w:t>
            </w:r>
          </w:p>
          <w:p w14:paraId="39F94DC0" w14:textId="42BE7CF6" w:rsidR="00124364" w:rsidRPr="00313E92" w:rsidRDefault="00000000" w:rsidP="00313E9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Începând</w:t>
            </w:r>
            <w:proofErr w:type="spellEnd"/>
            <w:r w:rsidRPr="00313E92">
              <w:rPr>
                <w:rFonts w:eastAsia="Arial Unicode MS"/>
                <w:color w:val="000000" w:themeColor="text1"/>
                <w:sz w:val="20"/>
                <w:szCs w:val="20"/>
                <w:shd w:val="clear" w:color="auto" w:fill="FFFFFF"/>
                <w:lang w:val="en-US"/>
              </w:rPr>
              <w:t xml:space="preserve"> cu 2026, </w:t>
            </w: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prezintă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anual</w:t>
            </w:r>
            <w:proofErr w:type="spellEnd"/>
            <w:r w:rsidRPr="00313E92">
              <w:rPr>
                <w:rFonts w:eastAsia="Arial Unicode MS"/>
                <w:color w:val="000000" w:themeColor="text1"/>
                <w:sz w:val="20"/>
                <w:szCs w:val="20"/>
                <w:shd w:val="clear" w:color="auto" w:fill="FFFFFF"/>
                <w:lang w:val="en-US"/>
              </w:rPr>
              <w:t xml:space="preserve">, ca </w:t>
            </w:r>
            <w:proofErr w:type="spellStart"/>
            <w:r w:rsidRPr="00313E92">
              <w:rPr>
                <w:rFonts w:eastAsia="Arial Unicode MS"/>
                <w:color w:val="000000" w:themeColor="text1"/>
                <w:sz w:val="20"/>
                <w:szCs w:val="20"/>
                <w:shd w:val="clear" w:color="auto" w:fill="FFFFFF"/>
                <w:lang w:val="en-US"/>
              </w:rPr>
              <w:t>parte</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raportului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menționat</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articolul</w:t>
            </w:r>
            <w:proofErr w:type="spellEnd"/>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10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(5), un </w:t>
            </w:r>
            <w:proofErr w:type="spellStart"/>
            <w:r w:rsidRPr="00313E92">
              <w:rPr>
                <w:rFonts w:eastAsia="Arial Unicode MS"/>
                <w:color w:val="000000" w:themeColor="text1"/>
                <w:sz w:val="20"/>
                <w:szCs w:val="20"/>
                <w:shd w:val="clear" w:color="auto" w:fill="FFFFFF"/>
                <w:lang w:val="en-US"/>
              </w:rPr>
              <w:t>raport</w:t>
            </w:r>
            <w:proofErr w:type="spellEnd"/>
            <w:r w:rsidRPr="00313E92">
              <w:rPr>
                <w:rFonts w:eastAsia="Arial Unicode MS"/>
                <w:color w:val="000000" w:themeColor="text1"/>
                <w:sz w:val="20"/>
                <w:szCs w:val="20"/>
                <w:shd w:val="clear" w:color="auto" w:fill="FFFFFF"/>
                <w:lang w:val="en-US"/>
              </w:rPr>
              <w:t xml:space="preserve"> cu </w:t>
            </w:r>
            <w:proofErr w:type="spellStart"/>
            <w:r w:rsidRPr="00313E92">
              <w:rPr>
                <w:rFonts w:eastAsia="Arial Unicode MS"/>
                <w:color w:val="000000" w:themeColor="text1"/>
                <w:sz w:val="20"/>
                <w:szCs w:val="20"/>
                <w:shd w:val="clear" w:color="auto" w:fill="FFFFFF"/>
                <w:lang w:val="en-US"/>
              </w:rPr>
              <w:t>privire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rezultatele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aplicării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cadrului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verificare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menționat</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primul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paragraf</w:t>
            </w:r>
            <w:proofErr w:type="spellEnd"/>
            <w:r w:rsidRPr="00313E92">
              <w:rPr>
                <w:rFonts w:eastAsia="Arial Unicode MS"/>
                <w:color w:val="000000" w:themeColor="text1"/>
                <w:sz w:val="20"/>
                <w:szCs w:val="20"/>
                <w:shd w:val="clear" w:color="auto" w:fill="FFFFFF"/>
                <w:lang w:val="en-US"/>
              </w:rPr>
              <w:t xml:space="preserve"> de la </w:t>
            </w:r>
            <w:proofErr w:type="spellStart"/>
            <w:r w:rsidRPr="00313E92">
              <w:rPr>
                <w:rFonts w:eastAsia="Arial Unicode MS"/>
                <w:color w:val="000000" w:themeColor="text1"/>
                <w:sz w:val="20"/>
                <w:szCs w:val="20"/>
                <w:shd w:val="clear" w:color="auto" w:fill="FFFFFF"/>
                <w:lang w:val="en-US"/>
              </w:rPr>
              <w:t>prezentul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alineat</w:t>
            </w:r>
            <w:proofErr w:type="spellEnd"/>
            <w:r w:rsidRPr="00313E92">
              <w:rPr>
                <w:rFonts w:eastAsia="Arial Unicode MS"/>
                <w:color w:val="000000" w:themeColor="text1"/>
                <w:sz w:val="20"/>
                <w:szCs w:val="20"/>
                <w:shd w:val="clear" w:color="auto" w:fill="FFFFFF"/>
                <w:lang w:val="en-US"/>
              </w:rPr>
              <w:t>.</w:t>
            </w:r>
          </w:p>
          <w:p w14:paraId="2C289EF6" w14:textId="16BF602C" w:rsidR="00124364" w:rsidRPr="00313E92" w:rsidRDefault="00000000" w:rsidP="00313E92">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Până</w:t>
            </w:r>
            <w:proofErr w:type="spellEnd"/>
            <w:r w:rsidRPr="00313E92">
              <w:rPr>
                <w:rFonts w:eastAsia="Arial Unicode MS"/>
                <w:color w:val="000000" w:themeColor="text1"/>
                <w:sz w:val="20"/>
                <w:szCs w:val="20"/>
                <w:shd w:val="clear" w:color="auto" w:fill="FFFFFF"/>
                <w:lang w:val="en-US"/>
              </w:rPr>
              <w:t xml:space="preserve"> la 31</w:t>
            </w:r>
            <w:r w:rsidR="00313E92"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decembrie</w:t>
            </w:r>
            <w:proofErr w:type="spellEnd"/>
            <w:r w:rsidRPr="00313E92">
              <w:rPr>
                <w:rFonts w:eastAsia="Arial Unicode MS"/>
                <w:color w:val="000000" w:themeColor="text1"/>
                <w:sz w:val="20"/>
                <w:szCs w:val="20"/>
                <w:shd w:val="clear" w:color="auto" w:fill="FFFFFF"/>
                <w:lang w:val="en-US"/>
              </w:rPr>
              <w:t xml:space="preserve"> 2027, pe </w:t>
            </w:r>
            <w:proofErr w:type="spellStart"/>
            <w:r w:rsidRPr="00313E92">
              <w:rPr>
                <w:rFonts w:eastAsia="Arial Unicode MS"/>
                <w:color w:val="000000" w:themeColor="text1"/>
                <w:sz w:val="20"/>
                <w:szCs w:val="20"/>
                <w:shd w:val="clear" w:color="auto" w:fill="FFFFFF"/>
                <w:lang w:val="en-US"/>
              </w:rPr>
              <w:t>baza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rezultatelor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aplicării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cadrului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monitorizare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verificare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prezintă</w:t>
            </w:r>
            <w:proofErr w:type="spellEnd"/>
            <w:r w:rsidRPr="00313E92">
              <w:rPr>
                <w:rFonts w:eastAsia="Arial Unicode MS"/>
                <w:color w:val="000000" w:themeColor="text1"/>
                <w:sz w:val="20"/>
                <w:szCs w:val="20"/>
                <w:shd w:val="clear" w:color="auto" w:fill="FFFFFF"/>
                <w:lang w:val="en-US"/>
              </w:rPr>
              <w:t xml:space="preserve"> un </w:t>
            </w:r>
            <w:proofErr w:type="spellStart"/>
            <w:r w:rsidRPr="00313E92">
              <w:rPr>
                <w:rFonts w:eastAsia="Arial Unicode MS"/>
                <w:color w:val="000000" w:themeColor="text1"/>
                <w:sz w:val="20"/>
                <w:szCs w:val="20"/>
                <w:shd w:val="clear" w:color="auto" w:fill="FFFFFF"/>
                <w:lang w:val="en-US"/>
              </w:rPr>
              <w:t>raport</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după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caz</w:t>
            </w:r>
            <w:proofErr w:type="spellEnd"/>
            <w:r w:rsidRPr="00313E92">
              <w:rPr>
                <w:rFonts w:eastAsia="Arial Unicode MS"/>
                <w:color w:val="000000" w:themeColor="text1"/>
                <w:sz w:val="20"/>
                <w:szCs w:val="20"/>
                <w:shd w:val="clear" w:color="auto" w:fill="FFFFFF"/>
                <w:lang w:val="en-US"/>
              </w:rPr>
              <w:t xml:space="preserve"> și în </w:t>
            </w:r>
            <w:proofErr w:type="spellStart"/>
            <w:r w:rsidRPr="00313E92">
              <w:rPr>
                <w:rFonts w:eastAsia="Arial Unicode MS"/>
                <w:color w:val="000000" w:themeColor="text1"/>
                <w:sz w:val="20"/>
                <w:szCs w:val="20"/>
                <w:shd w:val="clear" w:color="auto" w:fill="FFFFFF"/>
                <w:lang w:val="en-US"/>
              </w:rPr>
              <w:t>urma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efectuării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prealabile</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unei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evaluări</w:t>
            </w:r>
            <w:proofErr w:type="spellEnd"/>
            <w:r w:rsidRPr="00313E92">
              <w:rPr>
                <w:rFonts w:eastAsia="Arial Unicode MS"/>
                <w:color w:val="000000" w:themeColor="text1"/>
                <w:sz w:val="20"/>
                <w:szCs w:val="20"/>
                <w:shd w:val="clear" w:color="auto" w:fill="FFFFFF"/>
                <w:lang w:val="en-US"/>
              </w:rPr>
              <w:t xml:space="preserve"> </w:t>
            </w:r>
            <w:proofErr w:type="gramStart"/>
            <w:r w:rsidRPr="00313E92">
              <w:rPr>
                <w:rFonts w:eastAsia="Arial Unicode MS"/>
                <w:color w:val="000000" w:themeColor="text1"/>
                <w:sz w:val="20"/>
                <w:szCs w:val="20"/>
                <w:shd w:val="clear" w:color="auto" w:fill="FFFFFF"/>
                <w:lang w:val="en-US"/>
              </w:rPr>
              <w:t>a</w:t>
            </w:r>
            <w:proofErr w:type="gram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impactului</w:t>
            </w:r>
            <w:proofErr w:type="spellEnd"/>
            <w:r w:rsidRPr="00313E92">
              <w:rPr>
                <w:rFonts w:eastAsia="Arial Unicode MS"/>
                <w:color w:val="000000" w:themeColor="text1"/>
                <w:sz w:val="20"/>
                <w:szCs w:val="20"/>
                <w:shd w:val="clear" w:color="auto" w:fill="FFFFFF"/>
                <w:lang w:val="en-US"/>
              </w:rPr>
              <w:t xml:space="preserve">, o </w:t>
            </w:r>
            <w:proofErr w:type="spellStart"/>
            <w:r w:rsidRPr="00313E92">
              <w:rPr>
                <w:rFonts w:eastAsia="Arial Unicode MS"/>
                <w:color w:val="000000" w:themeColor="text1"/>
                <w:sz w:val="20"/>
                <w:szCs w:val="20"/>
                <w:shd w:val="clear" w:color="auto" w:fill="FFFFFF"/>
                <w:lang w:val="en-US"/>
              </w:rPr>
              <w:t>propunere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legislativă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atenua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00313E92" w:rsidRPr="00313E92">
              <w:rPr>
                <w:rStyle w:val="apple-converted-space"/>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extinderea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domeniului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al EU ETS, </w:t>
            </w:r>
            <w:proofErr w:type="spellStart"/>
            <w:r w:rsidRPr="00313E92">
              <w:rPr>
                <w:rFonts w:eastAsia="Arial Unicode MS"/>
                <w:color w:val="000000" w:themeColor="text1"/>
                <w:sz w:val="20"/>
                <w:szCs w:val="20"/>
                <w:shd w:val="clear" w:color="auto" w:fill="FFFFFF"/>
                <w:lang w:val="en-US"/>
              </w:rPr>
              <w:t>astfel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încât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includă</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alte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efecte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aviației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decât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de CO</w:t>
            </w:r>
            <w:r w:rsidRPr="00313E92">
              <w:rPr>
                <w:rStyle w:val="subscript"/>
                <w:rFonts w:eastAsia="Arial Unicode MS"/>
                <w:color w:val="000000" w:themeColor="text1"/>
                <w:sz w:val="20"/>
                <w:szCs w:val="20"/>
                <w:vertAlign w:val="subscript"/>
                <w:lang w:val="en-US"/>
              </w:rPr>
              <w:t>2</w:t>
            </w:r>
            <w:r w:rsidRPr="00313E92">
              <w:rPr>
                <w:rFonts w:eastAsia="Arial Unicode MS"/>
                <w:color w:val="000000" w:themeColor="text1"/>
                <w:sz w:val="20"/>
                <w:szCs w:val="20"/>
                <w:shd w:val="clear" w:color="auto" w:fill="FFFFFF"/>
                <w:lang w:val="en-US"/>
              </w:rPr>
              <w:t>.</w:t>
            </w:r>
          </w:p>
          <w:p w14:paraId="2D66FF89" w14:textId="5199AA72" w:rsidR="00124364" w:rsidRPr="00313E92" w:rsidRDefault="00000000" w:rsidP="00313E92">
            <w:pPr>
              <w:pStyle w:val="ti-art"/>
              <w:numPr>
                <w:ilvl w:val="0"/>
                <w:numId w:val="8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Comisia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publică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puțin</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următoarele</w:t>
            </w:r>
            <w:proofErr w:type="spellEnd"/>
            <w:r w:rsidRPr="00313E92">
              <w:rPr>
                <w:rFonts w:eastAsia="Arial Unicode MS"/>
                <w:color w:val="000000" w:themeColor="text1"/>
                <w:sz w:val="20"/>
                <w:szCs w:val="20"/>
                <w:shd w:val="clear" w:color="auto" w:fill="FFFFFF"/>
                <w:lang w:val="en-US"/>
              </w:rPr>
              <w:t xml:space="preserve"> date </w:t>
            </w:r>
            <w:proofErr w:type="spellStart"/>
            <w:r w:rsidRPr="00313E92">
              <w:rPr>
                <w:rFonts w:eastAsia="Arial Unicode MS"/>
                <w:color w:val="000000" w:themeColor="text1"/>
                <w:sz w:val="20"/>
                <w:szCs w:val="20"/>
                <w:shd w:val="clear" w:color="auto" w:fill="FFFFFF"/>
                <w:lang w:val="en-US"/>
              </w:rPr>
              <w:t>agregate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referitoare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anuale</w:t>
            </w:r>
            <w:proofErr w:type="spellEnd"/>
            <w:r w:rsidRPr="00313E92">
              <w:rPr>
                <w:rFonts w:eastAsia="Arial Unicode MS"/>
                <w:color w:val="000000" w:themeColor="text1"/>
                <w:sz w:val="20"/>
                <w:szCs w:val="20"/>
                <w:shd w:val="clear" w:color="auto" w:fill="FFFFFF"/>
                <w:lang w:val="en-US"/>
              </w:rPr>
              <w:t xml:space="preserve"> generate de </w:t>
            </w:r>
            <w:proofErr w:type="spellStart"/>
            <w:r w:rsidRPr="00313E92">
              <w:rPr>
                <w:rFonts w:eastAsia="Arial Unicode MS"/>
                <w:color w:val="000000" w:themeColor="text1"/>
                <w:sz w:val="20"/>
                <w:szCs w:val="20"/>
                <w:shd w:val="clear" w:color="auto" w:fill="FFFFFF"/>
                <w:lang w:val="en-US"/>
              </w:rPr>
              <w:t>activitățile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aviație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raportate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statelor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membre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transmise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Comisiei</w:t>
            </w:r>
            <w:proofErr w:type="spellEnd"/>
            <w:r w:rsidRPr="00313E92">
              <w:rPr>
                <w:rFonts w:eastAsia="Arial Unicode MS"/>
                <w:color w:val="000000" w:themeColor="text1"/>
                <w:sz w:val="20"/>
                <w:szCs w:val="20"/>
                <w:shd w:val="clear" w:color="auto" w:fill="FFFFFF"/>
                <w:lang w:val="en-US"/>
              </w:rPr>
              <w:t xml:space="preserve"> în conformitate cu </w:t>
            </w:r>
            <w:proofErr w:type="spellStart"/>
            <w:r w:rsidRPr="00313E92">
              <w:rPr>
                <w:rFonts w:eastAsia="Arial Unicode MS"/>
                <w:color w:val="000000" w:themeColor="text1"/>
                <w:sz w:val="20"/>
                <w:szCs w:val="20"/>
                <w:shd w:val="clear" w:color="auto" w:fill="FFFFFF"/>
                <w:lang w:val="en-US"/>
              </w:rPr>
              <w:t>Regulamentul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punere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aplicare</w:t>
            </w:r>
            <w:proofErr w:type="spellEnd"/>
            <w:r w:rsidRPr="00313E92">
              <w:rPr>
                <w:rFonts w:eastAsia="Arial Unicode MS"/>
                <w:color w:val="000000" w:themeColor="text1"/>
                <w:sz w:val="20"/>
                <w:szCs w:val="20"/>
                <w:shd w:val="clear" w:color="auto" w:fill="FFFFFF"/>
                <w:lang w:val="en-US"/>
              </w:rPr>
              <w:t xml:space="preserve"> (UE)</w:t>
            </w:r>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2018/2066 al </w:t>
            </w:r>
            <w:proofErr w:type="spellStart"/>
            <w:r w:rsidRPr="00313E92">
              <w:rPr>
                <w:rFonts w:eastAsia="Arial Unicode MS"/>
                <w:color w:val="000000" w:themeColor="text1"/>
                <w:sz w:val="20"/>
                <w:szCs w:val="20"/>
                <w:shd w:val="clear" w:color="auto" w:fill="FFFFFF"/>
                <w:lang w:val="en-US"/>
              </w:rPr>
              <w:t>Comisiei</w:t>
            </w:r>
            <w:proofErr w:type="spellEnd"/>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w:t>
            </w:r>
            <w:hyperlink r:id="rId233" w:anchor="E0030" w:history="1">
              <w:r w:rsidRPr="00313E92">
                <w:rPr>
                  <w:rStyle w:val="superscript"/>
                  <w:rFonts w:eastAsia="Arial Unicode MS"/>
                  <w:color w:val="000000" w:themeColor="text1"/>
                  <w:sz w:val="20"/>
                  <w:szCs w:val="20"/>
                  <w:vertAlign w:val="superscript"/>
                  <w:lang w:val="en-US"/>
                </w:rPr>
                <w:t>29</w:t>
              </w:r>
            </w:hyperlink>
            <w:r w:rsidRPr="00313E92">
              <w:rPr>
                <w:rFonts w:eastAsia="Arial Unicode MS"/>
                <w:color w:val="000000" w:themeColor="text1"/>
                <w:sz w:val="20"/>
                <w:szCs w:val="20"/>
                <w:shd w:val="clear" w:color="auto" w:fill="FFFFFF"/>
                <w:lang w:val="en-US"/>
              </w:rPr>
              <w:t xml:space="preserve">) și cu </w:t>
            </w:r>
            <w:proofErr w:type="spellStart"/>
            <w:r w:rsidRPr="00313E92">
              <w:rPr>
                <w:rFonts w:eastAsia="Arial Unicode MS"/>
                <w:color w:val="000000" w:themeColor="text1"/>
                <w:sz w:val="20"/>
                <w:szCs w:val="20"/>
                <w:shd w:val="clear" w:color="auto" w:fill="FFFFFF"/>
                <w:lang w:val="en-US"/>
              </w:rPr>
              <w:t>articolul</w:t>
            </w:r>
            <w:proofErr w:type="spellEnd"/>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7 din </w:t>
            </w:r>
            <w:proofErr w:type="spellStart"/>
            <w:r w:rsidRPr="00313E92">
              <w:rPr>
                <w:rFonts w:eastAsia="Arial Unicode MS"/>
                <w:color w:val="000000" w:themeColor="text1"/>
                <w:sz w:val="20"/>
                <w:szCs w:val="20"/>
                <w:shd w:val="clear" w:color="auto" w:fill="FFFFFF"/>
                <w:lang w:val="en-US"/>
              </w:rPr>
              <w:t>Regulamentul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delegat</w:t>
            </w:r>
            <w:proofErr w:type="spellEnd"/>
            <w:r w:rsidRPr="00313E92">
              <w:rPr>
                <w:rFonts w:eastAsia="Arial Unicode MS"/>
                <w:color w:val="000000" w:themeColor="text1"/>
                <w:sz w:val="20"/>
                <w:szCs w:val="20"/>
                <w:shd w:val="clear" w:color="auto" w:fill="FFFFFF"/>
                <w:lang w:val="en-US"/>
              </w:rPr>
              <w:t xml:space="preserve"> (UE)</w:t>
            </w:r>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2019/1603 al </w:t>
            </w:r>
            <w:proofErr w:type="spellStart"/>
            <w:r w:rsidRPr="00313E92">
              <w:rPr>
                <w:rFonts w:eastAsia="Arial Unicode MS"/>
                <w:color w:val="000000" w:themeColor="text1"/>
                <w:sz w:val="20"/>
                <w:szCs w:val="20"/>
                <w:shd w:val="clear" w:color="auto" w:fill="FFFFFF"/>
                <w:lang w:val="en-US"/>
              </w:rPr>
              <w:t>Comisiei</w:t>
            </w:r>
            <w:proofErr w:type="spellEnd"/>
            <w:r w:rsidRPr="00313E92">
              <w:rPr>
                <w:rFonts w:eastAsia="Arial Unicode MS"/>
                <w:color w:val="000000" w:themeColor="text1"/>
                <w:sz w:val="20"/>
                <w:szCs w:val="20"/>
                <w:shd w:val="clear" w:color="auto" w:fill="FFFFFF"/>
                <w:lang w:val="en-US"/>
              </w:rPr>
              <w:t>(</w:t>
            </w:r>
            <w:hyperlink r:id="rId234" w:anchor="E0031" w:history="1">
              <w:r w:rsidRPr="00313E92">
                <w:rPr>
                  <w:rStyle w:val="superscript"/>
                  <w:rFonts w:eastAsia="Arial Unicode MS"/>
                  <w:color w:val="000000" w:themeColor="text1"/>
                  <w:sz w:val="20"/>
                  <w:szCs w:val="20"/>
                  <w:vertAlign w:val="superscript"/>
                  <w:lang w:val="en-US"/>
                </w:rPr>
                <w:t>30</w:t>
              </w:r>
            </w:hyperlink>
            <w:r w:rsidR="00313E92" w:rsidRPr="00313E92">
              <w:rPr>
                <w:rStyle w:val="apple-converted-space"/>
                <w:rFonts w:eastAsia="Arial Unicode MS"/>
                <w:color w:val="000000" w:themeColor="text1"/>
                <w:sz w:val="20"/>
                <w:szCs w:val="20"/>
                <w:lang w:val="en-US"/>
              </w:rPr>
              <w:t xml:space="preserve"> </w:t>
            </w:r>
            <w:r w:rsidRPr="00313E92">
              <w:rPr>
                <w:rFonts w:eastAsia="Arial Unicode MS"/>
                <w:color w:val="000000" w:themeColor="text1"/>
                <w:sz w:val="20"/>
                <w:szCs w:val="20"/>
                <w:shd w:val="clear" w:color="auto" w:fill="FFFFFF"/>
                <w:lang w:val="en-US"/>
              </w:rPr>
              <w:t xml:space="preserve">), în termen de </w:t>
            </w:r>
            <w:proofErr w:type="spellStart"/>
            <w:r w:rsidRPr="00313E92">
              <w:rPr>
                <w:rFonts w:eastAsia="Arial Unicode MS"/>
                <w:color w:val="000000" w:themeColor="text1"/>
                <w:sz w:val="20"/>
                <w:szCs w:val="20"/>
                <w:shd w:val="clear" w:color="auto" w:fill="FFFFFF"/>
                <w:lang w:val="en-US"/>
              </w:rPr>
              <w:t>cel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mult</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trei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luni</w:t>
            </w:r>
            <w:proofErr w:type="spellEnd"/>
            <w:r w:rsidRPr="00313E92">
              <w:rPr>
                <w:rFonts w:eastAsia="Arial Unicode MS"/>
                <w:color w:val="000000" w:themeColor="text1"/>
                <w:sz w:val="20"/>
                <w:szCs w:val="20"/>
                <w:shd w:val="clear" w:color="auto" w:fill="FFFFFF"/>
                <w:lang w:val="en-US"/>
              </w:rPr>
              <w:t xml:space="preserve"> de la </w:t>
            </w:r>
            <w:proofErr w:type="spellStart"/>
            <w:r w:rsidRPr="00313E92">
              <w:rPr>
                <w:rFonts w:eastAsia="Arial Unicode MS"/>
                <w:color w:val="000000" w:themeColor="text1"/>
                <w:sz w:val="20"/>
                <w:szCs w:val="20"/>
                <w:shd w:val="clear" w:color="auto" w:fill="FFFFFF"/>
                <w:lang w:val="en-US"/>
              </w:rPr>
              <w:t>termenul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raportare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respectiv</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într</w:t>
            </w:r>
            <w:proofErr w:type="spellEnd"/>
            <w:r w:rsidRPr="00313E92">
              <w:rPr>
                <w:rFonts w:eastAsia="Arial Unicode MS"/>
                <w:color w:val="000000" w:themeColor="text1"/>
                <w:sz w:val="20"/>
                <w:szCs w:val="20"/>
                <w:shd w:val="clear" w:color="auto" w:fill="FFFFFF"/>
                <w:lang w:val="en-US"/>
              </w:rPr>
              <w:t xml:space="preserve">-un mod </w:t>
            </w:r>
            <w:proofErr w:type="spellStart"/>
            <w:r w:rsidRPr="00313E92">
              <w:rPr>
                <w:rFonts w:eastAsia="Arial Unicode MS"/>
                <w:color w:val="000000" w:themeColor="text1"/>
                <w:sz w:val="20"/>
                <w:szCs w:val="20"/>
                <w:shd w:val="clear" w:color="auto" w:fill="FFFFFF"/>
                <w:lang w:val="en-US"/>
              </w:rPr>
              <w:t>ușor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utilizat</w:t>
            </w:r>
            <w:proofErr w:type="spellEnd"/>
            <w:r w:rsidRPr="00313E92">
              <w:rPr>
                <w:rFonts w:eastAsia="Arial Unicode MS"/>
                <w:color w:val="000000" w:themeColor="text1"/>
                <w:sz w:val="20"/>
                <w:szCs w:val="20"/>
                <w:shd w:val="clear" w:color="auto" w:fill="FFFFFF"/>
                <w:lang w:val="en-US"/>
              </w:rPr>
              <w:t>:</w:t>
            </w:r>
          </w:p>
          <w:p w14:paraId="6365FF23" w14:textId="77777777" w:rsidR="00124364" w:rsidRPr="00313E92" w:rsidRDefault="00000000" w:rsidP="00313E92">
            <w:pPr>
              <w:pStyle w:val="ti-art"/>
              <w:numPr>
                <w:ilvl w:val="0"/>
                <w:numId w:val="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lastRenderedPageBreak/>
              <w:t>pentru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pereche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aerodromuri</w:t>
            </w:r>
            <w:proofErr w:type="spellEnd"/>
            <w:r w:rsidRPr="00313E92">
              <w:rPr>
                <w:rFonts w:eastAsia="Arial Unicode MS"/>
                <w:color w:val="000000" w:themeColor="text1"/>
                <w:sz w:val="20"/>
                <w:szCs w:val="20"/>
                <w:shd w:val="clear" w:color="auto" w:fill="FFFFFF"/>
                <w:lang w:val="en-US"/>
              </w:rPr>
              <w:t xml:space="preserve"> din </w:t>
            </w:r>
            <w:proofErr w:type="spellStart"/>
            <w:r w:rsidRPr="00313E92">
              <w:rPr>
                <w:rFonts w:eastAsia="Arial Unicode MS"/>
                <w:color w:val="000000" w:themeColor="text1"/>
                <w:sz w:val="20"/>
                <w:szCs w:val="20"/>
                <w:shd w:val="clear" w:color="auto" w:fill="FFFFFF"/>
                <w:lang w:val="en-US"/>
              </w:rPr>
              <w:t>cadrul</w:t>
            </w:r>
            <w:proofErr w:type="spellEnd"/>
            <w:r w:rsidRPr="00313E92">
              <w:rPr>
                <w:rFonts w:eastAsia="Arial Unicode MS"/>
                <w:color w:val="000000" w:themeColor="text1"/>
                <w:sz w:val="20"/>
                <w:szCs w:val="20"/>
                <w:shd w:val="clear" w:color="auto" w:fill="FFFFFF"/>
                <w:lang w:val="en-US"/>
              </w:rPr>
              <w:t xml:space="preserve"> SEE:</w:t>
            </w:r>
          </w:p>
          <w:p w14:paraId="5AF9CFC8" w14:textId="77777777" w:rsidR="00124364" w:rsidRPr="00313E92" w:rsidRDefault="00000000" w:rsidP="00313E92">
            <w:pPr>
              <w:pStyle w:val="ti-art"/>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generate de </w:t>
            </w:r>
            <w:proofErr w:type="spellStart"/>
            <w:r w:rsidRPr="00313E92">
              <w:rPr>
                <w:rFonts w:eastAsia="Arial Unicode MS"/>
                <w:color w:val="000000" w:themeColor="text1"/>
                <w:sz w:val="20"/>
                <w:szCs w:val="20"/>
                <w:shd w:val="clear" w:color="auto" w:fill="FFFFFF"/>
                <w:lang w:val="en-US"/>
              </w:rPr>
              <w:t>toate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zborurile</w:t>
            </w:r>
            <w:proofErr w:type="spellEnd"/>
            <w:r w:rsidRPr="00313E92">
              <w:rPr>
                <w:rFonts w:eastAsia="Arial Unicode MS"/>
                <w:color w:val="000000" w:themeColor="text1"/>
                <w:sz w:val="20"/>
                <w:szCs w:val="20"/>
                <w:shd w:val="clear" w:color="auto" w:fill="FFFFFF"/>
                <w:lang w:val="en-US"/>
              </w:rPr>
              <w:t>;</w:t>
            </w:r>
          </w:p>
          <w:p w14:paraId="3CA52557" w14:textId="77777777" w:rsidR="00124364" w:rsidRPr="00313E92" w:rsidRDefault="00000000" w:rsidP="00313E92">
            <w:pPr>
              <w:pStyle w:val="ti-art"/>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rPr>
              <w:t>numărul</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total</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de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zboruri</w:t>
            </w:r>
            <w:proofErr w:type="spellEnd"/>
            <w:r w:rsidRPr="00313E92">
              <w:rPr>
                <w:rFonts w:eastAsia="Arial Unicode MS"/>
                <w:color w:val="000000" w:themeColor="text1"/>
                <w:sz w:val="20"/>
                <w:szCs w:val="20"/>
                <w:shd w:val="clear" w:color="auto" w:fill="FFFFFF"/>
              </w:rPr>
              <w:t>;</w:t>
            </w:r>
          </w:p>
          <w:p w14:paraId="269653D9" w14:textId="77777777" w:rsidR="00124364" w:rsidRPr="00313E92" w:rsidRDefault="00000000" w:rsidP="00313E92">
            <w:pPr>
              <w:pStyle w:val="ti-art"/>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rPr>
              <w:t>numărul</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total</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de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pasageri</w:t>
            </w:r>
            <w:proofErr w:type="spellEnd"/>
            <w:r w:rsidRPr="00313E92">
              <w:rPr>
                <w:rFonts w:eastAsia="Arial Unicode MS"/>
                <w:color w:val="000000" w:themeColor="text1"/>
                <w:sz w:val="20"/>
                <w:szCs w:val="20"/>
                <w:shd w:val="clear" w:color="auto" w:fill="FFFFFF"/>
              </w:rPr>
              <w:t>;</w:t>
            </w:r>
          </w:p>
          <w:p w14:paraId="701B6C1E" w14:textId="77777777" w:rsidR="00124364" w:rsidRPr="00313E92" w:rsidRDefault="00000000" w:rsidP="00313E92">
            <w:pPr>
              <w:pStyle w:val="ti-art"/>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rPr>
              <w:t>tipurile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de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aeronave</w:t>
            </w:r>
            <w:proofErr w:type="spellEnd"/>
            <w:r w:rsidRPr="00313E92">
              <w:rPr>
                <w:rFonts w:eastAsia="Arial Unicode MS"/>
                <w:color w:val="000000" w:themeColor="text1"/>
                <w:sz w:val="20"/>
                <w:szCs w:val="20"/>
                <w:shd w:val="clear" w:color="auto" w:fill="FFFFFF"/>
              </w:rPr>
              <w:t>;</w:t>
            </w:r>
          </w:p>
          <w:p w14:paraId="670FB541" w14:textId="77777777" w:rsidR="00124364" w:rsidRPr="00313E92" w:rsidRDefault="00000000" w:rsidP="00313E92">
            <w:pPr>
              <w:pStyle w:val="ti-art"/>
              <w:numPr>
                <w:ilvl w:val="0"/>
                <w:numId w:val="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fiecare</w:t>
            </w:r>
            <w:proofErr w:type="spellEnd"/>
            <w:r w:rsidRPr="00313E92">
              <w:rPr>
                <w:rFonts w:eastAsia="Arial Unicode MS"/>
                <w:color w:val="000000" w:themeColor="text1"/>
                <w:sz w:val="20"/>
                <w:szCs w:val="20"/>
                <w:shd w:val="clear" w:color="auto" w:fill="FFFFFF"/>
                <w:lang w:val="en-US"/>
              </w:rPr>
              <w:t xml:space="preserve"> operator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w:t>
            </w:r>
          </w:p>
          <w:p w14:paraId="60A97047" w14:textId="77777777" w:rsidR="00124364" w:rsidRPr="00313E92" w:rsidRDefault="00000000" w:rsidP="00313E92">
            <w:pPr>
              <w:pStyle w:val="ti-art"/>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13E92">
              <w:rPr>
                <w:rFonts w:eastAsia="Arial Unicode MS"/>
                <w:color w:val="000000" w:themeColor="text1"/>
                <w:sz w:val="20"/>
                <w:szCs w:val="20"/>
                <w:shd w:val="clear" w:color="auto" w:fill="FFFFFF"/>
                <w:lang w:val="en-US"/>
              </w:rPr>
              <w:t xml:space="preserve">date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generate de </w:t>
            </w:r>
            <w:proofErr w:type="spellStart"/>
            <w:r w:rsidRPr="00313E92">
              <w:rPr>
                <w:rFonts w:eastAsia="Arial Unicode MS"/>
                <w:color w:val="000000" w:themeColor="text1"/>
                <w:sz w:val="20"/>
                <w:szCs w:val="20"/>
                <w:shd w:val="clear" w:color="auto" w:fill="FFFFFF"/>
                <w:lang w:val="en-US"/>
              </w:rPr>
              <w:t>zborurile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interiorul</w:t>
            </w:r>
            <w:proofErr w:type="spellEnd"/>
            <w:r w:rsidRPr="00313E92">
              <w:rPr>
                <w:rFonts w:eastAsia="Arial Unicode MS"/>
                <w:color w:val="000000" w:themeColor="text1"/>
                <w:sz w:val="20"/>
                <w:szCs w:val="20"/>
                <w:shd w:val="clear" w:color="auto" w:fill="FFFFFF"/>
                <w:lang w:val="en-US"/>
              </w:rPr>
              <w:t xml:space="preserve"> SEE, de </w:t>
            </w:r>
            <w:proofErr w:type="spellStart"/>
            <w:r w:rsidRPr="00313E92">
              <w:rPr>
                <w:rFonts w:eastAsia="Arial Unicode MS"/>
                <w:color w:val="000000" w:themeColor="text1"/>
                <w:sz w:val="20"/>
                <w:szCs w:val="20"/>
                <w:shd w:val="clear" w:color="auto" w:fill="FFFFFF"/>
                <w:lang w:val="en-US"/>
              </w:rPr>
              <w:t>zborurile</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pleacă</w:t>
            </w:r>
            <w:proofErr w:type="spellEnd"/>
            <w:r w:rsidRPr="00313E92">
              <w:rPr>
                <w:rFonts w:eastAsia="Arial Unicode MS"/>
                <w:color w:val="000000" w:themeColor="text1"/>
                <w:sz w:val="20"/>
                <w:szCs w:val="20"/>
                <w:shd w:val="clear" w:color="auto" w:fill="FFFFFF"/>
                <w:lang w:val="en-US"/>
              </w:rPr>
              <w:t xml:space="preserve"> din SEE, de </w:t>
            </w:r>
            <w:proofErr w:type="spellStart"/>
            <w:r w:rsidRPr="00313E92">
              <w:rPr>
                <w:rFonts w:eastAsia="Arial Unicode MS"/>
                <w:color w:val="000000" w:themeColor="text1"/>
                <w:sz w:val="20"/>
                <w:szCs w:val="20"/>
                <w:shd w:val="clear" w:color="auto" w:fill="FFFFFF"/>
                <w:lang w:val="en-US"/>
              </w:rPr>
              <w:t>zborurile</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sosesc</w:t>
            </w:r>
            <w:proofErr w:type="spellEnd"/>
            <w:r w:rsidRPr="00313E92">
              <w:rPr>
                <w:rFonts w:eastAsia="Arial Unicode MS"/>
                <w:color w:val="000000" w:themeColor="text1"/>
                <w:sz w:val="20"/>
                <w:szCs w:val="20"/>
                <w:shd w:val="clear" w:color="auto" w:fill="FFFFFF"/>
                <w:lang w:val="en-US"/>
              </w:rPr>
              <w:t xml:space="preserve"> în SEE și de </w:t>
            </w:r>
            <w:proofErr w:type="spellStart"/>
            <w:r w:rsidRPr="00313E92">
              <w:rPr>
                <w:rFonts w:eastAsia="Arial Unicode MS"/>
                <w:color w:val="000000" w:themeColor="text1"/>
                <w:sz w:val="20"/>
                <w:szCs w:val="20"/>
                <w:shd w:val="clear" w:color="auto" w:fill="FFFFFF"/>
                <w:lang w:val="en-US"/>
              </w:rPr>
              <w:t>zborurile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între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două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țări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terțe</w:t>
            </w:r>
            <w:proofErr w:type="spellEnd"/>
            <w:r w:rsidRPr="00313E92">
              <w:rPr>
                <w:rFonts w:eastAsia="Arial Unicode MS"/>
                <w:color w:val="000000" w:themeColor="text1"/>
                <w:sz w:val="20"/>
                <w:szCs w:val="20"/>
                <w:shd w:val="clear" w:color="auto" w:fill="FFFFFF"/>
                <w:lang w:val="en-US"/>
              </w:rPr>
              <w:t xml:space="preserve">, defalcate pe </w:t>
            </w:r>
            <w:proofErr w:type="spellStart"/>
            <w:r w:rsidRPr="00313E92">
              <w:rPr>
                <w:rFonts w:eastAsia="Arial Unicode MS"/>
                <w:color w:val="000000" w:themeColor="text1"/>
                <w:sz w:val="20"/>
                <w:szCs w:val="20"/>
                <w:shd w:val="clear" w:color="auto" w:fill="FFFFFF"/>
                <w:lang w:val="en-US"/>
              </w:rPr>
              <w:t>perechi</w:t>
            </w:r>
            <w:proofErr w:type="spellEnd"/>
            <w:r w:rsidRPr="00313E92">
              <w:rPr>
                <w:rFonts w:eastAsia="Arial Unicode MS"/>
                <w:color w:val="000000" w:themeColor="text1"/>
                <w:sz w:val="20"/>
                <w:szCs w:val="20"/>
                <w:shd w:val="clear" w:color="auto" w:fill="FFFFFF"/>
                <w:lang w:val="en-US"/>
              </w:rPr>
              <w:t xml:space="preserve"> de state, și date </w:t>
            </w:r>
            <w:proofErr w:type="spellStart"/>
            <w:r w:rsidRPr="00313E92">
              <w:rPr>
                <w:rFonts w:eastAsia="Arial Unicode MS"/>
                <w:color w:val="000000" w:themeColor="text1"/>
                <w:sz w:val="20"/>
                <w:szCs w:val="20"/>
                <w:shd w:val="clear" w:color="auto" w:fill="FFFFFF"/>
                <w:lang w:val="en-US"/>
              </w:rPr>
              <w:t>privind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emisiile</w:t>
            </w:r>
            <w:proofErr w:type="spellEnd"/>
            <w:r w:rsidRPr="00313E92">
              <w:rPr>
                <w:rFonts w:eastAsia="Arial Unicode MS"/>
                <w:color w:val="000000" w:themeColor="text1"/>
                <w:sz w:val="20"/>
                <w:szCs w:val="20"/>
                <w:shd w:val="clear" w:color="auto" w:fill="FFFFFF"/>
                <w:lang w:val="en-US"/>
              </w:rPr>
              <w:t xml:space="preserve"> care fac </w:t>
            </w:r>
            <w:proofErr w:type="spellStart"/>
            <w:r w:rsidRPr="00313E92">
              <w:rPr>
                <w:rFonts w:eastAsia="Arial Unicode MS"/>
                <w:color w:val="000000" w:themeColor="text1"/>
                <w:sz w:val="20"/>
                <w:szCs w:val="20"/>
                <w:shd w:val="clear" w:color="auto" w:fill="FFFFFF"/>
                <w:lang w:val="en-US"/>
              </w:rPr>
              <w:t>obiectul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obligației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anulare</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unităților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emisii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eligibile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cadrul</w:t>
            </w:r>
            <w:proofErr w:type="spellEnd"/>
            <w:r w:rsidRPr="00313E92">
              <w:rPr>
                <w:rFonts w:eastAsia="Arial Unicode MS"/>
                <w:color w:val="000000" w:themeColor="text1"/>
                <w:sz w:val="20"/>
                <w:szCs w:val="20"/>
                <w:shd w:val="clear" w:color="auto" w:fill="FFFFFF"/>
                <w:lang w:val="en-US"/>
              </w:rPr>
              <w:t xml:space="preserve"> CORSIA;</w:t>
            </w:r>
          </w:p>
          <w:p w14:paraId="5F4542AF" w14:textId="43507CFD" w:rsidR="00124364" w:rsidRPr="00313E92" w:rsidRDefault="00000000" w:rsidP="00313E92">
            <w:pPr>
              <w:pStyle w:val="ti-art"/>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volumul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compensare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calculat</w:t>
            </w:r>
            <w:proofErr w:type="spellEnd"/>
            <w:r w:rsidRPr="00313E92">
              <w:rPr>
                <w:rFonts w:eastAsia="Arial Unicode MS"/>
                <w:color w:val="000000" w:themeColor="text1"/>
                <w:sz w:val="20"/>
                <w:szCs w:val="20"/>
                <w:shd w:val="clear" w:color="auto" w:fill="FFFFFF"/>
                <w:lang w:val="en-US"/>
              </w:rPr>
              <w:t xml:space="preserve"> în conformitate cu </w:t>
            </w:r>
            <w:proofErr w:type="spellStart"/>
            <w:r w:rsidRPr="00313E92">
              <w:rPr>
                <w:rFonts w:eastAsia="Arial Unicode MS"/>
                <w:color w:val="000000" w:themeColor="text1"/>
                <w:sz w:val="20"/>
                <w:szCs w:val="20"/>
                <w:shd w:val="clear" w:color="auto" w:fill="FFFFFF"/>
                <w:lang w:val="en-US"/>
              </w:rPr>
              <w:t>articolul</w:t>
            </w:r>
            <w:proofErr w:type="spellEnd"/>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12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(8);</w:t>
            </w:r>
          </w:p>
          <w:p w14:paraId="7F1C2D2E" w14:textId="4F3E4AF0" w:rsidR="00124364" w:rsidRPr="00313E92" w:rsidRDefault="00000000" w:rsidP="00313E92">
            <w:pPr>
              <w:pStyle w:val="ti-art"/>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valoarea</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tipul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credite</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articolului</w:t>
            </w:r>
            <w:proofErr w:type="spellEnd"/>
            <w:r w:rsidR="00313E92" w:rsidRPr="00313E9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11a </w:t>
            </w:r>
            <w:proofErr w:type="spellStart"/>
            <w:r w:rsidRPr="00313E92">
              <w:rPr>
                <w:rFonts w:eastAsia="Arial Unicode MS"/>
                <w:color w:val="000000" w:themeColor="text1"/>
                <w:sz w:val="20"/>
                <w:szCs w:val="20"/>
                <w:shd w:val="clear" w:color="auto" w:fill="FFFFFF"/>
                <w:lang w:val="en-US"/>
              </w:rPr>
              <w:t>utilizate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a </w:t>
            </w:r>
            <w:proofErr w:type="spellStart"/>
            <w:r w:rsidRPr="00313E92">
              <w:rPr>
                <w:rFonts w:eastAsia="Arial Unicode MS"/>
                <w:color w:val="000000" w:themeColor="text1"/>
                <w:sz w:val="20"/>
                <w:szCs w:val="20"/>
                <w:shd w:val="clear" w:color="auto" w:fill="FFFFFF"/>
                <w:lang w:val="en-US"/>
              </w:rPr>
              <w:t>respecta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cerințele</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compensare</w:t>
            </w:r>
            <w:proofErr w:type="spellEnd"/>
            <w:r w:rsidRPr="00313E92">
              <w:rPr>
                <w:rFonts w:eastAsia="Arial Unicode MS"/>
                <w:color w:val="000000" w:themeColor="text1"/>
                <w:sz w:val="20"/>
                <w:szCs w:val="20"/>
                <w:shd w:val="clear" w:color="auto" w:fill="FFFFFF"/>
                <w:lang w:val="en-US"/>
              </w:rPr>
              <w:t xml:space="preserve"> ale </w:t>
            </w:r>
            <w:proofErr w:type="spellStart"/>
            <w:r w:rsidRPr="00313E92">
              <w:rPr>
                <w:rFonts w:eastAsia="Arial Unicode MS"/>
                <w:color w:val="000000" w:themeColor="text1"/>
                <w:sz w:val="20"/>
                <w:szCs w:val="20"/>
                <w:shd w:val="clear" w:color="auto" w:fill="FFFFFF"/>
                <w:lang w:val="en-US"/>
              </w:rPr>
              <w:t>operatorului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menționate</w:t>
            </w:r>
            <w:proofErr w:type="spellEnd"/>
            <w:r w:rsidRPr="00313E92">
              <w:rPr>
                <w:rFonts w:eastAsia="Arial Unicode MS"/>
                <w:color w:val="000000" w:themeColor="text1"/>
                <w:sz w:val="20"/>
                <w:szCs w:val="20"/>
                <w:shd w:val="clear" w:color="auto" w:fill="FFFFFF"/>
                <w:lang w:val="en-US"/>
              </w:rPr>
              <w:t xml:space="preserve"> la </w:t>
            </w:r>
            <w:proofErr w:type="spellStart"/>
            <w:r w:rsidRPr="00313E92">
              <w:rPr>
                <w:rFonts w:eastAsia="Arial Unicode MS"/>
                <w:color w:val="000000" w:themeColor="text1"/>
                <w:sz w:val="20"/>
                <w:szCs w:val="20"/>
                <w:shd w:val="clear" w:color="auto" w:fill="FFFFFF"/>
                <w:lang w:val="en-US"/>
              </w:rPr>
              <w:t>punctul</w:t>
            </w:r>
            <w:proofErr w:type="spellEnd"/>
            <w:r w:rsidRPr="00313E92">
              <w:rPr>
                <w:rFonts w:eastAsia="Arial Unicode MS"/>
                <w:color w:val="000000" w:themeColor="text1"/>
                <w:sz w:val="20"/>
                <w:szCs w:val="20"/>
                <w:shd w:val="clear" w:color="auto" w:fill="FFFFFF"/>
                <w:lang w:val="en-US"/>
              </w:rPr>
              <w:t xml:space="preserve"> (ii) de la prezenta </w:t>
            </w:r>
            <w:proofErr w:type="spellStart"/>
            <w:r w:rsidRPr="00313E92">
              <w:rPr>
                <w:rFonts w:eastAsia="Arial Unicode MS"/>
                <w:color w:val="000000" w:themeColor="text1"/>
                <w:sz w:val="20"/>
                <w:szCs w:val="20"/>
                <w:shd w:val="clear" w:color="auto" w:fill="FFFFFF"/>
                <w:lang w:val="en-US"/>
              </w:rPr>
              <w:t>literă</w:t>
            </w:r>
            <w:proofErr w:type="spellEnd"/>
            <w:r w:rsidRPr="00313E92">
              <w:rPr>
                <w:rFonts w:eastAsia="Arial Unicode MS"/>
                <w:color w:val="000000" w:themeColor="text1"/>
                <w:sz w:val="20"/>
                <w:szCs w:val="20"/>
                <w:shd w:val="clear" w:color="auto" w:fill="FFFFFF"/>
                <w:lang w:val="en-US"/>
              </w:rPr>
              <w:t>;</w:t>
            </w:r>
          </w:p>
          <w:p w14:paraId="76FE3658" w14:textId="21ECF68F" w:rsidR="00124364" w:rsidRPr="00313E92" w:rsidRDefault="00000000" w:rsidP="00313E92">
            <w:pPr>
              <w:pStyle w:val="ti-art"/>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13E92">
              <w:rPr>
                <w:rFonts w:eastAsia="Arial Unicode MS"/>
                <w:color w:val="000000" w:themeColor="text1"/>
                <w:sz w:val="20"/>
                <w:szCs w:val="20"/>
                <w:shd w:val="clear" w:color="auto" w:fill="FFFFFF"/>
                <w:lang w:val="en-US"/>
              </w:rPr>
              <w:t>cantitatea</w:t>
            </w:r>
            <w:proofErr w:type="spellEnd"/>
            <w:r w:rsidRPr="00313E92">
              <w:rPr>
                <w:rFonts w:eastAsia="Arial Unicode MS"/>
                <w:color w:val="000000" w:themeColor="text1"/>
                <w:sz w:val="20"/>
                <w:szCs w:val="20"/>
                <w:shd w:val="clear" w:color="auto" w:fill="FFFFFF"/>
                <w:lang w:val="en-US"/>
              </w:rPr>
              <w:t xml:space="preserve"> și </w:t>
            </w:r>
            <w:proofErr w:type="spellStart"/>
            <w:r w:rsidRPr="00313E92">
              <w:rPr>
                <w:rFonts w:eastAsia="Arial Unicode MS"/>
                <w:color w:val="000000" w:themeColor="text1"/>
                <w:sz w:val="20"/>
                <w:szCs w:val="20"/>
                <w:shd w:val="clear" w:color="auto" w:fill="FFFFFF"/>
                <w:lang w:val="en-US"/>
              </w:rPr>
              <w:t>tipul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combustibili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utilizați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factorul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emisie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este</w:t>
            </w:r>
            <w:proofErr w:type="spellEnd"/>
            <w:r w:rsidRPr="00313E92">
              <w:rPr>
                <w:rFonts w:eastAsia="Arial Unicode MS"/>
                <w:color w:val="000000" w:themeColor="text1"/>
                <w:sz w:val="20"/>
                <w:szCs w:val="20"/>
                <w:shd w:val="clear" w:color="auto" w:fill="FFFFFF"/>
                <w:lang w:val="en-US"/>
              </w:rPr>
              <w:t xml:space="preserve"> egal cu zero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prezentei</w:t>
            </w:r>
            <w:proofErr w:type="spellEnd"/>
            <w:r w:rsidRPr="00313E92">
              <w:rPr>
                <w:rFonts w:eastAsia="Arial Unicode MS"/>
                <w:color w:val="000000" w:themeColor="text1"/>
                <w:sz w:val="20"/>
                <w:szCs w:val="20"/>
                <w:shd w:val="clear" w:color="auto" w:fill="FFFFFF"/>
                <w:lang w:val="en-US"/>
              </w:rPr>
              <w:t xml:space="preserve"> directive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care </w:t>
            </w:r>
            <w:proofErr w:type="spellStart"/>
            <w:r w:rsidRPr="00313E92">
              <w:rPr>
                <w:rFonts w:eastAsia="Arial Unicode MS"/>
                <w:color w:val="000000" w:themeColor="text1"/>
                <w:sz w:val="20"/>
                <w:szCs w:val="20"/>
                <w:shd w:val="clear" w:color="auto" w:fill="FFFFFF"/>
                <w:lang w:val="en-US"/>
              </w:rPr>
              <w:t>conferă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operatorului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dreptul</w:t>
            </w:r>
            <w:proofErr w:type="spellEnd"/>
            <w:r w:rsidRPr="00313E92">
              <w:rPr>
                <w:rFonts w:eastAsia="Arial Unicode MS"/>
                <w:color w:val="000000" w:themeColor="text1"/>
                <w:sz w:val="20"/>
                <w:szCs w:val="20"/>
                <w:shd w:val="clear" w:color="auto" w:fill="FFFFFF"/>
                <w:lang w:val="en-US"/>
              </w:rPr>
              <w:t xml:space="preserve"> de a </w:t>
            </w:r>
            <w:proofErr w:type="spellStart"/>
            <w:r w:rsidRPr="00313E92">
              <w:rPr>
                <w:rFonts w:eastAsia="Arial Unicode MS"/>
                <w:color w:val="000000" w:themeColor="text1"/>
                <w:sz w:val="20"/>
                <w:szCs w:val="20"/>
                <w:shd w:val="clear" w:color="auto" w:fill="FFFFFF"/>
                <w:lang w:val="en-US"/>
              </w:rPr>
              <w:t>primi</w:t>
            </w:r>
            <w:proofErr w:type="spellEnd"/>
            <w:r w:rsidRPr="00313E92">
              <w:rPr>
                <w:rFonts w:eastAsia="Arial Unicode MS"/>
                <w:color w:val="000000" w:themeColor="text1"/>
                <w:sz w:val="20"/>
                <w:szCs w:val="20"/>
                <w:shd w:val="clear" w:color="auto" w:fill="FFFFFF"/>
                <w:lang w:val="en-US"/>
              </w:rPr>
              <w:t xml:space="preserve"> certificate în </w:t>
            </w:r>
            <w:proofErr w:type="spellStart"/>
            <w:r w:rsidRPr="00313E92">
              <w:rPr>
                <w:rFonts w:eastAsia="Arial Unicode MS"/>
                <w:color w:val="000000" w:themeColor="text1"/>
                <w:sz w:val="20"/>
                <w:szCs w:val="20"/>
                <w:shd w:val="clear" w:color="auto" w:fill="FFFFFF"/>
                <w:lang w:val="en-US"/>
              </w:rPr>
              <w:t>temeiul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articolului</w:t>
            </w:r>
            <w:proofErr w:type="spellEnd"/>
            <w:r w:rsidR="008D7C12">
              <w:rPr>
                <w:rFonts w:eastAsia="Arial Unicode MS"/>
                <w:color w:val="000000" w:themeColor="text1"/>
                <w:sz w:val="20"/>
                <w:szCs w:val="20"/>
                <w:shd w:val="clear" w:color="auto" w:fill="FFFFFF"/>
                <w:lang w:val="en-US"/>
              </w:rPr>
              <w:t xml:space="preserve"> </w:t>
            </w:r>
            <w:r w:rsidRPr="00313E92">
              <w:rPr>
                <w:rFonts w:eastAsia="Arial Unicode MS"/>
                <w:color w:val="000000" w:themeColor="text1"/>
                <w:sz w:val="20"/>
                <w:szCs w:val="20"/>
                <w:shd w:val="clear" w:color="auto" w:fill="FFFFFF"/>
                <w:lang w:val="en-US"/>
              </w:rPr>
              <w:t xml:space="preserve">3c </w:t>
            </w:r>
            <w:proofErr w:type="spellStart"/>
            <w:r w:rsidRPr="00313E92">
              <w:rPr>
                <w:rFonts w:eastAsia="Arial Unicode MS"/>
                <w:color w:val="000000" w:themeColor="text1"/>
                <w:sz w:val="20"/>
                <w:szCs w:val="20"/>
                <w:shd w:val="clear" w:color="auto" w:fill="FFFFFF"/>
                <w:lang w:val="en-US"/>
              </w:rPr>
              <w:t>alineatul</w:t>
            </w:r>
            <w:proofErr w:type="spellEnd"/>
            <w:r w:rsidRPr="00313E92">
              <w:rPr>
                <w:rFonts w:eastAsia="Arial Unicode MS"/>
                <w:color w:val="000000" w:themeColor="text1"/>
                <w:sz w:val="20"/>
                <w:szCs w:val="20"/>
                <w:shd w:val="clear" w:color="auto" w:fill="FFFFFF"/>
                <w:lang w:val="en-US"/>
              </w:rPr>
              <w:t xml:space="preserve"> (6).</w:t>
            </w:r>
          </w:p>
          <w:p w14:paraId="1177B8BF" w14:textId="77777777" w:rsidR="00124364" w:rsidRPr="00313E92" w:rsidRDefault="00000000" w:rsidP="00313E92">
            <w:pPr>
              <w:pStyle w:val="ti-art"/>
              <w:shd w:val="clear" w:color="auto" w:fill="FFFFFF"/>
              <w:spacing w:before="0" w:beforeAutospacing="0" w:after="0" w:afterAutospacing="0"/>
              <w:jc w:val="both"/>
              <w:rPr>
                <w:rFonts w:ascii="Arial Unicode MS" w:eastAsia="Arial Unicode MS" w:hAnsi="Arial Unicode MS" w:cs="Arial Unicode MS"/>
                <w:color w:val="000000" w:themeColor="text1"/>
                <w:sz w:val="21"/>
                <w:szCs w:val="21"/>
                <w:shd w:val="clear" w:color="auto" w:fill="FFFFFF"/>
              </w:rPr>
            </w:pPr>
            <w:proofErr w:type="spellStart"/>
            <w:r w:rsidRPr="00313E92">
              <w:rPr>
                <w:rFonts w:eastAsia="Arial Unicode MS"/>
                <w:color w:val="000000" w:themeColor="text1"/>
                <w:sz w:val="20"/>
                <w:szCs w:val="20"/>
                <w:shd w:val="clear" w:color="auto" w:fill="FFFFFF"/>
                <w:lang w:val="en-US"/>
              </w:rPr>
              <w:t>Pentru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literele</w:t>
            </w:r>
            <w:proofErr w:type="spellEnd"/>
            <w:r w:rsidRPr="00313E92">
              <w:rPr>
                <w:rFonts w:eastAsia="Arial Unicode MS"/>
                <w:color w:val="000000" w:themeColor="text1"/>
                <w:sz w:val="20"/>
                <w:szCs w:val="20"/>
                <w:shd w:val="clear" w:color="auto" w:fill="FFFFFF"/>
                <w:lang w:val="en-US"/>
              </w:rPr>
              <w:t xml:space="preserve"> (a) și (b) de la </w:t>
            </w:r>
            <w:proofErr w:type="spellStart"/>
            <w:r w:rsidRPr="00313E92">
              <w:rPr>
                <w:rFonts w:eastAsia="Arial Unicode MS"/>
                <w:color w:val="000000" w:themeColor="text1"/>
                <w:sz w:val="20"/>
                <w:szCs w:val="20"/>
                <w:shd w:val="clear" w:color="auto" w:fill="FFFFFF"/>
                <w:lang w:val="en-US"/>
              </w:rPr>
              <w:t>primul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paragraf</w:t>
            </w:r>
            <w:proofErr w:type="spellEnd"/>
            <w:r w:rsidRPr="00313E92">
              <w:rPr>
                <w:rFonts w:eastAsia="Arial Unicode MS"/>
                <w:color w:val="000000" w:themeColor="text1"/>
                <w:sz w:val="20"/>
                <w:szCs w:val="20"/>
                <w:shd w:val="clear" w:color="auto" w:fill="FFFFFF"/>
                <w:lang w:val="en-US"/>
              </w:rPr>
              <w:t xml:space="preserve">, în </w:t>
            </w:r>
            <w:proofErr w:type="spellStart"/>
            <w:r w:rsidRPr="00313E92">
              <w:rPr>
                <w:rFonts w:eastAsia="Arial Unicode MS"/>
                <w:color w:val="000000" w:themeColor="text1"/>
                <w:sz w:val="20"/>
                <w:szCs w:val="20"/>
                <w:shd w:val="clear" w:color="auto" w:fill="FFFFFF"/>
                <w:lang w:val="en-US"/>
              </w:rPr>
              <w:t>circumstanțe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specifice</w:t>
            </w:r>
            <w:proofErr w:type="spellEnd"/>
            <w:r w:rsidRPr="00313E92">
              <w:rPr>
                <w:rFonts w:eastAsia="Arial Unicode MS"/>
                <w:color w:val="000000" w:themeColor="text1"/>
                <w:sz w:val="20"/>
                <w:szCs w:val="20"/>
                <w:shd w:val="clear" w:color="auto" w:fill="FFFFFF"/>
                <w:lang w:val="en-US"/>
              </w:rPr>
              <w:t xml:space="preserve"> în care un operator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își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desfășoară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activitatea</w:t>
            </w:r>
            <w:proofErr w:type="spellEnd"/>
            <w:r w:rsidRPr="00313E92">
              <w:rPr>
                <w:rFonts w:eastAsia="Arial Unicode MS"/>
                <w:color w:val="000000" w:themeColor="text1"/>
                <w:sz w:val="20"/>
                <w:szCs w:val="20"/>
                <w:shd w:val="clear" w:color="auto" w:fill="FFFFFF"/>
                <w:lang w:val="en-US"/>
              </w:rPr>
              <w:t xml:space="preserve"> pe un </w:t>
            </w:r>
            <w:proofErr w:type="spellStart"/>
            <w:r w:rsidRPr="00313E92">
              <w:rPr>
                <w:rFonts w:eastAsia="Arial Unicode MS"/>
                <w:color w:val="000000" w:themeColor="text1"/>
                <w:sz w:val="20"/>
                <w:szCs w:val="20"/>
                <w:shd w:val="clear" w:color="auto" w:fill="FFFFFF"/>
                <w:lang w:val="en-US"/>
              </w:rPr>
              <w:t>număr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foarte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limitat</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perechi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aerodromuri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într</w:t>
            </w:r>
            <w:proofErr w:type="spellEnd"/>
            <w:r w:rsidRPr="00313E92">
              <w:rPr>
                <w:rFonts w:eastAsia="Arial Unicode MS"/>
                <w:color w:val="000000" w:themeColor="text1"/>
                <w:sz w:val="20"/>
                <w:szCs w:val="20"/>
                <w:shd w:val="clear" w:color="auto" w:fill="FFFFFF"/>
                <w:lang w:val="en-US"/>
              </w:rPr>
              <w:t xml:space="preserve">-un </w:t>
            </w:r>
            <w:proofErr w:type="spellStart"/>
            <w:r w:rsidRPr="00313E92">
              <w:rPr>
                <w:rFonts w:eastAsia="Arial Unicode MS"/>
                <w:color w:val="000000" w:themeColor="text1"/>
                <w:sz w:val="20"/>
                <w:szCs w:val="20"/>
                <w:shd w:val="clear" w:color="auto" w:fill="FFFFFF"/>
                <w:lang w:val="en-US"/>
              </w:rPr>
              <w:t>număr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foarte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limitat</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perechi</w:t>
            </w:r>
            <w:proofErr w:type="spellEnd"/>
            <w:r w:rsidRPr="00313E92">
              <w:rPr>
                <w:rFonts w:eastAsia="Arial Unicode MS"/>
                <w:color w:val="000000" w:themeColor="text1"/>
                <w:sz w:val="20"/>
                <w:szCs w:val="20"/>
                <w:shd w:val="clear" w:color="auto" w:fill="FFFFFF"/>
                <w:lang w:val="en-US"/>
              </w:rPr>
              <w:t xml:space="preserve"> de state care fac </w:t>
            </w:r>
            <w:proofErr w:type="spellStart"/>
            <w:r w:rsidRPr="00313E92">
              <w:rPr>
                <w:rFonts w:eastAsia="Arial Unicode MS"/>
                <w:color w:val="000000" w:themeColor="text1"/>
                <w:sz w:val="20"/>
                <w:szCs w:val="20"/>
                <w:shd w:val="clear" w:color="auto" w:fill="FFFFFF"/>
                <w:lang w:val="en-US"/>
              </w:rPr>
              <w:t>obiectul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compensare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sau</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într</w:t>
            </w:r>
            <w:proofErr w:type="spellEnd"/>
            <w:r w:rsidRPr="00313E92">
              <w:rPr>
                <w:rFonts w:eastAsia="Arial Unicode MS"/>
                <w:color w:val="000000" w:themeColor="text1"/>
                <w:sz w:val="20"/>
                <w:szCs w:val="20"/>
                <w:shd w:val="clear" w:color="auto" w:fill="FFFFFF"/>
                <w:lang w:val="en-US"/>
              </w:rPr>
              <w:t xml:space="preserve">-un </w:t>
            </w:r>
            <w:proofErr w:type="spellStart"/>
            <w:r w:rsidRPr="00313E92">
              <w:rPr>
                <w:rFonts w:eastAsia="Arial Unicode MS"/>
                <w:color w:val="000000" w:themeColor="text1"/>
                <w:sz w:val="20"/>
                <w:szCs w:val="20"/>
                <w:shd w:val="clear" w:color="auto" w:fill="FFFFFF"/>
                <w:lang w:val="en-US"/>
              </w:rPr>
              <w:t>număr</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foarte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limitat</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perechi</w:t>
            </w:r>
            <w:proofErr w:type="spellEnd"/>
            <w:r w:rsidRPr="00313E92">
              <w:rPr>
                <w:rFonts w:eastAsia="Arial Unicode MS"/>
                <w:color w:val="000000" w:themeColor="text1"/>
                <w:sz w:val="20"/>
                <w:szCs w:val="20"/>
                <w:shd w:val="clear" w:color="auto" w:fill="FFFFFF"/>
                <w:lang w:val="en-US"/>
              </w:rPr>
              <w:t xml:space="preserve"> de state care nu fac </w:t>
            </w:r>
            <w:proofErr w:type="spellStart"/>
            <w:r w:rsidRPr="00313E92">
              <w:rPr>
                <w:rFonts w:eastAsia="Arial Unicode MS"/>
                <w:color w:val="000000" w:themeColor="text1"/>
                <w:sz w:val="20"/>
                <w:szCs w:val="20"/>
                <w:shd w:val="clear" w:color="auto" w:fill="FFFFFF"/>
                <w:lang w:val="en-US"/>
              </w:rPr>
              <w:t>obiectul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cerințelor</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compensare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operatorul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respectiv</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poate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solicita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statului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membru</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administrare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nu </w:t>
            </w:r>
            <w:proofErr w:type="spellStart"/>
            <w:r w:rsidRPr="00313E92">
              <w:rPr>
                <w:rFonts w:eastAsia="Arial Unicode MS"/>
                <w:color w:val="000000" w:themeColor="text1"/>
                <w:sz w:val="20"/>
                <w:szCs w:val="20"/>
                <w:shd w:val="clear" w:color="auto" w:fill="FFFFFF"/>
                <w:lang w:val="en-US"/>
              </w:rPr>
              <w:t>publice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astfel</w:t>
            </w:r>
            <w:proofErr w:type="spellEnd"/>
            <w:r w:rsidRPr="00313E92">
              <w:rPr>
                <w:rFonts w:eastAsia="Arial Unicode MS"/>
                <w:color w:val="000000" w:themeColor="text1"/>
                <w:sz w:val="20"/>
                <w:szCs w:val="20"/>
                <w:shd w:val="clear" w:color="auto" w:fill="FFFFFF"/>
                <w:lang w:val="en-US"/>
              </w:rPr>
              <w:t xml:space="preserve"> de date la </w:t>
            </w:r>
            <w:proofErr w:type="spellStart"/>
            <w:r w:rsidRPr="00313E92">
              <w:rPr>
                <w:rFonts w:eastAsia="Arial Unicode MS"/>
                <w:color w:val="000000" w:themeColor="text1"/>
                <w:sz w:val="20"/>
                <w:szCs w:val="20"/>
                <w:shd w:val="clear" w:color="auto" w:fill="FFFFFF"/>
                <w:lang w:val="en-US"/>
              </w:rPr>
              <w:t>nivelul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operatorului</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aeronave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explicând</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divulgarea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acestor</w:t>
            </w:r>
            <w:proofErr w:type="spellEnd"/>
            <w:r w:rsidRPr="00313E92">
              <w:rPr>
                <w:rFonts w:eastAsia="Arial Unicode MS"/>
                <w:color w:val="000000" w:themeColor="text1"/>
                <w:sz w:val="20"/>
                <w:szCs w:val="20"/>
                <w:shd w:val="clear" w:color="auto" w:fill="FFFFFF"/>
                <w:lang w:val="en-US"/>
              </w:rPr>
              <w:t xml:space="preserve"> date </w:t>
            </w:r>
            <w:proofErr w:type="spellStart"/>
            <w:r w:rsidRPr="00313E92">
              <w:rPr>
                <w:rFonts w:eastAsia="Arial Unicode MS"/>
                <w:color w:val="000000" w:themeColor="text1"/>
                <w:sz w:val="20"/>
                <w:szCs w:val="20"/>
                <w:shd w:val="clear" w:color="auto" w:fill="FFFFFF"/>
                <w:lang w:val="en-US"/>
              </w:rPr>
              <w:t>poate</w:t>
            </w:r>
            <w:proofErr w:type="spellEnd"/>
            <w:r w:rsidRPr="00313E92">
              <w:rPr>
                <w:rFonts w:eastAsia="Arial Unicode MS"/>
                <w:color w:val="000000" w:themeColor="text1"/>
                <w:sz w:val="20"/>
                <w:szCs w:val="20"/>
                <w:shd w:val="clear" w:color="auto" w:fill="FFFFFF"/>
                <w:lang w:val="en-US"/>
              </w:rPr>
              <w:t xml:space="preserve"> fi </w:t>
            </w:r>
            <w:proofErr w:type="spellStart"/>
            <w:r w:rsidRPr="00313E92">
              <w:rPr>
                <w:rFonts w:eastAsia="Arial Unicode MS"/>
                <w:color w:val="000000" w:themeColor="text1"/>
                <w:sz w:val="20"/>
                <w:szCs w:val="20"/>
                <w:shd w:val="clear" w:color="auto" w:fill="FFFFFF"/>
                <w:lang w:val="en-US"/>
              </w:rPr>
              <w:t>considerată</w:t>
            </w:r>
            <w:proofErr w:type="spellEnd"/>
            <w:r w:rsidRPr="00313E92">
              <w:rPr>
                <w:rFonts w:eastAsia="Arial Unicode MS"/>
                <w:color w:val="000000" w:themeColor="text1"/>
                <w:sz w:val="20"/>
                <w:szCs w:val="20"/>
                <w:shd w:val="clear" w:color="auto" w:fill="FFFFFF"/>
                <w:lang w:val="en-US"/>
              </w:rPr>
              <w:t xml:space="preserve"> ca </w:t>
            </w:r>
            <w:proofErr w:type="spellStart"/>
            <w:r w:rsidRPr="00313E92">
              <w:rPr>
                <w:rFonts w:eastAsia="Arial Unicode MS"/>
                <w:color w:val="000000" w:themeColor="text1"/>
                <w:sz w:val="20"/>
                <w:szCs w:val="20"/>
                <w:shd w:val="clear" w:color="auto" w:fill="FFFFFF"/>
                <w:lang w:val="en-US"/>
              </w:rPr>
              <w:t>aducând</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prejudicii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intereselor</w:t>
            </w:r>
            <w:proofErr w:type="spellEnd"/>
            <w:r w:rsidRPr="00313E92">
              <w:rPr>
                <w:rFonts w:eastAsia="Arial Unicode MS"/>
                <w:color w:val="000000" w:themeColor="text1"/>
                <w:sz w:val="20"/>
                <w:szCs w:val="20"/>
                <w:shd w:val="clear" w:color="auto" w:fill="FFFFFF"/>
                <w:lang w:val="en-US"/>
              </w:rPr>
              <w:t xml:space="preserve"> sale </w:t>
            </w:r>
            <w:proofErr w:type="spellStart"/>
            <w:r w:rsidRPr="00313E92">
              <w:rPr>
                <w:rFonts w:eastAsia="Arial Unicode MS"/>
                <w:color w:val="000000" w:themeColor="text1"/>
                <w:sz w:val="20"/>
                <w:szCs w:val="20"/>
                <w:shd w:val="clear" w:color="auto" w:fill="FFFFFF"/>
                <w:lang w:val="en-US"/>
              </w:rPr>
              <w:t>comerciale</w:t>
            </w:r>
            <w:proofErr w:type="spellEnd"/>
            <w:r w:rsidRPr="00313E92">
              <w:rPr>
                <w:rFonts w:eastAsia="Arial Unicode MS"/>
                <w:color w:val="000000" w:themeColor="text1"/>
                <w:sz w:val="20"/>
                <w:szCs w:val="20"/>
                <w:shd w:val="clear" w:color="auto" w:fill="FFFFFF"/>
                <w:lang w:val="en-US"/>
              </w:rPr>
              <w:t xml:space="preserve">. Pe </w:t>
            </w:r>
            <w:proofErr w:type="spellStart"/>
            <w:r w:rsidRPr="00313E92">
              <w:rPr>
                <w:rFonts w:eastAsia="Arial Unicode MS"/>
                <w:color w:val="000000" w:themeColor="text1"/>
                <w:sz w:val="20"/>
                <w:szCs w:val="20"/>
                <w:shd w:val="clear" w:color="auto" w:fill="FFFFFF"/>
                <w:lang w:val="en-US"/>
              </w:rPr>
              <w:t>baza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so</w:t>
            </w:r>
            <w:r w:rsidRPr="00313E92">
              <w:rPr>
                <w:rFonts w:eastAsia="Arial Unicode MS"/>
                <w:color w:val="000000" w:themeColor="text1"/>
                <w:sz w:val="20"/>
                <w:szCs w:val="20"/>
                <w:shd w:val="clear" w:color="auto" w:fill="FFFFFF"/>
                <w:lang w:val="en-US"/>
              </w:rPr>
              <w:lastRenderedPageBreak/>
              <w:t>licitării</w:t>
            </w:r>
            <w:proofErr w:type="spellEnd"/>
            <w:r w:rsidRPr="00313E92">
              <w:rPr>
                <w:rFonts w:eastAsia="Arial Unicode MS"/>
                <w:color w:val="000000" w:themeColor="text1"/>
                <w:sz w:val="20"/>
                <w:szCs w:val="20"/>
                <w:shd w:val="clear" w:color="auto" w:fill="FFFFFF"/>
                <w:lang w:val="en-US"/>
              </w:rPr>
              <w:t xml:space="preserve"> respective, </w:t>
            </w:r>
            <w:proofErr w:type="spellStart"/>
            <w:r w:rsidRPr="00313E92">
              <w:rPr>
                <w:rFonts w:eastAsia="Arial Unicode MS"/>
                <w:color w:val="000000" w:themeColor="text1"/>
                <w:sz w:val="20"/>
                <w:szCs w:val="20"/>
                <w:shd w:val="clear" w:color="auto" w:fill="FFFFFF"/>
                <w:lang w:val="en-US"/>
              </w:rPr>
              <w:t>statul</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membru</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administrare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poate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solicita</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Comisiei</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să</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publice</w:t>
            </w:r>
            <w:proofErr w:type="spellEnd"/>
            <w:r w:rsidRPr="00313E92">
              <w:rPr>
                <w:rFonts w:eastAsia="Arial Unicode MS"/>
                <w:color w:val="000000" w:themeColor="text1"/>
                <w:sz w:val="20"/>
                <w:szCs w:val="20"/>
                <w:shd w:val="clear" w:color="auto" w:fill="FFFFFF"/>
                <w:lang w:val="en-US"/>
              </w:rPr>
              <w:t xml:space="preserve"> </w:t>
            </w:r>
            <w:proofErr w:type="spellStart"/>
            <w:r w:rsidRPr="00313E92">
              <w:rPr>
                <w:rFonts w:eastAsia="Arial Unicode MS"/>
                <w:color w:val="000000" w:themeColor="text1"/>
                <w:sz w:val="20"/>
                <w:szCs w:val="20"/>
                <w:shd w:val="clear" w:color="auto" w:fill="FFFFFF"/>
                <w:lang w:val="en-US"/>
              </w:rPr>
              <w:t>datele</w:t>
            </w:r>
            <w:proofErr w:type="spellEnd"/>
            <w:r w:rsidRPr="00313E92">
              <w:rPr>
                <w:rFonts w:eastAsia="Arial Unicode MS"/>
                <w:color w:val="000000" w:themeColor="text1"/>
                <w:sz w:val="20"/>
                <w:szCs w:val="20"/>
                <w:shd w:val="clear" w:color="auto" w:fill="FFFFFF"/>
                <w:lang w:val="en-US"/>
              </w:rPr>
              <w:t xml:space="preserve"> respective la un </w:t>
            </w:r>
            <w:proofErr w:type="spellStart"/>
            <w:r w:rsidRPr="00313E92">
              <w:rPr>
                <w:rFonts w:eastAsia="Arial Unicode MS"/>
                <w:color w:val="000000" w:themeColor="text1"/>
                <w:sz w:val="20"/>
                <w:szCs w:val="20"/>
                <w:shd w:val="clear" w:color="auto" w:fill="FFFFFF"/>
                <w:lang w:val="en-US"/>
              </w:rPr>
              <w:t>nivel</w:t>
            </w:r>
            <w:proofErr w:type="spellEnd"/>
            <w:r w:rsidRPr="00313E92">
              <w:rPr>
                <w:rFonts w:eastAsia="Arial Unicode MS"/>
                <w:color w:val="000000" w:themeColor="text1"/>
                <w:sz w:val="20"/>
                <w:szCs w:val="20"/>
                <w:shd w:val="clear" w:color="auto" w:fill="FFFFFF"/>
                <w:lang w:val="en-US"/>
              </w:rPr>
              <w:t xml:space="preserve"> de </w:t>
            </w:r>
            <w:proofErr w:type="spellStart"/>
            <w:r w:rsidRPr="00313E92">
              <w:rPr>
                <w:rFonts w:eastAsia="Arial Unicode MS"/>
                <w:color w:val="000000" w:themeColor="text1"/>
                <w:sz w:val="20"/>
                <w:szCs w:val="20"/>
                <w:shd w:val="clear" w:color="auto" w:fill="FFFFFF"/>
                <w:lang w:val="en-US"/>
              </w:rPr>
              <w:t>agregare</w:t>
            </w:r>
            <w:proofErr w:type="spellEnd"/>
            <w:r w:rsidRPr="00313E92">
              <w:rPr>
                <w:rFonts w:eastAsia="Arial Unicode MS"/>
                <w:color w:val="000000" w:themeColor="text1"/>
                <w:sz w:val="20"/>
                <w:szCs w:val="20"/>
                <w:shd w:val="clear" w:color="auto" w:fill="FFFFFF"/>
                <w:lang w:val="en-US"/>
              </w:rPr>
              <w:t xml:space="preserve"> superior. </w:t>
            </w:r>
            <w:proofErr w:type="spellStart"/>
            <w:r w:rsidRPr="00313E92">
              <w:rPr>
                <w:rFonts w:eastAsia="Arial Unicode MS"/>
                <w:color w:val="000000" w:themeColor="text1"/>
                <w:sz w:val="20"/>
                <w:szCs w:val="20"/>
                <w:shd w:val="clear" w:color="auto" w:fill="FFFFFF"/>
              </w:rPr>
              <w:t>Comisia</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decide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cu</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privire</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la</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această</w:t>
            </w:r>
            <w:proofErr w:type="spellEnd"/>
            <w:r w:rsidRPr="00313E92">
              <w:rPr>
                <w:rFonts w:eastAsia="Arial Unicode MS"/>
                <w:color w:val="000000" w:themeColor="text1"/>
                <w:sz w:val="20"/>
                <w:szCs w:val="20"/>
                <w:shd w:val="clear" w:color="auto" w:fill="FFFFFF"/>
              </w:rPr>
              <w:t xml:space="preserve"> </w:t>
            </w:r>
            <w:proofErr w:type="spellStart"/>
            <w:r w:rsidRPr="00313E92">
              <w:rPr>
                <w:rFonts w:eastAsia="Arial Unicode MS"/>
                <w:color w:val="000000" w:themeColor="text1"/>
                <w:sz w:val="20"/>
                <w:szCs w:val="20"/>
                <w:shd w:val="clear" w:color="auto" w:fill="FFFFFF"/>
              </w:rPr>
              <w:t>solicitare</w:t>
            </w:r>
            <w:proofErr w:type="spellEnd"/>
            <w:r w:rsidRPr="00313E92">
              <w:rPr>
                <w:rFonts w:ascii="Arial Unicode MS" w:eastAsia="Arial Unicode MS" w:hAnsi="Arial Unicode MS" w:cs="Arial Unicode MS" w:hint="eastAsia"/>
                <w:color w:val="000000" w:themeColor="text1"/>
                <w:sz w:val="21"/>
                <w:szCs w:val="21"/>
                <w:shd w:val="clear" w:color="auto" w:fill="FFFFFF"/>
              </w:rPr>
              <w:t>.</w:t>
            </w:r>
          </w:p>
          <w:p w14:paraId="38F724B8"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35" w:tooltip="32008L0101: REPLACED" w:history="1">
              <w:r>
                <w:rPr>
                  <w:rStyle w:val="af3"/>
                  <w:rFonts w:eastAsia="Arial Unicode MS"/>
                  <w:b/>
                  <w:bCs/>
                  <w:color w:val="4472C4" w:themeColor="accent1"/>
                  <w:sz w:val="20"/>
                  <w:szCs w:val="20"/>
                </w:rPr>
                <w:t>▼M2</w:t>
              </w:r>
            </w:hyperlink>
          </w:p>
        </w:tc>
        <w:tc>
          <w:tcPr>
            <w:tcW w:w="4394" w:type="dxa"/>
            <w:shd w:val="clear" w:color="auto" w:fill="auto"/>
          </w:tcPr>
          <w:p w14:paraId="15B3A0FB" w14:textId="77777777" w:rsidR="00313E92" w:rsidRPr="0066519A" w:rsidRDefault="00313E92" w:rsidP="00313E92">
            <w:pPr>
              <w:pStyle w:val="af8"/>
              <w:ind w:left="1506"/>
              <w:jc w:val="center"/>
              <w:rPr>
                <w:rFonts w:ascii="Times New Roman" w:hAnsi="Times New Roman"/>
                <w:b/>
                <w:sz w:val="20"/>
                <w:szCs w:val="20"/>
                <w:lang w:val="ro-MD"/>
              </w:rPr>
            </w:pPr>
            <w:r w:rsidRPr="0066519A">
              <w:rPr>
                <w:rFonts w:ascii="Times New Roman" w:hAnsi="Times New Roman"/>
                <w:b/>
                <w:sz w:val="20"/>
                <w:szCs w:val="20"/>
                <w:lang w:val="ro-MD"/>
              </w:rPr>
              <w:lastRenderedPageBreak/>
              <w:t>Secţiunea a 3-a</w:t>
            </w:r>
          </w:p>
          <w:p w14:paraId="27336A84" w14:textId="77777777" w:rsidR="00313E92" w:rsidRPr="0066519A" w:rsidRDefault="00313E92" w:rsidP="00313E92">
            <w:pPr>
              <w:pStyle w:val="af8"/>
              <w:spacing w:after="0" w:line="240" w:lineRule="auto"/>
              <w:ind w:left="1506"/>
              <w:jc w:val="center"/>
              <w:rPr>
                <w:rFonts w:ascii="Times New Roman" w:hAnsi="Times New Roman"/>
                <w:b/>
                <w:sz w:val="20"/>
                <w:szCs w:val="20"/>
                <w:lang w:val="ro-MD"/>
              </w:rPr>
            </w:pPr>
            <w:r w:rsidRPr="0066519A">
              <w:rPr>
                <w:rFonts w:ascii="Times New Roman" w:hAnsi="Times New Roman"/>
                <w:b/>
                <w:sz w:val="20"/>
                <w:szCs w:val="20"/>
                <w:lang w:val="ro-MD"/>
              </w:rPr>
              <w:t>Monitorizare, raportare și verificare</w:t>
            </w:r>
          </w:p>
          <w:p w14:paraId="7A8A1FAB" w14:textId="77777777" w:rsidR="00313E92" w:rsidRPr="00C33A2F" w:rsidRDefault="00313E92" w:rsidP="00313E92">
            <w:pPr>
              <w:suppressAutoHyphens w:val="0"/>
              <w:autoSpaceDN/>
              <w:spacing w:after="0" w:line="240" w:lineRule="auto"/>
              <w:textAlignment w:val="auto"/>
              <w:rPr>
                <w:rFonts w:ascii="Times New Roman" w:hAnsi="Times New Roman"/>
                <w:b/>
                <w:color w:val="000000" w:themeColor="text1"/>
                <w:sz w:val="20"/>
                <w:szCs w:val="20"/>
                <w:lang w:val="ro-MD"/>
              </w:rPr>
            </w:pPr>
            <w:r w:rsidRPr="00C33A2F">
              <w:rPr>
                <w:rFonts w:ascii="Times New Roman" w:hAnsi="Times New Roman"/>
                <w:b/>
                <w:color w:val="000000" w:themeColor="text1"/>
                <w:sz w:val="20"/>
                <w:szCs w:val="20"/>
                <w:lang w:val="ro-MD"/>
              </w:rPr>
              <w:t xml:space="preserve">Articolul 45. </w:t>
            </w:r>
            <w:r w:rsidRPr="00C33A2F">
              <w:rPr>
                <w:rFonts w:ascii="Times New Roman" w:hAnsi="Times New Roman"/>
                <w:bCs/>
                <w:color w:val="000000" w:themeColor="text1"/>
                <w:sz w:val="20"/>
                <w:szCs w:val="20"/>
                <w:lang w:val="ro-MD"/>
              </w:rPr>
              <w:t>Cadrul general privind managementul datelor emisiilor de GES</w:t>
            </w:r>
          </w:p>
          <w:p w14:paraId="1FEDDB88" w14:textId="77777777" w:rsidR="00313E92" w:rsidRPr="00C33A2F" w:rsidRDefault="00313E92" w:rsidP="00313E92">
            <w:pPr>
              <w:suppressAutoHyphens w:val="0"/>
              <w:autoSpaceDN/>
              <w:spacing w:after="0" w:line="240" w:lineRule="auto"/>
              <w:jc w:val="both"/>
              <w:textAlignment w:val="auto"/>
              <w:rPr>
                <w:rFonts w:ascii="Times New Roman" w:hAnsi="Times New Roman"/>
                <w:bCs/>
                <w:color w:val="000000" w:themeColor="text1"/>
                <w:sz w:val="20"/>
                <w:szCs w:val="20"/>
                <w:lang w:val="ro-MD"/>
              </w:rPr>
            </w:pPr>
            <w:r w:rsidRPr="00C33A2F">
              <w:rPr>
                <w:rFonts w:ascii="Times New Roman" w:hAnsi="Times New Roman"/>
                <w:color w:val="000000" w:themeColor="text1"/>
                <w:sz w:val="20"/>
                <w:szCs w:val="20"/>
                <w:lang w:val="ro-MD" w:eastAsia="ro-RO" w:bidi="or-IN"/>
              </w:rPr>
              <w:t xml:space="preserve">(4)Monitorizarea completă, transparentă, exactă, coerentă și comparabilă în timp și raportarea integrală a emisiilor de </w:t>
            </w:r>
            <w:r w:rsidRPr="00C33A2F">
              <w:rPr>
                <w:rFonts w:ascii="Times New Roman" w:hAnsi="Times New Roman"/>
                <w:bCs/>
                <w:color w:val="000000" w:themeColor="text1"/>
                <w:sz w:val="20"/>
                <w:szCs w:val="20"/>
                <w:lang w:val="ro-MD"/>
              </w:rPr>
              <w:t>GES</w:t>
            </w:r>
            <w:r w:rsidRPr="00C33A2F">
              <w:rPr>
                <w:rFonts w:ascii="Times New Roman" w:hAnsi="Times New Roman"/>
                <w:color w:val="000000" w:themeColor="text1"/>
                <w:sz w:val="20"/>
                <w:szCs w:val="20"/>
                <w:lang w:val="ro-MD" w:eastAsia="ro-RO" w:bidi="or-IN"/>
              </w:rPr>
              <w:t xml:space="preserve"> legate de activitățile enumerate </w:t>
            </w:r>
            <w:r w:rsidRPr="00C33A2F">
              <w:rPr>
                <w:rFonts w:ascii="Times New Roman" w:hAnsi="Times New Roman"/>
                <w:color w:val="000000" w:themeColor="text1"/>
                <w:sz w:val="20"/>
                <w:szCs w:val="20"/>
                <w:lang w:val="ro-MD"/>
              </w:rPr>
              <w:t>în Anexa nr. 1</w:t>
            </w:r>
            <w:r w:rsidRPr="00C33A2F">
              <w:rPr>
                <w:rFonts w:ascii="Times New Roman" w:hAnsi="Times New Roman"/>
                <w:color w:val="000000" w:themeColor="text1"/>
                <w:sz w:val="20"/>
                <w:szCs w:val="20"/>
                <w:lang w:val="ro-MD" w:eastAsia="ro-RO" w:bidi="or-IN"/>
              </w:rPr>
              <w:t xml:space="preserve">, precum și a datelor privind activitatea instalațiilor staționare și celor din domeniul </w:t>
            </w:r>
            <w:r w:rsidRPr="00C33A2F">
              <w:rPr>
                <w:rFonts w:ascii="Times New Roman" w:hAnsi="Times New Roman"/>
                <w:color w:val="000000" w:themeColor="text1"/>
                <w:sz w:val="20"/>
                <w:szCs w:val="20"/>
                <w:shd w:val="clear" w:color="auto" w:fill="FFFFFF"/>
                <w:lang w:val="ro-MD"/>
              </w:rPr>
              <w:t xml:space="preserve">aviației civile, transportului maritim și </w:t>
            </w:r>
            <w:r w:rsidRPr="00C33A2F">
              <w:rPr>
                <w:rFonts w:ascii="Times New Roman" w:hAnsi="Times New Roman"/>
                <w:color w:val="000000" w:themeColor="text1"/>
                <w:sz w:val="20"/>
                <w:szCs w:val="20"/>
                <w:lang w:val="ro-MD"/>
              </w:rPr>
              <w:t xml:space="preserve">informaților privind </w:t>
            </w:r>
            <w:r w:rsidRPr="00C33A2F">
              <w:rPr>
                <w:rFonts w:ascii="Times New Roman" w:hAnsi="Times New Roman"/>
                <w:bCs/>
                <w:color w:val="000000" w:themeColor="text1"/>
                <w:sz w:val="20"/>
                <w:szCs w:val="20"/>
                <w:lang w:val="ro-MD"/>
              </w:rPr>
              <w:t xml:space="preserve">emisiile de carbon provenite din aviația internațională </w:t>
            </w:r>
            <w:r w:rsidRPr="00C33A2F">
              <w:rPr>
                <w:rFonts w:ascii="Times New Roman" w:hAnsi="Times New Roman"/>
                <w:color w:val="000000" w:themeColor="text1"/>
                <w:sz w:val="20"/>
                <w:szCs w:val="20"/>
                <w:shd w:val="clear" w:color="auto" w:fill="FFFFFF"/>
                <w:lang w:val="ro-MD"/>
              </w:rPr>
              <w:t xml:space="preserve">se realizează </w:t>
            </w:r>
            <w:r w:rsidRPr="00C33A2F">
              <w:rPr>
                <w:rFonts w:ascii="Times New Roman" w:hAnsi="Times New Roman"/>
                <w:color w:val="000000" w:themeColor="text1"/>
                <w:sz w:val="20"/>
                <w:szCs w:val="20"/>
                <w:lang w:val="ro-MD" w:eastAsia="ro-RO" w:bidi="or-IN"/>
              </w:rPr>
              <w:t>prin monitorizarea, raportarea și verificarea</w:t>
            </w:r>
            <w:r w:rsidRPr="00C33A2F">
              <w:rPr>
                <w:rFonts w:ascii="Times New Roman" w:hAnsi="Times New Roman"/>
                <w:bCs/>
                <w:color w:val="000000" w:themeColor="text1"/>
                <w:sz w:val="20"/>
                <w:szCs w:val="20"/>
                <w:lang w:val="ro-MD"/>
              </w:rPr>
              <w:t xml:space="preserve"> </w:t>
            </w:r>
            <w:r w:rsidRPr="00C33A2F">
              <w:rPr>
                <w:rFonts w:ascii="Times New Roman" w:hAnsi="Times New Roman"/>
                <w:color w:val="000000" w:themeColor="text1"/>
                <w:sz w:val="20"/>
                <w:szCs w:val="20"/>
                <w:lang w:val="ro-MD" w:eastAsia="ro-RO" w:bidi="or-IN"/>
              </w:rPr>
              <w:t xml:space="preserve">(în continuare – MRV) </w:t>
            </w:r>
            <w:r w:rsidRPr="00C33A2F">
              <w:rPr>
                <w:rFonts w:ascii="Times New Roman" w:hAnsi="Times New Roman"/>
                <w:color w:val="000000" w:themeColor="text1"/>
                <w:sz w:val="20"/>
                <w:szCs w:val="20"/>
                <w:lang w:val="ro-MD"/>
              </w:rPr>
              <w:t>a emisiilor de GES de către operator</w:t>
            </w:r>
            <w:r w:rsidRPr="00C33A2F">
              <w:rPr>
                <w:rFonts w:ascii="Times New Roman" w:hAnsi="Times New Roman"/>
                <w:bCs/>
                <w:color w:val="000000" w:themeColor="text1"/>
                <w:sz w:val="20"/>
                <w:szCs w:val="20"/>
                <w:lang w:val="ro-MD"/>
              </w:rPr>
              <w:t>.</w:t>
            </w:r>
          </w:p>
          <w:p w14:paraId="030BC65A" w14:textId="77777777" w:rsidR="00313E92" w:rsidRDefault="00313E92" w:rsidP="00313E92">
            <w:pPr>
              <w:suppressAutoHyphens w:val="0"/>
              <w:autoSpaceDN/>
              <w:spacing w:after="0" w:line="240" w:lineRule="auto"/>
              <w:textAlignment w:val="auto"/>
              <w:rPr>
                <w:rFonts w:ascii="Times New Roman" w:hAnsi="Times New Roman"/>
                <w:b/>
                <w:sz w:val="20"/>
                <w:szCs w:val="20"/>
                <w:lang w:val="ro-MD"/>
              </w:rPr>
            </w:pPr>
          </w:p>
          <w:p w14:paraId="75C52B48" w14:textId="77777777" w:rsidR="00313E92" w:rsidRPr="0066519A" w:rsidRDefault="00313E92" w:rsidP="00313E92">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52.</w:t>
            </w:r>
            <w:r w:rsidRPr="0066519A">
              <w:rPr>
                <w:rFonts w:ascii="Times New Roman" w:hAnsi="Times New Roman"/>
                <w:bCs/>
                <w:sz w:val="20"/>
                <w:szCs w:val="20"/>
                <w:lang w:val="ro-MD"/>
              </w:rPr>
              <w:t>Monitorizarea, raportarea și verificarea emisiilor de GES de la instalațiile staționare</w:t>
            </w:r>
          </w:p>
          <w:p w14:paraId="5AE5B2EB" w14:textId="77777777" w:rsidR="00124364" w:rsidRDefault="00313E92" w:rsidP="00313E92">
            <w:pPr>
              <w:spacing w:after="120"/>
              <w:jc w:val="both"/>
              <w:rPr>
                <w:rFonts w:ascii="Times New Roman" w:hAnsi="Times New Roman"/>
                <w:color w:val="000000"/>
                <w:sz w:val="20"/>
                <w:szCs w:val="20"/>
                <w:shd w:val="clear" w:color="auto" w:fill="FFFFFF"/>
                <w:lang w:val="ro-MD"/>
              </w:rPr>
            </w:pPr>
            <w:r>
              <w:rPr>
                <w:rFonts w:ascii="Times New Roman" w:hAnsi="Times New Roman"/>
                <w:sz w:val="20"/>
                <w:szCs w:val="20"/>
                <w:lang w:val="ro-MD"/>
              </w:rPr>
              <w:t>(1)</w:t>
            </w:r>
            <w:r w:rsidRPr="0066519A">
              <w:rPr>
                <w:rFonts w:ascii="Times New Roman" w:hAnsi="Times New Roman"/>
                <w:sz w:val="20"/>
                <w:szCs w:val="20"/>
                <w:lang w:val="ro-MD"/>
              </w:rPr>
              <w:t xml:space="preserve">Operatorul instalației staționare, </w:t>
            </w:r>
            <w:r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Pr="0066519A">
              <w:rPr>
                <w:rFonts w:ascii="Times New Roman" w:hAnsi="Times New Roman"/>
                <w:sz w:val="20"/>
                <w:szCs w:val="20"/>
                <w:lang w:val="ro-MD"/>
              </w:rPr>
              <w:t xml:space="preserve">deține </w:t>
            </w:r>
            <w:r w:rsidRPr="0066519A">
              <w:rPr>
                <w:rFonts w:ascii="Times New Roman" w:hAnsi="Times New Roman"/>
                <w:color w:val="000000"/>
                <w:sz w:val="20"/>
                <w:szCs w:val="20"/>
                <w:shd w:val="clear" w:color="auto" w:fill="FFFFFF"/>
                <w:lang w:val="ro-MD"/>
              </w:rPr>
              <w:t xml:space="preserve">autorizația </w:t>
            </w:r>
            <w:r w:rsidRPr="0066519A">
              <w:rPr>
                <w:rFonts w:ascii="Times New Roman" w:hAnsi="Times New Roman"/>
                <w:color w:val="000000"/>
                <w:sz w:val="20"/>
                <w:szCs w:val="20"/>
                <w:shd w:val="clear" w:color="auto" w:fill="FFFFFF"/>
                <w:lang w:val="ro-MD"/>
              </w:rPr>
              <w:lastRenderedPageBreak/>
              <w:t>integrată de mediu pentru desfășurarea</w:t>
            </w:r>
            <w:r w:rsidRPr="0066519A">
              <w:rPr>
                <w:rFonts w:ascii="Times New Roman" w:hAnsi="Times New Roman"/>
                <w:bCs/>
                <w:sz w:val="20"/>
                <w:szCs w:val="20"/>
                <w:lang w:val="ro-MD"/>
              </w:rPr>
              <w:t xml:space="preserve">  activității, </w:t>
            </w:r>
            <w:r w:rsidRPr="0066519A">
              <w:rPr>
                <w:rFonts w:ascii="Times New Roman" w:hAnsi="Times New Roman"/>
                <w:sz w:val="20"/>
                <w:szCs w:val="20"/>
                <w:lang w:val="ro-MD"/>
              </w:rPr>
              <w:t xml:space="preserve">asigură monitorizarea și raportarea emisiilor de GES </w:t>
            </w:r>
            <w:r w:rsidRPr="0066519A">
              <w:rPr>
                <w:rFonts w:ascii="Times New Roman" w:hAnsi="Times New Roman"/>
                <w:sz w:val="20"/>
                <w:szCs w:val="20"/>
                <w:shd w:val="clear" w:color="auto" w:fill="FFFFFF"/>
                <w:lang w:val="ro-MD"/>
              </w:rPr>
              <w:t xml:space="preserve">pe baza PM, care este partea integrantă a </w:t>
            </w:r>
            <w:r w:rsidRPr="0066519A">
              <w:rPr>
                <w:rFonts w:ascii="Times New Roman" w:hAnsi="Times New Roman"/>
                <w:color w:val="000000"/>
                <w:sz w:val="20"/>
                <w:szCs w:val="20"/>
                <w:shd w:val="clear" w:color="auto" w:fill="FFFFFF"/>
                <w:lang w:val="ro-MD"/>
              </w:rPr>
              <w:t>autorizației integrate de mediu emisă de către Agenția de Mediu</w:t>
            </w:r>
            <w:r>
              <w:rPr>
                <w:rFonts w:ascii="Times New Roman" w:hAnsi="Times New Roman"/>
                <w:color w:val="000000"/>
                <w:sz w:val="20"/>
                <w:szCs w:val="20"/>
                <w:shd w:val="clear" w:color="auto" w:fill="FFFFFF"/>
                <w:lang w:val="ro-MD"/>
              </w:rPr>
              <w:t>.</w:t>
            </w:r>
          </w:p>
          <w:p w14:paraId="5EF096FF" w14:textId="375D71F1" w:rsidR="00C46326" w:rsidRPr="00C46326" w:rsidRDefault="00C46326" w:rsidP="00C46326">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w:t>
            </w:r>
            <w:r>
              <w:rPr>
                <w:rFonts w:ascii="Times New Roman" w:hAnsi="Times New Roman"/>
                <w:b/>
                <w:sz w:val="20"/>
                <w:szCs w:val="20"/>
                <w:lang w:val="ro-MD"/>
              </w:rPr>
              <w:t>4</w:t>
            </w:r>
            <w:r w:rsidRPr="0066519A">
              <w:rPr>
                <w:rFonts w:ascii="Times New Roman" w:hAnsi="Times New Roman"/>
                <w:b/>
                <w:sz w:val="20"/>
                <w:szCs w:val="20"/>
                <w:lang w:val="ro-MD"/>
              </w:rPr>
              <w:t>.</w:t>
            </w:r>
            <w:r w:rsidRPr="0066519A">
              <w:rPr>
                <w:rFonts w:ascii="Times New Roman" w:hAnsi="Times New Roman"/>
                <w:bCs/>
                <w:sz w:val="20"/>
                <w:szCs w:val="20"/>
                <w:lang w:val="ro-MD"/>
              </w:rPr>
              <w:t xml:space="preserve"> </w:t>
            </w:r>
            <w:r w:rsidR="002C0FC1">
              <w:rPr>
                <w:rFonts w:ascii="Times New Roman" w:hAnsi="Times New Roman"/>
                <w:bCs/>
                <w:sz w:val="20"/>
                <w:szCs w:val="20"/>
                <w:lang w:val="ro-MD"/>
              </w:rPr>
              <w:t>E</w:t>
            </w:r>
            <w:r w:rsidRPr="0066519A">
              <w:rPr>
                <w:rFonts w:ascii="Times New Roman" w:hAnsi="Times New Roman"/>
                <w:bCs/>
                <w:sz w:val="20"/>
                <w:szCs w:val="20"/>
                <w:lang w:val="ro-MD"/>
              </w:rPr>
              <w:t>misii</w:t>
            </w:r>
            <w:r w:rsidR="002C0FC1">
              <w:rPr>
                <w:rFonts w:ascii="Times New Roman" w:hAnsi="Times New Roman"/>
                <w:bCs/>
                <w:sz w:val="20"/>
                <w:szCs w:val="20"/>
                <w:lang w:val="ro-MD"/>
              </w:rPr>
              <w:t>le</w:t>
            </w:r>
            <w:r w:rsidRPr="0066519A">
              <w:rPr>
                <w:rFonts w:ascii="Times New Roman" w:hAnsi="Times New Roman"/>
                <w:bCs/>
                <w:sz w:val="20"/>
                <w:szCs w:val="20"/>
                <w:lang w:val="ro-MD"/>
              </w:rPr>
              <w:t xml:space="preserve"> de GES de la </w:t>
            </w:r>
            <w:r w:rsidRPr="00C46326">
              <w:rPr>
                <w:rFonts w:ascii="Times New Roman" w:hAnsi="Times New Roman"/>
                <w:sz w:val="20"/>
                <w:szCs w:val="20"/>
                <w:lang w:val="ro-MD"/>
              </w:rPr>
              <w:t>activitățile d</w:t>
            </w:r>
            <w:r>
              <w:rPr>
                <w:rFonts w:ascii="Times New Roman" w:hAnsi="Times New Roman"/>
                <w:sz w:val="20"/>
                <w:szCs w:val="20"/>
                <w:lang w:val="ro-MD"/>
              </w:rPr>
              <w:t>e</w:t>
            </w:r>
            <w:r w:rsidRPr="00C46326">
              <w:rPr>
                <w:rFonts w:ascii="Times New Roman" w:hAnsi="Times New Roman"/>
                <w:sz w:val="20"/>
                <w:szCs w:val="20"/>
                <w:lang w:val="ro-MD"/>
              </w:rPr>
              <w:t xml:space="preserve"> aviației</w:t>
            </w:r>
          </w:p>
          <w:p w14:paraId="3B4DDBFE" w14:textId="5459B0A0" w:rsidR="00C46326" w:rsidRPr="00C46326" w:rsidRDefault="00C46326" w:rsidP="00C46326">
            <w:pPr>
              <w:suppressAutoHyphens w:val="0"/>
              <w:autoSpaceDN/>
              <w:spacing w:after="0" w:line="240" w:lineRule="atLeast"/>
              <w:jc w:val="both"/>
              <w:textAlignment w:val="auto"/>
              <w:rPr>
                <w:rFonts w:ascii="Times New Roman" w:hAnsi="Times New Roman"/>
                <w:sz w:val="20"/>
                <w:szCs w:val="20"/>
                <w:lang w:val="ro-MD"/>
              </w:rPr>
            </w:pPr>
            <w:r>
              <w:rPr>
                <w:rFonts w:ascii="Times New Roman" w:hAnsi="Times New Roman"/>
                <w:sz w:val="20"/>
                <w:szCs w:val="20"/>
                <w:lang w:val="ro-MD"/>
              </w:rPr>
              <w:t>(5)</w:t>
            </w:r>
            <w:r w:rsidRPr="00C46326">
              <w:rPr>
                <w:rFonts w:ascii="Times New Roman" w:hAnsi="Times New Roman"/>
                <w:sz w:val="20"/>
                <w:szCs w:val="20"/>
                <w:lang w:val="ro-MD"/>
              </w:rPr>
              <w:t xml:space="preserve">MRV </w:t>
            </w:r>
            <w:r w:rsidRPr="00C46326">
              <w:rPr>
                <w:rFonts w:ascii="Times New Roman" w:hAnsi="Times New Roman"/>
                <w:bCs/>
                <w:sz w:val="20"/>
                <w:szCs w:val="20"/>
                <w:shd w:val="clear" w:color="auto" w:fill="FFFFFF"/>
                <w:lang w:val="ro-MD"/>
              </w:rPr>
              <w:t xml:space="preserve">a emisiilor de GES se efectuează anual în conformitate cu </w:t>
            </w:r>
            <w:r w:rsidRPr="00C46326">
              <w:rPr>
                <w:rFonts w:ascii="Times New Roman" w:hAnsi="Times New Roman"/>
                <w:sz w:val="20"/>
                <w:szCs w:val="20"/>
                <w:lang w:val="ro-MD"/>
              </w:rPr>
              <w:t>Regulamentul privind monitorizare, raportare și verificare a emisiilor de gaze cu efect de sera de la instalațiile staționare și activitățile din domeniul aviației, aprobat de Guvern.</w:t>
            </w:r>
          </w:p>
          <w:p w14:paraId="7C487C8F" w14:textId="281A5907" w:rsidR="00C46326" w:rsidRPr="00313E92" w:rsidRDefault="00C46326" w:rsidP="00313E92">
            <w:pPr>
              <w:spacing w:after="120"/>
              <w:jc w:val="both"/>
              <w:rPr>
                <w:rFonts w:ascii="Times New Roman" w:hAnsi="Times New Roman" w:hint="eastAsia"/>
                <w:sz w:val="20"/>
                <w:szCs w:val="20"/>
                <w:lang w:val="zh-CN" w:eastAsia="zh-CN"/>
              </w:rPr>
            </w:pPr>
          </w:p>
        </w:tc>
        <w:tc>
          <w:tcPr>
            <w:tcW w:w="1276" w:type="dxa"/>
            <w:shd w:val="clear" w:color="auto" w:fill="auto"/>
          </w:tcPr>
          <w:p w14:paraId="03DF725D" w14:textId="27F597D3" w:rsidR="00124364" w:rsidRDefault="00B30DEA">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Parțial compatibil</w:t>
            </w:r>
          </w:p>
          <w:p w14:paraId="2E33095E"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6FB1BBC"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A63EB2B" w14:textId="18CB30F5" w:rsidR="00124364" w:rsidRPr="00B30DEA" w:rsidRDefault="00B30DEA">
            <w:pPr>
              <w:autoSpaceDE w:val="0"/>
              <w:spacing w:after="0" w:line="240" w:lineRule="auto"/>
              <w:rPr>
                <w:rFonts w:ascii="Times New Roman" w:eastAsia="Times New Roman" w:hAnsi="Times New Roman"/>
                <w:sz w:val="20"/>
                <w:szCs w:val="20"/>
                <w:lang w:val="ro-RO"/>
              </w:rPr>
            </w:pPr>
            <w:proofErr w:type="spellStart"/>
            <w:r>
              <w:rPr>
                <w:rFonts w:ascii="Times New Roman" w:hAnsi="Times New Roman"/>
                <w:color w:val="000000" w:themeColor="text1"/>
                <w:sz w:val="20"/>
                <w:szCs w:val="20"/>
              </w:rPr>
              <w:t>Prevederile</w:t>
            </w:r>
            <w:proofErr w:type="spellEnd"/>
            <w:r>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vor</w:t>
            </w:r>
            <w:proofErr w:type="spellEnd"/>
            <w:r w:rsidRPr="00B30DEA">
              <w:rPr>
                <w:rFonts w:ascii="Times New Roman" w:hAnsi="Times New Roman"/>
                <w:color w:val="000000" w:themeColor="text1"/>
                <w:sz w:val="20"/>
                <w:szCs w:val="20"/>
              </w:rPr>
              <w:t xml:space="preserve"> fi </w:t>
            </w:r>
            <w:proofErr w:type="spellStart"/>
            <w:r w:rsidRPr="00B30DEA">
              <w:rPr>
                <w:rFonts w:ascii="Times New Roman" w:hAnsi="Times New Roman"/>
                <w:color w:val="000000" w:themeColor="text1"/>
                <w:sz w:val="20"/>
                <w:szCs w:val="20"/>
              </w:rPr>
              <w:t>reglementate</w:t>
            </w:r>
            <w:proofErr w:type="spellEnd"/>
            <w:r w:rsidRPr="00B30DEA">
              <w:rPr>
                <w:rFonts w:ascii="Times New Roman" w:hAnsi="Times New Roman"/>
                <w:color w:val="000000" w:themeColor="text1"/>
                <w:sz w:val="20"/>
                <w:szCs w:val="20"/>
              </w:rPr>
              <w:t xml:space="preserve"> în </w:t>
            </w:r>
            <w:proofErr w:type="spellStart"/>
            <w:r w:rsidRPr="00B30DEA">
              <w:rPr>
                <w:rFonts w:ascii="Times New Roman" w:hAnsi="Times New Roman"/>
                <w:color w:val="000000" w:themeColor="text1"/>
                <w:sz w:val="20"/>
                <w:szCs w:val="20"/>
              </w:rPr>
              <w:t>Regulamentul</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privind</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monitorizare</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raportare</w:t>
            </w:r>
            <w:proofErr w:type="spellEnd"/>
            <w:r w:rsidRPr="00B30DEA">
              <w:rPr>
                <w:rFonts w:ascii="Times New Roman" w:hAnsi="Times New Roman"/>
                <w:color w:val="000000" w:themeColor="text1"/>
                <w:sz w:val="20"/>
                <w:szCs w:val="20"/>
              </w:rPr>
              <w:t xml:space="preserve"> și </w:t>
            </w:r>
            <w:proofErr w:type="spellStart"/>
            <w:r w:rsidRPr="00B30DEA">
              <w:rPr>
                <w:rFonts w:ascii="Times New Roman" w:hAnsi="Times New Roman"/>
                <w:color w:val="000000" w:themeColor="text1"/>
                <w:sz w:val="20"/>
                <w:szCs w:val="20"/>
              </w:rPr>
              <w:t>verificare</w:t>
            </w:r>
            <w:proofErr w:type="spellEnd"/>
            <w:r w:rsidRPr="00B30DEA">
              <w:rPr>
                <w:rFonts w:ascii="Times New Roman" w:hAnsi="Times New Roman"/>
                <w:color w:val="000000" w:themeColor="text1"/>
                <w:sz w:val="20"/>
                <w:szCs w:val="20"/>
              </w:rPr>
              <w:t xml:space="preserve"> </w:t>
            </w:r>
            <w:proofErr w:type="gramStart"/>
            <w:r w:rsidRPr="00B30DEA">
              <w:rPr>
                <w:rFonts w:ascii="Times New Roman" w:hAnsi="Times New Roman"/>
                <w:color w:val="000000" w:themeColor="text1"/>
                <w:sz w:val="20"/>
                <w:szCs w:val="20"/>
              </w:rPr>
              <w:t>a</w:t>
            </w:r>
            <w:proofErr w:type="gram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emisiilor</w:t>
            </w:r>
            <w:proofErr w:type="spellEnd"/>
            <w:r w:rsidRPr="00B30DEA">
              <w:rPr>
                <w:rFonts w:ascii="Times New Roman" w:hAnsi="Times New Roman"/>
                <w:color w:val="000000" w:themeColor="text1"/>
                <w:sz w:val="20"/>
                <w:szCs w:val="20"/>
              </w:rPr>
              <w:t xml:space="preserve"> de gaze cu </w:t>
            </w:r>
            <w:proofErr w:type="spellStart"/>
            <w:r w:rsidRPr="00B30DEA">
              <w:rPr>
                <w:rFonts w:ascii="Times New Roman" w:hAnsi="Times New Roman"/>
                <w:color w:val="000000" w:themeColor="text1"/>
                <w:sz w:val="20"/>
                <w:szCs w:val="20"/>
              </w:rPr>
              <w:t>efect</w:t>
            </w:r>
            <w:proofErr w:type="spellEnd"/>
            <w:r w:rsidRPr="00B30DEA">
              <w:rPr>
                <w:rFonts w:ascii="Times New Roman" w:hAnsi="Times New Roman"/>
                <w:color w:val="000000" w:themeColor="text1"/>
                <w:sz w:val="20"/>
                <w:szCs w:val="20"/>
              </w:rPr>
              <w:t xml:space="preserve"> de sera de la </w:t>
            </w:r>
            <w:proofErr w:type="spellStart"/>
            <w:r w:rsidRPr="00B30DEA">
              <w:rPr>
                <w:rFonts w:ascii="Times New Roman" w:hAnsi="Times New Roman"/>
                <w:color w:val="000000" w:themeColor="text1"/>
                <w:sz w:val="20"/>
                <w:szCs w:val="20"/>
              </w:rPr>
              <w:t>instalațiile</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staționare</w:t>
            </w:r>
            <w:proofErr w:type="spellEnd"/>
            <w:r w:rsidRPr="00B30DEA">
              <w:rPr>
                <w:rFonts w:ascii="Times New Roman" w:hAnsi="Times New Roman"/>
                <w:color w:val="000000" w:themeColor="text1"/>
                <w:sz w:val="20"/>
                <w:szCs w:val="20"/>
              </w:rPr>
              <w:t xml:space="preserve"> și </w:t>
            </w:r>
            <w:proofErr w:type="spellStart"/>
            <w:r w:rsidRPr="00B30DEA">
              <w:rPr>
                <w:rFonts w:ascii="Times New Roman" w:hAnsi="Times New Roman"/>
                <w:color w:val="000000" w:themeColor="text1"/>
                <w:sz w:val="20"/>
                <w:szCs w:val="20"/>
              </w:rPr>
              <w:t>activitățile</w:t>
            </w:r>
            <w:proofErr w:type="spellEnd"/>
            <w:r w:rsidRPr="00B30DEA">
              <w:rPr>
                <w:rFonts w:ascii="Times New Roman" w:hAnsi="Times New Roman"/>
                <w:color w:val="000000" w:themeColor="text1"/>
                <w:sz w:val="20"/>
                <w:szCs w:val="20"/>
              </w:rPr>
              <w:t xml:space="preserve"> din </w:t>
            </w:r>
            <w:proofErr w:type="spellStart"/>
            <w:r w:rsidRPr="00B30DEA">
              <w:rPr>
                <w:rFonts w:ascii="Times New Roman" w:hAnsi="Times New Roman"/>
                <w:color w:val="000000" w:themeColor="text1"/>
                <w:sz w:val="20"/>
                <w:szCs w:val="20"/>
              </w:rPr>
              <w:t>domeniul</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aviației</w:t>
            </w:r>
            <w:proofErr w:type="spellEnd"/>
            <w:r w:rsidRPr="00B30DEA">
              <w:rPr>
                <w:rFonts w:ascii="Times New Roman" w:hAnsi="Times New Roman"/>
                <w:color w:val="000000" w:themeColor="text1"/>
                <w:sz w:val="20"/>
                <w:szCs w:val="20"/>
              </w:rPr>
              <w:t xml:space="preserve"> </w:t>
            </w:r>
          </w:p>
        </w:tc>
        <w:tc>
          <w:tcPr>
            <w:tcW w:w="1464" w:type="dxa"/>
            <w:shd w:val="clear" w:color="auto" w:fill="auto"/>
          </w:tcPr>
          <w:p w14:paraId="06418B72"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53B8908" w14:textId="77777777" w:rsidR="00124364" w:rsidRDefault="00124364">
            <w:pPr>
              <w:autoSpaceDE w:val="0"/>
              <w:spacing w:after="0" w:line="240" w:lineRule="auto"/>
              <w:rPr>
                <w:rFonts w:ascii="Times New Roman" w:hAnsi="Times New Roman"/>
                <w:sz w:val="20"/>
                <w:szCs w:val="20"/>
                <w:lang w:val="fr-FR"/>
              </w:rPr>
            </w:pPr>
          </w:p>
          <w:p w14:paraId="53BBC9F4" w14:textId="77777777" w:rsidR="00B30DEA" w:rsidRDefault="00B30DEA">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p w14:paraId="2D1FD6C7" w14:textId="77777777" w:rsidR="007040D9" w:rsidRDefault="007040D9">
            <w:pPr>
              <w:autoSpaceDE w:val="0"/>
              <w:spacing w:after="0" w:line="240" w:lineRule="auto"/>
              <w:rPr>
                <w:rFonts w:ascii="Times New Roman" w:hAnsi="Times New Roman"/>
                <w:sz w:val="20"/>
                <w:szCs w:val="20"/>
                <w:lang w:val="fr-FR"/>
              </w:rPr>
            </w:pPr>
          </w:p>
          <w:p w14:paraId="1B8F3815" w14:textId="397F4D49" w:rsidR="007040D9" w:rsidRPr="007040D9" w:rsidRDefault="007040D9">
            <w:pPr>
              <w:autoSpaceDE w:val="0"/>
              <w:spacing w:after="0" w:line="240" w:lineRule="auto"/>
              <w:rPr>
                <w:rFonts w:ascii="Times New Roman" w:hAnsi="Times New Roman"/>
                <w:sz w:val="20"/>
                <w:szCs w:val="20"/>
                <w:lang w:val="fr-FR"/>
              </w:rPr>
            </w:pPr>
            <w:r w:rsidRPr="007040D9">
              <w:rPr>
                <w:rFonts w:ascii="Times New Roman" w:hAnsi="Times New Roman"/>
                <w:sz w:val="20"/>
                <w:szCs w:val="20"/>
                <w:lang w:val="ro-MD"/>
              </w:rPr>
              <w:t>Autorității Aeronautice Civile PM</w:t>
            </w:r>
          </w:p>
        </w:tc>
      </w:tr>
      <w:tr w:rsidR="00124364" w14:paraId="5DEBA9A9" w14:textId="77777777">
        <w:trPr>
          <w:trHeight w:val="558"/>
        </w:trPr>
        <w:tc>
          <w:tcPr>
            <w:tcW w:w="4957" w:type="dxa"/>
            <w:shd w:val="clear" w:color="auto" w:fill="auto"/>
          </w:tcPr>
          <w:p w14:paraId="747A0BF5" w14:textId="77777777" w:rsidR="00124364" w:rsidRPr="007040D9"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7040D9">
              <w:rPr>
                <w:rFonts w:eastAsia="Arial Unicode MS"/>
                <w:i/>
                <w:iCs/>
                <w:color w:val="000000" w:themeColor="text1"/>
                <w:sz w:val="20"/>
                <w:szCs w:val="20"/>
                <w:shd w:val="clear" w:color="auto" w:fill="FFFFFF"/>
                <w:lang w:val="en-US"/>
              </w:rPr>
              <w:lastRenderedPageBreak/>
              <w:t>Articolul</w:t>
            </w:r>
            <w:proofErr w:type="spellEnd"/>
            <w:r w:rsidRPr="007040D9">
              <w:rPr>
                <w:rFonts w:eastAsia="Arial Unicode MS"/>
                <w:i/>
                <w:iCs/>
                <w:color w:val="000000" w:themeColor="text1"/>
                <w:sz w:val="20"/>
                <w:szCs w:val="20"/>
                <w:shd w:val="clear" w:color="auto" w:fill="FFFFFF"/>
                <w:lang w:val="en-US"/>
              </w:rPr>
              <w:t xml:space="preserve"> 15</w:t>
            </w:r>
          </w:p>
          <w:p w14:paraId="0929A846"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36" w:tooltip="32009L0029: REPLACED" w:history="1">
              <w:r w:rsidRPr="00E34C2B">
                <w:rPr>
                  <w:rStyle w:val="af3"/>
                  <w:rFonts w:eastAsia="Arial Unicode MS"/>
                  <w:b/>
                  <w:bCs/>
                  <w:color w:val="4472C4" w:themeColor="accent1"/>
                  <w:sz w:val="20"/>
                  <w:szCs w:val="20"/>
                  <w:lang w:val="en-US"/>
                </w:rPr>
                <w:t>▼M4</w:t>
              </w:r>
            </w:hyperlink>
          </w:p>
          <w:p w14:paraId="1E29390F" w14:textId="77777777" w:rsidR="00124364" w:rsidRPr="007040D9"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7040D9">
              <w:rPr>
                <w:rFonts w:eastAsia="Arial Unicode MS"/>
                <w:b/>
                <w:bCs/>
                <w:color w:val="000000" w:themeColor="text1"/>
                <w:sz w:val="20"/>
                <w:szCs w:val="20"/>
                <w:shd w:val="clear" w:color="auto" w:fill="FFFFFF"/>
                <w:lang w:val="en-US"/>
              </w:rPr>
              <w:t>Verificare</w:t>
            </w:r>
            <w:proofErr w:type="spellEnd"/>
            <w:r w:rsidRPr="007040D9">
              <w:rPr>
                <w:rFonts w:eastAsia="Arial Unicode MS"/>
                <w:b/>
                <w:bCs/>
                <w:color w:val="000000" w:themeColor="text1"/>
                <w:sz w:val="20"/>
                <w:szCs w:val="20"/>
                <w:shd w:val="clear" w:color="auto" w:fill="FFFFFF"/>
                <w:lang w:val="en-US"/>
              </w:rPr>
              <w:t xml:space="preserve"> și </w:t>
            </w:r>
            <w:proofErr w:type="spellStart"/>
            <w:r w:rsidRPr="007040D9">
              <w:rPr>
                <w:rFonts w:eastAsia="Arial Unicode MS"/>
                <w:b/>
                <w:bCs/>
                <w:color w:val="000000" w:themeColor="text1"/>
                <w:sz w:val="20"/>
                <w:szCs w:val="20"/>
                <w:shd w:val="clear" w:color="auto" w:fill="FFFFFF"/>
                <w:lang w:val="en-US"/>
              </w:rPr>
              <w:t>acreditare</w:t>
            </w:r>
            <w:proofErr w:type="spellEnd"/>
          </w:p>
          <w:p w14:paraId="2E7EADB2"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37" w:tooltip="32008L0101: REPLACED" w:history="1">
              <w:r w:rsidRPr="00E34C2B">
                <w:rPr>
                  <w:rStyle w:val="af3"/>
                  <w:rFonts w:eastAsia="Arial Unicode MS"/>
                  <w:b/>
                  <w:bCs/>
                  <w:color w:val="4472C4" w:themeColor="accent1"/>
                  <w:sz w:val="20"/>
                  <w:szCs w:val="20"/>
                  <w:lang w:val="en-US"/>
                </w:rPr>
                <w:t>▼M2</w:t>
              </w:r>
            </w:hyperlink>
          </w:p>
          <w:p w14:paraId="4CDA56D0" w14:textId="77777777" w:rsidR="00124364" w:rsidRPr="007040D9" w:rsidRDefault="00000000" w:rsidP="007040D9">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7040D9">
              <w:rPr>
                <w:rFonts w:eastAsia="Arial Unicode MS"/>
                <w:color w:val="000000" w:themeColor="text1"/>
                <w:sz w:val="20"/>
                <w:szCs w:val="20"/>
                <w:shd w:val="clear" w:color="auto" w:fill="FFFFFF"/>
                <w:lang w:val="en-US"/>
              </w:rPr>
              <w:t>Statele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membre</w:t>
            </w:r>
            <w:proofErr w:type="spellEnd"/>
            <w:r w:rsidRPr="007040D9">
              <w:rPr>
                <w:rFonts w:eastAsia="Arial Unicode MS"/>
                <w:color w:val="000000" w:themeColor="text1"/>
                <w:sz w:val="20"/>
                <w:szCs w:val="20"/>
                <w:shd w:val="clear" w:color="auto" w:fill="FFFFFF"/>
                <w:lang w:val="en-US"/>
              </w:rPr>
              <w:t xml:space="preserve"> se </w:t>
            </w:r>
            <w:proofErr w:type="spellStart"/>
            <w:r w:rsidRPr="007040D9">
              <w:rPr>
                <w:rFonts w:eastAsia="Arial Unicode MS"/>
                <w:color w:val="000000" w:themeColor="text1"/>
                <w:sz w:val="20"/>
                <w:szCs w:val="20"/>
                <w:shd w:val="clear" w:color="auto" w:fill="FFFFFF"/>
                <w:lang w:val="en-US"/>
              </w:rPr>
              <w:t>asigură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rapoartele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prezentate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operatori</w:t>
            </w:r>
            <w:proofErr w:type="spellEnd"/>
            <w:r w:rsidRPr="007040D9">
              <w:rPr>
                <w:rFonts w:eastAsia="Arial Unicode MS"/>
                <w:color w:val="000000" w:themeColor="text1"/>
                <w:sz w:val="20"/>
                <w:szCs w:val="20"/>
                <w:shd w:val="clear" w:color="auto" w:fill="FFFFFF"/>
                <w:lang w:val="en-US"/>
              </w:rPr>
              <w:t xml:space="preserve"> și de </w:t>
            </w:r>
            <w:proofErr w:type="spellStart"/>
            <w:r w:rsidRPr="007040D9">
              <w:rPr>
                <w:rFonts w:eastAsia="Arial Unicode MS"/>
                <w:color w:val="000000" w:themeColor="text1"/>
                <w:sz w:val="20"/>
                <w:szCs w:val="20"/>
                <w:shd w:val="clear" w:color="auto" w:fill="FFFFFF"/>
                <w:lang w:val="en-US"/>
              </w:rPr>
              <w:t>operatorii</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aeronave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temeiul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articolului</w:t>
            </w:r>
            <w:proofErr w:type="spellEnd"/>
            <w:r w:rsidRPr="007040D9">
              <w:rPr>
                <w:rFonts w:eastAsia="Arial Unicode MS"/>
                <w:color w:val="000000" w:themeColor="text1"/>
                <w:sz w:val="20"/>
                <w:szCs w:val="20"/>
                <w:shd w:val="clear" w:color="auto" w:fill="FFFFFF"/>
                <w:lang w:val="en-US"/>
              </w:rPr>
              <w:t xml:space="preserve"> 14 </w:t>
            </w:r>
            <w:proofErr w:type="spellStart"/>
            <w:r w:rsidRPr="007040D9">
              <w:rPr>
                <w:rFonts w:eastAsia="Arial Unicode MS"/>
                <w:color w:val="000000" w:themeColor="text1"/>
                <w:sz w:val="20"/>
                <w:szCs w:val="20"/>
                <w:shd w:val="clear" w:color="auto" w:fill="FFFFFF"/>
                <w:lang w:val="en-US"/>
              </w:rPr>
              <w:t>alineatul</w:t>
            </w:r>
            <w:proofErr w:type="spellEnd"/>
            <w:r w:rsidRPr="007040D9">
              <w:rPr>
                <w:rFonts w:eastAsia="Arial Unicode MS"/>
                <w:color w:val="000000" w:themeColor="text1"/>
                <w:sz w:val="20"/>
                <w:szCs w:val="20"/>
                <w:shd w:val="clear" w:color="auto" w:fill="FFFFFF"/>
                <w:lang w:val="en-US"/>
              </w:rPr>
              <w:t xml:space="preserve"> (3) sunt </w:t>
            </w:r>
            <w:proofErr w:type="spellStart"/>
            <w:r w:rsidRPr="007040D9">
              <w:rPr>
                <w:rFonts w:eastAsia="Arial Unicode MS"/>
                <w:color w:val="000000" w:themeColor="text1"/>
                <w:sz w:val="20"/>
                <w:szCs w:val="20"/>
                <w:shd w:val="clear" w:color="auto" w:fill="FFFFFF"/>
                <w:lang w:val="en-US"/>
              </w:rPr>
              <w:t>verificate</w:t>
            </w:r>
            <w:proofErr w:type="spellEnd"/>
            <w:r w:rsidRPr="007040D9">
              <w:rPr>
                <w:rFonts w:eastAsia="Arial Unicode MS"/>
                <w:color w:val="000000" w:themeColor="text1"/>
                <w:sz w:val="20"/>
                <w:szCs w:val="20"/>
                <w:shd w:val="clear" w:color="auto" w:fill="FFFFFF"/>
                <w:lang w:val="en-US"/>
              </w:rPr>
              <w:t xml:space="preserve"> în conformitate cu </w:t>
            </w:r>
            <w:proofErr w:type="spellStart"/>
            <w:r w:rsidRPr="007040D9">
              <w:rPr>
                <w:rFonts w:eastAsia="Arial Unicode MS"/>
                <w:color w:val="000000" w:themeColor="text1"/>
                <w:sz w:val="20"/>
                <w:szCs w:val="20"/>
                <w:shd w:val="clear" w:color="auto" w:fill="FFFFFF"/>
                <w:lang w:val="en-US"/>
              </w:rPr>
              <w:t>criteriile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prevăzute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anexa</w:t>
            </w:r>
            <w:proofErr w:type="spellEnd"/>
            <w:r w:rsidRPr="007040D9">
              <w:rPr>
                <w:rFonts w:eastAsia="Arial Unicode MS"/>
                <w:color w:val="000000" w:themeColor="text1"/>
                <w:sz w:val="20"/>
                <w:szCs w:val="20"/>
                <w:shd w:val="clear" w:color="auto" w:fill="FFFFFF"/>
                <w:lang w:val="en-US"/>
              </w:rPr>
              <w:t xml:space="preserve"> V și cu </w:t>
            </w:r>
            <w:proofErr w:type="spellStart"/>
            <w:r w:rsidRPr="007040D9">
              <w:rPr>
                <w:rFonts w:eastAsia="Arial Unicode MS"/>
                <w:color w:val="000000" w:themeColor="text1"/>
                <w:sz w:val="20"/>
                <w:szCs w:val="20"/>
                <w:shd w:val="clear" w:color="auto" w:fill="FFFFFF"/>
                <w:lang w:val="en-US"/>
              </w:rPr>
              <w:t>orice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norme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detaliate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adoptate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Comisie</w:t>
            </w:r>
            <w:proofErr w:type="spellEnd"/>
            <w:r w:rsidRPr="007040D9">
              <w:rPr>
                <w:rFonts w:eastAsia="Arial Unicode MS"/>
                <w:color w:val="000000" w:themeColor="text1"/>
                <w:sz w:val="20"/>
                <w:szCs w:val="20"/>
                <w:shd w:val="clear" w:color="auto" w:fill="FFFFFF"/>
                <w:lang w:val="en-US"/>
              </w:rPr>
              <w:t xml:space="preserve"> în conformitate cu </w:t>
            </w:r>
            <w:proofErr w:type="spellStart"/>
            <w:r w:rsidRPr="007040D9">
              <w:rPr>
                <w:rFonts w:eastAsia="Arial Unicode MS"/>
                <w:color w:val="000000" w:themeColor="text1"/>
                <w:sz w:val="20"/>
                <w:szCs w:val="20"/>
                <w:shd w:val="clear" w:color="auto" w:fill="FFFFFF"/>
                <w:lang w:val="en-US"/>
              </w:rPr>
              <w:t>prezentul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articol</w:t>
            </w:r>
            <w:proofErr w:type="spellEnd"/>
            <w:r w:rsidRPr="007040D9">
              <w:rPr>
                <w:rFonts w:eastAsia="Arial Unicode MS"/>
                <w:color w:val="000000" w:themeColor="text1"/>
                <w:sz w:val="20"/>
                <w:szCs w:val="20"/>
                <w:shd w:val="clear" w:color="auto" w:fill="FFFFFF"/>
                <w:lang w:val="en-US"/>
              </w:rPr>
              <w:t xml:space="preserve"> și </w:t>
            </w:r>
            <w:proofErr w:type="spellStart"/>
            <w:r w:rsidRPr="007040D9">
              <w:rPr>
                <w:rFonts w:eastAsia="Arial Unicode MS"/>
                <w:color w:val="000000" w:themeColor="text1"/>
                <w:sz w:val="20"/>
                <w:szCs w:val="20"/>
                <w:shd w:val="clear" w:color="auto" w:fill="FFFFFF"/>
                <w:lang w:val="en-US"/>
              </w:rPr>
              <w:t>că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autoritatea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competentă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este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informată</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acest</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sens.</w:t>
            </w:r>
            <w:proofErr w:type="spellEnd"/>
          </w:p>
          <w:p w14:paraId="6F413889" w14:textId="77777777" w:rsidR="00124364" w:rsidRPr="007040D9" w:rsidRDefault="00000000" w:rsidP="007040D9">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7040D9">
              <w:rPr>
                <w:rFonts w:eastAsia="Arial Unicode MS"/>
                <w:color w:val="000000" w:themeColor="text1"/>
                <w:sz w:val="20"/>
                <w:szCs w:val="20"/>
                <w:shd w:val="clear" w:color="auto" w:fill="FFFFFF"/>
                <w:lang w:val="en-US"/>
              </w:rPr>
              <w:t>Statele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membre</w:t>
            </w:r>
            <w:proofErr w:type="spellEnd"/>
            <w:r w:rsidRPr="007040D9">
              <w:rPr>
                <w:rFonts w:eastAsia="Arial Unicode MS"/>
                <w:color w:val="000000" w:themeColor="text1"/>
                <w:sz w:val="20"/>
                <w:szCs w:val="20"/>
                <w:shd w:val="clear" w:color="auto" w:fill="FFFFFF"/>
                <w:lang w:val="en-US"/>
              </w:rPr>
              <w:t xml:space="preserve"> se </w:t>
            </w:r>
            <w:proofErr w:type="spellStart"/>
            <w:r w:rsidRPr="007040D9">
              <w:rPr>
                <w:rFonts w:eastAsia="Arial Unicode MS"/>
                <w:color w:val="000000" w:themeColor="text1"/>
                <w:sz w:val="20"/>
                <w:szCs w:val="20"/>
                <w:shd w:val="clear" w:color="auto" w:fill="FFFFFF"/>
                <w:lang w:val="en-US"/>
              </w:rPr>
              <w:t>asigură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că</w:t>
            </w:r>
            <w:proofErr w:type="spellEnd"/>
            <w:r w:rsidRPr="007040D9">
              <w:rPr>
                <w:rFonts w:eastAsia="Arial Unicode MS"/>
                <w:color w:val="000000" w:themeColor="text1"/>
                <w:sz w:val="20"/>
                <w:szCs w:val="20"/>
                <w:shd w:val="clear" w:color="auto" w:fill="FFFFFF"/>
                <w:lang w:val="en-US"/>
              </w:rPr>
              <w:t xml:space="preserve"> un operator </w:t>
            </w:r>
            <w:proofErr w:type="spellStart"/>
            <w:r w:rsidRPr="007040D9">
              <w:rPr>
                <w:rFonts w:eastAsia="Arial Unicode MS"/>
                <w:color w:val="000000" w:themeColor="text1"/>
                <w:sz w:val="20"/>
                <w:szCs w:val="20"/>
                <w:shd w:val="clear" w:color="auto" w:fill="FFFFFF"/>
                <w:lang w:val="en-US"/>
              </w:rPr>
              <w:t>sau</w:t>
            </w:r>
            <w:proofErr w:type="spellEnd"/>
            <w:r w:rsidRPr="007040D9">
              <w:rPr>
                <w:rFonts w:eastAsia="Arial Unicode MS"/>
                <w:color w:val="000000" w:themeColor="text1"/>
                <w:sz w:val="20"/>
                <w:szCs w:val="20"/>
                <w:shd w:val="clear" w:color="auto" w:fill="FFFFFF"/>
                <w:lang w:val="en-US"/>
              </w:rPr>
              <w:t xml:space="preserve"> un operator de </w:t>
            </w:r>
            <w:proofErr w:type="spellStart"/>
            <w:r w:rsidRPr="007040D9">
              <w:rPr>
                <w:rFonts w:eastAsia="Arial Unicode MS"/>
                <w:color w:val="000000" w:themeColor="text1"/>
                <w:sz w:val="20"/>
                <w:szCs w:val="20"/>
                <w:shd w:val="clear" w:color="auto" w:fill="FFFFFF"/>
                <w:lang w:val="en-US"/>
              </w:rPr>
              <w:t>aeronave</w:t>
            </w:r>
            <w:proofErr w:type="spellEnd"/>
            <w:r w:rsidRPr="007040D9">
              <w:rPr>
                <w:rFonts w:eastAsia="Arial Unicode MS"/>
                <w:color w:val="000000" w:themeColor="text1"/>
                <w:sz w:val="20"/>
                <w:szCs w:val="20"/>
                <w:shd w:val="clear" w:color="auto" w:fill="FFFFFF"/>
                <w:lang w:val="en-US"/>
              </w:rPr>
              <w:t xml:space="preserve"> al </w:t>
            </w:r>
            <w:proofErr w:type="spellStart"/>
            <w:r w:rsidRPr="007040D9">
              <w:rPr>
                <w:rFonts w:eastAsia="Arial Unicode MS"/>
                <w:color w:val="000000" w:themeColor="text1"/>
                <w:sz w:val="20"/>
                <w:szCs w:val="20"/>
                <w:shd w:val="clear" w:color="auto" w:fill="FFFFFF"/>
                <w:lang w:val="en-US"/>
              </w:rPr>
              <w:t>cărui</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raport</w:t>
            </w:r>
            <w:proofErr w:type="spellEnd"/>
            <w:r w:rsidRPr="007040D9">
              <w:rPr>
                <w:rFonts w:eastAsia="Arial Unicode MS"/>
                <w:color w:val="000000" w:themeColor="text1"/>
                <w:sz w:val="20"/>
                <w:szCs w:val="20"/>
                <w:shd w:val="clear" w:color="auto" w:fill="FFFFFF"/>
                <w:lang w:val="en-US"/>
              </w:rPr>
              <w:t xml:space="preserve"> nu a </w:t>
            </w:r>
            <w:proofErr w:type="spellStart"/>
            <w:r w:rsidRPr="007040D9">
              <w:rPr>
                <w:rFonts w:eastAsia="Arial Unicode MS"/>
                <w:color w:val="000000" w:themeColor="text1"/>
                <w:sz w:val="20"/>
                <w:szCs w:val="20"/>
                <w:shd w:val="clear" w:color="auto" w:fill="FFFFFF"/>
                <w:lang w:val="en-US"/>
              </w:rPr>
              <w:t>fost</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considerat</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satisfăcător</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urma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verificării</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efectuate</w:t>
            </w:r>
            <w:proofErr w:type="spellEnd"/>
            <w:r w:rsidRPr="007040D9">
              <w:rPr>
                <w:rFonts w:eastAsia="Arial Unicode MS"/>
                <w:color w:val="000000" w:themeColor="text1"/>
                <w:sz w:val="20"/>
                <w:szCs w:val="20"/>
                <w:shd w:val="clear" w:color="auto" w:fill="FFFFFF"/>
                <w:lang w:val="en-US"/>
              </w:rPr>
              <w:t xml:space="preserve"> în conformitate cu </w:t>
            </w:r>
            <w:proofErr w:type="spellStart"/>
            <w:r w:rsidRPr="007040D9">
              <w:rPr>
                <w:rFonts w:eastAsia="Arial Unicode MS"/>
                <w:color w:val="000000" w:themeColor="text1"/>
                <w:sz w:val="20"/>
                <w:szCs w:val="20"/>
                <w:shd w:val="clear" w:color="auto" w:fill="FFFFFF"/>
                <w:lang w:val="en-US"/>
              </w:rPr>
              <w:t>criteriile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prevăzute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anexa</w:t>
            </w:r>
            <w:proofErr w:type="spellEnd"/>
            <w:r w:rsidRPr="007040D9">
              <w:rPr>
                <w:rFonts w:eastAsia="Arial Unicode MS"/>
                <w:color w:val="000000" w:themeColor="text1"/>
                <w:sz w:val="20"/>
                <w:szCs w:val="20"/>
                <w:shd w:val="clear" w:color="auto" w:fill="FFFFFF"/>
                <w:lang w:val="en-US"/>
              </w:rPr>
              <w:t xml:space="preserve"> V și cu </w:t>
            </w:r>
            <w:proofErr w:type="spellStart"/>
            <w:r w:rsidRPr="007040D9">
              <w:rPr>
                <w:rFonts w:eastAsia="Arial Unicode MS"/>
                <w:color w:val="000000" w:themeColor="text1"/>
                <w:sz w:val="20"/>
                <w:szCs w:val="20"/>
                <w:shd w:val="clear" w:color="auto" w:fill="FFFFFF"/>
                <w:lang w:val="en-US"/>
              </w:rPr>
              <w:t>orice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norme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detaliate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adoptate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Comisie</w:t>
            </w:r>
            <w:proofErr w:type="spellEnd"/>
            <w:r w:rsidRPr="007040D9">
              <w:rPr>
                <w:rFonts w:eastAsia="Arial Unicode MS"/>
                <w:color w:val="000000" w:themeColor="text1"/>
                <w:sz w:val="20"/>
                <w:szCs w:val="20"/>
                <w:shd w:val="clear" w:color="auto" w:fill="FFFFFF"/>
                <w:lang w:val="en-US"/>
              </w:rPr>
              <w:t xml:space="preserve"> în conformitate cu </w:t>
            </w:r>
            <w:proofErr w:type="spellStart"/>
            <w:r w:rsidRPr="007040D9">
              <w:rPr>
                <w:rFonts w:eastAsia="Arial Unicode MS"/>
                <w:color w:val="000000" w:themeColor="text1"/>
                <w:sz w:val="20"/>
                <w:szCs w:val="20"/>
                <w:shd w:val="clear" w:color="auto" w:fill="FFFFFF"/>
                <w:lang w:val="en-US"/>
              </w:rPr>
              <w:t>prezentul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articol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până</w:t>
            </w:r>
            <w:proofErr w:type="spellEnd"/>
            <w:r w:rsidRPr="007040D9">
              <w:rPr>
                <w:rFonts w:eastAsia="Arial Unicode MS"/>
                <w:color w:val="000000" w:themeColor="text1"/>
                <w:sz w:val="20"/>
                <w:szCs w:val="20"/>
                <w:shd w:val="clear" w:color="auto" w:fill="FFFFFF"/>
                <w:lang w:val="en-US"/>
              </w:rPr>
              <w:t xml:space="preserve"> la data de 31 </w:t>
            </w:r>
            <w:proofErr w:type="spellStart"/>
            <w:r w:rsidRPr="007040D9">
              <w:rPr>
                <w:rFonts w:eastAsia="Arial Unicode MS"/>
                <w:color w:val="000000" w:themeColor="text1"/>
                <w:sz w:val="20"/>
                <w:szCs w:val="20"/>
                <w:shd w:val="clear" w:color="auto" w:fill="FFFFFF"/>
                <w:lang w:val="en-US"/>
              </w:rPr>
              <w:t>martie</w:t>
            </w:r>
            <w:proofErr w:type="spellEnd"/>
            <w:r w:rsidRPr="007040D9">
              <w:rPr>
                <w:rFonts w:eastAsia="Arial Unicode MS"/>
                <w:color w:val="000000" w:themeColor="text1"/>
                <w:sz w:val="20"/>
                <w:szCs w:val="20"/>
                <w:shd w:val="clear" w:color="auto" w:fill="FFFFFF"/>
                <w:lang w:val="en-US"/>
              </w:rPr>
              <w:t xml:space="preserve"> a </w:t>
            </w:r>
            <w:proofErr w:type="spellStart"/>
            <w:r w:rsidRPr="007040D9">
              <w:rPr>
                <w:rFonts w:eastAsia="Arial Unicode MS"/>
                <w:color w:val="000000" w:themeColor="text1"/>
                <w:sz w:val="20"/>
                <w:szCs w:val="20"/>
                <w:shd w:val="clear" w:color="auto" w:fill="FFFFFF"/>
                <w:lang w:val="en-US"/>
              </w:rPr>
              <w:t>fiecărui</w:t>
            </w:r>
            <w:proofErr w:type="spellEnd"/>
            <w:r w:rsidRPr="007040D9">
              <w:rPr>
                <w:rFonts w:eastAsia="Arial Unicode MS"/>
                <w:color w:val="000000" w:themeColor="text1"/>
                <w:sz w:val="20"/>
                <w:szCs w:val="20"/>
                <w:shd w:val="clear" w:color="auto" w:fill="FFFFFF"/>
                <w:lang w:val="en-US"/>
              </w:rPr>
              <w:t xml:space="preserve"> an </w:t>
            </w:r>
            <w:proofErr w:type="spellStart"/>
            <w:r w:rsidRPr="007040D9">
              <w:rPr>
                <w:rFonts w:eastAsia="Arial Unicode MS"/>
                <w:color w:val="000000" w:themeColor="text1"/>
                <w:sz w:val="20"/>
                <w:szCs w:val="20"/>
                <w:shd w:val="clear" w:color="auto" w:fill="FFFFFF"/>
                <w:lang w:val="en-US"/>
              </w:rPr>
              <w:t>pentru</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emisiile</w:t>
            </w:r>
            <w:proofErr w:type="spellEnd"/>
            <w:r w:rsidRPr="007040D9">
              <w:rPr>
                <w:rFonts w:eastAsia="Arial Unicode MS"/>
                <w:color w:val="000000" w:themeColor="text1"/>
                <w:sz w:val="20"/>
                <w:szCs w:val="20"/>
                <w:shd w:val="clear" w:color="auto" w:fill="FFFFFF"/>
                <w:lang w:val="en-US"/>
              </w:rPr>
              <w:t xml:space="preserve"> din anul anterior nu </w:t>
            </w:r>
            <w:proofErr w:type="spellStart"/>
            <w:r w:rsidRPr="007040D9">
              <w:rPr>
                <w:rFonts w:eastAsia="Arial Unicode MS"/>
                <w:color w:val="000000" w:themeColor="text1"/>
                <w:sz w:val="20"/>
                <w:szCs w:val="20"/>
                <w:shd w:val="clear" w:color="auto" w:fill="FFFFFF"/>
                <w:lang w:val="en-US"/>
              </w:rPr>
              <w:t>mai</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poate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transfera</w:t>
            </w:r>
            <w:proofErr w:type="spellEnd"/>
            <w:r w:rsidRPr="007040D9">
              <w:rPr>
                <w:rFonts w:eastAsia="Arial Unicode MS"/>
                <w:color w:val="000000" w:themeColor="text1"/>
                <w:sz w:val="20"/>
                <w:szCs w:val="20"/>
                <w:shd w:val="clear" w:color="auto" w:fill="FFFFFF"/>
                <w:lang w:val="en-US"/>
              </w:rPr>
              <w:t xml:space="preserve"> cote </w:t>
            </w:r>
            <w:proofErr w:type="spellStart"/>
            <w:r w:rsidRPr="007040D9">
              <w:rPr>
                <w:rFonts w:eastAsia="Arial Unicode MS"/>
                <w:color w:val="000000" w:themeColor="text1"/>
                <w:sz w:val="20"/>
                <w:szCs w:val="20"/>
                <w:shd w:val="clear" w:color="auto" w:fill="FFFFFF"/>
                <w:lang w:val="en-US"/>
              </w:rPr>
              <w:t>decât</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după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ce</w:t>
            </w:r>
            <w:proofErr w:type="spellEnd"/>
            <w:r w:rsidRPr="007040D9">
              <w:rPr>
                <w:rFonts w:eastAsia="Arial Unicode MS"/>
                <w:color w:val="000000" w:themeColor="text1"/>
                <w:sz w:val="20"/>
                <w:szCs w:val="20"/>
                <w:shd w:val="clear" w:color="auto" w:fill="FFFFFF"/>
                <w:lang w:val="en-US"/>
              </w:rPr>
              <w:t xml:space="preserve"> un </w:t>
            </w:r>
            <w:proofErr w:type="spellStart"/>
            <w:r w:rsidRPr="007040D9">
              <w:rPr>
                <w:rFonts w:eastAsia="Arial Unicode MS"/>
                <w:color w:val="000000" w:themeColor="text1"/>
                <w:sz w:val="20"/>
                <w:szCs w:val="20"/>
                <w:shd w:val="clear" w:color="auto" w:fill="FFFFFF"/>
                <w:lang w:val="en-US"/>
              </w:rPr>
              <w:t>raport</w:t>
            </w:r>
            <w:proofErr w:type="spellEnd"/>
            <w:r w:rsidRPr="007040D9">
              <w:rPr>
                <w:rFonts w:eastAsia="Arial Unicode MS"/>
                <w:color w:val="000000" w:themeColor="text1"/>
                <w:sz w:val="20"/>
                <w:szCs w:val="20"/>
                <w:shd w:val="clear" w:color="auto" w:fill="FFFFFF"/>
                <w:lang w:val="en-US"/>
              </w:rPr>
              <w:t xml:space="preserve"> al </w:t>
            </w:r>
            <w:proofErr w:type="spellStart"/>
            <w:r w:rsidRPr="007040D9">
              <w:rPr>
                <w:rFonts w:eastAsia="Arial Unicode MS"/>
                <w:color w:val="000000" w:themeColor="text1"/>
                <w:sz w:val="20"/>
                <w:szCs w:val="20"/>
                <w:shd w:val="clear" w:color="auto" w:fill="FFFFFF"/>
                <w:lang w:val="en-US"/>
              </w:rPr>
              <w:t>operatorului</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sau</w:t>
            </w:r>
            <w:proofErr w:type="spellEnd"/>
            <w:r w:rsidRPr="007040D9">
              <w:rPr>
                <w:rFonts w:eastAsia="Arial Unicode MS"/>
                <w:color w:val="000000" w:themeColor="text1"/>
                <w:sz w:val="20"/>
                <w:szCs w:val="20"/>
                <w:shd w:val="clear" w:color="auto" w:fill="FFFFFF"/>
                <w:lang w:val="en-US"/>
              </w:rPr>
              <w:t xml:space="preserve"> al </w:t>
            </w:r>
            <w:proofErr w:type="spellStart"/>
            <w:r w:rsidRPr="007040D9">
              <w:rPr>
                <w:rFonts w:eastAsia="Arial Unicode MS"/>
                <w:color w:val="000000" w:themeColor="text1"/>
                <w:sz w:val="20"/>
                <w:szCs w:val="20"/>
                <w:shd w:val="clear" w:color="auto" w:fill="FFFFFF"/>
                <w:lang w:val="en-US"/>
              </w:rPr>
              <w:t>operatorului</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aeronave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cauză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este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declarat</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satisfăcător</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urma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verificării</w:t>
            </w:r>
            <w:proofErr w:type="spellEnd"/>
            <w:r w:rsidRPr="007040D9">
              <w:rPr>
                <w:rFonts w:eastAsia="Arial Unicode MS"/>
                <w:color w:val="000000" w:themeColor="text1"/>
                <w:sz w:val="20"/>
                <w:szCs w:val="20"/>
                <w:shd w:val="clear" w:color="auto" w:fill="FFFFFF"/>
                <w:lang w:val="en-US"/>
              </w:rPr>
              <w:t>.</w:t>
            </w:r>
          </w:p>
          <w:p w14:paraId="3422CAD8"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38" w:tooltip="32018L0410: REPLACED" w:history="1">
              <w:r w:rsidRPr="00E34C2B">
                <w:rPr>
                  <w:rStyle w:val="af3"/>
                  <w:rFonts w:eastAsia="Arial Unicode MS"/>
                  <w:b/>
                  <w:bCs/>
                  <w:color w:val="4472C4" w:themeColor="accent1"/>
                  <w:sz w:val="20"/>
                  <w:szCs w:val="20"/>
                  <w:lang w:val="en-US"/>
                </w:rPr>
                <w:t>▼M9</w:t>
              </w:r>
            </w:hyperlink>
          </w:p>
          <w:p w14:paraId="35CC89AD" w14:textId="77777777" w:rsidR="00124364" w:rsidRPr="007040D9" w:rsidRDefault="00000000" w:rsidP="007040D9">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7040D9">
              <w:rPr>
                <w:rFonts w:eastAsia="Arial Unicode MS"/>
                <w:color w:val="000000" w:themeColor="text1"/>
                <w:sz w:val="20"/>
                <w:szCs w:val="20"/>
                <w:shd w:val="clear" w:color="auto" w:fill="FFFFFF"/>
                <w:lang w:val="en-US"/>
              </w:rPr>
              <w:t>Comisia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adoptă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acte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punere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aplicare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privind</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verificarea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rapoartelor</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referitoare</w:t>
            </w:r>
            <w:proofErr w:type="spellEnd"/>
            <w:r w:rsidRPr="007040D9">
              <w:rPr>
                <w:rFonts w:eastAsia="Arial Unicode MS"/>
                <w:color w:val="000000" w:themeColor="text1"/>
                <w:sz w:val="20"/>
                <w:szCs w:val="20"/>
                <w:shd w:val="clear" w:color="auto" w:fill="FFFFFF"/>
                <w:lang w:val="en-US"/>
              </w:rPr>
              <w:t xml:space="preserve"> la </w:t>
            </w:r>
            <w:proofErr w:type="spellStart"/>
            <w:r w:rsidRPr="007040D9">
              <w:rPr>
                <w:rFonts w:eastAsia="Arial Unicode MS"/>
                <w:color w:val="000000" w:themeColor="text1"/>
                <w:sz w:val="20"/>
                <w:szCs w:val="20"/>
                <w:shd w:val="clear" w:color="auto" w:fill="FFFFFF"/>
                <w:lang w:val="en-US"/>
              </w:rPr>
              <w:t>emisii</w:t>
            </w:r>
            <w:proofErr w:type="spellEnd"/>
            <w:r w:rsidRPr="007040D9">
              <w:rPr>
                <w:rFonts w:eastAsia="Arial Unicode MS"/>
                <w:color w:val="000000" w:themeColor="text1"/>
                <w:sz w:val="20"/>
                <w:szCs w:val="20"/>
                <w:shd w:val="clear" w:color="auto" w:fill="FFFFFF"/>
                <w:lang w:val="en-US"/>
              </w:rPr>
              <w:t xml:space="preserve"> pe </w:t>
            </w:r>
            <w:proofErr w:type="spellStart"/>
            <w:r w:rsidRPr="007040D9">
              <w:rPr>
                <w:rFonts w:eastAsia="Arial Unicode MS"/>
                <w:color w:val="000000" w:themeColor="text1"/>
                <w:sz w:val="20"/>
                <w:szCs w:val="20"/>
                <w:shd w:val="clear" w:color="auto" w:fill="FFFFFF"/>
                <w:lang w:val="en-US"/>
              </w:rPr>
              <w:t>baza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principiilor</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menționate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anexa</w:t>
            </w:r>
            <w:proofErr w:type="spellEnd"/>
            <w:r w:rsidRPr="007040D9">
              <w:rPr>
                <w:rFonts w:eastAsia="Arial Unicode MS"/>
                <w:color w:val="000000" w:themeColor="text1"/>
                <w:sz w:val="20"/>
                <w:szCs w:val="20"/>
                <w:shd w:val="clear" w:color="auto" w:fill="FFFFFF"/>
                <w:lang w:val="en-US"/>
              </w:rPr>
              <w:t xml:space="preserve"> V și </w:t>
            </w:r>
            <w:proofErr w:type="spellStart"/>
            <w:r w:rsidRPr="007040D9">
              <w:rPr>
                <w:rFonts w:eastAsia="Arial Unicode MS"/>
                <w:color w:val="000000" w:themeColor="text1"/>
                <w:sz w:val="20"/>
                <w:szCs w:val="20"/>
                <w:shd w:val="clear" w:color="auto" w:fill="FFFFFF"/>
                <w:lang w:val="en-US"/>
              </w:rPr>
              <w:t>privind</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acreditarea</w:t>
            </w:r>
            <w:proofErr w:type="spellEnd"/>
            <w:r w:rsidRPr="007040D9">
              <w:rPr>
                <w:rFonts w:eastAsia="Arial Unicode MS"/>
                <w:color w:val="000000" w:themeColor="text1"/>
                <w:sz w:val="20"/>
                <w:szCs w:val="20"/>
                <w:shd w:val="clear" w:color="auto" w:fill="FFFFFF"/>
                <w:lang w:val="en-US"/>
              </w:rPr>
              <w:t xml:space="preserve"> și </w:t>
            </w:r>
            <w:proofErr w:type="spellStart"/>
            <w:r w:rsidRPr="007040D9">
              <w:rPr>
                <w:rFonts w:eastAsia="Arial Unicode MS"/>
                <w:color w:val="000000" w:themeColor="text1"/>
                <w:sz w:val="20"/>
                <w:szCs w:val="20"/>
                <w:shd w:val="clear" w:color="auto" w:fill="FFFFFF"/>
                <w:lang w:val="en-US"/>
              </w:rPr>
              <w:t>supravegherea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verificatorilor</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Comisia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poate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adopta</w:t>
            </w:r>
            <w:proofErr w:type="spellEnd"/>
            <w:r w:rsidRPr="007040D9">
              <w:rPr>
                <w:rFonts w:eastAsia="Arial Unicode MS"/>
                <w:color w:val="000000" w:themeColor="text1"/>
                <w:sz w:val="20"/>
                <w:szCs w:val="20"/>
                <w:shd w:val="clear" w:color="auto" w:fill="FFFFFF"/>
                <w:lang w:val="en-US"/>
              </w:rPr>
              <w:t xml:space="preserve"> și </w:t>
            </w:r>
            <w:proofErr w:type="spellStart"/>
            <w:r w:rsidRPr="007040D9">
              <w:rPr>
                <w:rFonts w:eastAsia="Arial Unicode MS"/>
                <w:color w:val="000000" w:themeColor="text1"/>
                <w:sz w:val="20"/>
                <w:szCs w:val="20"/>
                <w:shd w:val="clear" w:color="auto" w:fill="FFFFFF"/>
                <w:lang w:val="en-US"/>
              </w:rPr>
              <w:t>acte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punere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aplicare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privind</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verificarea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rapoartelor</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prezentate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operatorii</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aeronave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temeiul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articolului</w:t>
            </w:r>
            <w:proofErr w:type="spellEnd"/>
            <w:r w:rsidRPr="007040D9">
              <w:rPr>
                <w:rFonts w:eastAsia="Arial Unicode MS"/>
                <w:color w:val="000000" w:themeColor="text1"/>
                <w:sz w:val="20"/>
                <w:szCs w:val="20"/>
                <w:shd w:val="clear" w:color="auto" w:fill="FFFFFF"/>
                <w:lang w:val="en-US"/>
              </w:rPr>
              <w:t xml:space="preserve"> 14 </w:t>
            </w:r>
            <w:proofErr w:type="spellStart"/>
            <w:r w:rsidRPr="007040D9">
              <w:rPr>
                <w:rFonts w:eastAsia="Arial Unicode MS"/>
                <w:color w:val="000000" w:themeColor="text1"/>
                <w:sz w:val="20"/>
                <w:szCs w:val="20"/>
                <w:shd w:val="clear" w:color="auto" w:fill="FFFFFF"/>
                <w:lang w:val="en-US"/>
              </w:rPr>
              <w:t>alineatul</w:t>
            </w:r>
            <w:proofErr w:type="spellEnd"/>
            <w:r w:rsidRPr="007040D9">
              <w:rPr>
                <w:rFonts w:eastAsia="Arial Unicode MS"/>
                <w:color w:val="000000" w:themeColor="text1"/>
                <w:sz w:val="20"/>
                <w:szCs w:val="20"/>
                <w:shd w:val="clear" w:color="auto" w:fill="FFFFFF"/>
                <w:lang w:val="en-US"/>
              </w:rPr>
              <w:t xml:space="preserve"> (3) și a </w:t>
            </w:r>
            <w:proofErr w:type="spellStart"/>
            <w:r w:rsidRPr="007040D9">
              <w:rPr>
                <w:rFonts w:eastAsia="Arial Unicode MS"/>
                <w:color w:val="000000" w:themeColor="text1"/>
                <w:sz w:val="20"/>
                <w:szCs w:val="20"/>
                <w:shd w:val="clear" w:color="auto" w:fill="FFFFFF"/>
                <w:lang w:val="en-US"/>
              </w:rPr>
              <w:t>cererilor</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depuse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temeiul</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articolelor</w:t>
            </w:r>
            <w:proofErr w:type="spellEnd"/>
            <w:r w:rsidRPr="007040D9">
              <w:rPr>
                <w:rFonts w:eastAsia="Arial Unicode MS"/>
                <w:color w:val="000000" w:themeColor="text1"/>
                <w:sz w:val="20"/>
                <w:szCs w:val="20"/>
                <w:shd w:val="clear" w:color="auto" w:fill="FFFFFF"/>
                <w:lang w:val="en-US"/>
              </w:rPr>
              <w:t xml:space="preserve"> 3e și 3f, </w:t>
            </w:r>
            <w:proofErr w:type="spellStart"/>
            <w:r w:rsidRPr="007040D9">
              <w:rPr>
                <w:rFonts w:eastAsia="Arial Unicode MS"/>
                <w:color w:val="000000" w:themeColor="text1"/>
                <w:sz w:val="20"/>
                <w:szCs w:val="20"/>
                <w:shd w:val="clear" w:color="auto" w:fill="FFFFFF"/>
                <w:lang w:val="en-US"/>
              </w:rPr>
              <w:t>inclusiv</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privind</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procedurile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verificare</w:t>
            </w:r>
            <w:proofErr w:type="spellEnd"/>
            <w:r w:rsidRPr="007040D9">
              <w:rPr>
                <w:rFonts w:eastAsia="Arial Unicode MS"/>
                <w:color w:val="000000" w:themeColor="text1"/>
                <w:sz w:val="20"/>
                <w:szCs w:val="20"/>
                <w:shd w:val="clear" w:color="auto" w:fill="FFFFFF"/>
                <w:lang w:val="en-US"/>
              </w:rPr>
              <w:t xml:space="preserve"> care </w:t>
            </w:r>
            <w:proofErr w:type="spellStart"/>
            <w:r w:rsidRPr="007040D9">
              <w:rPr>
                <w:rFonts w:eastAsia="Arial Unicode MS"/>
                <w:color w:val="000000" w:themeColor="text1"/>
                <w:sz w:val="20"/>
                <w:szCs w:val="20"/>
                <w:shd w:val="clear" w:color="auto" w:fill="FFFFFF"/>
                <w:lang w:val="en-US"/>
              </w:rPr>
              <w:t>trebuie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să</w:t>
            </w:r>
            <w:proofErr w:type="spellEnd"/>
            <w:r w:rsidRPr="007040D9">
              <w:rPr>
                <w:rFonts w:eastAsia="Arial Unicode MS"/>
                <w:color w:val="000000" w:themeColor="text1"/>
                <w:sz w:val="20"/>
                <w:szCs w:val="20"/>
                <w:shd w:val="clear" w:color="auto" w:fill="FFFFFF"/>
                <w:lang w:val="en-US"/>
              </w:rPr>
              <w:t xml:space="preserve"> fie </w:t>
            </w:r>
            <w:proofErr w:type="spellStart"/>
            <w:r w:rsidRPr="007040D9">
              <w:rPr>
                <w:rFonts w:eastAsia="Arial Unicode MS"/>
                <w:color w:val="000000" w:themeColor="text1"/>
                <w:sz w:val="20"/>
                <w:szCs w:val="20"/>
                <w:shd w:val="clear" w:color="auto" w:fill="FFFFFF"/>
                <w:lang w:val="en-US"/>
              </w:rPr>
              <w:t>utilizate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verificatori</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Aceasta</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precizează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condițiile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acreditare</w:t>
            </w:r>
            <w:proofErr w:type="spellEnd"/>
            <w:r w:rsidRPr="007040D9">
              <w:rPr>
                <w:rFonts w:eastAsia="Arial Unicode MS"/>
                <w:color w:val="000000" w:themeColor="text1"/>
                <w:sz w:val="20"/>
                <w:szCs w:val="20"/>
                <w:shd w:val="clear" w:color="auto" w:fill="FFFFFF"/>
                <w:lang w:val="en-US"/>
              </w:rPr>
              <w:t xml:space="preserve"> și </w:t>
            </w:r>
            <w:proofErr w:type="spellStart"/>
            <w:r w:rsidRPr="007040D9">
              <w:rPr>
                <w:rFonts w:eastAsia="Arial Unicode MS"/>
                <w:color w:val="000000" w:themeColor="text1"/>
                <w:sz w:val="20"/>
                <w:szCs w:val="20"/>
                <w:shd w:val="clear" w:color="auto" w:fill="FFFFFF"/>
                <w:lang w:val="en-US"/>
              </w:rPr>
              <w:t>retragere</w:t>
            </w:r>
            <w:proofErr w:type="spellEnd"/>
            <w:r w:rsidRPr="007040D9">
              <w:rPr>
                <w:rFonts w:eastAsia="Arial Unicode MS"/>
                <w:color w:val="000000" w:themeColor="text1"/>
                <w:sz w:val="20"/>
                <w:szCs w:val="20"/>
                <w:shd w:val="clear" w:color="auto" w:fill="FFFFFF"/>
                <w:lang w:val="en-US"/>
              </w:rPr>
              <w:t xml:space="preserve"> </w:t>
            </w:r>
            <w:proofErr w:type="gramStart"/>
            <w:r w:rsidRPr="007040D9">
              <w:rPr>
                <w:rFonts w:eastAsia="Arial Unicode MS"/>
                <w:color w:val="000000" w:themeColor="text1"/>
                <w:sz w:val="20"/>
                <w:szCs w:val="20"/>
                <w:shd w:val="clear" w:color="auto" w:fill="FFFFFF"/>
                <w:lang w:val="en-US"/>
              </w:rPr>
              <w:t>a</w:t>
            </w:r>
            <w:proofErr w:type="gram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acreditărilor</w:t>
            </w:r>
            <w:proofErr w:type="spellEnd"/>
            <w:r w:rsidRPr="007040D9">
              <w:rPr>
                <w:rFonts w:eastAsia="Arial Unicode MS"/>
                <w:color w:val="000000" w:themeColor="text1"/>
                <w:sz w:val="20"/>
                <w:szCs w:val="20"/>
                <w:shd w:val="clear" w:color="auto" w:fill="FFFFFF"/>
                <w:lang w:val="en-US"/>
              </w:rPr>
              <w:t xml:space="preserve">, precum și de </w:t>
            </w:r>
            <w:proofErr w:type="spellStart"/>
            <w:r w:rsidRPr="007040D9">
              <w:rPr>
                <w:rFonts w:eastAsia="Arial Unicode MS"/>
                <w:color w:val="000000" w:themeColor="text1"/>
                <w:sz w:val="20"/>
                <w:szCs w:val="20"/>
                <w:shd w:val="clear" w:color="auto" w:fill="FFFFFF"/>
                <w:lang w:val="en-US"/>
              </w:rPr>
              <w:t>recunoaștere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reciprocă</w:t>
            </w:r>
            <w:proofErr w:type="spellEnd"/>
            <w:r w:rsidRPr="007040D9">
              <w:rPr>
                <w:rFonts w:eastAsia="Arial Unicode MS"/>
                <w:color w:val="000000" w:themeColor="text1"/>
                <w:sz w:val="20"/>
                <w:szCs w:val="20"/>
                <w:shd w:val="clear" w:color="auto" w:fill="FFFFFF"/>
                <w:lang w:val="en-US"/>
              </w:rPr>
              <w:t xml:space="preserve"> și </w:t>
            </w:r>
            <w:proofErr w:type="spellStart"/>
            <w:r w:rsidRPr="007040D9">
              <w:rPr>
                <w:rFonts w:eastAsia="Arial Unicode MS"/>
                <w:color w:val="000000" w:themeColor="text1"/>
                <w:sz w:val="20"/>
                <w:szCs w:val="20"/>
                <w:shd w:val="clear" w:color="auto" w:fill="FFFFFF"/>
                <w:lang w:val="en-US"/>
              </w:rPr>
              <w:t>evaluare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colegială</w:t>
            </w:r>
            <w:proofErr w:type="spellEnd"/>
            <w:r w:rsidRPr="007040D9">
              <w:rPr>
                <w:rFonts w:eastAsia="Arial Unicode MS"/>
                <w:color w:val="000000" w:themeColor="text1"/>
                <w:sz w:val="20"/>
                <w:szCs w:val="20"/>
                <w:shd w:val="clear" w:color="auto" w:fill="FFFFFF"/>
                <w:lang w:val="en-US"/>
              </w:rPr>
              <w:t xml:space="preserve"> a </w:t>
            </w:r>
            <w:proofErr w:type="spellStart"/>
            <w:r w:rsidRPr="007040D9">
              <w:rPr>
                <w:rFonts w:eastAsia="Arial Unicode MS"/>
                <w:color w:val="000000" w:themeColor="text1"/>
                <w:sz w:val="20"/>
                <w:szCs w:val="20"/>
                <w:shd w:val="clear" w:color="auto" w:fill="FFFFFF"/>
                <w:lang w:val="en-US"/>
              </w:rPr>
              <w:t>organismelor</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acreditare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după</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caz</w:t>
            </w:r>
            <w:proofErr w:type="spellEnd"/>
            <w:r w:rsidRPr="007040D9">
              <w:rPr>
                <w:rFonts w:eastAsia="Arial Unicode MS"/>
                <w:color w:val="000000" w:themeColor="text1"/>
                <w:sz w:val="20"/>
                <w:szCs w:val="20"/>
                <w:shd w:val="clear" w:color="auto" w:fill="FFFFFF"/>
                <w:lang w:val="en-US"/>
              </w:rPr>
              <w:t>.</w:t>
            </w:r>
          </w:p>
          <w:p w14:paraId="02CA7716" w14:textId="4793C72F" w:rsidR="00124364" w:rsidRPr="007040D9" w:rsidRDefault="00000000" w:rsidP="007040D9">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7040D9">
              <w:rPr>
                <w:rFonts w:eastAsia="Arial Unicode MS"/>
                <w:color w:val="000000" w:themeColor="text1"/>
                <w:sz w:val="20"/>
                <w:szCs w:val="20"/>
                <w:shd w:val="clear" w:color="auto" w:fill="FFFFFF"/>
                <w:lang w:val="en-US"/>
              </w:rPr>
              <w:t>Actele</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punere</w:t>
            </w:r>
            <w:proofErr w:type="spellEnd"/>
            <w:r w:rsidRPr="007040D9">
              <w:rPr>
                <w:rFonts w:eastAsia="Arial Unicode MS"/>
                <w:color w:val="000000" w:themeColor="text1"/>
                <w:sz w:val="20"/>
                <w:szCs w:val="20"/>
                <w:shd w:val="clear" w:color="auto" w:fill="FFFFFF"/>
                <w:lang w:val="en-US"/>
              </w:rPr>
              <w:t xml:space="preserve"> în </w:t>
            </w:r>
            <w:proofErr w:type="spellStart"/>
            <w:r w:rsidRPr="007040D9">
              <w:rPr>
                <w:rFonts w:eastAsia="Arial Unicode MS"/>
                <w:color w:val="000000" w:themeColor="text1"/>
                <w:sz w:val="20"/>
                <w:szCs w:val="20"/>
                <w:shd w:val="clear" w:color="auto" w:fill="FFFFFF"/>
                <w:lang w:val="en-US"/>
              </w:rPr>
              <w:t>aplicare</w:t>
            </w:r>
            <w:proofErr w:type="spellEnd"/>
            <w:r w:rsidRPr="007040D9">
              <w:rPr>
                <w:rFonts w:eastAsia="Arial Unicode MS"/>
                <w:color w:val="000000" w:themeColor="text1"/>
                <w:sz w:val="20"/>
                <w:szCs w:val="20"/>
                <w:shd w:val="clear" w:color="auto" w:fill="FFFFFF"/>
                <w:lang w:val="en-US"/>
              </w:rPr>
              <w:t xml:space="preserve"> respective se </w:t>
            </w:r>
            <w:proofErr w:type="spellStart"/>
            <w:r w:rsidRPr="007040D9">
              <w:rPr>
                <w:rFonts w:eastAsia="Arial Unicode MS"/>
                <w:color w:val="000000" w:themeColor="text1"/>
                <w:sz w:val="20"/>
                <w:szCs w:val="20"/>
                <w:shd w:val="clear" w:color="auto" w:fill="FFFFFF"/>
                <w:lang w:val="en-US"/>
              </w:rPr>
              <w:t>adoptă</w:t>
            </w:r>
            <w:proofErr w:type="spellEnd"/>
            <w:r w:rsidRPr="007040D9">
              <w:rPr>
                <w:rFonts w:eastAsia="Arial Unicode MS"/>
                <w:color w:val="000000" w:themeColor="text1"/>
                <w:sz w:val="20"/>
                <w:szCs w:val="20"/>
                <w:shd w:val="clear" w:color="auto" w:fill="FFFFFF"/>
                <w:lang w:val="en-US"/>
              </w:rPr>
              <w:t xml:space="preserve"> în conformitate cu </w:t>
            </w:r>
            <w:proofErr w:type="spellStart"/>
            <w:r w:rsidRPr="007040D9">
              <w:rPr>
                <w:rFonts w:eastAsia="Arial Unicode MS"/>
                <w:color w:val="000000" w:themeColor="text1"/>
                <w:sz w:val="20"/>
                <w:szCs w:val="20"/>
                <w:shd w:val="clear" w:color="auto" w:fill="FFFFFF"/>
                <w:lang w:val="en-US"/>
              </w:rPr>
              <w:t>procedura</w:t>
            </w:r>
            <w:proofErr w:type="spellEnd"/>
            <w:r w:rsidRPr="007040D9">
              <w:rPr>
                <w:rFonts w:eastAsia="Arial Unicode MS"/>
                <w:color w:val="000000" w:themeColor="text1"/>
                <w:sz w:val="20"/>
                <w:szCs w:val="20"/>
                <w:shd w:val="clear" w:color="auto" w:fill="FFFFFF"/>
                <w:lang w:val="en-US"/>
              </w:rPr>
              <w:t xml:space="preserve"> de </w:t>
            </w:r>
            <w:proofErr w:type="spellStart"/>
            <w:r w:rsidRPr="007040D9">
              <w:rPr>
                <w:rFonts w:eastAsia="Arial Unicode MS"/>
                <w:color w:val="000000" w:themeColor="text1"/>
                <w:sz w:val="20"/>
                <w:szCs w:val="20"/>
                <w:shd w:val="clear" w:color="auto" w:fill="FFFFFF"/>
                <w:lang w:val="en-US"/>
              </w:rPr>
              <w:t>examinare</w:t>
            </w:r>
            <w:proofErr w:type="spellEnd"/>
            <w:r w:rsidRPr="007040D9">
              <w:rPr>
                <w:rFonts w:eastAsia="Arial Unicode MS"/>
                <w:color w:val="000000" w:themeColor="text1"/>
                <w:sz w:val="20"/>
                <w:szCs w:val="20"/>
                <w:shd w:val="clear" w:color="auto" w:fill="FFFFFF"/>
                <w:lang w:val="en-US"/>
              </w:rPr>
              <w:t xml:space="preserve"> </w:t>
            </w:r>
            <w:proofErr w:type="spellStart"/>
            <w:r w:rsidRPr="007040D9">
              <w:rPr>
                <w:rFonts w:eastAsia="Arial Unicode MS"/>
                <w:color w:val="000000" w:themeColor="text1"/>
                <w:sz w:val="20"/>
                <w:szCs w:val="20"/>
                <w:shd w:val="clear" w:color="auto" w:fill="FFFFFF"/>
                <w:lang w:val="en-US"/>
              </w:rPr>
              <w:t>menționată</w:t>
            </w:r>
            <w:proofErr w:type="spellEnd"/>
            <w:r w:rsidRPr="007040D9">
              <w:rPr>
                <w:rFonts w:eastAsia="Arial Unicode MS"/>
                <w:color w:val="000000" w:themeColor="text1"/>
                <w:sz w:val="20"/>
                <w:szCs w:val="20"/>
                <w:shd w:val="clear" w:color="auto" w:fill="FFFFFF"/>
                <w:lang w:val="en-US"/>
              </w:rPr>
              <w:t xml:space="preserve"> la </w:t>
            </w:r>
            <w:proofErr w:type="spellStart"/>
            <w:r w:rsidRPr="007040D9">
              <w:rPr>
                <w:rFonts w:eastAsia="Arial Unicode MS"/>
                <w:color w:val="000000" w:themeColor="text1"/>
                <w:sz w:val="20"/>
                <w:szCs w:val="20"/>
                <w:shd w:val="clear" w:color="auto" w:fill="FFFFFF"/>
                <w:lang w:val="en-US"/>
              </w:rPr>
              <w:t>articolul</w:t>
            </w:r>
            <w:proofErr w:type="spellEnd"/>
            <w:r w:rsidR="007040D9">
              <w:rPr>
                <w:rFonts w:eastAsia="Arial Unicode MS"/>
                <w:color w:val="000000" w:themeColor="text1"/>
                <w:sz w:val="20"/>
                <w:szCs w:val="20"/>
                <w:shd w:val="clear" w:color="auto" w:fill="FFFFFF"/>
                <w:lang w:val="en-US"/>
              </w:rPr>
              <w:t xml:space="preserve"> </w:t>
            </w:r>
            <w:r w:rsidRPr="007040D9">
              <w:rPr>
                <w:rFonts w:eastAsia="Arial Unicode MS"/>
                <w:color w:val="000000" w:themeColor="text1"/>
                <w:sz w:val="20"/>
                <w:szCs w:val="20"/>
                <w:shd w:val="clear" w:color="auto" w:fill="FFFFFF"/>
                <w:lang w:val="en-US"/>
              </w:rPr>
              <w:t xml:space="preserve">22a </w:t>
            </w:r>
            <w:proofErr w:type="spellStart"/>
            <w:r w:rsidRPr="007040D9">
              <w:rPr>
                <w:rFonts w:eastAsia="Arial Unicode MS"/>
                <w:color w:val="000000" w:themeColor="text1"/>
                <w:sz w:val="20"/>
                <w:szCs w:val="20"/>
                <w:shd w:val="clear" w:color="auto" w:fill="FFFFFF"/>
                <w:lang w:val="en-US"/>
              </w:rPr>
              <w:t>alineatul</w:t>
            </w:r>
            <w:proofErr w:type="spellEnd"/>
            <w:r w:rsidR="007040D9">
              <w:rPr>
                <w:rFonts w:eastAsia="Arial Unicode MS"/>
                <w:color w:val="000000" w:themeColor="text1"/>
                <w:sz w:val="20"/>
                <w:szCs w:val="20"/>
                <w:shd w:val="clear" w:color="auto" w:fill="FFFFFF"/>
                <w:lang w:val="en-US"/>
              </w:rPr>
              <w:t xml:space="preserve"> </w:t>
            </w:r>
            <w:r w:rsidRPr="007040D9">
              <w:rPr>
                <w:rFonts w:eastAsia="Arial Unicode MS"/>
                <w:color w:val="000000" w:themeColor="text1"/>
                <w:sz w:val="20"/>
                <w:szCs w:val="20"/>
                <w:shd w:val="clear" w:color="auto" w:fill="FFFFFF"/>
                <w:lang w:val="en-US"/>
              </w:rPr>
              <w:t>(2).</w:t>
            </w:r>
          </w:p>
          <w:p w14:paraId="2C47342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39" w:tooltip="32009L0029: INSERTED" w:history="1">
              <w:r>
                <w:rPr>
                  <w:rStyle w:val="af3"/>
                  <w:rFonts w:eastAsia="Arial Unicode MS"/>
                  <w:b/>
                  <w:bCs/>
                  <w:color w:val="4472C4" w:themeColor="accent1"/>
                  <w:sz w:val="20"/>
                  <w:szCs w:val="20"/>
                </w:rPr>
                <w:t>▼M4</w:t>
              </w:r>
            </w:hyperlink>
          </w:p>
        </w:tc>
        <w:tc>
          <w:tcPr>
            <w:tcW w:w="4394" w:type="dxa"/>
            <w:shd w:val="clear" w:color="auto" w:fill="auto"/>
          </w:tcPr>
          <w:p w14:paraId="26BAEB0A" w14:textId="71015A5B" w:rsidR="008D7C12" w:rsidRDefault="008D7C12" w:rsidP="008D7C12">
            <w:pPr>
              <w:suppressAutoHyphens w:val="0"/>
              <w:autoSpaceDN/>
              <w:spacing w:after="0" w:line="240" w:lineRule="atLeast"/>
              <w:jc w:val="both"/>
              <w:textAlignment w:val="auto"/>
              <w:rPr>
                <w:rFonts w:ascii="Times New Roman" w:hAnsi="Times New Roman"/>
                <w:sz w:val="20"/>
                <w:szCs w:val="20"/>
                <w:shd w:val="clear" w:color="auto" w:fill="FFFFFF"/>
                <w:lang w:val="ro-MD"/>
              </w:rPr>
            </w:pPr>
            <w:proofErr w:type="spellStart"/>
            <w:r w:rsidRPr="008D7C12">
              <w:rPr>
                <w:rFonts w:ascii="Times New Roman" w:hAnsi="Times New Roman"/>
                <w:b/>
                <w:bCs/>
                <w:sz w:val="20"/>
                <w:szCs w:val="20"/>
                <w:shd w:val="clear" w:color="auto" w:fill="FFFFFF"/>
                <w:lang w:val="en-US"/>
              </w:rPr>
              <w:t>Articolul</w:t>
            </w:r>
            <w:proofErr w:type="spellEnd"/>
            <w:r w:rsidRPr="008D7C12">
              <w:rPr>
                <w:rFonts w:ascii="Times New Roman" w:hAnsi="Times New Roman"/>
                <w:b/>
                <w:bCs/>
                <w:sz w:val="20"/>
                <w:szCs w:val="20"/>
                <w:shd w:val="clear" w:color="auto" w:fill="FFFFFF"/>
                <w:lang w:val="en-US"/>
              </w:rPr>
              <w:t xml:space="preserve"> 53.</w:t>
            </w:r>
            <w:r>
              <w:rPr>
                <w:rFonts w:ascii="Times New Roman" w:hAnsi="Times New Roman"/>
                <w:b/>
                <w:bCs/>
                <w:sz w:val="20"/>
                <w:szCs w:val="20"/>
                <w:shd w:val="clear" w:color="auto" w:fill="FFFFFF"/>
                <w:lang w:val="en-US"/>
              </w:rPr>
              <w:t xml:space="preserve"> </w:t>
            </w:r>
            <w:proofErr w:type="spellStart"/>
            <w:r w:rsidRPr="008D7C12">
              <w:rPr>
                <w:rFonts w:ascii="Times New Roman" w:hAnsi="Times New Roman"/>
                <w:sz w:val="20"/>
                <w:szCs w:val="20"/>
                <w:shd w:val="clear" w:color="auto" w:fill="FFFFFF"/>
                <w:lang w:val="en-US"/>
              </w:rPr>
              <w:t>Verificare</w:t>
            </w:r>
            <w:proofErr w:type="spellEnd"/>
            <w:r w:rsidRPr="008D7C12">
              <w:rPr>
                <w:rFonts w:ascii="Times New Roman" w:hAnsi="Times New Roman"/>
                <w:sz w:val="20"/>
                <w:szCs w:val="20"/>
                <w:shd w:val="clear" w:color="auto" w:fill="FFFFFF"/>
                <w:lang w:val="en-US"/>
              </w:rPr>
              <w:t xml:space="preserve"> și </w:t>
            </w:r>
            <w:proofErr w:type="spellStart"/>
            <w:r w:rsidRPr="008D7C12">
              <w:rPr>
                <w:rFonts w:ascii="Times New Roman" w:hAnsi="Times New Roman"/>
                <w:sz w:val="20"/>
                <w:szCs w:val="20"/>
                <w:shd w:val="clear" w:color="auto" w:fill="FFFFFF"/>
                <w:lang w:val="en-US"/>
              </w:rPr>
              <w:t>acreditare</w:t>
            </w:r>
            <w:proofErr w:type="spellEnd"/>
          </w:p>
          <w:p w14:paraId="1E7FC448" w14:textId="6A7BD0D3" w:rsidR="008D7C12" w:rsidRPr="008D7C12" w:rsidRDefault="008D7C12" w:rsidP="008D7C12">
            <w:pPr>
              <w:pStyle w:val="af8"/>
              <w:numPr>
                <w:ilvl w:val="0"/>
                <w:numId w:val="249"/>
              </w:numPr>
              <w:suppressAutoHyphens w:val="0"/>
              <w:autoSpaceDN/>
              <w:spacing w:after="0" w:line="240" w:lineRule="atLeast"/>
              <w:ind w:left="0" w:firstLine="0"/>
              <w:jc w:val="both"/>
              <w:textAlignment w:val="auto"/>
              <w:rPr>
                <w:rFonts w:ascii="Times New Roman" w:hAnsi="Times New Roman"/>
                <w:bCs/>
                <w:sz w:val="20"/>
                <w:szCs w:val="20"/>
                <w:lang w:val="ro-MD" w:eastAsia="sl-SI"/>
              </w:rPr>
            </w:pPr>
            <w:r w:rsidRPr="008D7C12">
              <w:rPr>
                <w:rFonts w:ascii="Times New Roman" w:hAnsi="Times New Roman"/>
                <w:sz w:val="20"/>
                <w:szCs w:val="20"/>
                <w:shd w:val="clear" w:color="auto" w:fill="FFFFFF"/>
                <w:lang w:val="ro-MD"/>
              </w:rPr>
              <w:t>MOLDAC acreditează verificatorii în conformitate cu prevederile Legii nr.235/2011 privind activitățile de acreditare și de evaluare a conformității.</w:t>
            </w:r>
          </w:p>
          <w:p w14:paraId="2699CA5C" w14:textId="77777777" w:rsidR="008D7C12" w:rsidRPr="008D7C12" w:rsidRDefault="008D7C12" w:rsidP="008D7C12">
            <w:pPr>
              <w:pStyle w:val="af8"/>
              <w:numPr>
                <w:ilvl w:val="0"/>
                <w:numId w:val="249"/>
              </w:numPr>
              <w:suppressAutoHyphens w:val="0"/>
              <w:autoSpaceDN/>
              <w:spacing w:after="0" w:line="240" w:lineRule="atLeast"/>
              <w:ind w:left="0" w:firstLine="709"/>
              <w:jc w:val="both"/>
              <w:textAlignment w:val="auto"/>
              <w:rPr>
                <w:rFonts w:ascii="Times New Roman" w:hAnsi="Times New Roman"/>
                <w:sz w:val="20"/>
                <w:szCs w:val="20"/>
                <w:lang w:val="ro-MD"/>
              </w:rPr>
            </w:pPr>
            <w:r w:rsidRPr="008D7C12">
              <w:rPr>
                <w:rFonts w:ascii="Times New Roman" w:hAnsi="Times New Roman"/>
                <w:sz w:val="20"/>
                <w:szCs w:val="20"/>
                <w:lang w:val="ro-MD"/>
              </w:rPr>
              <w:t xml:space="preserve">Verificatorul acreditat verifică RAE prezentat de operatorul instalației staționare sau </w:t>
            </w:r>
            <w:r w:rsidRPr="008D7C12">
              <w:rPr>
                <w:rFonts w:ascii="Times New Roman" w:hAnsi="Times New Roman"/>
                <w:sz w:val="20"/>
                <w:szCs w:val="20"/>
                <w:shd w:val="clear" w:color="auto" w:fill="FFFFFF"/>
                <w:lang w:val="ro-MD"/>
              </w:rPr>
              <w:t xml:space="preserve">de aeronave în conformitate cu procedura de verificare prevăzută în </w:t>
            </w:r>
            <w:r w:rsidRPr="008D7C12">
              <w:rPr>
                <w:rFonts w:ascii="Times New Roman" w:hAnsi="Times New Roman"/>
                <w:sz w:val="20"/>
                <w:szCs w:val="20"/>
                <w:lang w:val="ro-MD"/>
              </w:rPr>
              <w:t>Regulamentul privind monitorizarea, raportarea și verificarea emisiilor de GES de la instalații staționare și activități din domeniul aviației, aprobat de Guvern.</w:t>
            </w:r>
          </w:p>
          <w:p w14:paraId="74F4FAD8" w14:textId="77777777" w:rsidR="008D7C12" w:rsidRPr="008D7C12" w:rsidRDefault="008D7C12" w:rsidP="008D7C12">
            <w:pPr>
              <w:pStyle w:val="af8"/>
              <w:numPr>
                <w:ilvl w:val="0"/>
                <w:numId w:val="249"/>
              </w:numPr>
              <w:suppressAutoHyphens w:val="0"/>
              <w:autoSpaceDN/>
              <w:spacing w:after="0" w:line="240" w:lineRule="atLeast"/>
              <w:ind w:left="0" w:firstLine="709"/>
              <w:jc w:val="both"/>
              <w:textAlignment w:val="auto"/>
              <w:rPr>
                <w:rFonts w:ascii="Times New Roman" w:hAnsi="Times New Roman"/>
                <w:sz w:val="20"/>
                <w:szCs w:val="20"/>
                <w:lang w:val="ro-MD"/>
              </w:rPr>
            </w:pPr>
            <w:r w:rsidRPr="008D7C12">
              <w:rPr>
                <w:rFonts w:ascii="Times New Roman" w:hAnsi="Times New Roman"/>
                <w:sz w:val="20"/>
                <w:szCs w:val="20"/>
                <w:lang w:val="ro-MD"/>
              </w:rPr>
              <w:t>Procedura de verificare RAE prezentat de</w:t>
            </w:r>
            <w:r w:rsidRPr="008D7C12">
              <w:rPr>
                <w:rFonts w:ascii="Times New Roman" w:hAnsi="Times New Roman"/>
                <w:bCs/>
                <w:sz w:val="20"/>
                <w:szCs w:val="20"/>
                <w:shd w:val="clear" w:color="auto" w:fill="FFFFFF"/>
                <w:lang w:val="ro-MD"/>
              </w:rPr>
              <w:t xml:space="preserve"> compania de transport maritim</w:t>
            </w:r>
            <w:r w:rsidRPr="008D7C12">
              <w:rPr>
                <w:rFonts w:ascii="Times New Roman" w:hAnsi="Times New Roman"/>
                <w:sz w:val="20"/>
                <w:szCs w:val="20"/>
                <w:lang w:val="ro-MD"/>
              </w:rPr>
              <w:t xml:space="preserve"> este prevăzută în Regulamentul privind monitorizarea, raportarea și verificarea emisiilor de dioxid de carbon generate de transportul maritim, aprobat de Guvern.</w:t>
            </w:r>
          </w:p>
          <w:p w14:paraId="75481EFC" w14:textId="77777777" w:rsidR="008D7C12" w:rsidRPr="008D7C12" w:rsidRDefault="008D7C12" w:rsidP="008D7C12">
            <w:pPr>
              <w:pStyle w:val="af8"/>
              <w:numPr>
                <w:ilvl w:val="0"/>
                <w:numId w:val="249"/>
              </w:numPr>
              <w:suppressAutoHyphens w:val="0"/>
              <w:autoSpaceDN/>
              <w:spacing w:after="0" w:line="240" w:lineRule="atLeast"/>
              <w:ind w:left="0" w:firstLine="709"/>
              <w:jc w:val="both"/>
              <w:textAlignment w:val="auto"/>
              <w:rPr>
                <w:rFonts w:ascii="Times New Roman" w:hAnsi="Times New Roman"/>
                <w:sz w:val="20"/>
                <w:szCs w:val="20"/>
                <w:lang w:val="ro-MD"/>
              </w:rPr>
            </w:pPr>
            <w:r w:rsidRPr="008D7C12">
              <w:rPr>
                <w:rFonts w:ascii="Times New Roman" w:hAnsi="Times New Roman"/>
                <w:sz w:val="20"/>
                <w:szCs w:val="20"/>
                <w:lang w:val="ro-MD"/>
              </w:rPr>
              <w:t xml:space="preserve">Verificatorii acreditați de un Centru Național de Acreditare în statele membre ale UE, care au trecut cu succes o evaluare organizată de </w:t>
            </w:r>
            <w:r w:rsidRPr="008D7C12">
              <w:rPr>
                <w:rFonts w:ascii="Times New Roman" w:hAnsi="Times New Roman"/>
                <w:bCs/>
                <w:sz w:val="20"/>
                <w:szCs w:val="20"/>
                <w:lang w:val="ro-MD" w:eastAsia="sl-SI"/>
              </w:rPr>
              <w:t xml:space="preserve">Cooperarea Europeană pentru Acreditare, </w:t>
            </w:r>
            <w:r w:rsidRPr="008D7C12">
              <w:rPr>
                <w:rFonts w:ascii="Times New Roman" w:hAnsi="Times New Roman"/>
                <w:sz w:val="20"/>
                <w:szCs w:val="20"/>
                <w:lang w:val="ro-MD"/>
              </w:rPr>
              <w:t xml:space="preserve">sunt recunoscuți să </w:t>
            </w:r>
            <w:r w:rsidRPr="008D7C12">
              <w:rPr>
                <w:rFonts w:ascii="Times New Roman" w:hAnsi="Times New Roman"/>
                <w:bCs/>
                <w:sz w:val="20"/>
                <w:szCs w:val="20"/>
                <w:lang w:val="ro-MD" w:eastAsia="sl-SI"/>
              </w:rPr>
              <w:t xml:space="preserve">oferă servicii de verificare la nivel național, conform </w:t>
            </w:r>
            <w:r w:rsidRPr="008D7C12">
              <w:rPr>
                <w:rFonts w:ascii="Times New Roman" w:hAnsi="Times New Roman"/>
                <w:sz w:val="20"/>
                <w:szCs w:val="20"/>
                <w:shd w:val="clear" w:color="auto" w:fill="FFFFFF"/>
                <w:lang w:val="ro-MD"/>
              </w:rPr>
              <w:t>procedurii de recunoaștere și echivalare prevăzute în Legea nr.235/2011 privind activitățile de acreditare și de evaluare a conformității.</w:t>
            </w:r>
          </w:p>
          <w:p w14:paraId="6AD9A6C0" w14:textId="77777777" w:rsidR="008D7C12" w:rsidRPr="008D7C12" w:rsidRDefault="008D7C12" w:rsidP="008D7C12">
            <w:pPr>
              <w:pStyle w:val="af8"/>
              <w:numPr>
                <w:ilvl w:val="0"/>
                <w:numId w:val="249"/>
              </w:numPr>
              <w:suppressAutoHyphens w:val="0"/>
              <w:autoSpaceDN/>
              <w:spacing w:after="0" w:line="240" w:lineRule="atLeast"/>
              <w:ind w:left="0" w:firstLine="709"/>
              <w:jc w:val="both"/>
              <w:textAlignment w:val="auto"/>
              <w:rPr>
                <w:rFonts w:ascii="Times New Roman" w:hAnsi="Times New Roman"/>
                <w:sz w:val="20"/>
                <w:szCs w:val="20"/>
                <w:lang w:val="ro-MD"/>
              </w:rPr>
            </w:pPr>
            <w:r w:rsidRPr="008D7C12">
              <w:rPr>
                <w:rFonts w:ascii="Times New Roman" w:hAnsi="Times New Roman"/>
                <w:sz w:val="20"/>
                <w:szCs w:val="20"/>
                <w:shd w:val="clear" w:color="auto" w:fill="FFFFFF"/>
                <w:lang w:val="ro-MD"/>
              </w:rPr>
              <w:t>MOLDAC, în comun acord cu Agenția de Mediu, stabilește cerințele aplicabile verificatorilor, procedura de verificare, criteriile de verificare, precum și conținutul raportului de verificare.</w:t>
            </w:r>
          </w:p>
          <w:p w14:paraId="3ADF01AC" w14:textId="77777777" w:rsidR="008D7C12" w:rsidRPr="008D7C12" w:rsidRDefault="008D7C12" w:rsidP="008D7C12">
            <w:pPr>
              <w:pStyle w:val="af8"/>
              <w:numPr>
                <w:ilvl w:val="0"/>
                <w:numId w:val="249"/>
              </w:numPr>
              <w:suppressAutoHyphens w:val="0"/>
              <w:autoSpaceDN/>
              <w:spacing w:after="0" w:line="240" w:lineRule="atLeast"/>
              <w:ind w:left="0" w:firstLine="709"/>
              <w:jc w:val="both"/>
              <w:textAlignment w:val="auto"/>
              <w:rPr>
                <w:rFonts w:ascii="Times New Roman" w:hAnsi="Times New Roman"/>
                <w:sz w:val="20"/>
                <w:szCs w:val="20"/>
                <w:lang w:val="ro-RO"/>
              </w:rPr>
            </w:pPr>
            <w:r w:rsidRPr="008D7C12">
              <w:rPr>
                <w:rFonts w:ascii="Times New Roman" w:eastAsia="Arial Unicode MS" w:hAnsi="Times New Roman"/>
                <w:sz w:val="20"/>
                <w:szCs w:val="20"/>
                <w:shd w:val="clear" w:color="auto" w:fill="FFFFFF"/>
                <w:lang w:val="ro-MD"/>
              </w:rPr>
              <w:t xml:space="preserve">Verificatorul acționează independent de operatorul instalației industriale, de aeronave sau de </w:t>
            </w:r>
            <w:r w:rsidRPr="008D7C12">
              <w:rPr>
                <w:rFonts w:ascii="Times New Roman" w:hAnsi="Times New Roman"/>
                <w:color w:val="000000"/>
                <w:sz w:val="20"/>
                <w:szCs w:val="20"/>
                <w:lang w:val="ro-MD"/>
              </w:rPr>
              <w:t>transport maritim</w:t>
            </w:r>
            <w:r w:rsidRPr="008D7C12">
              <w:rPr>
                <w:rFonts w:ascii="Times New Roman" w:eastAsia="Arial Unicode MS" w:hAnsi="Times New Roman"/>
                <w:sz w:val="20"/>
                <w:szCs w:val="20"/>
                <w:shd w:val="clear" w:color="auto" w:fill="FFFFFF"/>
                <w:lang w:val="ro-MD"/>
              </w:rPr>
              <w:t xml:space="preserve"> și este imparțial în executarea activităților de verificare conform cerințelor prevăzute în </w:t>
            </w:r>
            <w:r w:rsidRPr="008D7C12">
              <w:rPr>
                <w:rFonts w:ascii="Times New Roman" w:hAnsi="Times New Roman"/>
                <w:bCs/>
                <w:sz w:val="20"/>
                <w:szCs w:val="20"/>
                <w:shd w:val="clear" w:color="auto" w:fill="FFFFFF"/>
                <w:lang w:val="ro-MD"/>
              </w:rPr>
              <w:t>Regulamentul cu privire la acreditarea și cerințele pentru verificatorii emisiilor de GES, aprobat</w:t>
            </w:r>
            <w:r w:rsidRPr="008D7C12">
              <w:rPr>
                <w:rFonts w:ascii="Times New Roman" w:hAnsi="Times New Roman"/>
                <w:bCs/>
                <w:sz w:val="20"/>
                <w:szCs w:val="20"/>
                <w:shd w:val="clear" w:color="auto" w:fill="FFFFFF"/>
                <w:lang w:val="ro-RO"/>
              </w:rPr>
              <w:t xml:space="preserve"> de Guvern.</w:t>
            </w:r>
          </w:p>
          <w:p w14:paraId="42A96A22"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88F4736" w14:textId="6865104E" w:rsidR="00124364" w:rsidRDefault="007040D9" w:rsidP="007040D9">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Parțial compatibil</w:t>
            </w:r>
          </w:p>
        </w:tc>
        <w:tc>
          <w:tcPr>
            <w:tcW w:w="1275" w:type="dxa"/>
            <w:shd w:val="clear" w:color="auto" w:fill="auto"/>
          </w:tcPr>
          <w:p w14:paraId="4BABA42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2C65015" w14:textId="2769D2D8" w:rsidR="00124364" w:rsidRPr="003567EB" w:rsidRDefault="003567EB" w:rsidP="003567EB">
            <w:pPr>
              <w:pStyle w:val="Para"/>
              <w:tabs>
                <w:tab w:val="clear" w:pos="1361"/>
                <w:tab w:val="left" w:pos="1422"/>
              </w:tabs>
              <w:spacing w:before="60" w:after="0"/>
              <w:ind w:right="0"/>
              <w:rPr>
                <w:rFonts w:ascii="Times New Roman" w:eastAsia="Calibri" w:hAnsi="Times New Roman"/>
              </w:rPr>
            </w:pPr>
            <w:r w:rsidRPr="003567EB">
              <w:rPr>
                <w:rFonts w:ascii="Times New Roman" w:eastAsia="Times New Roman" w:hAnsi="Times New Roman"/>
                <w:color w:val="000000" w:themeColor="text1"/>
              </w:rPr>
              <w:t xml:space="preserve">Prevederile vor fi transpuse în </w:t>
            </w:r>
            <w:r w:rsidRPr="003567EB">
              <w:rPr>
                <w:rFonts w:ascii="Times New Roman" w:hAnsi="Times New Roman"/>
                <w:bCs/>
                <w:color w:val="000000" w:themeColor="text1"/>
                <w:shd w:val="clear" w:color="auto" w:fill="FFFFFF"/>
              </w:rPr>
              <w:t xml:space="preserve"> </w:t>
            </w:r>
            <w:r w:rsidRPr="003567EB">
              <w:rPr>
                <w:rFonts w:ascii="Times New Roman" w:hAnsi="Times New Roman"/>
                <w:bCs/>
                <w:color w:val="000000" w:themeColor="text1"/>
                <w:shd w:val="clear" w:color="auto" w:fill="FFFFFF"/>
              </w:rPr>
              <w:t>Regulamentul privind acreditarea și cerințele aplicabile verificatorilor emisiilor de gaze cu efect de sera</w:t>
            </w:r>
            <w:r w:rsidRPr="003567EB">
              <w:rPr>
                <w:rFonts w:ascii="Times New Roman" w:hAnsi="Times New Roman"/>
                <w:bCs/>
                <w:color w:val="000000" w:themeColor="text1"/>
                <w:shd w:val="clear" w:color="auto" w:fill="FFFFFF"/>
              </w:rPr>
              <w:t>, aprobat de Guvern.</w:t>
            </w:r>
          </w:p>
        </w:tc>
        <w:tc>
          <w:tcPr>
            <w:tcW w:w="1464" w:type="dxa"/>
            <w:shd w:val="clear" w:color="auto" w:fill="auto"/>
          </w:tcPr>
          <w:p w14:paraId="5CFAE129"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C3C7558" w14:textId="77777777" w:rsidR="00124364" w:rsidRDefault="00124364">
            <w:pPr>
              <w:autoSpaceDE w:val="0"/>
              <w:spacing w:after="0" w:line="240" w:lineRule="auto"/>
              <w:rPr>
                <w:rFonts w:ascii="Times New Roman" w:hAnsi="Times New Roman"/>
                <w:sz w:val="20"/>
                <w:szCs w:val="20"/>
                <w:lang w:val="fr-FR"/>
              </w:rPr>
            </w:pPr>
          </w:p>
          <w:p w14:paraId="5F2DBBFA" w14:textId="77777777" w:rsidR="007040D9" w:rsidRDefault="007040D9">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r>
              <w:rPr>
                <w:rFonts w:ascii="Times New Roman" w:hAnsi="Times New Roman"/>
                <w:sz w:val="20"/>
                <w:szCs w:val="20"/>
                <w:lang w:val="fr-FR"/>
              </w:rPr>
              <w:t xml:space="preserve"> </w:t>
            </w:r>
          </w:p>
          <w:p w14:paraId="4F5FAC4F" w14:textId="77777777" w:rsidR="007040D9" w:rsidRDefault="007040D9">
            <w:pPr>
              <w:autoSpaceDE w:val="0"/>
              <w:spacing w:after="0" w:line="240" w:lineRule="auto"/>
              <w:rPr>
                <w:rFonts w:ascii="Times New Roman" w:hAnsi="Times New Roman"/>
                <w:sz w:val="20"/>
                <w:szCs w:val="20"/>
                <w:lang w:val="fr-FR"/>
              </w:rPr>
            </w:pPr>
          </w:p>
          <w:p w14:paraId="1F9CD031" w14:textId="66FD47FB" w:rsidR="007040D9" w:rsidRDefault="007040D9">
            <w:pPr>
              <w:autoSpaceDE w:val="0"/>
              <w:spacing w:after="0" w:line="240" w:lineRule="auto"/>
              <w:rPr>
                <w:rFonts w:ascii="Times New Roman" w:hAnsi="Times New Roman"/>
                <w:sz w:val="20"/>
                <w:szCs w:val="20"/>
                <w:lang w:val="fr-FR"/>
              </w:rPr>
            </w:pPr>
            <w:r>
              <w:rPr>
                <w:rFonts w:ascii="Times New Roman" w:hAnsi="Times New Roman"/>
                <w:sz w:val="20"/>
                <w:szCs w:val="20"/>
                <w:lang w:val="fr-FR"/>
              </w:rPr>
              <w:t>MOLDAC</w:t>
            </w:r>
          </w:p>
        </w:tc>
      </w:tr>
      <w:tr w:rsidR="00124364" w14:paraId="3B21AFF2" w14:textId="77777777">
        <w:trPr>
          <w:trHeight w:val="558"/>
        </w:trPr>
        <w:tc>
          <w:tcPr>
            <w:tcW w:w="4957" w:type="dxa"/>
            <w:shd w:val="clear" w:color="auto" w:fill="auto"/>
          </w:tcPr>
          <w:p w14:paraId="34D8ABA3"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15a</w:t>
            </w:r>
          </w:p>
          <w:p w14:paraId="773D4DA0" w14:textId="77777777" w:rsidR="00124364" w:rsidRPr="00C20D01" w:rsidRDefault="00000000" w:rsidP="00C20D01">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C20D01">
              <w:rPr>
                <w:rFonts w:eastAsia="Arial Unicode MS"/>
                <w:b/>
                <w:bCs/>
                <w:color w:val="000000" w:themeColor="text1"/>
                <w:sz w:val="20"/>
                <w:szCs w:val="20"/>
                <w:shd w:val="clear" w:color="auto" w:fill="FFFFFF"/>
                <w:lang w:val="en-US"/>
              </w:rPr>
              <w:t>Dezvăluirea</w:t>
            </w:r>
            <w:proofErr w:type="spellEnd"/>
            <w:r w:rsidRPr="00C20D01">
              <w:rPr>
                <w:rFonts w:eastAsia="Arial Unicode MS"/>
                <w:b/>
                <w:bCs/>
                <w:color w:val="000000" w:themeColor="text1"/>
                <w:sz w:val="20"/>
                <w:szCs w:val="20"/>
                <w:shd w:val="clear" w:color="auto" w:fill="FFFFFF"/>
                <w:lang w:val="en-US"/>
              </w:rPr>
              <w:t xml:space="preserve"> </w:t>
            </w:r>
            <w:proofErr w:type="spellStart"/>
            <w:r w:rsidRPr="00C20D01">
              <w:rPr>
                <w:rFonts w:eastAsia="Arial Unicode MS"/>
                <w:b/>
                <w:bCs/>
                <w:color w:val="000000" w:themeColor="text1"/>
                <w:sz w:val="20"/>
                <w:szCs w:val="20"/>
                <w:shd w:val="clear" w:color="auto" w:fill="FFFFFF"/>
                <w:lang w:val="en-US"/>
              </w:rPr>
              <w:t>informațiilor</w:t>
            </w:r>
            <w:proofErr w:type="spellEnd"/>
            <w:r w:rsidRPr="00C20D01">
              <w:rPr>
                <w:rFonts w:eastAsia="Arial Unicode MS"/>
                <w:b/>
                <w:bCs/>
                <w:color w:val="000000" w:themeColor="text1"/>
                <w:sz w:val="20"/>
                <w:szCs w:val="20"/>
                <w:shd w:val="clear" w:color="auto" w:fill="FFFFFF"/>
                <w:lang w:val="en-US"/>
              </w:rPr>
              <w:t xml:space="preserve"> și </w:t>
            </w:r>
            <w:proofErr w:type="spellStart"/>
            <w:r w:rsidRPr="00C20D01">
              <w:rPr>
                <w:rFonts w:eastAsia="Arial Unicode MS"/>
                <w:b/>
                <w:bCs/>
                <w:color w:val="000000" w:themeColor="text1"/>
                <w:sz w:val="20"/>
                <w:szCs w:val="20"/>
                <w:shd w:val="clear" w:color="auto" w:fill="FFFFFF"/>
                <w:lang w:val="en-US"/>
              </w:rPr>
              <w:t>secretul</w:t>
            </w:r>
            <w:proofErr w:type="spellEnd"/>
            <w:r w:rsidRPr="00C20D01">
              <w:rPr>
                <w:rFonts w:eastAsia="Arial Unicode MS"/>
                <w:b/>
                <w:bCs/>
                <w:color w:val="000000" w:themeColor="text1"/>
                <w:sz w:val="20"/>
                <w:szCs w:val="20"/>
                <w:shd w:val="clear" w:color="auto" w:fill="FFFFFF"/>
                <w:lang w:val="en-US"/>
              </w:rPr>
              <w:t xml:space="preserve"> professional</w:t>
            </w:r>
          </w:p>
          <w:p w14:paraId="05D7E2EC" w14:textId="77777777" w:rsidR="00124364" w:rsidRPr="00C20D01" w:rsidRDefault="00000000" w:rsidP="00C20D0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20D01">
              <w:rPr>
                <w:rFonts w:eastAsia="Arial Unicode MS"/>
                <w:color w:val="000000" w:themeColor="text1"/>
                <w:sz w:val="20"/>
                <w:szCs w:val="20"/>
                <w:shd w:val="clear" w:color="auto" w:fill="FFFFFF"/>
                <w:lang w:val="en-US"/>
              </w:rPr>
              <w:t>Statele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membre</w:t>
            </w:r>
            <w:proofErr w:type="spellEnd"/>
            <w:r w:rsidRPr="00C20D01">
              <w:rPr>
                <w:rFonts w:eastAsia="Arial Unicode MS"/>
                <w:color w:val="000000" w:themeColor="text1"/>
                <w:sz w:val="20"/>
                <w:szCs w:val="20"/>
                <w:shd w:val="clear" w:color="auto" w:fill="FFFFFF"/>
                <w:lang w:val="en-US"/>
              </w:rPr>
              <w:t xml:space="preserve"> și </w:t>
            </w:r>
            <w:proofErr w:type="spellStart"/>
            <w:r w:rsidRPr="00C20D01">
              <w:rPr>
                <w:rFonts w:eastAsia="Arial Unicode MS"/>
                <w:color w:val="000000" w:themeColor="text1"/>
                <w:sz w:val="20"/>
                <w:szCs w:val="20"/>
                <w:shd w:val="clear" w:color="auto" w:fill="FFFFFF"/>
                <w:lang w:val="en-US"/>
              </w:rPr>
              <w:t>Comisia</w:t>
            </w:r>
            <w:proofErr w:type="spellEnd"/>
            <w:r w:rsidRPr="00C20D01">
              <w:rPr>
                <w:rFonts w:eastAsia="Arial Unicode MS"/>
                <w:color w:val="000000" w:themeColor="text1"/>
                <w:sz w:val="20"/>
                <w:szCs w:val="20"/>
                <w:shd w:val="clear" w:color="auto" w:fill="FFFFFF"/>
                <w:lang w:val="en-US"/>
              </w:rPr>
              <w:t xml:space="preserve"> se </w:t>
            </w:r>
            <w:proofErr w:type="spellStart"/>
            <w:r w:rsidRPr="00C20D01">
              <w:rPr>
                <w:rFonts w:eastAsia="Arial Unicode MS"/>
                <w:color w:val="000000" w:themeColor="text1"/>
                <w:sz w:val="20"/>
                <w:szCs w:val="20"/>
                <w:shd w:val="clear" w:color="auto" w:fill="FFFFFF"/>
                <w:lang w:val="en-US"/>
              </w:rPr>
              <w:t>asigură</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că</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toate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deciziile</w:t>
            </w:r>
            <w:proofErr w:type="spellEnd"/>
            <w:r w:rsidRPr="00C20D01">
              <w:rPr>
                <w:rFonts w:eastAsia="Arial Unicode MS"/>
                <w:color w:val="000000" w:themeColor="text1"/>
                <w:sz w:val="20"/>
                <w:szCs w:val="20"/>
                <w:shd w:val="clear" w:color="auto" w:fill="FFFFFF"/>
                <w:lang w:val="en-US"/>
              </w:rPr>
              <w:t xml:space="preserve"> și </w:t>
            </w:r>
            <w:proofErr w:type="spellStart"/>
            <w:r w:rsidRPr="00C20D01">
              <w:rPr>
                <w:rFonts w:eastAsia="Arial Unicode MS"/>
                <w:color w:val="000000" w:themeColor="text1"/>
                <w:sz w:val="20"/>
                <w:szCs w:val="20"/>
                <w:shd w:val="clear" w:color="auto" w:fill="FFFFFF"/>
                <w:lang w:val="en-US"/>
              </w:rPr>
              <w:t>rapoartele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referitoare</w:t>
            </w:r>
            <w:proofErr w:type="spellEnd"/>
            <w:r w:rsidRPr="00C20D01">
              <w:rPr>
                <w:rFonts w:eastAsia="Arial Unicode MS"/>
                <w:color w:val="000000" w:themeColor="text1"/>
                <w:sz w:val="20"/>
                <w:szCs w:val="20"/>
                <w:shd w:val="clear" w:color="auto" w:fill="FFFFFF"/>
                <w:lang w:val="en-US"/>
              </w:rPr>
              <w:t xml:space="preserve"> la </w:t>
            </w:r>
            <w:proofErr w:type="spellStart"/>
            <w:r w:rsidRPr="00C20D01">
              <w:rPr>
                <w:rFonts w:eastAsia="Arial Unicode MS"/>
                <w:color w:val="000000" w:themeColor="text1"/>
                <w:sz w:val="20"/>
                <w:szCs w:val="20"/>
                <w:shd w:val="clear" w:color="auto" w:fill="FFFFFF"/>
                <w:lang w:val="en-US"/>
              </w:rPr>
              <w:t>cantitatea</w:t>
            </w:r>
            <w:proofErr w:type="spellEnd"/>
            <w:r w:rsidRPr="00C20D01">
              <w:rPr>
                <w:rFonts w:eastAsia="Arial Unicode MS"/>
                <w:color w:val="000000" w:themeColor="text1"/>
                <w:sz w:val="20"/>
                <w:szCs w:val="20"/>
                <w:shd w:val="clear" w:color="auto" w:fill="FFFFFF"/>
                <w:lang w:val="en-US"/>
              </w:rPr>
              <w:t xml:space="preserve"> și </w:t>
            </w:r>
            <w:proofErr w:type="spellStart"/>
            <w:r w:rsidRPr="00C20D01">
              <w:rPr>
                <w:rFonts w:eastAsia="Arial Unicode MS"/>
                <w:color w:val="000000" w:themeColor="text1"/>
                <w:sz w:val="20"/>
                <w:szCs w:val="20"/>
                <w:shd w:val="clear" w:color="auto" w:fill="FFFFFF"/>
                <w:lang w:val="en-US"/>
              </w:rPr>
              <w:t>alocarea</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cotelor</w:t>
            </w:r>
            <w:proofErr w:type="spellEnd"/>
            <w:r w:rsidRPr="00C20D01">
              <w:rPr>
                <w:rFonts w:eastAsia="Arial Unicode MS"/>
                <w:color w:val="000000" w:themeColor="text1"/>
                <w:sz w:val="20"/>
                <w:szCs w:val="20"/>
                <w:shd w:val="clear" w:color="auto" w:fill="FFFFFF"/>
                <w:lang w:val="en-US"/>
              </w:rPr>
              <w:t xml:space="preserve"> și la </w:t>
            </w:r>
            <w:proofErr w:type="spellStart"/>
            <w:r w:rsidRPr="00C20D01">
              <w:rPr>
                <w:rFonts w:eastAsia="Arial Unicode MS"/>
                <w:color w:val="000000" w:themeColor="text1"/>
                <w:sz w:val="20"/>
                <w:szCs w:val="20"/>
                <w:shd w:val="clear" w:color="auto" w:fill="FFFFFF"/>
                <w:lang w:val="en-US"/>
              </w:rPr>
              <w:t>monitorizarea</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raportarea</w:t>
            </w:r>
            <w:proofErr w:type="spellEnd"/>
            <w:r w:rsidRPr="00C20D01">
              <w:rPr>
                <w:rFonts w:eastAsia="Arial Unicode MS"/>
                <w:color w:val="000000" w:themeColor="text1"/>
                <w:sz w:val="20"/>
                <w:szCs w:val="20"/>
                <w:shd w:val="clear" w:color="auto" w:fill="FFFFFF"/>
                <w:lang w:val="en-US"/>
              </w:rPr>
              <w:t xml:space="preserve"> și </w:t>
            </w:r>
            <w:proofErr w:type="spellStart"/>
            <w:r w:rsidRPr="00C20D01">
              <w:rPr>
                <w:rFonts w:eastAsia="Arial Unicode MS"/>
                <w:color w:val="000000" w:themeColor="text1"/>
                <w:sz w:val="20"/>
                <w:szCs w:val="20"/>
                <w:shd w:val="clear" w:color="auto" w:fill="FFFFFF"/>
                <w:lang w:val="en-US"/>
              </w:rPr>
              <w:t>verificarea</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emisiilor</w:t>
            </w:r>
            <w:proofErr w:type="spellEnd"/>
            <w:r w:rsidRPr="00C20D01">
              <w:rPr>
                <w:rFonts w:eastAsia="Arial Unicode MS"/>
                <w:color w:val="000000" w:themeColor="text1"/>
                <w:sz w:val="20"/>
                <w:szCs w:val="20"/>
                <w:shd w:val="clear" w:color="auto" w:fill="FFFFFF"/>
                <w:lang w:val="en-US"/>
              </w:rPr>
              <w:t xml:space="preserve"> sunt </w:t>
            </w:r>
            <w:proofErr w:type="spellStart"/>
            <w:r w:rsidRPr="00C20D01">
              <w:rPr>
                <w:rFonts w:eastAsia="Arial Unicode MS"/>
                <w:color w:val="000000" w:themeColor="text1"/>
                <w:sz w:val="20"/>
                <w:szCs w:val="20"/>
                <w:shd w:val="clear" w:color="auto" w:fill="FFFFFF"/>
                <w:lang w:val="en-US"/>
              </w:rPr>
              <w:t>dezvăluite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imediat</w:t>
            </w:r>
            <w:proofErr w:type="spellEnd"/>
            <w:r w:rsidRPr="00C20D01">
              <w:rPr>
                <w:rFonts w:eastAsia="Arial Unicode MS"/>
                <w:color w:val="000000" w:themeColor="text1"/>
                <w:sz w:val="20"/>
                <w:szCs w:val="20"/>
                <w:shd w:val="clear" w:color="auto" w:fill="FFFFFF"/>
                <w:lang w:val="en-US"/>
              </w:rPr>
              <w:t xml:space="preserve">, în mod </w:t>
            </w:r>
            <w:proofErr w:type="spellStart"/>
            <w:r w:rsidRPr="00C20D01">
              <w:rPr>
                <w:rFonts w:eastAsia="Arial Unicode MS"/>
                <w:color w:val="000000" w:themeColor="text1"/>
                <w:sz w:val="20"/>
                <w:szCs w:val="20"/>
                <w:shd w:val="clear" w:color="auto" w:fill="FFFFFF"/>
                <w:lang w:val="en-US"/>
              </w:rPr>
              <w:t>organizat</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astfel</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încât</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să</w:t>
            </w:r>
            <w:proofErr w:type="spellEnd"/>
            <w:r w:rsidRPr="00C20D01">
              <w:rPr>
                <w:rFonts w:eastAsia="Arial Unicode MS"/>
                <w:color w:val="000000" w:themeColor="text1"/>
                <w:sz w:val="20"/>
                <w:szCs w:val="20"/>
                <w:shd w:val="clear" w:color="auto" w:fill="FFFFFF"/>
                <w:lang w:val="en-US"/>
              </w:rPr>
              <w:t xml:space="preserve"> se </w:t>
            </w:r>
            <w:proofErr w:type="spellStart"/>
            <w:r w:rsidRPr="00C20D01">
              <w:rPr>
                <w:rFonts w:eastAsia="Arial Unicode MS"/>
                <w:color w:val="000000" w:themeColor="text1"/>
                <w:sz w:val="20"/>
                <w:szCs w:val="20"/>
                <w:shd w:val="clear" w:color="auto" w:fill="FFFFFF"/>
                <w:lang w:val="en-US"/>
              </w:rPr>
              <w:t>garanteze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accesul</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nediscriminatoriu</w:t>
            </w:r>
            <w:proofErr w:type="spellEnd"/>
            <w:r w:rsidRPr="00C20D01">
              <w:rPr>
                <w:rFonts w:eastAsia="Arial Unicode MS"/>
                <w:color w:val="000000" w:themeColor="text1"/>
                <w:sz w:val="20"/>
                <w:szCs w:val="20"/>
                <w:shd w:val="clear" w:color="auto" w:fill="FFFFFF"/>
                <w:lang w:val="en-US"/>
              </w:rPr>
              <w:t xml:space="preserve"> la </w:t>
            </w:r>
            <w:proofErr w:type="spellStart"/>
            <w:r w:rsidRPr="00C20D01">
              <w:rPr>
                <w:rFonts w:eastAsia="Arial Unicode MS"/>
                <w:color w:val="000000" w:themeColor="text1"/>
                <w:sz w:val="20"/>
                <w:szCs w:val="20"/>
                <w:shd w:val="clear" w:color="auto" w:fill="FFFFFF"/>
                <w:lang w:val="en-US"/>
              </w:rPr>
              <w:t>aceste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informații</w:t>
            </w:r>
            <w:proofErr w:type="spellEnd"/>
            <w:r w:rsidRPr="00C20D01">
              <w:rPr>
                <w:rFonts w:eastAsia="Arial Unicode MS"/>
                <w:color w:val="000000" w:themeColor="text1"/>
                <w:sz w:val="20"/>
                <w:szCs w:val="20"/>
                <w:shd w:val="clear" w:color="auto" w:fill="FFFFFF"/>
                <w:lang w:val="en-US"/>
              </w:rPr>
              <w:t>.</w:t>
            </w:r>
          </w:p>
          <w:p w14:paraId="46292B83" w14:textId="77777777" w:rsidR="00124364" w:rsidRPr="00C20D01" w:rsidRDefault="00000000" w:rsidP="00C20D0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C20D01">
              <w:rPr>
                <w:rFonts w:eastAsia="Arial Unicode MS"/>
                <w:color w:val="000000" w:themeColor="text1"/>
                <w:sz w:val="20"/>
                <w:szCs w:val="20"/>
                <w:shd w:val="clear" w:color="auto" w:fill="FFFFFF"/>
                <w:lang w:val="en-US"/>
              </w:rPr>
              <w:t>Informațiile</w:t>
            </w:r>
            <w:proofErr w:type="spellEnd"/>
            <w:r w:rsidRPr="00C20D01">
              <w:rPr>
                <w:rFonts w:eastAsia="Arial Unicode MS"/>
                <w:color w:val="000000" w:themeColor="text1"/>
                <w:sz w:val="20"/>
                <w:szCs w:val="20"/>
                <w:shd w:val="clear" w:color="auto" w:fill="FFFFFF"/>
                <w:lang w:val="en-US"/>
              </w:rPr>
              <w:t xml:space="preserve"> care fac </w:t>
            </w:r>
            <w:proofErr w:type="spellStart"/>
            <w:r w:rsidRPr="00C20D01">
              <w:rPr>
                <w:rFonts w:eastAsia="Arial Unicode MS"/>
                <w:color w:val="000000" w:themeColor="text1"/>
                <w:sz w:val="20"/>
                <w:szCs w:val="20"/>
                <w:shd w:val="clear" w:color="auto" w:fill="FFFFFF"/>
                <w:lang w:val="en-US"/>
              </w:rPr>
              <w:t>obiectul</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secretului</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profesional</w:t>
            </w:r>
            <w:proofErr w:type="spellEnd"/>
            <w:r w:rsidRPr="00C20D01">
              <w:rPr>
                <w:rFonts w:eastAsia="Arial Unicode MS"/>
                <w:color w:val="000000" w:themeColor="text1"/>
                <w:sz w:val="20"/>
                <w:szCs w:val="20"/>
                <w:shd w:val="clear" w:color="auto" w:fill="FFFFFF"/>
                <w:lang w:val="en-US"/>
              </w:rPr>
              <w:t xml:space="preserve"> nu pot fi </w:t>
            </w:r>
            <w:proofErr w:type="spellStart"/>
            <w:r w:rsidRPr="00C20D01">
              <w:rPr>
                <w:rFonts w:eastAsia="Arial Unicode MS"/>
                <w:color w:val="000000" w:themeColor="text1"/>
                <w:sz w:val="20"/>
                <w:szCs w:val="20"/>
                <w:shd w:val="clear" w:color="auto" w:fill="FFFFFF"/>
                <w:lang w:val="en-US"/>
              </w:rPr>
              <w:t>dezvăluite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niciunei</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alte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persoane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sau</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autorități</w:t>
            </w:r>
            <w:proofErr w:type="spellEnd"/>
            <w:r w:rsidRPr="00C20D01">
              <w:rPr>
                <w:rFonts w:eastAsia="Arial Unicode MS"/>
                <w:color w:val="000000" w:themeColor="text1"/>
                <w:sz w:val="20"/>
                <w:szCs w:val="20"/>
                <w:shd w:val="clear" w:color="auto" w:fill="FFFFFF"/>
                <w:lang w:val="en-US"/>
              </w:rPr>
              <w:t xml:space="preserve">, cu </w:t>
            </w:r>
            <w:proofErr w:type="spellStart"/>
            <w:r w:rsidRPr="00C20D01">
              <w:rPr>
                <w:rFonts w:eastAsia="Arial Unicode MS"/>
                <w:color w:val="000000" w:themeColor="text1"/>
                <w:sz w:val="20"/>
                <w:szCs w:val="20"/>
                <w:shd w:val="clear" w:color="auto" w:fill="FFFFFF"/>
                <w:lang w:val="en-US"/>
              </w:rPr>
              <w:t>excepția</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cazului</w:t>
            </w:r>
            <w:proofErr w:type="spellEnd"/>
            <w:r w:rsidRPr="00C20D01">
              <w:rPr>
                <w:rFonts w:eastAsia="Arial Unicode MS"/>
                <w:color w:val="000000" w:themeColor="text1"/>
                <w:sz w:val="20"/>
                <w:szCs w:val="20"/>
                <w:shd w:val="clear" w:color="auto" w:fill="FFFFFF"/>
                <w:lang w:val="en-US"/>
              </w:rPr>
              <w:t xml:space="preserve"> în care </w:t>
            </w:r>
            <w:proofErr w:type="spellStart"/>
            <w:r w:rsidRPr="00C20D01">
              <w:rPr>
                <w:rFonts w:eastAsia="Arial Unicode MS"/>
                <w:color w:val="000000" w:themeColor="text1"/>
                <w:sz w:val="20"/>
                <w:szCs w:val="20"/>
                <w:shd w:val="clear" w:color="auto" w:fill="FFFFFF"/>
                <w:lang w:val="en-US"/>
              </w:rPr>
              <w:t>acest</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lucru</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este</w:t>
            </w:r>
            <w:proofErr w:type="spellEnd"/>
            <w:r w:rsidRPr="00C20D01">
              <w:rPr>
                <w:rFonts w:eastAsia="Arial Unicode MS"/>
                <w:color w:val="000000" w:themeColor="text1"/>
                <w:sz w:val="20"/>
                <w:szCs w:val="20"/>
                <w:shd w:val="clear" w:color="auto" w:fill="FFFFFF"/>
                <w:lang w:val="en-US"/>
              </w:rPr>
              <w:t xml:space="preserve"> </w:t>
            </w:r>
            <w:proofErr w:type="spellStart"/>
            <w:r w:rsidRPr="00C20D01">
              <w:rPr>
                <w:rFonts w:eastAsia="Arial Unicode MS"/>
                <w:color w:val="000000" w:themeColor="text1"/>
                <w:sz w:val="20"/>
                <w:szCs w:val="20"/>
                <w:shd w:val="clear" w:color="auto" w:fill="FFFFFF"/>
                <w:lang w:val="en-US"/>
              </w:rPr>
              <w:t>prevăzut</w:t>
            </w:r>
            <w:proofErr w:type="spellEnd"/>
            <w:r w:rsidRPr="00C20D01">
              <w:rPr>
                <w:rFonts w:eastAsia="Arial Unicode MS"/>
                <w:color w:val="000000" w:themeColor="text1"/>
                <w:sz w:val="20"/>
                <w:szCs w:val="20"/>
                <w:shd w:val="clear" w:color="auto" w:fill="FFFFFF"/>
                <w:lang w:val="en-US"/>
              </w:rPr>
              <w:t xml:space="preserve"> de </w:t>
            </w:r>
            <w:proofErr w:type="spellStart"/>
            <w:r w:rsidRPr="00C20D01">
              <w:rPr>
                <w:rFonts w:eastAsia="Arial Unicode MS"/>
                <w:color w:val="000000" w:themeColor="text1"/>
                <w:sz w:val="20"/>
                <w:szCs w:val="20"/>
                <w:shd w:val="clear" w:color="auto" w:fill="FFFFFF"/>
                <w:lang w:val="en-US"/>
              </w:rPr>
              <w:t>actele</w:t>
            </w:r>
            <w:proofErr w:type="spellEnd"/>
            <w:r w:rsidRPr="00C20D01">
              <w:rPr>
                <w:rFonts w:eastAsia="Arial Unicode MS"/>
                <w:color w:val="000000" w:themeColor="text1"/>
                <w:sz w:val="20"/>
                <w:szCs w:val="20"/>
                <w:shd w:val="clear" w:color="auto" w:fill="FFFFFF"/>
                <w:lang w:val="en-US"/>
              </w:rPr>
              <w:t xml:space="preserve"> cu </w:t>
            </w:r>
            <w:proofErr w:type="spellStart"/>
            <w:r w:rsidRPr="00C20D01">
              <w:rPr>
                <w:rFonts w:eastAsia="Arial Unicode MS"/>
                <w:color w:val="000000" w:themeColor="text1"/>
                <w:sz w:val="20"/>
                <w:szCs w:val="20"/>
                <w:shd w:val="clear" w:color="auto" w:fill="FFFFFF"/>
                <w:lang w:val="en-US"/>
              </w:rPr>
              <w:t>putere</w:t>
            </w:r>
            <w:proofErr w:type="spellEnd"/>
            <w:r w:rsidRPr="00C20D01">
              <w:rPr>
                <w:rFonts w:eastAsia="Arial Unicode MS"/>
                <w:color w:val="000000" w:themeColor="text1"/>
                <w:sz w:val="20"/>
                <w:szCs w:val="20"/>
                <w:shd w:val="clear" w:color="auto" w:fill="FFFFFF"/>
                <w:lang w:val="en-US"/>
              </w:rPr>
              <w:t xml:space="preserve"> de </w:t>
            </w:r>
            <w:proofErr w:type="spellStart"/>
            <w:r w:rsidRPr="00C20D01">
              <w:rPr>
                <w:rFonts w:eastAsia="Arial Unicode MS"/>
                <w:color w:val="000000" w:themeColor="text1"/>
                <w:sz w:val="20"/>
                <w:szCs w:val="20"/>
                <w:shd w:val="clear" w:color="auto" w:fill="FFFFFF"/>
                <w:lang w:val="en-US"/>
              </w:rPr>
              <w:t>lege</w:t>
            </w:r>
            <w:proofErr w:type="spellEnd"/>
            <w:r w:rsidRPr="00C20D01">
              <w:rPr>
                <w:rFonts w:eastAsia="Arial Unicode MS"/>
                <w:color w:val="000000" w:themeColor="text1"/>
                <w:sz w:val="20"/>
                <w:szCs w:val="20"/>
                <w:shd w:val="clear" w:color="auto" w:fill="FFFFFF"/>
                <w:lang w:val="en-US"/>
              </w:rPr>
              <w:t xml:space="preserve"> și de </w:t>
            </w:r>
            <w:proofErr w:type="spellStart"/>
            <w:r w:rsidRPr="00C20D01">
              <w:rPr>
                <w:rFonts w:eastAsia="Arial Unicode MS"/>
                <w:color w:val="000000" w:themeColor="text1"/>
                <w:sz w:val="20"/>
                <w:szCs w:val="20"/>
                <w:shd w:val="clear" w:color="auto" w:fill="FFFFFF"/>
                <w:lang w:val="en-US"/>
              </w:rPr>
              <w:t>normele</w:t>
            </w:r>
            <w:proofErr w:type="spellEnd"/>
            <w:r w:rsidRPr="00C20D01">
              <w:rPr>
                <w:rFonts w:eastAsia="Arial Unicode MS"/>
                <w:color w:val="000000" w:themeColor="text1"/>
                <w:sz w:val="20"/>
                <w:szCs w:val="20"/>
                <w:shd w:val="clear" w:color="auto" w:fill="FFFFFF"/>
                <w:lang w:val="en-US"/>
              </w:rPr>
              <w:t xml:space="preserve"> administrative în </w:t>
            </w:r>
            <w:proofErr w:type="spellStart"/>
            <w:r w:rsidRPr="00C20D01">
              <w:rPr>
                <w:rFonts w:eastAsia="Arial Unicode MS"/>
                <w:color w:val="000000" w:themeColor="text1"/>
                <w:sz w:val="20"/>
                <w:szCs w:val="20"/>
                <w:shd w:val="clear" w:color="auto" w:fill="FFFFFF"/>
                <w:lang w:val="en-US"/>
              </w:rPr>
              <w:t>vigoare</w:t>
            </w:r>
            <w:proofErr w:type="spellEnd"/>
            <w:r w:rsidRPr="00C20D01">
              <w:rPr>
                <w:rFonts w:eastAsia="Arial Unicode MS"/>
                <w:color w:val="000000" w:themeColor="text1"/>
                <w:sz w:val="20"/>
                <w:szCs w:val="20"/>
                <w:shd w:val="clear" w:color="auto" w:fill="FFFFFF"/>
                <w:lang w:val="en-US"/>
              </w:rPr>
              <w:t>.</w:t>
            </w:r>
          </w:p>
          <w:p w14:paraId="347707C6"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40" w:tooltip="32003L0087" w:history="1">
              <w:r>
                <w:rPr>
                  <w:rStyle w:val="af3"/>
                  <w:rFonts w:eastAsia="Arial Unicode MS"/>
                  <w:b/>
                  <w:bCs/>
                  <w:color w:val="4472C4" w:themeColor="accent1"/>
                  <w:sz w:val="20"/>
                  <w:szCs w:val="20"/>
                </w:rPr>
                <w:t>▼B</w:t>
              </w:r>
            </w:hyperlink>
          </w:p>
        </w:tc>
        <w:tc>
          <w:tcPr>
            <w:tcW w:w="4394" w:type="dxa"/>
            <w:shd w:val="clear" w:color="auto" w:fill="auto"/>
          </w:tcPr>
          <w:p w14:paraId="5519ADB3" w14:textId="47E9D7DB" w:rsidR="003567EB" w:rsidRPr="0066519A" w:rsidRDefault="008D7C12" w:rsidP="003567EB">
            <w:pPr>
              <w:suppressAutoHyphens w:val="0"/>
              <w:autoSpaceDN/>
              <w:spacing w:after="0" w:line="240" w:lineRule="auto"/>
              <w:textAlignment w:val="auto"/>
              <w:rPr>
                <w:rFonts w:ascii="Times New Roman" w:hAnsi="Times New Roman"/>
                <w:bCs/>
                <w:sz w:val="20"/>
                <w:szCs w:val="20"/>
                <w:lang w:val="ro-MD"/>
              </w:rPr>
            </w:pPr>
            <w:r>
              <w:rPr>
                <w:sz w:val="28"/>
                <w:szCs w:val="28"/>
                <w:shd w:val="clear" w:color="auto" w:fill="FFFFFF"/>
                <w:lang w:val="en-US"/>
              </w:rPr>
              <w:t xml:space="preserve"> </w:t>
            </w:r>
            <w:r w:rsidR="003567EB" w:rsidRPr="0066519A">
              <w:rPr>
                <w:rFonts w:ascii="Times New Roman" w:hAnsi="Times New Roman"/>
                <w:b/>
                <w:sz w:val="20"/>
                <w:szCs w:val="20"/>
                <w:lang w:val="ro-MD"/>
              </w:rPr>
              <w:t>Articolul 5</w:t>
            </w:r>
            <w:r w:rsidR="002C0FC1">
              <w:rPr>
                <w:rFonts w:ascii="Times New Roman" w:hAnsi="Times New Roman"/>
                <w:b/>
                <w:sz w:val="20"/>
                <w:szCs w:val="20"/>
                <w:lang w:val="ro-MD"/>
              </w:rPr>
              <w:t>8</w:t>
            </w:r>
            <w:r w:rsidR="003567EB" w:rsidRPr="0066519A">
              <w:rPr>
                <w:rFonts w:ascii="Times New Roman" w:hAnsi="Times New Roman"/>
                <w:b/>
                <w:sz w:val="20"/>
                <w:szCs w:val="20"/>
                <w:lang w:val="ro-MD"/>
              </w:rPr>
              <w:t>.</w:t>
            </w:r>
            <w:r w:rsidR="002C0FC1">
              <w:rPr>
                <w:rFonts w:ascii="Times New Roman" w:hAnsi="Times New Roman"/>
                <w:bCs/>
                <w:sz w:val="20"/>
                <w:szCs w:val="20"/>
                <w:lang w:val="ro-MD"/>
              </w:rPr>
              <w:t>Consultarea părților interesate</w:t>
            </w:r>
          </w:p>
          <w:p w14:paraId="6E23E181" w14:textId="38FAC068" w:rsidR="002C0FC1" w:rsidRPr="002C0FC1" w:rsidRDefault="002C0FC1" w:rsidP="002C0FC1">
            <w:pPr>
              <w:suppressAutoHyphens w:val="0"/>
              <w:autoSpaceDE w:val="0"/>
              <w:adjustRightInd w:val="0"/>
              <w:spacing w:after="0" w:line="240" w:lineRule="auto"/>
              <w:jc w:val="both"/>
              <w:textAlignment w:val="auto"/>
              <w:rPr>
                <w:rFonts w:ascii="Times New Roman" w:hAnsi="Times New Roman"/>
                <w:color w:val="000000" w:themeColor="text1"/>
                <w:sz w:val="20"/>
                <w:szCs w:val="20"/>
                <w:shd w:val="clear" w:color="auto" w:fill="FFFFFF"/>
                <w:lang w:val="ro-MD"/>
              </w:rPr>
            </w:pPr>
            <w:r w:rsidRPr="002C0FC1">
              <w:rPr>
                <w:rFonts w:ascii="Times New Roman" w:hAnsi="Times New Roman"/>
                <w:color w:val="000000" w:themeColor="text1"/>
                <w:sz w:val="20"/>
                <w:szCs w:val="20"/>
                <w:shd w:val="clear" w:color="auto" w:fill="FFFFFF"/>
                <w:lang w:val="ro-MD"/>
              </w:rPr>
              <w:t>(3)</w:t>
            </w:r>
            <w:r w:rsidRPr="002C0FC1">
              <w:rPr>
                <w:rFonts w:ascii="Times New Roman" w:hAnsi="Times New Roman"/>
                <w:color w:val="000000" w:themeColor="text1"/>
                <w:sz w:val="20"/>
                <w:szCs w:val="20"/>
                <w:shd w:val="clear" w:color="auto" w:fill="FFFFFF"/>
                <w:lang w:val="ro-MD"/>
              </w:rPr>
              <w:t xml:space="preserve">Operatorii </w:t>
            </w:r>
            <w:r w:rsidRPr="002C0FC1">
              <w:rPr>
                <w:rFonts w:ascii="Times New Roman" w:hAnsi="Times New Roman"/>
                <w:color w:val="000000" w:themeColor="text1"/>
                <w:sz w:val="20"/>
                <w:szCs w:val="20"/>
                <w:lang w:val="ro-MD"/>
              </w:rPr>
              <w:t>instalațiilor staționare, companiile aeriene și de transport maritim,</w:t>
            </w:r>
            <w:r w:rsidRPr="002C0FC1">
              <w:rPr>
                <w:rFonts w:ascii="Times New Roman" w:hAnsi="Times New Roman"/>
                <w:color w:val="000000" w:themeColor="text1"/>
                <w:sz w:val="20"/>
                <w:szCs w:val="20"/>
                <w:shd w:val="clear" w:color="auto" w:fill="FFFFFF"/>
                <w:lang w:val="ro-MD"/>
              </w:rPr>
              <w:t xml:space="preserve"> în comun acord cu Agenția de Mediu, </w:t>
            </w:r>
            <w:r w:rsidRPr="002C0FC1">
              <w:rPr>
                <w:rFonts w:ascii="Times New Roman" w:hAnsi="Times New Roman"/>
                <w:color w:val="000000" w:themeColor="text1"/>
                <w:sz w:val="20"/>
                <w:szCs w:val="20"/>
                <w:lang w:val="ro-MD"/>
              </w:rPr>
              <w:t>Autoritatea Aeronautică Civilă</w:t>
            </w:r>
            <w:r w:rsidRPr="002C0FC1">
              <w:rPr>
                <w:rFonts w:ascii="Times New Roman" w:hAnsi="Times New Roman"/>
                <w:color w:val="000000" w:themeColor="text1"/>
                <w:sz w:val="20"/>
                <w:szCs w:val="20"/>
                <w:shd w:val="clear" w:color="auto" w:fill="FFFFFF"/>
                <w:lang w:val="ro-MD"/>
              </w:rPr>
              <w:t xml:space="preserve"> și Agenția Navală, stabilesc informațiile ce constituie secret comercial în </w:t>
            </w:r>
            <w:r w:rsidRPr="002C0FC1">
              <w:rPr>
                <w:rFonts w:ascii="Times New Roman" w:hAnsi="Times New Roman"/>
                <w:bCs/>
                <w:color w:val="000000" w:themeColor="text1"/>
                <w:sz w:val="20"/>
                <w:szCs w:val="20"/>
                <w:lang w:val="ro-MD"/>
              </w:rPr>
              <w:t xml:space="preserve">autorizațiile </w:t>
            </w:r>
            <w:r w:rsidRPr="002C0FC1">
              <w:rPr>
                <w:rFonts w:ascii="Times New Roman" w:hAnsi="Times New Roman"/>
                <w:color w:val="000000" w:themeColor="text1"/>
                <w:sz w:val="20"/>
                <w:szCs w:val="20"/>
                <w:lang w:val="ro-MD"/>
              </w:rPr>
              <w:t xml:space="preserve">integrate de mediu, </w:t>
            </w:r>
            <w:r w:rsidRPr="002C0FC1">
              <w:rPr>
                <w:rFonts w:ascii="Times New Roman" w:hAnsi="Times New Roman"/>
                <w:color w:val="000000" w:themeColor="text1"/>
                <w:sz w:val="20"/>
                <w:szCs w:val="20"/>
                <w:shd w:val="clear" w:color="auto" w:fill="FFFFFF"/>
                <w:lang w:val="ro-MD"/>
              </w:rPr>
              <w:t>RAE, care nu se pun la dispoziţia publicului de către Ministerul Mediului.</w:t>
            </w:r>
          </w:p>
          <w:p w14:paraId="5571FFD5" w14:textId="77777777" w:rsidR="00124364" w:rsidRPr="008D7C12" w:rsidRDefault="00124364" w:rsidP="002C0FC1">
            <w:pPr>
              <w:spacing w:after="120"/>
              <w:jc w:val="both"/>
              <w:rPr>
                <w:rFonts w:ascii="Times New Roman" w:hAnsi="Times New Roman"/>
                <w:sz w:val="20"/>
                <w:szCs w:val="20"/>
                <w:lang w:val="ro-MD"/>
              </w:rPr>
            </w:pPr>
          </w:p>
        </w:tc>
        <w:tc>
          <w:tcPr>
            <w:tcW w:w="1276" w:type="dxa"/>
            <w:shd w:val="clear" w:color="auto" w:fill="auto"/>
          </w:tcPr>
          <w:p w14:paraId="11708478"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 xml:space="preserve">Compatibil </w:t>
            </w:r>
          </w:p>
          <w:p w14:paraId="2496AD43"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381A99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0552123"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3CE51687"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667F783" w14:textId="77777777" w:rsidR="00124364" w:rsidRDefault="00124364">
            <w:pPr>
              <w:autoSpaceDE w:val="0"/>
              <w:spacing w:after="0" w:line="240" w:lineRule="auto"/>
              <w:rPr>
                <w:rFonts w:ascii="Times New Roman" w:hAnsi="Times New Roman"/>
                <w:sz w:val="20"/>
                <w:szCs w:val="20"/>
                <w:lang w:val="fr-FR"/>
              </w:rPr>
            </w:pPr>
          </w:p>
          <w:p w14:paraId="3B9E1894" w14:textId="7C8ED0A5" w:rsidR="00C32B38" w:rsidRDefault="00C32B38">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r w:rsidR="00124364" w14:paraId="70ED93D4" w14:textId="77777777">
        <w:trPr>
          <w:trHeight w:val="558"/>
        </w:trPr>
        <w:tc>
          <w:tcPr>
            <w:tcW w:w="4957" w:type="dxa"/>
            <w:shd w:val="clear" w:color="auto" w:fill="auto"/>
          </w:tcPr>
          <w:p w14:paraId="1667AA03" w14:textId="77777777" w:rsidR="00124364" w:rsidRPr="008D7C12"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8D7C12">
              <w:rPr>
                <w:rFonts w:eastAsia="Arial Unicode MS"/>
                <w:i/>
                <w:iCs/>
                <w:color w:val="000000" w:themeColor="text1"/>
                <w:sz w:val="20"/>
                <w:szCs w:val="20"/>
                <w:shd w:val="clear" w:color="auto" w:fill="FFFFFF"/>
              </w:rPr>
              <w:t>Articolul</w:t>
            </w:r>
            <w:proofErr w:type="spellEnd"/>
            <w:r w:rsidRPr="008D7C12">
              <w:rPr>
                <w:rFonts w:eastAsia="Arial Unicode MS"/>
                <w:i/>
                <w:iCs/>
                <w:color w:val="000000" w:themeColor="text1"/>
                <w:sz w:val="20"/>
                <w:szCs w:val="20"/>
                <w:shd w:val="clear" w:color="auto" w:fill="FFFFFF"/>
              </w:rPr>
              <w:t xml:space="preserve"> 16</w:t>
            </w:r>
          </w:p>
          <w:p w14:paraId="21F1F96D" w14:textId="77777777" w:rsidR="00124364" w:rsidRPr="008D7C12"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8D7C12">
              <w:rPr>
                <w:rFonts w:eastAsia="Arial Unicode MS"/>
                <w:b/>
                <w:bCs/>
                <w:color w:val="000000" w:themeColor="text1"/>
                <w:sz w:val="20"/>
                <w:szCs w:val="20"/>
                <w:shd w:val="clear" w:color="auto" w:fill="FFFFFF"/>
              </w:rPr>
              <w:t>Sancțiuni</w:t>
            </w:r>
            <w:proofErr w:type="spellEnd"/>
          </w:p>
          <w:p w14:paraId="5AFA973F" w14:textId="4B04708C" w:rsidR="00124364" w:rsidRDefault="00000000" w:rsidP="008D7C12">
            <w:pPr>
              <w:pStyle w:val="ti-art"/>
              <w:numPr>
                <w:ilvl w:val="0"/>
                <w:numId w:val="93"/>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8D7C12">
              <w:rPr>
                <w:rFonts w:eastAsia="Arial Unicode MS"/>
                <w:color w:val="000000" w:themeColor="text1"/>
                <w:sz w:val="20"/>
                <w:szCs w:val="20"/>
                <w:shd w:val="clear" w:color="auto" w:fill="FFFFFF"/>
                <w:lang w:val="en-US"/>
              </w:rPr>
              <w:t>Statele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membre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stabilesc</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normele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referitoare</w:t>
            </w:r>
            <w:proofErr w:type="spellEnd"/>
            <w:r w:rsidRPr="008D7C12">
              <w:rPr>
                <w:rFonts w:eastAsia="Arial Unicode MS"/>
                <w:color w:val="000000" w:themeColor="text1"/>
                <w:sz w:val="20"/>
                <w:szCs w:val="20"/>
                <w:shd w:val="clear" w:color="auto" w:fill="FFFFFF"/>
                <w:lang w:val="en-US"/>
              </w:rPr>
              <w:t xml:space="preserve"> la </w:t>
            </w:r>
            <w:proofErr w:type="spellStart"/>
            <w:r w:rsidRPr="008D7C12">
              <w:rPr>
                <w:rFonts w:eastAsia="Arial Unicode MS"/>
                <w:color w:val="000000" w:themeColor="text1"/>
                <w:sz w:val="20"/>
                <w:szCs w:val="20"/>
                <w:shd w:val="clear" w:color="auto" w:fill="FFFFFF"/>
                <w:lang w:val="en-US"/>
              </w:rPr>
              <w:t>sancțiunile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aplicabile</w:t>
            </w:r>
            <w:proofErr w:type="spellEnd"/>
            <w:r w:rsidRPr="008D7C12">
              <w:rPr>
                <w:rFonts w:eastAsia="Arial Unicode MS"/>
                <w:color w:val="000000" w:themeColor="text1"/>
                <w:sz w:val="20"/>
                <w:szCs w:val="20"/>
                <w:shd w:val="clear" w:color="auto" w:fill="FFFFFF"/>
                <w:lang w:val="en-US"/>
              </w:rPr>
              <w:t xml:space="preserve"> în </w:t>
            </w:r>
            <w:proofErr w:type="spellStart"/>
            <w:r w:rsidRPr="008D7C12">
              <w:rPr>
                <w:rFonts w:eastAsia="Arial Unicode MS"/>
                <w:color w:val="000000" w:themeColor="text1"/>
                <w:sz w:val="20"/>
                <w:szCs w:val="20"/>
                <w:shd w:val="clear" w:color="auto" w:fill="FFFFFF"/>
                <w:lang w:val="en-US"/>
              </w:rPr>
              <w:t>cazul</w:t>
            </w:r>
            <w:proofErr w:type="spellEnd"/>
            <w:r w:rsidRPr="008D7C12">
              <w:rPr>
                <w:rFonts w:eastAsia="Arial Unicode MS"/>
                <w:color w:val="000000" w:themeColor="text1"/>
                <w:sz w:val="20"/>
                <w:szCs w:val="20"/>
                <w:shd w:val="clear" w:color="auto" w:fill="FFFFFF"/>
                <w:lang w:val="en-US"/>
              </w:rPr>
              <w:t xml:space="preserve"> în care sunt </w:t>
            </w:r>
            <w:proofErr w:type="spellStart"/>
            <w:r w:rsidRPr="008D7C12">
              <w:rPr>
                <w:rFonts w:eastAsia="Arial Unicode MS"/>
                <w:color w:val="000000" w:themeColor="text1"/>
                <w:sz w:val="20"/>
                <w:szCs w:val="20"/>
                <w:shd w:val="clear" w:color="auto" w:fill="FFFFFF"/>
                <w:lang w:val="en-US"/>
              </w:rPr>
              <w:t>încălcate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dispozițiile</w:t>
            </w:r>
            <w:proofErr w:type="spellEnd"/>
            <w:r w:rsidRPr="008D7C12">
              <w:rPr>
                <w:rFonts w:eastAsia="Arial Unicode MS"/>
                <w:color w:val="000000" w:themeColor="text1"/>
                <w:sz w:val="20"/>
                <w:szCs w:val="20"/>
                <w:shd w:val="clear" w:color="auto" w:fill="FFFFFF"/>
                <w:lang w:val="en-US"/>
              </w:rPr>
              <w:t xml:space="preserve"> de </w:t>
            </w:r>
            <w:proofErr w:type="spellStart"/>
            <w:r w:rsidRPr="008D7C12">
              <w:rPr>
                <w:rFonts w:eastAsia="Arial Unicode MS"/>
                <w:color w:val="000000" w:themeColor="text1"/>
                <w:sz w:val="20"/>
                <w:szCs w:val="20"/>
                <w:shd w:val="clear" w:color="auto" w:fill="FFFFFF"/>
                <w:lang w:val="en-US"/>
              </w:rPr>
              <w:t>drept</w:t>
            </w:r>
            <w:proofErr w:type="spellEnd"/>
            <w:r w:rsidRPr="008D7C12">
              <w:rPr>
                <w:rFonts w:eastAsia="Arial Unicode MS"/>
                <w:color w:val="000000" w:themeColor="text1"/>
                <w:sz w:val="20"/>
                <w:szCs w:val="20"/>
                <w:shd w:val="clear" w:color="auto" w:fill="FFFFFF"/>
                <w:lang w:val="en-US"/>
              </w:rPr>
              <w:t xml:space="preserve"> intern </w:t>
            </w:r>
            <w:proofErr w:type="spellStart"/>
            <w:r w:rsidRPr="008D7C12">
              <w:rPr>
                <w:rFonts w:eastAsia="Arial Unicode MS"/>
                <w:color w:val="000000" w:themeColor="text1"/>
                <w:sz w:val="20"/>
                <w:szCs w:val="20"/>
                <w:shd w:val="clear" w:color="auto" w:fill="FFFFFF"/>
                <w:lang w:val="en-US"/>
              </w:rPr>
              <w:t>adoptate</w:t>
            </w:r>
            <w:proofErr w:type="spellEnd"/>
            <w:r w:rsidRPr="008D7C12">
              <w:rPr>
                <w:rFonts w:eastAsia="Arial Unicode MS"/>
                <w:color w:val="000000" w:themeColor="text1"/>
                <w:sz w:val="20"/>
                <w:szCs w:val="20"/>
                <w:shd w:val="clear" w:color="auto" w:fill="FFFFFF"/>
                <w:lang w:val="en-US"/>
              </w:rPr>
              <w:t xml:space="preserve"> în </w:t>
            </w:r>
            <w:proofErr w:type="spellStart"/>
            <w:r w:rsidRPr="008D7C12">
              <w:rPr>
                <w:rFonts w:eastAsia="Arial Unicode MS"/>
                <w:color w:val="000000" w:themeColor="text1"/>
                <w:sz w:val="20"/>
                <w:szCs w:val="20"/>
                <w:shd w:val="clear" w:color="auto" w:fill="FFFFFF"/>
                <w:lang w:val="en-US"/>
              </w:rPr>
              <w:t>temeiul</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prezentei</w:t>
            </w:r>
            <w:proofErr w:type="spellEnd"/>
            <w:r w:rsidRPr="008D7C12">
              <w:rPr>
                <w:rFonts w:eastAsia="Arial Unicode MS"/>
                <w:color w:val="000000" w:themeColor="text1"/>
                <w:sz w:val="20"/>
                <w:szCs w:val="20"/>
                <w:shd w:val="clear" w:color="auto" w:fill="FFFFFF"/>
                <w:lang w:val="en-US"/>
              </w:rPr>
              <w:t xml:space="preserve"> directive și </w:t>
            </w:r>
            <w:proofErr w:type="spellStart"/>
            <w:r w:rsidRPr="008D7C12">
              <w:rPr>
                <w:rFonts w:eastAsia="Arial Unicode MS"/>
                <w:color w:val="000000" w:themeColor="text1"/>
                <w:sz w:val="20"/>
                <w:szCs w:val="20"/>
                <w:shd w:val="clear" w:color="auto" w:fill="FFFFFF"/>
                <w:lang w:val="en-US"/>
              </w:rPr>
              <w:t>iau</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măsurile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necesare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pentru</w:t>
            </w:r>
            <w:proofErr w:type="spellEnd"/>
            <w:r w:rsidRPr="008D7C12">
              <w:rPr>
                <w:rFonts w:eastAsia="Arial Unicode MS"/>
                <w:color w:val="000000" w:themeColor="text1"/>
                <w:sz w:val="20"/>
                <w:szCs w:val="20"/>
                <w:shd w:val="clear" w:color="auto" w:fill="FFFFFF"/>
                <w:lang w:val="en-US"/>
              </w:rPr>
              <w:t xml:space="preserve"> </w:t>
            </w:r>
            <w:proofErr w:type="gramStart"/>
            <w:r w:rsidRPr="008D7C12">
              <w:rPr>
                <w:rFonts w:eastAsia="Arial Unicode MS"/>
                <w:color w:val="000000" w:themeColor="text1"/>
                <w:sz w:val="20"/>
                <w:szCs w:val="20"/>
                <w:shd w:val="clear" w:color="auto" w:fill="FFFFFF"/>
                <w:lang w:val="en-US"/>
              </w:rPr>
              <w:t>a</w:t>
            </w:r>
            <w:proofErr w:type="gram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asigura</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aplicarea</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acestor</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norme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Sancțiunile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prevăzute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trebuie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să</w:t>
            </w:r>
            <w:proofErr w:type="spellEnd"/>
            <w:r w:rsidRPr="008D7C12">
              <w:rPr>
                <w:rFonts w:eastAsia="Arial Unicode MS"/>
                <w:color w:val="000000" w:themeColor="text1"/>
                <w:sz w:val="20"/>
                <w:szCs w:val="20"/>
                <w:shd w:val="clear" w:color="auto" w:fill="FFFFFF"/>
                <w:lang w:val="en-US"/>
              </w:rPr>
              <w:t xml:space="preserve"> fie eficiente, </w:t>
            </w:r>
            <w:proofErr w:type="spellStart"/>
            <w:r w:rsidRPr="008D7C12">
              <w:rPr>
                <w:rFonts w:eastAsia="Arial Unicode MS"/>
                <w:color w:val="000000" w:themeColor="text1"/>
                <w:sz w:val="20"/>
                <w:szCs w:val="20"/>
                <w:shd w:val="clear" w:color="auto" w:fill="FFFFFF"/>
                <w:lang w:val="en-US"/>
              </w:rPr>
              <w:t>proporționale</w:t>
            </w:r>
            <w:proofErr w:type="spellEnd"/>
            <w:r w:rsidRPr="008D7C12">
              <w:rPr>
                <w:rFonts w:eastAsia="Arial Unicode MS"/>
                <w:color w:val="000000" w:themeColor="text1"/>
                <w:sz w:val="20"/>
                <w:szCs w:val="20"/>
                <w:shd w:val="clear" w:color="auto" w:fill="FFFFFF"/>
                <w:lang w:val="en-US"/>
              </w:rPr>
              <w:t xml:space="preserve"> și cu </w:t>
            </w:r>
            <w:proofErr w:type="spellStart"/>
            <w:r w:rsidRPr="008D7C12">
              <w:rPr>
                <w:rFonts w:eastAsia="Arial Unicode MS"/>
                <w:color w:val="000000" w:themeColor="text1"/>
                <w:sz w:val="20"/>
                <w:szCs w:val="20"/>
                <w:shd w:val="clear" w:color="auto" w:fill="FFFFFF"/>
                <w:lang w:val="en-US"/>
              </w:rPr>
              <w:t>efect</w:t>
            </w:r>
            <w:proofErr w:type="spellEnd"/>
            <w:r w:rsidRPr="008D7C12">
              <w:rPr>
                <w:rFonts w:eastAsia="Arial Unicode MS"/>
                <w:color w:val="000000" w:themeColor="text1"/>
                <w:sz w:val="20"/>
                <w:szCs w:val="20"/>
                <w:shd w:val="clear" w:color="auto" w:fill="FFFFFF"/>
                <w:lang w:val="en-US"/>
              </w:rPr>
              <w:t xml:space="preserve"> de </w:t>
            </w:r>
            <w:proofErr w:type="spellStart"/>
            <w:r w:rsidRPr="008D7C12">
              <w:rPr>
                <w:rFonts w:eastAsia="Arial Unicode MS"/>
                <w:color w:val="000000" w:themeColor="text1"/>
                <w:sz w:val="20"/>
                <w:szCs w:val="20"/>
                <w:shd w:val="clear" w:color="auto" w:fill="FFFFFF"/>
                <w:lang w:val="en-US"/>
              </w:rPr>
              <w:t>descurajare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Statele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membre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notifică</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aceste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dispoziții</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Comisiei</w:t>
            </w:r>
            <w:proofErr w:type="spellEnd"/>
            <w:r w:rsidR="008D7C12" w:rsidRPr="008D7C12">
              <w:rPr>
                <w:rStyle w:val="apple-converted-space"/>
                <w:rFonts w:eastAsia="Arial Unicode MS"/>
                <w:color w:val="000000" w:themeColor="text1"/>
                <w:sz w:val="20"/>
                <w:szCs w:val="20"/>
                <w:shd w:val="clear" w:color="auto" w:fill="FFFFFF"/>
                <w:lang w:val="en-US"/>
              </w:rPr>
              <w:t xml:space="preserve"> </w:t>
            </w:r>
            <w:hyperlink r:id="rId241" w:tooltip="32008L0101: DELETED" w:history="1">
              <w:r>
                <w:rPr>
                  <w:rStyle w:val="boldface"/>
                  <w:rFonts w:eastAsia="Arial Unicode MS"/>
                  <w:b/>
                  <w:bCs/>
                  <w:color w:val="4472C4" w:themeColor="accent1"/>
                  <w:sz w:val="20"/>
                  <w:szCs w:val="20"/>
                  <w:lang w:val="en-US"/>
                </w:rPr>
                <w:t>►M2</w:t>
              </w:r>
            </w:hyperlink>
            <w:r>
              <w:rPr>
                <w:rFonts w:eastAsia="Arial Unicode MS"/>
                <w:color w:val="333333"/>
                <w:sz w:val="20"/>
                <w:szCs w:val="20"/>
                <w:shd w:val="clear" w:color="auto" w:fill="FFFFFF"/>
                <w:lang w:val="en-US"/>
              </w:rPr>
              <w:t>—————</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 xml:space="preserve">precum și, </w:t>
            </w:r>
            <w:proofErr w:type="spellStart"/>
            <w:r>
              <w:rPr>
                <w:rFonts w:eastAsia="Arial Unicode MS"/>
                <w:color w:val="333333"/>
                <w:sz w:val="20"/>
                <w:szCs w:val="20"/>
                <w:shd w:val="clear" w:color="auto" w:fill="FFFFFF"/>
                <w:lang w:val="en-US"/>
              </w:rPr>
              <w:t>fără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întârziere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orice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modificare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ulterioară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acestora</w:t>
            </w:r>
            <w:proofErr w:type="spellEnd"/>
            <w:r>
              <w:rPr>
                <w:rFonts w:eastAsia="Arial Unicode MS"/>
                <w:color w:val="333333"/>
                <w:sz w:val="20"/>
                <w:szCs w:val="20"/>
                <w:shd w:val="clear" w:color="auto" w:fill="FFFFFF"/>
                <w:lang w:val="en-US"/>
              </w:rPr>
              <w:t>.</w:t>
            </w:r>
          </w:p>
          <w:p w14:paraId="5A89451F"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42" w:tooltip="32023L0959: REPLACED" w:history="1">
              <w:r>
                <w:rPr>
                  <w:rStyle w:val="af3"/>
                  <w:rFonts w:eastAsia="Arial Unicode MS"/>
                  <w:b/>
                  <w:bCs/>
                  <w:color w:val="4472C4" w:themeColor="accent1"/>
                  <w:sz w:val="20"/>
                  <w:szCs w:val="20"/>
                </w:rPr>
                <w:t>▼M15</w:t>
              </w:r>
            </w:hyperlink>
          </w:p>
          <w:p w14:paraId="5F2D8C0E" w14:textId="77777777" w:rsidR="00124364" w:rsidRPr="008D7C12" w:rsidRDefault="00000000" w:rsidP="008D7C12">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D7C12">
              <w:rPr>
                <w:rFonts w:eastAsia="Arial Unicode MS"/>
                <w:color w:val="000000" w:themeColor="text1"/>
                <w:sz w:val="20"/>
                <w:szCs w:val="20"/>
                <w:shd w:val="clear" w:color="auto" w:fill="FFFFFF"/>
                <w:lang w:val="en-US"/>
              </w:rPr>
              <w:t>Statele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membre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asigură</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publicarea</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numelor</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operatorilor</w:t>
            </w:r>
            <w:proofErr w:type="spellEnd"/>
            <w:r w:rsidRPr="008D7C12">
              <w:rPr>
                <w:rFonts w:eastAsia="Arial Unicode MS"/>
                <w:color w:val="000000" w:themeColor="text1"/>
                <w:sz w:val="20"/>
                <w:szCs w:val="20"/>
                <w:shd w:val="clear" w:color="auto" w:fill="FFFFFF"/>
                <w:lang w:val="en-US"/>
              </w:rPr>
              <w:t xml:space="preserve">, ale </w:t>
            </w:r>
            <w:proofErr w:type="spellStart"/>
            <w:r w:rsidRPr="008D7C12">
              <w:rPr>
                <w:rFonts w:eastAsia="Arial Unicode MS"/>
                <w:color w:val="000000" w:themeColor="text1"/>
                <w:sz w:val="20"/>
                <w:szCs w:val="20"/>
                <w:shd w:val="clear" w:color="auto" w:fill="FFFFFF"/>
                <w:lang w:val="en-US"/>
              </w:rPr>
              <w:t>operatorilor</w:t>
            </w:r>
            <w:proofErr w:type="spellEnd"/>
            <w:r w:rsidRPr="008D7C12">
              <w:rPr>
                <w:rFonts w:eastAsia="Arial Unicode MS"/>
                <w:color w:val="000000" w:themeColor="text1"/>
                <w:sz w:val="20"/>
                <w:szCs w:val="20"/>
                <w:shd w:val="clear" w:color="auto" w:fill="FFFFFF"/>
                <w:lang w:val="en-US"/>
              </w:rPr>
              <w:t xml:space="preserve"> de </w:t>
            </w:r>
            <w:proofErr w:type="spellStart"/>
            <w:r w:rsidRPr="008D7C12">
              <w:rPr>
                <w:rFonts w:eastAsia="Arial Unicode MS"/>
                <w:color w:val="000000" w:themeColor="text1"/>
                <w:sz w:val="20"/>
                <w:szCs w:val="20"/>
                <w:shd w:val="clear" w:color="auto" w:fill="FFFFFF"/>
                <w:lang w:val="en-US"/>
              </w:rPr>
              <w:t>aeronave</w:t>
            </w:r>
            <w:proofErr w:type="spellEnd"/>
            <w:r w:rsidRPr="008D7C12">
              <w:rPr>
                <w:rFonts w:eastAsia="Arial Unicode MS"/>
                <w:color w:val="000000" w:themeColor="text1"/>
                <w:sz w:val="20"/>
                <w:szCs w:val="20"/>
                <w:shd w:val="clear" w:color="auto" w:fill="FFFFFF"/>
                <w:lang w:val="en-US"/>
              </w:rPr>
              <w:t xml:space="preserve"> și ale </w:t>
            </w:r>
            <w:proofErr w:type="spellStart"/>
            <w:r w:rsidRPr="008D7C12">
              <w:rPr>
                <w:rFonts w:eastAsia="Arial Unicode MS"/>
                <w:color w:val="000000" w:themeColor="text1"/>
                <w:sz w:val="20"/>
                <w:szCs w:val="20"/>
                <w:shd w:val="clear" w:color="auto" w:fill="FFFFFF"/>
                <w:lang w:val="en-US"/>
              </w:rPr>
              <w:t>companiilor</w:t>
            </w:r>
            <w:proofErr w:type="spellEnd"/>
            <w:r w:rsidRPr="008D7C12">
              <w:rPr>
                <w:rFonts w:eastAsia="Arial Unicode MS"/>
                <w:color w:val="000000" w:themeColor="text1"/>
                <w:sz w:val="20"/>
                <w:szCs w:val="20"/>
                <w:shd w:val="clear" w:color="auto" w:fill="FFFFFF"/>
                <w:lang w:val="en-US"/>
              </w:rPr>
              <w:t xml:space="preserve"> de transport maritim care </w:t>
            </w:r>
            <w:proofErr w:type="spellStart"/>
            <w:r w:rsidRPr="008D7C12">
              <w:rPr>
                <w:rFonts w:eastAsia="Arial Unicode MS"/>
                <w:color w:val="000000" w:themeColor="text1"/>
                <w:sz w:val="20"/>
                <w:szCs w:val="20"/>
                <w:shd w:val="clear" w:color="auto" w:fill="FFFFFF"/>
                <w:lang w:val="en-US"/>
              </w:rPr>
              <w:t>încalcă</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cerințele</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privind</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restituirea</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unui</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număr</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suficient</w:t>
            </w:r>
            <w:proofErr w:type="spellEnd"/>
            <w:r w:rsidRPr="008D7C12">
              <w:rPr>
                <w:rFonts w:eastAsia="Arial Unicode MS"/>
                <w:color w:val="000000" w:themeColor="text1"/>
                <w:sz w:val="20"/>
                <w:szCs w:val="20"/>
                <w:shd w:val="clear" w:color="auto" w:fill="FFFFFF"/>
                <w:lang w:val="en-US"/>
              </w:rPr>
              <w:t xml:space="preserve"> de certificate în </w:t>
            </w:r>
            <w:proofErr w:type="spellStart"/>
            <w:r w:rsidRPr="008D7C12">
              <w:rPr>
                <w:rFonts w:eastAsia="Arial Unicode MS"/>
                <w:color w:val="000000" w:themeColor="text1"/>
                <w:sz w:val="20"/>
                <w:szCs w:val="20"/>
                <w:shd w:val="clear" w:color="auto" w:fill="FFFFFF"/>
                <w:lang w:val="en-US"/>
              </w:rPr>
              <w:t>temeiul</w:t>
            </w:r>
            <w:proofErr w:type="spellEnd"/>
            <w:r w:rsidRPr="008D7C12">
              <w:rPr>
                <w:rFonts w:eastAsia="Arial Unicode MS"/>
                <w:color w:val="000000" w:themeColor="text1"/>
                <w:sz w:val="20"/>
                <w:szCs w:val="20"/>
                <w:shd w:val="clear" w:color="auto" w:fill="FFFFFF"/>
                <w:lang w:val="en-US"/>
              </w:rPr>
              <w:t xml:space="preserve"> </w:t>
            </w:r>
            <w:proofErr w:type="spellStart"/>
            <w:r w:rsidRPr="008D7C12">
              <w:rPr>
                <w:rFonts w:eastAsia="Arial Unicode MS"/>
                <w:color w:val="000000" w:themeColor="text1"/>
                <w:sz w:val="20"/>
                <w:szCs w:val="20"/>
                <w:shd w:val="clear" w:color="auto" w:fill="FFFFFF"/>
                <w:lang w:val="en-US"/>
              </w:rPr>
              <w:t>prezentei</w:t>
            </w:r>
            <w:proofErr w:type="spellEnd"/>
            <w:r w:rsidRPr="008D7C12">
              <w:rPr>
                <w:rFonts w:eastAsia="Arial Unicode MS"/>
                <w:color w:val="000000" w:themeColor="text1"/>
                <w:sz w:val="20"/>
                <w:szCs w:val="20"/>
                <w:shd w:val="clear" w:color="auto" w:fill="FFFFFF"/>
                <w:lang w:val="en-US"/>
              </w:rPr>
              <w:t xml:space="preserve"> directive.</w:t>
            </w:r>
          </w:p>
          <w:p w14:paraId="7162CE19" w14:textId="5046C75F"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Statele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membre</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asigură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oricărui</w:t>
            </w:r>
            <w:proofErr w:type="spellEnd"/>
            <w:r w:rsidRPr="003567EB">
              <w:rPr>
                <w:rFonts w:eastAsia="Arial Unicode MS"/>
                <w:color w:val="000000" w:themeColor="text1"/>
                <w:sz w:val="20"/>
                <w:szCs w:val="20"/>
                <w:shd w:val="clear" w:color="auto" w:fill="FFFFFF"/>
                <w:lang w:val="en-US"/>
              </w:rPr>
              <w:t xml:space="preserve"> operator </w:t>
            </w:r>
            <w:proofErr w:type="spellStart"/>
            <w:r w:rsidRPr="003567EB">
              <w:rPr>
                <w:rFonts w:eastAsia="Arial Unicode MS"/>
                <w:color w:val="000000" w:themeColor="text1"/>
                <w:sz w:val="20"/>
                <w:szCs w:val="20"/>
                <w:shd w:val="clear" w:color="auto" w:fill="FFFFFF"/>
                <w:lang w:val="en-US"/>
              </w:rPr>
              <w:t>sau</w:t>
            </w:r>
            <w:proofErr w:type="spellEnd"/>
            <w:r w:rsidRPr="003567EB">
              <w:rPr>
                <w:rFonts w:eastAsia="Arial Unicode MS"/>
                <w:color w:val="000000" w:themeColor="text1"/>
                <w:sz w:val="20"/>
                <w:szCs w:val="20"/>
                <w:shd w:val="clear" w:color="auto" w:fill="FFFFFF"/>
                <w:lang w:val="en-US"/>
              </w:rPr>
              <w:t xml:space="preserve"> operator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care nu </w:t>
            </w:r>
            <w:proofErr w:type="spellStart"/>
            <w:r w:rsidRPr="003567EB">
              <w:rPr>
                <w:rFonts w:eastAsia="Arial Unicode MS"/>
                <w:color w:val="000000" w:themeColor="text1"/>
                <w:sz w:val="20"/>
                <w:szCs w:val="20"/>
                <w:shd w:val="clear" w:color="auto" w:fill="FFFFFF"/>
                <w:lang w:val="en-US"/>
              </w:rPr>
              <w:t>restituie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până</w:t>
            </w:r>
            <w:proofErr w:type="spellEnd"/>
            <w:r w:rsidRPr="003567EB">
              <w:rPr>
                <w:rFonts w:eastAsia="Arial Unicode MS"/>
                <w:color w:val="000000" w:themeColor="text1"/>
                <w:sz w:val="20"/>
                <w:szCs w:val="20"/>
                <w:shd w:val="clear" w:color="auto" w:fill="FFFFFF"/>
                <w:lang w:val="en-US"/>
              </w:rPr>
              <w:t xml:space="preserve"> la data de</w:t>
            </w:r>
            <w:hyperlink r:id="rId243" w:tooltip="32023L0959: REPLACED" w:history="1">
              <w:r w:rsidRPr="003567EB">
                <w:rPr>
                  <w:rStyle w:val="boldface"/>
                  <w:rFonts w:eastAsia="Arial Unicode MS"/>
                  <w:b/>
                  <w:bCs/>
                  <w:color w:val="000000" w:themeColor="text1"/>
                  <w:sz w:val="20"/>
                  <w:szCs w:val="20"/>
                  <w:lang w:val="en-US"/>
                </w:rPr>
                <w:t>►M15</w:t>
              </w:r>
            </w:hyperlink>
            <w:r w:rsidRPr="003567EB">
              <w:rPr>
                <w:rFonts w:eastAsia="Arial Unicode MS"/>
                <w:color w:val="000000" w:themeColor="text1"/>
                <w:sz w:val="20"/>
                <w:szCs w:val="20"/>
                <w:shd w:val="clear" w:color="auto" w:fill="FFFFFF"/>
                <w:lang w:val="en-US"/>
              </w:rPr>
              <w:t>30</w:t>
            </w:r>
            <w:r w:rsidR="003567EB"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septembrie</w:t>
            </w:r>
            <w:proofErr w:type="spellEnd"/>
            <w:r w:rsidR="008D7C12" w:rsidRPr="003567EB">
              <w:rPr>
                <w:rStyle w:val="boldface"/>
                <w:rFonts w:eastAsia="Arial Unicode MS"/>
                <w:b/>
                <w:bCs/>
                <w:color w:val="000000" w:themeColor="text1"/>
                <w:sz w:val="20"/>
                <w:szCs w:val="20"/>
                <w:lang w:val="en-US"/>
              </w:rPr>
              <w:t xml:space="preserve"> </w:t>
            </w:r>
            <w:r w:rsidRPr="003567EB">
              <w:rPr>
                <w:rStyle w:val="boldface"/>
                <w:rFonts w:eastAsia="Arial Unicode MS"/>
                <w:b/>
                <w:bCs/>
                <w:color w:val="000000" w:themeColor="text1"/>
                <w:sz w:val="20"/>
                <w:szCs w:val="20"/>
                <w:lang w:val="en-US"/>
              </w:rPr>
              <w:t>◄</w:t>
            </w:r>
            <w:r w:rsidR="008D7C12" w:rsidRPr="003567EB">
              <w:rPr>
                <w:rStyle w:val="apple-converted-space"/>
                <w:rFonts w:eastAsia="Arial Unicode MS"/>
                <w:b/>
                <w:bCs/>
                <w:color w:val="000000" w:themeColor="text1"/>
                <w:sz w:val="20"/>
                <w:szCs w:val="20"/>
                <w:lang w:val="en-US"/>
              </w:rPr>
              <w:t xml:space="preserve"> </w:t>
            </w:r>
            <w:r w:rsidRPr="003567EB">
              <w:rPr>
                <w:rFonts w:eastAsia="Arial Unicode MS"/>
                <w:color w:val="000000" w:themeColor="text1"/>
                <w:sz w:val="20"/>
                <w:szCs w:val="20"/>
                <w:shd w:val="clear" w:color="auto" w:fill="FFFFFF"/>
                <w:lang w:val="en-US"/>
              </w:rPr>
              <w:t xml:space="preserve">a </w:t>
            </w:r>
            <w:proofErr w:type="spellStart"/>
            <w:r w:rsidRPr="003567EB">
              <w:rPr>
                <w:rFonts w:eastAsia="Arial Unicode MS"/>
                <w:color w:val="000000" w:themeColor="text1"/>
                <w:sz w:val="20"/>
                <w:szCs w:val="20"/>
                <w:shd w:val="clear" w:color="auto" w:fill="FFFFFF"/>
                <w:lang w:val="en-US"/>
              </w:rPr>
              <w:t>fiecărui</w:t>
            </w:r>
            <w:proofErr w:type="spellEnd"/>
            <w:r w:rsidRPr="003567EB">
              <w:rPr>
                <w:rFonts w:eastAsia="Arial Unicode MS"/>
                <w:color w:val="000000" w:themeColor="text1"/>
                <w:sz w:val="20"/>
                <w:szCs w:val="20"/>
                <w:shd w:val="clear" w:color="auto" w:fill="FFFFFF"/>
                <w:lang w:val="en-US"/>
              </w:rPr>
              <w:t xml:space="preserve"> an, cote </w:t>
            </w:r>
            <w:proofErr w:type="spellStart"/>
            <w:r w:rsidRPr="003567EB">
              <w:rPr>
                <w:rFonts w:eastAsia="Arial Unicode MS"/>
                <w:color w:val="000000" w:themeColor="text1"/>
                <w:sz w:val="20"/>
                <w:szCs w:val="20"/>
                <w:shd w:val="clear" w:color="auto" w:fill="FFFFFF"/>
                <w:lang w:val="en-US"/>
              </w:rPr>
              <w:t>suficiente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a-și </w:t>
            </w:r>
            <w:proofErr w:type="spellStart"/>
            <w:r w:rsidRPr="003567EB">
              <w:rPr>
                <w:rFonts w:eastAsia="Arial Unicode MS"/>
                <w:color w:val="000000" w:themeColor="text1"/>
                <w:sz w:val="20"/>
                <w:szCs w:val="20"/>
                <w:shd w:val="clear" w:color="auto" w:fill="FFFFFF"/>
                <w:lang w:val="en-US"/>
              </w:rPr>
              <w:t>acoperi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emisiile</w:t>
            </w:r>
            <w:proofErr w:type="spellEnd"/>
            <w:r w:rsidRPr="003567EB">
              <w:rPr>
                <w:rFonts w:eastAsia="Arial Unicode MS"/>
                <w:color w:val="000000" w:themeColor="text1"/>
                <w:sz w:val="20"/>
                <w:szCs w:val="20"/>
                <w:shd w:val="clear" w:color="auto" w:fill="FFFFFF"/>
                <w:lang w:val="en-US"/>
              </w:rPr>
              <w:t xml:space="preserve"> din anul anterior </w:t>
            </w:r>
            <w:proofErr w:type="spellStart"/>
            <w:r w:rsidRPr="003567EB">
              <w:rPr>
                <w:rFonts w:eastAsia="Arial Unicode MS"/>
                <w:color w:val="000000" w:themeColor="text1"/>
                <w:sz w:val="20"/>
                <w:szCs w:val="20"/>
                <w:shd w:val="clear" w:color="auto" w:fill="FFFFFF"/>
                <w:lang w:val="en-US"/>
              </w:rPr>
              <w:t>i</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aplică</w:t>
            </w:r>
            <w:proofErr w:type="spellEnd"/>
            <w:r w:rsidRPr="003567EB">
              <w:rPr>
                <w:rFonts w:eastAsia="Arial Unicode MS"/>
                <w:color w:val="000000" w:themeColor="text1"/>
                <w:sz w:val="20"/>
                <w:szCs w:val="20"/>
                <w:shd w:val="clear" w:color="auto" w:fill="FFFFFF"/>
                <w:lang w:val="en-US"/>
              </w:rPr>
              <w:t xml:space="preserve"> o </w:t>
            </w:r>
            <w:proofErr w:type="spellStart"/>
            <w:r w:rsidRPr="003567EB">
              <w:rPr>
                <w:rFonts w:eastAsia="Arial Unicode MS"/>
                <w:color w:val="000000" w:themeColor="text1"/>
                <w:sz w:val="20"/>
                <w:szCs w:val="20"/>
                <w:shd w:val="clear" w:color="auto" w:fill="FFFFFF"/>
                <w:lang w:val="en-US"/>
              </w:rPr>
              <w:t>penalitate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exces</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emisii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Penalitatea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exces</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emisii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este</w:t>
            </w:r>
            <w:proofErr w:type="spellEnd"/>
            <w:r w:rsidRPr="003567EB">
              <w:rPr>
                <w:rFonts w:eastAsia="Arial Unicode MS"/>
                <w:color w:val="000000" w:themeColor="text1"/>
                <w:sz w:val="20"/>
                <w:szCs w:val="20"/>
                <w:shd w:val="clear" w:color="auto" w:fill="FFFFFF"/>
                <w:lang w:val="en-US"/>
              </w:rPr>
              <w:t xml:space="preserve"> de 100</w:t>
            </w:r>
            <w:r w:rsidR="003567EB" w:rsidRPr="003567EB">
              <w:rPr>
                <w:rFonts w:eastAsia="Arial Unicode MS"/>
                <w:color w:val="000000" w:themeColor="text1"/>
                <w:sz w:val="20"/>
                <w:szCs w:val="20"/>
                <w:shd w:val="clear" w:color="auto" w:fill="FFFFFF"/>
                <w:lang w:val="en-US"/>
              </w:rPr>
              <w:t xml:space="preserve"> </w:t>
            </w:r>
            <w:r w:rsidRPr="003567EB">
              <w:rPr>
                <w:rFonts w:eastAsia="Arial Unicode MS"/>
                <w:color w:val="000000" w:themeColor="text1"/>
                <w:sz w:val="20"/>
                <w:szCs w:val="20"/>
                <w:shd w:val="clear" w:color="auto" w:fill="FFFFFF"/>
                <w:lang w:val="en-US"/>
              </w:rPr>
              <w:t xml:space="preserve">EUR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fiecare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tonă</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dioxid</w:t>
            </w:r>
            <w:proofErr w:type="spellEnd"/>
            <w:r w:rsidRPr="003567EB">
              <w:rPr>
                <w:rFonts w:eastAsia="Arial Unicode MS"/>
                <w:color w:val="000000" w:themeColor="text1"/>
                <w:sz w:val="20"/>
                <w:szCs w:val="20"/>
                <w:shd w:val="clear" w:color="auto" w:fill="FFFFFF"/>
                <w:lang w:val="en-US"/>
              </w:rPr>
              <w:t xml:space="preserve"> de carbon </w:t>
            </w:r>
            <w:proofErr w:type="spellStart"/>
            <w:r w:rsidRPr="003567EB">
              <w:rPr>
                <w:rFonts w:eastAsia="Arial Unicode MS"/>
                <w:color w:val="000000" w:themeColor="text1"/>
                <w:sz w:val="20"/>
                <w:szCs w:val="20"/>
                <w:shd w:val="clear" w:color="auto" w:fill="FFFFFF"/>
                <w:lang w:val="en-US"/>
              </w:rPr>
              <w:t>echivalent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emisă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care </w:t>
            </w:r>
            <w:proofErr w:type="spellStart"/>
            <w:r w:rsidRPr="003567EB">
              <w:rPr>
                <w:rFonts w:eastAsia="Arial Unicode MS"/>
                <w:color w:val="000000" w:themeColor="text1"/>
                <w:sz w:val="20"/>
                <w:szCs w:val="20"/>
                <w:shd w:val="clear" w:color="auto" w:fill="FFFFFF"/>
                <w:lang w:val="en-US"/>
              </w:rPr>
              <w:t>operatorul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sau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nu a </w:t>
            </w:r>
            <w:proofErr w:type="spellStart"/>
            <w:r w:rsidRPr="003567EB">
              <w:rPr>
                <w:rFonts w:eastAsia="Arial Unicode MS"/>
                <w:color w:val="000000" w:themeColor="text1"/>
                <w:sz w:val="20"/>
                <w:szCs w:val="20"/>
                <w:shd w:val="clear" w:color="auto" w:fill="FFFFFF"/>
                <w:lang w:val="en-US"/>
              </w:rPr>
              <w:t>restituit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cotele</w:t>
            </w:r>
            <w:proofErr w:type="spellEnd"/>
            <w:r w:rsidRPr="003567EB">
              <w:rPr>
                <w:rFonts w:eastAsia="Arial Unicode MS"/>
                <w:color w:val="000000" w:themeColor="text1"/>
                <w:sz w:val="20"/>
                <w:szCs w:val="20"/>
                <w:shd w:val="clear" w:color="auto" w:fill="FFFFFF"/>
                <w:lang w:val="en-US"/>
              </w:rPr>
              <w:t xml:space="preserve">. Plata </w:t>
            </w:r>
            <w:proofErr w:type="spellStart"/>
            <w:r w:rsidRPr="003567EB">
              <w:rPr>
                <w:rFonts w:eastAsia="Arial Unicode MS"/>
                <w:color w:val="000000" w:themeColor="text1"/>
                <w:sz w:val="20"/>
                <w:szCs w:val="20"/>
                <w:shd w:val="clear" w:color="auto" w:fill="FFFFFF"/>
                <w:lang w:val="en-US"/>
              </w:rPr>
              <w:t>penalității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exces</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emisii</w:t>
            </w:r>
            <w:proofErr w:type="spellEnd"/>
            <w:r w:rsidRPr="003567EB">
              <w:rPr>
                <w:rFonts w:eastAsia="Arial Unicode MS"/>
                <w:color w:val="000000" w:themeColor="text1"/>
                <w:sz w:val="20"/>
                <w:szCs w:val="20"/>
                <w:shd w:val="clear" w:color="auto" w:fill="FFFFFF"/>
                <w:lang w:val="en-US"/>
              </w:rPr>
              <w:t xml:space="preserve"> nu </w:t>
            </w:r>
            <w:proofErr w:type="spellStart"/>
            <w:r w:rsidRPr="003567EB">
              <w:rPr>
                <w:rFonts w:eastAsia="Arial Unicode MS"/>
                <w:color w:val="000000" w:themeColor="text1"/>
                <w:sz w:val="20"/>
                <w:szCs w:val="20"/>
                <w:shd w:val="clear" w:color="auto" w:fill="FFFFFF"/>
                <w:lang w:val="en-US"/>
              </w:rPr>
              <w:t>exonerează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sau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obligația</w:t>
            </w:r>
            <w:proofErr w:type="spellEnd"/>
            <w:r w:rsidRPr="003567EB">
              <w:rPr>
                <w:rFonts w:eastAsia="Arial Unicode MS"/>
                <w:color w:val="000000" w:themeColor="text1"/>
                <w:sz w:val="20"/>
                <w:szCs w:val="20"/>
                <w:shd w:val="clear" w:color="auto" w:fill="FFFFFF"/>
                <w:lang w:val="en-US"/>
              </w:rPr>
              <w:t xml:space="preserve"> de a </w:t>
            </w:r>
            <w:proofErr w:type="spellStart"/>
            <w:r w:rsidRPr="003567EB">
              <w:rPr>
                <w:rFonts w:eastAsia="Arial Unicode MS"/>
                <w:color w:val="000000" w:themeColor="text1"/>
                <w:sz w:val="20"/>
                <w:szCs w:val="20"/>
                <w:shd w:val="clear" w:color="auto" w:fill="FFFFFF"/>
                <w:lang w:val="en-US"/>
              </w:rPr>
              <w:t>restitui</w:t>
            </w:r>
            <w:proofErr w:type="spellEnd"/>
            <w:r w:rsidRPr="003567EB">
              <w:rPr>
                <w:rFonts w:eastAsia="Arial Unicode MS"/>
                <w:color w:val="000000" w:themeColor="text1"/>
                <w:sz w:val="20"/>
                <w:szCs w:val="20"/>
                <w:shd w:val="clear" w:color="auto" w:fill="FFFFFF"/>
                <w:lang w:val="en-US"/>
              </w:rPr>
              <w:t xml:space="preserve"> un </w:t>
            </w:r>
            <w:proofErr w:type="spellStart"/>
            <w:r w:rsidRPr="003567EB">
              <w:rPr>
                <w:rFonts w:eastAsia="Arial Unicode MS"/>
                <w:color w:val="000000" w:themeColor="text1"/>
                <w:sz w:val="20"/>
                <w:szCs w:val="20"/>
                <w:shd w:val="clear" w:color="auto" w:fill="FFFFFF"/>
                <w:lang w:val="en-US"/>
              </w:rPr>
              <w:t>număr</w:t>
            </w:r>
            <w:proofErr w:type="spellEnd"/>
            <w:r w:rsidRPr="003567EB">
              <w:rPr>
                <w:rFonts w:eastAsia="Arial Unicode MS"/>
                <w:color w:val="000000" w:themeColor="text1"/>
                <w:sz w:val="20"/>
                <w:szCs w:val="20"/>
                <w:shd w:val="clear" w:color="auto" w:fill="FFFFFF"/>
                <w:lang w:val="en-US"/>
              </w:rPr>
              <w:t xml:space="preserve"> de cote egal cu </w:t>
            </w:r>
            <w:proofErr w:type="spellStart"/>
            <w:r w:rsidRPr="003567EB">
              <w:rPr>
                <w:rFonts w:eastAsia="Arial Unicode MS"/>
                <w:color w:val="000000" w:themeColor="text1"/>
                <w:sz w:val="20"/>
                <w:szCs w:val="20"/>
                <w:shd w:val="clear" w:color="auto" w:fill="FFFFFF"/>
                <w:lang w:val="en-US"/>
              </w:rPr>
              <w:t>depășirea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respectivă</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emisii</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restituirea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cotelor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următorul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an</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calendaristic</w:t>
            </w:r>
            <w:proofErr w:type="spellEnd"/>
            <w:r w:rsidRPr="003567EB">
              <w:rPr>
                <w:rFonts w:eastAsia="Arial Unicode MS"/>
                <w:color w:val="000000" w:themeColor="text1"/>
                <w:sz w:val="20"/>
                <w:szCs w:val="20"/>
                <w:shd w:val="clear" w:color="auto" w:fill="FFFFFF"/>
                <w:lang w:val="en-US"/>
              </w:rPr>
              <w:t>.</w:t>
            </w:r>
          </w:p>
          <w:p w14:paraId="76898D30"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244" w:tooltip="32023L0959: INSERTED" w:history="1">
              <w:r>
                <w:rPr>
                  <w:rStyle w:val="af3"/>
                  <w:rFonts w:eastAsia="Arial Unicode MS"/>
                  <w:b/>
                  <w:bCs/>
                  <w:color w:val="4472C4" w:themeColor="accent1"/>
                  <w:sz w:val="20"/>
                  <w:szCs w:val="20"/>
                </w:rPr>
                <w:t>▼M15</w:t>
              </w:r>
            </w:hyperlink>
          </w:p>
          <w:p w14:paraId="15FA713D" w14:textId="77777777" w:rsidR="00124364" w:rsidRPr="003567EB" w:rsidRDefault="00000000" w:rsidP="003567EB">
            <w:pPr>
              <w:pStyle w:val="ti-art"/>
              <w:numPr>
                <w:ilvl w:val="0"/>
                <w:numId w:val="9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Penalitățile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prevăzute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(3) se </w:t>
            </w:r>
            <w:proofErr w:type="spellStart"/>
            <w:r w:rsidRPr="003567EB">
              <w:rPr>
                <w:rFonts w:eastAsia="Arial Unicode MS"/>
                <w:color w:val="000000" w:themeColor="text1"/>
                <w:sz w:val="20"/>
                <w:szCs w:val="20"/>
                <w:shd w:val="clear" w:color="auto" w:fill="FFFFFF"/>
                <w:lang w:val="en-US"/>
              </w:rPr>
              <w:t>aplică</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asemenea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companiilor</w:t>
            </w:r>
            <w:proofErr w:type="spellEnd"/>
            <w:r w:rsidRPr="003567EB">
              <w:rPr>
                <w:rFonts w:eastAsia="Arial Unicode MS"/>
                <w:color w:val="000000" w:themeColor="text1"/>
                <w:sz w:val="20"/>
                <w:szCs w:val="20"/>
                <w:shd w:val="clear" w:color="auto" w:fill="FFFFFF"/>
                <w:lang w:val="en-US"/>
              </w:rPr>
              <w:t xml:space="preserve"> de transport maritim.</w:t>
            </w:r>
          </w:p>
          <w:p w14:paraId="43D6DBF2"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45" w:tooltip="32009L0029: REPLACED" w:history="1">
              <w:r>
                <w:rPr>
                  <w:rStyle w:val="af3"/>
                  <w:rFonts w:eastAsia="Arial Unicode MS"/>
                  <w:b/>
                  <w:bCs/>
                  <w:color w:val="4472C4" w:themeColor="accent1"/>
                  <w:sz w:val="20"/>
                  <w:szCs w:val="20"/>
                </w:rPr>
                <w:t>▼M4</w:t>
              </w:r>
            </w:hyperlink>
          </w:p>
          <w:p w14:paraId="24C0A1E4" w14:textId="3C02DC3D"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lastRenderedPageBreak/>
              <w:t>Penalitatea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depășirea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nivelului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emisii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aferent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certificatelor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emise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începând</w:t>
            </w:r>
            <w:proofErr w:type="spellEnd"/>
            <w:r w:rsidRPr="003567EB">
              <w:rPr>
                <w:rFonts w:eastAsia="Arial Unicode MS"/>
                <w:color w:val="000000" w:themeColor="text1"/>
                <w:sz w:val="20"/>
                <w:szCs w:val="20"/>
                <w:shd w:val="clear" w:color="auto" w:fill="FFFFFF"/>
                <w:lang w:val="en-US"/>
              </w:rPr>
              <w:t xml:space="preserve"> cu 1</w:t>
            </w:r>
            <w:r w:rsid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ianuarie</w:t>
            </w:r>
            <w:proofErr w:type="spellEnd"/>
            <w:r w:rsidRPr="003567EB">
              <w:rPr>
                <w:rFonts w:eastAsia="Arial Unicode MS"/>
                <w:color w:val="000000" w:themeColor="text1"/>
                <w:sz w:val="20"/>
                <w:szCs w:val="20"/>
                <w:shd w:val="clear" w:color="auto" w:fill="FFFFFF"/>
                <w:lang w:val="en-US"/>
              </w:rPr>
              <w:t xml:space="preserve"> 2013 se </w:t>
            </w:r>
            <w:proofErr w:type="spellStart"/>
            <w:r w:rsidRPr="003567EB">
              <w:rPr>
                <w:rFonts w:eastAsia="Arial Unicode MS"/>
                <w:color w:val="000000" w:themeColor="text1"/>
                <w:sz w:val="20"/>
                <w:szCs w:val="20"/>
                <w:shd w:val="clear" w:color="auto" w:fill="FFFFFF"/>
                <w:lang w:val="en-US"/>
              </w:rPr>
              <w:t>majorează</w:t>
            </w:r>
            <w:proofErr w:type="spellEnd"/>
            <w:r w:rsidRPr="003567EB">
              <w:rPr>
                <w:rFonts w:eastAsia="Arial Unicode MS"/>
                <w:color w:val="000000" w:themeColor="text1"/>
                <w:sz w:val="20"/>
                <w:szCs w:val="20"/>
                <w:shd w:val="clear" w:color="auto" w:fill="FFFFFF"/>
                <w:lang w:val="en-US"/>
              </w:rPr>
              <w:t xml:space="preserve"> în conformitate cu </w:t>
            </w:r>
            <w:proofErr w:type="spellStart"/>
            <w:r w:rsidRPr="003567EB">
              <w:rPr>
                <w:rFonts w:eastAsia="Arial Unicode MS"/>
                <w:color w:val="000000" w:themeColor="text1"/>
                <w:sz w:val="20"/>
                <w:szCs w:val="20"/>
                <w:shd w:val="clear" w:color="auto" w:fill="FFFFFF"/>
                <w:lang w:val="en-US"/>
              </w:rPr>
              <w:t>indicele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european</w:t>
            </w:r>
            <w:proofErr w:type="spellEnd"/>
            <w:r w:rsidRPr="003567EB">
              <w:rPr>
                <w:rFonts w:eastAsia="Arial Unicode MS"/>
                <w:color w:val="000000" w:themeColor="text1"/>
                <w:sz w:val="20"/>
                <w:szCs w:val="20"/>
                <w:shd w:val="clear" w:color="auto" w:fill="FFFFFF"/>
                <w:lang w:val="en-US"/>
              </w:rPr>
              <w:t xml:space="preserve"> al </w:t>
            </w:r>
            <w:proofErr w:type="spellStart"/>
            <w:r w:rsidRPr="003567EB">
              <w:rPr>
                <w:rFonts w:eastAsia="Arial Unicode MS"/>
                <w:color w:val="000000" w:themeColor="text1"/>
                <w:sz w:val="20"/>
                <w:szCs w:val="20"/>
                <w:shd w:val="clear" w:color="auto" w:fill="FFFFFF"/>
                <w:lang w:val="en-US"/>
              </w:rPr>
              <w:t>prețurilor</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consum</w:t>
            </w:r>
            <w:proofErr w:type="spellEnd"/>
            <w:r w:rsidRPr="003567EB">
              <w:rPr>
                <w:rFonts w:eastAsia="Arial Unicode MS"/>
                <w:color w:val="000000" w:themeColor="text1"/>
                <w:sz w:val="20"/>
                <w:szCs w:val="20"/>
                <w:shd w:val="clear" w:color="auto" w:fill="FFFFFF"/>
                <w:lang w:val="en-US"/>
              </w:rPr>
              <w:t>.</w:t>
            </w:r>
          </w:p>
          <w:p w14:paraId="0D0F6C8A"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46" w:tooltip="32008L0101: INSERTED" w:history="1">
              <w:r>
                <w:rPr>
                  <w:rStyle w:val="af3"/>
                  <w:rFonts w:eastAsia="Arial Unicode MS"/>
                  <w:b/>
                  <w:bCs/>
                  <w:color w:val="4472C4" w:themeColor="accent1"/>
                  <w:sz w:val="20"/>
                  <w:szCs w:val="20"/>
                </w:rPr>
                <w:t>▼M2</w:t>
              </w:r>
            </w:hyperlink>
          </w:p>
          <w:p w14:paraId="23C3B344"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în care un operator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nu </w:t>
            </w:r>
            <w:proofErr w:type="spellStart"/>
            <w:r w:rsidRPr="003567EB">
              <w:rPr>
                <w:rFonts w:eastAsia="Arial Unicode MS"/>
                <w:color w:val="000000" w:themeColor="text1"/>
                <w:sz w:val="20"/>
                <w:szCs w:val="20"/>
                <w:shd w:val="clear" w:color="auto" w:fill="FFFFFF"/>
                <w:lang w:val="en-US"/>
              </w:rPr>
              <w:t>respectă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cerințele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prezentei</w:t>
            </w:r>
            <w:proofErr w:type="spellEnd"/>
            <w:r w:rsidRPr="003567EB">
              <w:rPr>
                <w:rFonts w:eastAsia="Arial Unicode MS"/>
                <w:color w:val="000000" w:themeColor="text1"/>
                <w:sz w:val="20"/>
                <w:szCs w:val="20"/>
                <w:shd w:val="clear" w:color="auto" w:fill="FFFFFF"/>
                <w:lang w:val="en-US"/>
              </w:rPr>
              <w:t xml:space="preserve"> directive și nu s-a </w:t>
            </w:r>
            <w:proofErr w:type="spellStart"/>
            <w:r w:rsidRPr="003567EB">
              <w:rPr>
                <w:rFonts w:eastAsia="Arial Unicode MS"/>
                <w:color w:val="000000" w:themeColor="text1"/>
                <w:sz w:val="20"/>
                <w:szCs w:val="20"/>
                <w:shd w:val="clear" w:color="auto" w:fill="FFFFFF"/>
                <w:lang w:val="en-US"/>
              </w:rPr>
              <w:t>putut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asigura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respectarea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acestor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cerințe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prin</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alte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măsuri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punere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executare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administrare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solicita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decidă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impunerea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interdicții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operare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respectiv</w:t>
            </w:r>
            <w:proofErr w:type="spellEnd"/>
            <w:r w:rsidRPr="003567EB">
              <w:rPr>
                <w:rFonts w:eastAsia="Arial Unicode MS"/>
                <w:color w:val="000000" w:themeColor="text1"/>
                <w:sz w:val="20"/>
                <w:szCs w:val="20"/>
                <w:shd w:val="clear" w:color="auto" w:fill="FFFFFF"/>
                <w:lang w:val="en-US"/>
              </w:rPr>
              <w:t>.</w:t>
            </w:r>
          </w:p>
          <w:p w14:paraId="25C0F5F8"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Orice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cerere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administrare</w:t>
            </w:r>
            <w:proofErr w:type="spellEnd"/>
            <w:r w:rsidRPr="003567EB">
              <w:rPr>
                <w:rFonts w:eastAsia="Arial Unicode MS"/>
                <w:color w:val="000000" w:themeColor="text1"/>
                <w:sz w:val="20"/>
                <w:szCs w:val="20"/>
                <w:shd w:val="clear" w:color="auto" w:fill="FFFFFF"/>
                <w:lang w:val="en-US"/>
              </w:rPr>
              <w:t xml:space="preserve"> în conformitate cu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(5) include:</w:t>
            </w:r>
          </w:p>
          <w:p w14:paraId="76A902C2" w14:textId="77777777" w:rsidR="00124364" w:rsidRPr="003567EB" w:rsidRDefault="00000000" w:rsidP="003567EB">
            <w:pPr>
              <w:pStyle w:val="ti-art"/>
              <w:numPr>
                <w:ilvl w:val="0"/>
                <w:numId w:val="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dovada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neîndeplinirii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către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w:t>
            </w:r>
            <w:proofErr w:type="gramStart"/>
            <w:r w:rsidRPr="003567EB">
              <w:rPr>
                <w:rFonts w:eastAsia="Arial Unicode MS"/>
                <w:color w:val="000000" w:themeColor="text1"/>
                <w:sz w:val="20"/>
                <w:szCs w:val="20"/>
                <w:shd w:val="clear" w:color="auto" w:fill="FFFFFF"/>
                <w:lang w:val="en-US"/>
              </w:rPr>
              <w:t>a</w:t>
            </w:r>
            <w:proofErr w:type="gram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obligațiilor</w:t>
            </w:r>
            <w:proofErr w:type="spellEnd"/>
            <w:r w:rsidRPr="003567EB">
              <w:rPr>
                <w:rFonts w:eastAsia="Arial Unicode MS"/>
                <w:color w:val="000000" w:themeColor="text1"/>
                <w:sz w:val="20"/>
                <w:szCs w:val="20"/>
                <w:shd w:val="clear" w:color="auto" w:fill="FFFFFF"/>
                <w:lang w:val="en-US"/>
              </w:rPr>
              <w:t xml:space="preserve"> care </w:t>
            </w:r>
            <w:proofErr w:type="spellStart"/>
            <w:r w:rsidRPr="003567EB">
              <w:rPr>
                <w:rFonts w:eastAsia="Arial Unicode MS"/>
                <w:color w:val="000000" w:themeColor="text1"/>
                <w:sz w:val="20"/>
                <w:szCs w:val="20"/>
                <w:shd w:val="clear" w:color="auto" w:fill="FFFFFF"/>
                <w:lang w:val="en-US"/>
              </w:rPr>
              <w:t>îi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revin</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temeiul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prezentei</w:t>
            </w:r>
            <w:proofErr w:type="spellEnd"/>
            <w:r w:rsidRPr="003567EB">
              <w:rPr>
                <w:rFonts w:eastAsia="Arial Unicode MS"/>
                <w:color w:val="000000" w:themeColor="text1"/>
                <w:sz w:val="20"/>
                <w:szCs w:val="20"/>
                <w:shd w:val="clear" w:color="auto" w:fill="FFFFFF"/>
                <w:lang w:val="en-US"/>
              </w:rPr>
              <w:t xml:space="preserve"> directive;</w:t>
            </w:r>
          </w:p>
          <w:p w14:paraId="4CDBBA3F" w14:textId="77777777" w:rsidR="00124364" w:rsidRPr="003567EB" w:rsidRDefault="00000000" w:rsidP="003567EB">
            <w:pPr>
              <w:pStyle w:val="ti-art"/>
              <w:numPr>
                <w:ilvl w:val="0"/>
                <w:numId w:val="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detalii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privind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măsurile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punere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executare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întreprinse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către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respectiv</w:t>
            </w:r>
            <w:proofErr w:type="spellEnd"/>
            <w:r w:rsidRPr="003567EB">
              <w:rPr>
                <w:rFonts w:eastAsia="Arial Unicode MS"/>
                <w:color w:val="000000" w:themeColor="text1"/>
                <w:sz w:val="20"/>
                <w:szCs w:val="20"/>
                <w:shd w:val="clear" w:color="auto" w:fill="FFFFFF"/>
                <w:lang w:val="en-US"/>
              </w:rPr>
              <w:t>;</w:t>
            </w:r>
          </w:p>
          <w:p w14:paraId="2484E0C6" w14:textId="77777777" w:rsidR="00124364" w:rsidRPr="003567EB" w:rsidRDefault="00000000" w:rsidP="003567EB">
            <w:pPr>
              <w:pStyle w:val="ti-art"/>
              <w:numPr>
                <w:ilvl w:val="0"/>
                <w:numId w:val="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o </w:t>
            </w:r>
            <w:proofErr w:type="spellStart"/>
            <w:r w:rsidRPr="003567EB">
              <w:rPr>
                <w:rFonts w:eastAsia="Arial Unicode MS"/>
                <w:color w:val="000000" w:themeColor="text1"/>
                <w:sz w:val="20"/>
                <w:szCs w:val="20"/>
                <w:shd w:val="clear" w:color="auto" w:fill="FFFFFF"/>
                <w:lang w:val="en-US"/>
              </w:rPr>
              <w:t>justificare</w:t>
            </w:r>
            <w:proofErr w:type="spellEnd"/>
            <w:r w:rsidRPr="003567EB">
              <w:rPr>
                <w:rFonts w:eastAsia="Arial Unicode MS"/>
                <w:color w:val="000000" w:themeColor="text1"/>
                <w:sz w:val="20"/>
                <w:szCs w:val="20"/>
                <w:shd w:val="clear" w:color="auto" w:fill="FFFFFF"/>
                <w:lang w:val="en-US"/>
              </w:rPr>
              <w:t xml:space="preserve"> </w:t>
            </w:r>
            <w:proofErr w:type="gramStart"/>
            <w:r w:rsidRPr="003567EB">
              <w:rPr>
                <w:rFonts w:eastAsia="Arial Unicode MS"/>
                <w:color w:val="000000" w:themeColor="text1"/>
                <w:sz w:val="20"/>
                <w:szCs w:val="20"/>
                <w:shd w:val="clear" w:color="auto" w:fill="FFFFFF"/>
                <w:lang w:val="en-US"/>
              </w:rPr>
              <w:t>a</w:t>
            </w:r>
            <w:proofErr w:type="gram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impunerii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interdicției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operare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nivel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comunitar</w:t>
            </w:r>
            <w:proofErr w:type="spellEnd"/>
            <w:r w:rsidRPr="003567EB">
              <w:rPr>
                <w:rFonts w:eastAsia="Arial Unicode MS"/>
                <w:color w:val="000000" w:themeColor="text1"/>
                <w:sz w:val="20"/>
                <w:szCs w:val="20"/>
                <w:shd w:val="clear" w:color="auto" w:fill="FFFFFF"/>
                <w:lang w:val="en-US"/>
              </w:rPr>
              <w:t>; precum și</w:t>
            </w:r>
          </w:p>
          <w:p w14:paraId="18AFD643" w14:textId="77777777" w:rsidR="00124364" w:rsidRPr="003567EB" w:rsidRDefault="00000000" w:rsidP="003567EB">
            <w:pPr>
              <w:pStyle w:val="ti-art"/>
              <w:numPr>
                <w:ilvl w:val="0"/>
                <w:numId w:val="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o </w:t>
            </w:r>
            <w:proofErr w:type="spellStart"/>
            <w:r w:rsidRPr="003567EB">
              <w:rPr>
                <w:rFonts w:eastAsia="Arial Unicode MS"/>
                <w:color w:val="000000" w:themeColor="text1"/>
                <w:sz w:val="20"/>
                <w:szCs w:val="20"/>
                <w:shd w:val="clear" w:color="auto" w:fill="FFFFFF"/>
                <w:lang w:val="en-US"/>
              </w:rPr>
              <w:t>recomandare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privind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domeniul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aplicare</w:t>
            </w:r>
            <w:proofErr w:type="spellEnd"/>
            <w:r w:rsidRPr="003567EB">
              <w:rPr>
                <w:rFonts w:eastAsia="Arial Unicode MS"/>
                <w:color w:val="000000" w:themeColor="text1"/>
                <w:sz w:val="20"/>
                <w:szCs w:val="20"/>
                <w:shd w:val="clear" w:color="auto" w:fill="FFFFFF"/>
                <w:lang w:val="en-US"/>
              </w:rPr>
              <w:t xml:space="preserve"> al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interdicții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operare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nivel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comunitar</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orice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condiții</w:t>
            </w:r>
            <w:proofErr w:type="spellEnd"/>
            <w:r w:rsidRPr="003567EB">
              <w:rPr>
                <w:rFonts w:eastAsia="Arial Unicode MS"/>
                <w:color w:val="000000" w:themeColor="text1"/>
                <w:sz w:val="20"/>
                <w:szCs w:val="20"/>
                <w:shd w:val="clear" w:color="auto" w:fill="FFFFFF"/>
                <w:lang w:val="en-US"/>
              </w:rPr>
              <w:t xml:space="preserve"> care </w:t>
            </w:r>
            <w:proofErr w:type="spellStart"/>
            <w:r w:rsidRPr="003567EB">
              <w:rPr>
                <w:rFonts w:eastAsia="Arial Unicode MS"/>
                <w:color w:val="000000" w:themeColor="text1"/>
                <w:sz w:val="20"/>
                <w:szCs w:val="20"/>
                <w:shd w:val="clear" w:color="auto" w:fill="FFFFFF"/>
                <w:lang w:val="en-US"/>
              </w:rPr>
              <w:t>ar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trebui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aplice</w:t>
            </w:r>
            <w:proofErr w:type="spellEnd"/>
            <w:r w:rsidRPr="003567EB">
              <w:rPr>
                <w:rFonts w:eastAsia="Arial Unicode MS"/>
                <w:color w:val="000000" w:themeColor="text1"/>
                <w:sz w:val="20"/>
                <w:szCs w:val="20"/>
                <w:shd w:val="clear" w:color="auto" w:fill="FFFFFF"/>
                <w:lang w:val="en-US"/>
              </w:rPr>
              <w:t>.</w:t>
            </w:r>
          </w:p>
          <w:p w14:paraId="2CBB8303"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În </w:t>
            </w:r>
            <w:proofErr w:type="spellStart"/>
            <w:r w:rsidRPr="003567EB">
              <w:rPr>
                <w:rFonts w:eastAsia="Arial Unicode MS"/>
                <w:color w:val="000000" w:themeColor="text1"/>
                <w:sz w:val="20"/>
                <w:szCs w:val="20"/>
                <w:shd w:val="clear" w:color="auto" w:fill="FFFFFF"/>
                <w:lang w:val="en-US"/>
              </w:rPr>
              <w:t>cazurile</w:t>
            </w:r>
            <w:proofErr w:type="spellEnd"/>
            <w:r w:rsidRPr="003567EB">
              <w:rPr>
                <w:rFonts w:eastAsia="Arial Unicode MS"/>
                <w:color w:val="000000" w:themeColor="text1"/>
                <w:sz w:val="20"/>
                <w:szCs w:val="20"/>
                <w:shd w:val="clear" w:color="auto" w:fill="FFFFFF"/>
                <w:lang w:val="en-US"/>
              </w:rPr>
              <w:t xml:space="preserve"> în care </w:t>
            </w:r>
            <w:proofErr w:type="spellStart"/>
            <w:r w:rsidRPr="003567EB">
              <w:rPr>
                <w:rFonts w:eastAsia="Arial Unicode MS"/>
                <w:color w:val="000000" w:themeColor="text1"/>
                <w:sz w:val="20"/>
                <w:szCs w:val="20"/>
                <w:shd w:val="clear" w:color="auto" w:fill="FFFFFF"/>
                <w:lang w:val="en-US"/>
              </w:rPr>
              <w:t>solicitările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(5) sunt </w:t>
            </w:r>
            <w:proofErr w:type="spellStart"/>
            <w:r w:rsidRPr="003567EB">
              <w:rPr>
                <w:rFonts w:eastAsia="Arial Unicode MS"/>
                <w:color w:val="000000" w:themeColor="text1"/>
                <w:sz w:val="20"/>
                <w:szCs w:val="20"/>
                <w:shd w:val="clear" w:color="auto" w:fill="FFFFFF"/>
                <w:lang w:val="en-US"/>
              </w:rPr>
              <w:t>adresate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informează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celelalte</w:t>
            </w:r>
            <w:proofErr w:type="spellEnd"/>
            <w:r w:rsidRPr="003567EB">
              <w:rPr>
                <w:rFonts w:eastAsia="Arial Unicode MS"/>
                <w:color w:val="000000" w:themeColor="text1"/>
                <w:sz w:val="20"/>
                <w:szCs w:val="20"/>
                <w:shd w:val="clear" w:color="auto" w:fill="FFFFFF"/>
                <w:lang w:val="en-US"/>
              </w:rPr>
              <w:t xml:space="preserve"> state </w:t>
            </w:r>
            <w:proofErr w:type="spellStart"/>
            <w:r w:rsidRPr="003567EB">
              <w:rPr>
                <w:rFonts w:eastAsia="Arial Unicode MS"/>
                <w:color w:val="000000" w:themeColor="text1"/>
                <w:sz w:val="20"/>
                <w:szCs w:val="20"/>
                <w:shd w:val="clear" w:color="auto" w:fill="FFFFFF"/>
                <w:lang w:val="en-US"/>
              </w:rPr>
              <w:t>membre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prin</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intermediul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reprezentanților</w:t>
            </w:r>
            <w:proofErr w:type="spellEnd"/>
            <w:r w:rsidRPr="003567EB">
              <w:rPr>
                <w:rFonts w:eastAsia="Arial Unicode MS"/>
                <w:color w:val="000000" w:themeColor="text1"/>
                <w:sz w:val="20"/>
                <w:szCs w:val="20"/>
                <w:shd w:val="clear" w:color="auto" w:fill="FFFFFF"/>
                <w:lang w:val="en-US"/>
              </w:rPr>
              <w:t xml:space="preserve"> lor în </w:t>
            </w:r>
            <w:proofErr w:type="spellStart"/>
            <w:r w:rsidRPr="003567EB">
              <w:rPr>
                <w:rFonts w:eastAsia="Arial Unicode MS"/>
                <w:color w:val="000000" w:themeColor="text1"/>
                <w:sz w:val="20"/>
                <w:szCs w:val="20"/>
                <w:shd w:val="clear" w:color="auto" w:fill="FFFFFF"/>
                <w:lang w:val="en-US"/>
              </w:rPr>
              <w:t>comitetul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articolul</w:t>
            </w:r>
            <w:proofErr w:type="spellEnd"/>
            <w:r w:rsidRPr="003567EB">
              <w:rPr>
                <w:rFonts w:eastAsia="Arial Unicode MS"/>
                <w:color w:val="000000" w:themeColor="text1"/>
                <w:sz w:val="20"/>
                <w:szCs w:val="20"/>
                <w:shd w:val="clear" w:color="auto" w:fill="FFFFFF"/>
                <w:lang w:val="en-US"/>
              </w:rPr>
              <w:t xml:space="preserve"> 23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(1) în conformitate cu </w:t>
            </w:r>
            <w:proofErr w:type="spellStart"/>
            <w:r w:rsidRPr="003567EB">
              <w:rPr>
                <w:rFonts w:eastAsia="Arial Unicode MS"/>
                <w:color w:val="000000" w:themeColor="text1"/>
                <w:sz w:val="20"/>
                <w:szCs w:val="20"/>
                <w:shd w:val="clear" w:color="auto" w:fill="FFFFFF"/>
                <w:lang w:val="en-US"/>
              </w:rPr>
              <w:t>procedurile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prevăzute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regulamentul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procedură</w:t>
            </w:r>
            <w:proofErr w:type="spellEnd"/>
            <w:r w:rsidRPr="003567EB">
              <w:rPr>
                <w:rFonts w:eastAsia="Arial Unicode MS"/>
                <w:color w:val="000000" w:themeColor="text1"/>
                <w:sz w:val="20"/>
                <w:szCs w:val="20"/>
                <w:shd w:val="clear" w:color="auto" w:fill="FFFFFF"/>
                <w:lang w:val="en-US"/>
              </w:rPr>
              <w:t xml:space="preserve"> al </w:t>
            </w:r>
            <w:proofErr w:type="spellStart"/>
            <w:r w:rsidRPr="003567EB">
              <w:rPr>
                <w:rFonts w:eastAsia="Arial Unicode MS"/>
                <w:color w:val="000000" w:themeColor="text1"/>
                <w:sz w:val="20"/>
                <w:szCs w:val="20"/>
                <w:shd w:val="clear" w:color="auto" w:fill="FFFFFF"/>
                <w:lang w:val="en-US"/>
              </w:rPr>
              <w:t>comitetului</w:t>
            </w:r>
            <w:proofErr w:type="spellEnd"/>
            <w:r w:rsidRPr="003567EB">
              <w:rPr>
                <w:rFonts w:eastAsia="Arial Unicode MS"/>
                <w:color w:val="000000" w:themeColor="text1"/>
                <w:sz w:val="20"/>
                <w:szCs w:val="20"/>
                <w:shd w:val="clear" w:color="auto" w:fill="FFFFFF"/>
                <w:lang w:val="en-US"/>
              </w:rPr>
              <w:t>.</w:t>
            </w:r>
          </w:p>
          <w:p w14:paraId="309DC62F"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Adoptarea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decizii</w:t>
            </w:r>
            <w:proofErr w:type="spellEnd"/>
            <w:r w:rsidRPr="003567EB">
              <w:rPr>
                <w:rFonts w:eastAsia="Arial Unicode MS"/>
                <w:color w:val="000000" w:themeColor="text1"/>
                <w:sz w:val="20"/>
                <w:szCs w:val="20"/>
                <w:shd w:val="clear" w:color="auto" w:fill="FFFFFF"/>
                <w:lang w:val="en-US"/>
              </w:rPr>
              <w:t xml:space="preserve"> ca </w:t>
            </w:r>
            <w:proofErr w:type="spellStart"/>
            <w:r w:rsidRPr="003567EB">
              <w:rPr>
                <w:rFonts w:eastAsia="Arial Unicode MS"/>
                <w:color w:val="000000" w:themeColor="text1"/>
                <w:sz w:val="20"/>
                <w:szCs w:val="20"/>
                <w:shd w:val="clear" w:color="auto" w:fill="FFFFFF"/>
                <w:lang w:val="en-US"/>
              </w:rPr>
              <w:t>urmare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cereri</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temeiul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alineatului</w:t>
            </w:r>
            <w:proofErr w:type="spellEnd"/>
            <w:r w:rsidRPr="003567EB">
              <w:rPr>
                <w:rFonts w:eastAsia="Arial Unicode MS"/>
                <w:color w:val="000000" w:themeColor="text1"/>
                <w:sz w:val="20"/>
                <w:szCs w:val="20"/>
                <w:shd w:val="clear" w:color="auto" w:fill="FFFFFF"/>
                <w:lang w:val="en-US"/>
              </w:rPr>
              <w:t xml:space="preserve"> (5) </w:t>
            </w:r>
            <w:proofErr w:type="spellStart"/>
            <w:r w:rsidRPr="003567EB">
              <w:rPr>
                <w:rFonts w:eastAsia="Arial Unicode MS"/>
                <w:color w:val="000000" w:themeColor="text1"/>
                <w:sz w:val="20"/>
                <w:szCs w:val="20"/>
                <w:shd w:val="clear" w:color="auto" w:fill="FFFFFF"/>
                <w:lang w:val="en-US"/>
              </w:rPr>
              <w:t>este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precedată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după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caz</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dacă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este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consultări</w:t>
            </w:r>
            <w:proofErr w:type="spellEnd"/>
            <w:r w:rsidRPr="003567EB">
              <w:rPr>
                <w:rFonts w:eastAsia="Arial Unicode MS"/>
                <w:color w:val="000000" w:themeColor="text1"/>
                <w:sz w:val="20"/>
                <w:szCs w:val="20"/>
                <w:shd w:val="clear" w:color="auto" w:fill="FFFFFF"/>
                <w:lang w:val="en-US"/>
              </w:rPr>
              <w:t xml:space="preserve"> cu </w:t>
            </w:r>
            <w:proofErr w:type="spellStart"/>
            <w:r w:rsidRPr="003567EB">
              <w:rPr>
                <w:rFonts w:eastAsia="Arial Unicode MS"/>
                <w:color w:val="000000" w:themeColor="text1"/>
                <w:sz w:val="20"/>
                <w:szCs w:val="20"/>
                <w:shd w:val="clear" w:color="auto" w:fill="FFFFFF"/>
                <w:lang w:val="en-US"/>
              </w:rPr>
              <w:t>autoritățile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responsabile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supravegherea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reglementară</w:t>
            </w:r>
            <w:proofErr w:type="spellEnd"/>
            <w:r w:rsidRPr="003567EB">
              <w:rPr>
                <w:rFonts w:eastAsia="Arial Unicode MS"/>
                <w:color w:val="000000" w:themeColor="text1"/>
                <w:sz w:val="20"/>
                <w:szCs w:val="20"/>
                <w:shd w:val="clear" w:color="auto" w:fill="FFFFFF"/>
                <w:lang w:val="en-US"/>
              </w:rPr>
              <w:t xml:space="preserve"> </w:t>
            </w:r>
            <w:proofErr w:type="gramStart"/>
            <w:r w:rsidRPr="003567EB">
              <w:rPr>
                <w:rFonts w:eastAsia="Arial Unicode MS"/>
                <w:color w:val="000000" w:themeColor="text1"/>
                <w:sz w:val="20"/>
                <w:szCs w:val="20"/>
                <w:shd w:val="clear" w:color="auto" w:fill="FFFFFF"/>
                <w:lang w:val="en-US"/>
              </w:rPr>
              <w:t>a</w:t>
            </w:r>
            <w:proofErr w:type="gram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măsura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consultările</w:t>
            </w:r>
            <w:proofErr w:type="spellEnd"/>
            <w:r w:rsidRPr="003567EB">
              <w:rPr>
                <w:rFonts w:eastAsia="Arial Unicode MS"/>
                <w:color w:val="000000" w:themeColor="text1"/>
                <w:sz w:val="20"/>
                <w:szCs w:val="20"/>
                <w:shd w:val="clear" w:color="auto" w:fill="FFFFFF"/>
                <w:lang w:val="en-US"/>
              </w:rPr>
              <w:t xml:space="preserve"> sunt </w:t>
            </w:r>
            <w:proofErr w:type="spellStart"/>
            <w:r w:rsidRPr="003567EB">
              <w:rPr>
                <w:rFonts w:eastAsia="Arial Unicode MS"/>
                <w:color w:val="000000" w:themeColor="text1"/>
                <w:sz w:val="20"/>
                <w:szCs w:val="20"/>
                <w:shd w:val="clear" w:color="auto" w:fill="FFFFFF"/>
                <w:lang w:val="en-US"/>
              </w:rPr>
              <w:t>organizate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comun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către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Comisie</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statele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membre</w:t>
            </w:r>
            <w:proofErr w:type="spellEnd"/>
            <w:r w:rsidRPr="003567EB">
              <w:rPr>
                <w:rFonts w:eastAsia="Arial Unicode MS"/>
                <w:color w:val="000000" w:themeColor="text1"/>
                <w:sz w:val="20"/>
                <w:szCs w:val="20"/>
                <w:shd w:val="clear" w:color="auto" w:fill="FFFFFF"/>
                <w:lang w:val="en-US"/>
              </w:rPr>
              <w:t>.</w:t>
            </w:r>
          </w:p>
          <w:p w14:paraId="2FC8C67A"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Atunci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când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analizează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dacă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adopte</w:t>
            </w:r>
            <w:proofErr w:type="spellEnd"/>
            <w:r w:rsidRPr="003567EB">
              <w:rPr>
                <w:rFonts w:eastAsia="Arial Unicode MS"/>
                <w:color w:val="000000" w:themeColor="text1"/>
                <w:sz w:val="20"/>
                <w:szCs w:val="20"/>
                <w:shd w:val="clear" w:color="auto" w:fill="FFFFFF"/>
                <w:lang w:val="en-US"/>
              </w:rPr>
              <w:t xml:space="preserve"> o </w:t>
            </w:r>
            <w:proofErr w:type="spellStart"/>
            <w:r w:rsidRPr="003567EB">
              <w:rPr>
                <w:rFonts w:eastAsia="Arial Unicode MS"/>
                <w:color w:val="000000" w:themeColor="text1"/>
                <w:sz w:val="20"/>
                <w:szCs w:val="20"/>
                <w:shd w:val="clear" w:color="auto" w:fill="FFFFFF"/>
                <w:lang w:val="en-US"/>
              </w:rPr>
              <w:t>decizie</w:t>
            </w:r>
            <w:proofErr w:type="spellEnd"/>
            <w:r w:rsidRPr="003567EB">
              <w:rPr>
                <w:rFonts w:eastAsia="Arial Unicode MS"/>
                <w:color w:val="000000" w:themeColor="text1"/>
                <w:sz w:val="20"/>
                <w:szCs w:val="20"/>
                <w:shd w:val="clear" w:color="auto" w:fill="FFFFFF"/>
                <w:lang w:val="en-US"/>
              </w:rPr>
              <w:t xml:space="preserve"> ca </w:t>
            </w:r>
            <w:proofErr w:type="spellStart"/>
            <w:r w:rsidRPr="003567EB">
              <w:rPr>
                <w:rFonts w:eastAsia="Arial Unicode MS"/>
                <w:color w:val="000000" w:themeColor="text1"/>
                <w:sz w:val="20"/>
                <w:szCs w:val="20"/>
                <w:shd w:val="clear" w:color="auto" w:fill="FFFFFF"/>
                <w:lang w:val="en-US"/>
              </w:rPr>
              <w:t>urmare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cereri</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temeiul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alineatului</w:t>
            </w:r>
            <w:proofErr w:type="spellEnd"/>
            <w:r w:rsidRPr="003567EB">
              <w:rPr>
                <w:rFonts w:eastAsia="Arial Unicode MS"/>
                <w:color w:val="000000" w:themeColor="text1"/>
                <w:sz w:val="20"/>
                <w:szCs w:val="20"/>
                <w:shd w:val="clear" w:color="auto" w:fill="FFFFFF"/>
                <w:lang w:val="en-US"/>
              </w:rPr>
              <w:t xml:space="preserve"> (5), </w:t>
            </w:r>
            <w:proofErr w:type="spellStart"/>
            <w:r w:rsidRPr="003567EB">
              <w:rPr>
                <w:rFonts w:eastAsia="Arial Unicode MS"/>
                <w:color w:val="000000" w:themeColor="text1"/>
                <w:sz w:val="20"/>
                <w:szCs w:val="20"/>
                <w:shd w:val="clear" w:color="auto" w:fill="FFFFFF"/>
                <w:lang w:val="en-US"/>
              </w:rPr>
              <w:t>aceasta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comunică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elementele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fapt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esențiale</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considerentele</w:t>
            </w:r>
            <w:proofErr w:type="spellEnd"/>
            <w:r w:rsidRPr="003567EB">
              <w:rPr>
                <w:rFonts w:eastAsia="Arial Unicode MS"/>
                <w:color w:val="000000" w:themeColor="text1"/>
                <w:sz w:val="20"/>
                <w:szCs w:val="20"/>
                <w:shd w:val="clear" w:color="auto" w:fill="FFFFFF"/>
                <w:lang w:val="en-US"/>
              </w:rPr>
              <w:t xml:space="preserve"> care au stat la </w:t>
            </w:r>
            <w:proofErr w:type="spellStart"/>
            <w:r w:rsidRPr="003567EB">
              <w:rPr>
                <w:rFonts w:eastAsia="Arial Unicode MS"/>
                <w:color w:val="000000" w:themeColor="text1"/>
                <w:sz w:val="20"/>
                <w:szCs w:val="20"/>
                <w:shd w:val="clear" w:color="auto" w:fill="FFFFFF"/>
                <w:lang w:val="en-US"/>
              </w:rPr>
              <w:t>baza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deciziei</w:t>
            </w:r>
            <w:proofErr w:type="spellEnd"/>
            <w:r w:rsidRPr="003567EB">
              <w:rPr>
                <w:rFonts w:eastAsia="Arial Unicode MS"/>
                <w:color w:val="000000" w:themeColor="text1"/>
                <w:sz w:val="20"/>
                <w:szCs w:val="20"/>
                <w:shd w:val="clear" w:color="auto" w:fill="FFFFFF"/>
                <w:lang w:val="en-US"/>
              </w:rPr>
              <w:t xml:space="preserve"> sale. </w:t>
            </w:r>
            <w:proofErr w:type="spellStart"/>
            <w:r w:rsidRPr="003567EB">
              <w:rPr>
                <w:rFonts w:eastAsia="Arial Unicode MS"/>
                <w:color w:val="000000" w:themeColor="text1"/>
                <w:sz w:val="20"/>
                <w:szCs w:val="20"/>
                <w:shd w:val="clear" w:color="auto" w:fill="FFFFFF"/>
                <w:lang w:val="en-US"/>
              </w:rPr>
              <w:t>Operatorului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dă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posibilitatea</w:t>
            </w:r>
            <w:proofErr w:type="spellEnd"/>
            <w:r w:rsidRPr="003567EB">
              <w:rPr>
                <w:rFonts w:eastAsia="Arial Unicode MS"/>
                <w:color w:val="000000" w:themeColor="text1"/>
                <w:sz w:val="20"/>
                <w:szCs w:val="20"/>
                <w:shd w:val="clear" w:color="auto" w:fill="FFFFFF"/>
                <w:lang w:val="en-US"/>
              </w:rPr>
              <w:t xml:space="preserve"> de a prezenta </w:t>
            </w:r>
            <w:proofErr w:type="spellStart"/>
            <w:r w:rsidRPr="003567EB">
              <w:rPr>
                <w:rFonts w:eastAsia="Arial Unicode MS"/>
                <w:color w:val="000000" w:themeColor="text1"/>
                <w:sz w:val="20"/>
                <w:szCs w:val="20"/>
                <w:shd w:val="clear" w:color="auto" w:fill="FFFFFF"/>
                <w:lang w:val="en-US"/>
              </w:rPr>
              <w:t>Comisiei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observații</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scris</w:t>
            </w:r>
            <w:proofErr w:type="spellEnd"/>
            <w:r w:rsidRPr="003567EB">
              <w:rPr>
                <w:rFonts w:eastAsia="Arial Unicode MS"/>
                <w:color w:val="000000" w:themeColor="text1"/>
                <w:sz w:val="20"/>
                <w:szCs w:val="20"/>
                <w:shd w:val="clear" w:color="auto" w:fill="FFFFFF"/>
                <w:lang w:val="en-US"/>
              </w:rPr>
              <w:t xml:space="preserve">, în termen de 10 </w:t>
            </w:r>
            <w:proofErr w:type="spellStart"/>
            <w:r w:rsidRPr="003567EB">
              <w:rPr>
                <w:rFonts w:eastAsia="Arial Unicode MS"/>
                <w:color w:val="000000" w:themeColor="text1"/>
                <w:sz w:val="20"/>
                <w:szCs w:val="20"/>
                <w:shd w:val="clear" w:color="auto" w:fill="FFFFFF"/>
                <w:lang w:val="en-US"/>
              </w:rPr>
              <w:t>zile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lucrătoare</w:t>
            </w:r>
            <w:proofErr w:type="spellEnd"/>
            <w:r w:rsidRPr="003567EB">
              <w:rPr>
                <w:rFonts w:eastAsia="Arial Unicode MS"/>
                <w:color w:val="000000" w:themeColor="text1"/>
                <w:sz w:val="20"/>
                <w:szCs w:val="20"/>
                <w:shd w:val="clear" w:color="auto" w:fill="FFFFFF"/>
                <w:lang w:val="en-US"/>
              </w:rPr>
              <w:t xml:space="preserve"> de la data </w:t>
            </w:r>
            <w:proofErr w:type="spellStart"/>
            <w:r w:rsidRPr="003567EB">
              <w:rPr>
                <w:rFonts w:eastAsia="Arial Unicode MS"/>
                <w:color w:val="000000" w:themeColor="text1"/>
                <w:sz w:val="20"/>
                <w:szCs w:val="20"/>
                <w:shd w:val="clear" w:color="auto" w:fill="FFFFFF"/>
                <w:lang w:val="en-US"/>
              </w:rPr>
              <w:t>comunicării</w:t>
            </w:r>
            <w:proofErr w:type="spellEnd"/>
            <w:r w:rsidRPr="003567EB">
              <w:rPr>
                <w:rFonts w:eastAsia="Arial Unicode MS"/>
                <w:color w:val="000000" w:themeColor="text1"/>
                <w:sz w:val="20"/>
                <w:szCs w:val="20"/>
                <w:shd w:val="clear" w:color="auto" w:fill="FFFFFF"/>
                <w:lang w:val="en-US"/>
              </w:rPr>
              <w:t>.</w:t>
            </w:r>
          </w:p>
          <w:p w14:paraId="44730226" w14:textId="2865F460"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lastRenderedPageBreak/>
              <w:t xml:space="preserve">La </w:t>
            </w:r>
            <w:proofErr w:type="spellStart"/>
            <w:r w:rsidRPr="003567EB">
              <w:rPr>
                <w:rFonts w:eastAsia="Arial Unicode MS"/>
                <w:color w:val="000000" w:themeColor="text1"/>
                <w:sz w:val="20"/>
                <w:szCs w:val="20"/>
                <w:shd w:val="clear" w:color="auto" w:fill="FFFFFF"/>
                <w:lang w:val="en-US"/>
              </w:rPr>
              <w:t>solicitarea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adopta</w:t>
            </w:r>
            <w:proofErr w:type="spellEnd"/>
            <w:r w:rsidRPr="003567EB">
              <w:rPr>
                <w:rFonts w:eastAsia="Arial Unicode MS"/>
                <w:color w:val="000000" w:themeColor="text1"/>
                <w:sz w:val="20"/>
                <w:szCs w:val="20"/>
                <w:shd w:val="clear" w:color="auto" w:fill="FFFFFF"/>
                <w:lang w:val="en-US"/>
              </w:rPr>
              <w:t xml:space="preserve"> o </w:t>
            </w:r>
            <w:proofErr w:type="spellStart"/>
            <w:r w:rsidRPr="003567EB">
              <w:rPr>
                <w:rFonts w:eastAsia="Arial Unicode MS"/>
                <w:color w:val="000000" w:themeColor="text1"/>
                <w:sz w:val="20"/>
                <w:szCs w:val="20"/>
                <w:shd w:val="clear" w:color="auto" w:fill="FFFFFF"/>
                <w:lang w:val="en-US"/>
              </w:rPr>
              <w:t>decizie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impunere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interdicții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operare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operatorului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aeronave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în conformitate cu</w:t>
            </w:r>
            <w:r w:rsidR="003567EB" w:rsidRPr="003567EB">
              <w:rPr>
                <w:rStyle w:val="apple-converted-space"/>
                <w:rFonts w:eastAsia="Arial Unicode MS"/>
                <w:color w:val="000000" w:themeColor="text1"/>
                <w:sz w:val="20"/>
                <w:szCs w:val="20"/>
                <w:shd w:val="clear" w:color="auto" w:fill="FFFFFF"/>
                <w:lang w:val="en-US"/>
              </w:rPr>
              <w:t xml:space="preserve"> </w:t>
            </w:r>
            <w:hyperlink r:id="rId247" w:tooltip="32018L0410: REPLACED" w:history="1">
              <w:r w:rsidRPr="003567EB">
                <w:rPr>
                  <w:rStyle w:val="boldface"/>
                  <w:rFonts w:eastAsia="Arial Unicode MS"/>
                  <w:b/>
                  <w:bCs/>
                  <w:color w:val="000000" w:themeColor="text1"/>
                  <w:sz w:val="20"/>
                  <w:szCs w:val="20"/>
                  <w:lang w:val="en-US"/>
                </w:rPr>
                <w:t>►M9</w:t>
              </w:r>
            </w:hyperlink>
            <w:r w:rsidRPr="003567EB">
              <w:rPr>
                <w:rFonts w:eastAsia="Arial Unicode MS"/>
                <w:color w:val="000000" w:themeColor="text1"/>
                <w:sz w:val="20"/>
                <w:szCs w:val="20"/>
                <w:shd w:val="clear" w:color="auto" w:fill="FFFFFF"/>
                <w:lang w:val="en-US"/>
              </w:rPr>
              <w:t xml:space="preserve">procedura de </w:t>
            </w:r>
            <w:proofErr w:type="spellStart"/>
            <w:r w:rsidRPr="003567EB">
              <w:rPr>
                <w:rFonts w:eastAsia="Arial Unicode MS"/>
                <w:color w:val="000000" w:themeColor="text1"/>
                <w:sz w:val="20"/>
                <w:szCs w:val="20"/>
                <w:shd w:val="clear" w:color="auto" w:fill="FFFFFF"/>
                <w:lang w:val="en-US"/>
              </w:rPr>
              <w:t>examinare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menționată</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articolul</w:t>
            </w:r>
            <w:proofErr w:type="spellEnd"/>
            <w:r w:rsidRPr="003567EB">
              <w:rPr>
                <w:rFonts w:eastAsia="Arial Unicode MS"/>
                <w:color w:val="000000" w:themeColor="text1"/>
                <w:sz w:val="20"/>
                <w:szCs w:val="20"/>
                <w:shd w:val="clear" w:color="auto" w:fill="FFFFFF"/>
                <w:lang w:val="en-US"/>
              </w:rPr>
              <w:t xml:space="preserve"> 22a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(2)</w:t>
            </w:r>
            <w:r w:rsidRPr="003567EB">
              <w:rPr>
                <w:rStyle w:val="boldface"/>
                <w:rFonts w:eastAsia="Arial Unicode MS"/>
                <w:b/>
                <w:bCs/>
                <w:color w:val="000000" w:themeColor="text1"/>
                <w:sz w:val="20"/>
                <w:szCs w:val="20"/>
                <w:lang w:val="en-US"/>
              </w:rPr>
              <w:t>◄</w:t>
            </w:r>
            <w:r w:rsidRPr="003567EB">
              <w:rPr>
                <w:rFonts w:eastAsia="Arial Unicode MS"/>
                <w:color w:val="000000" w:themeColor="text1"/>
                <w:sz w:val="20"/>
                <w:szCs w:val="20"/>
                <w:shd w:val="clear" w:color="auto" w:fill="FFFFFF"/>
                <w:lang w:val="en-US"/>
              </w:rPr>
              <w:t>.</w:t>
            </w:r>
          </w:p>
          <w:p w14:paraId="0B263EC1"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Fiecare</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pune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aplicare</w:t>
            </w:r>
            <w:proofErr w:type="spellEnd"/>
            <w:r w:rsidRPr="003567EB">
              <w:rPr>
                <w:rFonts w:eastAsia="Arial Unicode MS"/>
                <w:color w:val="000000" w:themeColor="text1"/>
                <w:sz w:val="20"/>
                <w:szCs w:val="20"/>
                <w:shd w:val="clear" w:color="auto" w:fill="FFFFFF"/>
                <w:lang w:val="en-US"/>
              </w:rPr>
              <w:t xml:space="preserve"> pe </w:t>
            </w:r>
            <w:proofErr w:type="spellStart"/>
            <w:r w:rsidRPr="003567EB">
              <w:rPr>
                <w:rFonts w:eastAsia="Arial Unicode MS"/>
                <w:color w:val="000000" w:themeColor="text1"/>
                <w:sz w:val="20"/>
                <w:szCs w:val="20"/>
                <w:shd w:val="clear" w:color="auto" w:fill="FFFFFF"/>
                <w:lang w:val="en-US"/>
              </w:rPr>
              <w:t>teritoriul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propriu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toate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deciziile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adoptate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temeiul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alineatului</w:t>
            </w:r>
            <w:proofErr w:type="spellEnd"/>
            <w:r w:rsidRPr="003567EB">
              <w:rPr>
                <w:rFonts w:eastAsia="Arial Unicode MS"/>
                <w:color w:val="000000" w:themeColor="text1"/>
                <w:sz w:val="20"/>
                <w:szCs w:val="20"/>
                <w:shd w:val="clear" w:color="auto" w:fill="FFFFFF"/>
                <w:lang w:val="en-US"/>
              </w:rPr>
              <w:t xml:space="preserve"> (10). </w:t>
            </w:r>
            <w:proofErr w:type="spellStart"/>
            <w:r w:rsidRPr="003567EB">
              <w:rPr>
                <w:rFonts w:eastAsia="Arial Unicode MS"/>
                <w:color w:val="000000" w:themeColor="text1"/>
                <w:sz w:val="20"/>
                <w:szCs w:val="20"/>
                <w:shd w:val="clear" w:color="auto" w:fill="FFFFFF"/>
                <w:lang w:val="en-US"/>
              </w:rPr>
              <w:t>Acestea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informează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cu </w:t>
            </w:r>
            <w:proofErr w:type="spellStart"/>
            <w:r w:rsidRPr="003567EB">
              <w:rPr>
                <w:rFonts w:eastAsia="Arial Unicode MS"/>
                <w:color w:val="000000" w:themeColor="text1"/>
                <w:sz w:val="20"/>
                <w:szCs w:val="20"/>
                <w:shd w:val="clear" w:color="auto" w:fill="FFFFFF"/>
                <w:lang w:val="en-US"/>
              </w:rPr>
              <w:t>privire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toate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măsurile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întreprinse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punerea</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aplicare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deciziilor</w:t>
            </w:r>
            <w:proofErr w:type="spellEnd"/>
            <w:r w:rsidRPr="003567EB">
              <w:rPr>
                <w:rFonts w:eastAsia="Arial Unicode MS"/>
                <w:color w:val="000000" w:themeColor="text1"/>
                <w:sz w:val="20"/>
                <w:szCs w:val="20"/>
                <w:shd w:val="clear" w:color="auto" w:fill="FFFFFF"/>
                <w:lang w:val="en-US"/>
              </w:rPr>
              <w:t xml:space="preserve"> respective.</w:t>
            </w:r>
          </w:p>
          <w:p w14:paraId="55422883" w14:textId="77777777" w:rsidR="00124364" w:rsidRDefault="00000000">
            <w:pPr>
              <w:pStyle w:val="ti-art"/>
              <w:shd w:val="clear" w:color="auto" w:fill="FFFFFF"/>
              <w:spacing w:before="0" w:beforeAutospacing="0" w:after="0" w:afterAutospacing="0"/>
              <w:ind w:left="720"/>
              <w:rPr>
                <w:color w:val="4472C4" w:themeColor="accent1"/>
                <w:sz w:val="20"/>
                <w:szCs w:val="20"/>
              </w:rPr>
            </w:pPr>
            <w:hyperlink r:id="rId248" w:tooltip="32023L0959: INSERTED" w:history="1">
              <w:r>
                <w:rPr>
                  <w:rStyle w:val="af3"/>
                  <w:rFonts w:eastAsia="Arial Unicode MS"/>
                  <w:b/>
                  <w:bCs/>
                  <w:color w:val="4472C4" w:themeColor="accent1"/>
                  <w:sz w:val="20"/>
                  <w:szCs w:val="20"/>
                </w:rPr>
                <w:t>▼M15</w:t>
              </w:r>
            </w:hyperlink>
          </w:p>
          <w:p w14:paraId="6618FE7B" w14:textId="75FA9DB7" w:rsidR="00124364" w:rsidRPr="003567EB" w:rsidRDefault="00000000" w:rsidP="003567EB">
            <w:pPr>
              <w:pStyle w:val="ti-art"/>
              <w:numPr>
                <w:ilvl w:val="0"/>
                <w:numId w:val="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companii</w:t>
            </w:r>
            <w:proofErr w:type="spellEnd"/>
            <w:r w:rsidRPr="003567EB">
              <w:rPr>
                <w:rFonts w:eastAsia="Arial Unicode MS"/>
                <w:color w:val="000000" w:themeColor="text1"/>
                <w:sz w:val="20"/>
                <w:szCs w:val="20"/>
                <w:shd w:val="clear" w:color="auto" w:fill="FFFFFF"/>
                <w:lang w:val="en-US"/>
              </w:rPr>
              <w:t xml:space="preserve"> de transport maritim care nu a </w:t>
            </w:r>
            <w:proofErr w:type="spellStart"/>
            <w:r w:rsidRPr="003567EB">
              <w:rPr>
                <w:rFonts w:eastAsia="Arial Unicode MS"/>
                <w:color w:val="000000" w:themeColor="text1"/>
                <w:sz w:val="20"/>
                <w:szCs w:val="20"/>
                <w:shd w:val="clear" w:color="auto" w:fill="FFFFFF"/>
                <w:lang w:val="en-US"/>
              </w:rPr>
              <w:t>respectat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obligațiile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restituire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două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sau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mai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multe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perioade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raportare</w:t>
            </w:r>
            <w:proofErr w:type="spellEnd"/>
            <w:r w:rsidRPr="003567EB">
              <w:rPr>
                <w:rFonts w:eastAsia="Arial Unicode MS"/>
                <w:color w:val="000000" w:themeColor="text1"/>
                <w:sz w:val="20"/>
                <w:szCs w:val="20"/>
                <w:shd w:val="clear" w:color="auto" w:fill="FFFFFF"/>
                <w:lang w:val="en-US"/>
              </w:rPr>
              <w:t xml:space="preserve"> consecutive și 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în care </w:t>
            </w:r>
            <w:proofErr w:type="spellStart"/>
            <w:r w:rsidRPr="003567EB">
              <w:rPr>
                <w:rFonts w:eastAsia="Arial Unicode MS"/>
                <w:color w:val="000000" w:themeColor="text1"/>
                <w:sz w:val="20"/>
                <w:szCs w:val="20"/>
                <w:shd w:val="clear" w:color="auto" w:fill="FFFFFF"/>
                <w:lang w:val="en-US"/>
              </w:rPr>
              <w:t>alte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măsuri</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executare</w:t>
            </w:r>
            <w:proofErr w:type="spellEnd"/>
            <w:r w:rsidRPr="003567EB">
              <w:rPr>
                <w:rFonts w:eastAsia="Arial Unicode MS"/>
                <w:color w:val="000000" w:themeColor="text1"/>
                <w:sz w:val="20"/>
                <w:szCs w:val="20"/>
                <w:shd w:val="clear" w:color="auto" w:fill="FFFFFF"/>
                <w:lang w:val="en-US"/>
              </w:rPr>
              <w:t xml:space="preserve"> nu au </w:t>
            </w:r>
            <w:proofErr w:type="spellStart"/>
            <w:r w:rsidRPr="003567EB">
              <w:rPr>
                <w:rFonts w:eastAsia="Arial Unicode MS"/>
                <w:color w:val="000000" w:themeColor="text1"/>
                <w:sz w:val="20"/>
                <w:szCs w:val="20"/>
                <w:shd w:val="clear" w:color="auto" w:fill="FFFFFF"/>
                <w:lang w:val="en-US"/>
              </w:rPr>
              <w:t>asigurat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respectarea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acestora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autoritatea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competentă</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statului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din </w:t>
            </w:r>
            <w:proofErr w:type="spellStart"/>
            <w:r w:rsidRPr="003567EB">
              <w:rPr>
                <w:rFonts w:eastAsia="Arial Unicode MS"/>
                <w:color w:val="000000" w:themeColor="text1"/>
                <w:sz w:val="20"/>
                <w:szCs w:val="20"/>
                <w:shd w:val="clear" w:color="auto" w:fill="FFFFFF"/>
                <w:lang w:val="en-US"/>
              </w:rPr>
              <w:t>portul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intrare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după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w:t>
            </w:r>
            <w:proofErr w:type="spellEnd"/>
            <w:r w:rsidRPr="003567EB">
              <w:rPr>
                <w:rFonts w:eastAsia="Arial Unicode MS"/>
                <w:color w:val="000000" w:themeColor="text1"/>
                <w:sz w:val="20"/>
                <w:szCs w:val="20"/>
                <w:shd w:val="clear" w:color="auto" w:fill="FFFFFF"/>
                <w:lang w:val="en-US"/>
              </w:rPr>
              <w:t xml:space="preserve">-a </w:t>
            </w:r>
            <w:proofErr w:type="spellStart"/>
            <w:r w:rsidRPr="003567EB">
              <w:rPr>
                <w:rFonts w:eastAsia="Arial Unicode MS"/>
                <w:color w:val="000000" w:themeColor="text1"/>
                <w:sz w:val="20"/>
                <w:szCs w:val="20"/>
                <w:shd w:val="clear" w:color="auto" w:fill="FFFFFF"/>
                <w:lang w:val="en-US"/>
              </w:rPr>
              <w:t>acordat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companiei</w:t>
            </w:r>
            <w:proofErr w:type="spellEnd"/>
            <w:r w:rsidRPr="003567EB">
              <w:rPr>
                <w:rFonts w:eastAsia="Arial Unicode MS"/>
                <w:color w:val="000000" w:themeColor="text1"/>
                <w:sz w:val="20"/>
                <w:szCs w:val="20"/>
                <w:shd w:val="clear" w:color="auto" w:fill="FFFFFF"/>
                <w:lang w:val="en-US"/>
              </w:rPr>
              <w:t xml:space="preserve"> de transport maritim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posibilitatea</w:t>
            </w:r>
            <w:proofErr w:type="spellEnd"/>
            <w:r w:rsidRPr="003567EB">
              <w:rPr>
                <w:rFonts w:eastAsia="Arial Unicode MS"/>
                <w:color w:val="000000" w:themeColor="text1"/>
                <w:sz w:val="20"/>
                <w:szCs w:val="20"/>
                <w:shd w:val="clear" w:color="auto" w:fill="FFFFFF"/>
                <w:lang w:val="en-US"/>
              </w:rPr>
              <w:t xml:space="preserve"> de a-și prezenta </w:t>
            </w:r>
            <w:proofErr w:type="spellStart"/>
            <w:r w:rsidRPr="003567EB">
              <w:rPr>
                <w:rFonts w:eastAsia="Arial Unicode MS"/>
                <w:color w:val="000000" w:themeColor="text1"/>
                <w:sz w:val="20"/>
                <w:szCs w:val="20"/>
                <w:shd w:val="clear" w:color="auto" w:fill="FFFFFF"/>
                <w:lang w:val="en-US"/>
              </w:rPr>
              <w:t>observațiile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emită</w:t>
            </w:r>
            <w:proofErr w:type="spellEnd"/>
            <w:r w:rsidRPr="003567EB">
              <w:rPr>
                <w:rFonts w:eastAsia="Arial Unicode MS"/>
                <w:color w:val="000000" w:themeColor="text1"/>
                <w:sz w:val="20"/>
                <w:szCs w:val="20"/>
                <w:shd w:val="clear" w:color="auto" w:fill="FFFFFF"/>
                <w:lang w:val="en-US"/>
              </w:rPr>
              <w:t xml:space="preserve"> un </w:t>
            </w:r>
            <w:proofErr w:type="spellStart"/>
            <w:r w:rsidRPr="003567EB">
              <w:rPr>
                <w:rFonts w:eastAsia="Arial Unicode MS"/>
                <w:color w:val="000000" w:themeColor="text1"/>
                <w:sz w:val="20"/>
                <w:szCs w:val="20"/>
                <w:shd w:val="clear" w:color="auto" w:fill="FFFFFF"/>
                <w:lang w:val="en-US"/>
              </w:rPr>
              <w:t>ordin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expulzare</w:t>
            </w:r>
            <w:proofErr w:type="spellEnd"/>
            <w:r w:rsidRPr="003567EB">
              <w:rPr>
                <w:rFonts w:eastAsia="Arial Unicode MS"/>
                <w:color w:val="000000" w:themeColor="text1"/>
                <w:sz w:val="20"/>
                <w:szCs w:val="20"/>
                <w:shd w:val="clear" w:color="auto" w:fill="FFFFFF"/>
                <w:lang w:val="en-US"/>
              </w:rPr>
              <w:t xml:space="preserve">, care </w:t>
            </w:r>
            <w:proofErr w:type="spellStart"/>
            <w:r w:rsidRPr="003567EB">
              <w:rPr>
                <w:rFonts w:eastAsia="Arial Unicode MS"/>
                <w:color w:val="000000" w:themeColor="text1"/>
                <w:sz w:val="20"/>
                <w:szCs w:val="20"/>
                <w:shd w:val="clear" w:color="auto" w:fill="FFFFFF"/>
                <w:lang w:val="en-US"/>
              </w:rPr>
              <w:t>este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notificat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Agenției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Europene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pentru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Siguranță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Maritimă</w:t>
            </w:r>
            <w:proofErr w:type="spellEnd"/>
            <w:r w:rsidRPr="003567EB">
              <w:rPr>
                <w:rFonts w:eastAsia="Arial Unicode MS"/>
                <w:color w:val="000000" w:themeColor="text1"/>
                <w:sz w:val="20"/>
                <w:szCs w:val="20"/>
                <w:shd w:val="clear" w:color="auto" w:fill="FFFFFF"/>
                <w:lang w:val="en-US"/>
              </w:rPr>
              <w:t xml:space="preserve"> (EMSA), </w:t>
            </w:r>
            <w:proofErr w:type="spellStart"/>
            <w:r w:rsidRPr="003567EB">
              <w:rPr>
                <w:rFonts w:eastAsia="Arial Unicode MS"/>
                <w:color w:val="000000" w:themeColor="text1"/>
                <w:sz w:val="20"/>
                <w:szCs w:val="20"/>
                <w:shd w:val="clear" w:color="auto" w:fill="FFFFFF"/>
                <w:lang w:val="en-US"/>
              </w:rPr>
              <w:t>celorlalte</w:t>
            </w:r>
            <w:proofErr w:type="spellEnd"/>
            <w:r w:rsidRPr="003567EB">
              <w:rPr>
                <w:rFonts w:eastAsia="Arial Unicode MS"/>
                <w:color w:val="000000" w:themeColor="text1"/>
                <w:sz w:val="20"/>
                <w:szCs w:val="20"/>
                <w:shd w:val="clear" w:color="auto" w:fill="FFFFFF"/>
                <w:lang w:val="en-US"/>
              </w:rPr>
              <w:t xml:space="preserve"> state </w:t>
            </w:r>
            <w:proofErr w:type="spellStart"/>
            <w:r w:rsidRPr="003567EB">
              <w:rPr>
                <w:rFonts w:eastAsia="Arial Unicode MS"/>
                <w:color w:val="000000" w:themeColor="text1"/>
                <w:sz w:val="20"/>
                <w:szCs w:val="20"/>
                <w:shd w:val="clear" w:color="auto" w:fill="FFFFFF"/>
                <w:lang w:val="en-US"/>
              </w:rPr>
              <w:t>membre</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statului</w:t>
            </w:r>
            <w:proofErr w:type="spellEnd"/>
            <w:r w:rsidRPr="003567EB">
              <w:rPr>
                <w:rFonts w:eastAsia="Arial Unicode MS"/>
                <w:color w:val="000000" w:themeColor="text1"/>
                <w:sz w:val="20"/>
                <w:szCs w:val="20"/>
                <w:shd w:val="clear" w:color="auto" w:fill="FFFFFF"/>
                <w:lang w:val="en-US"/>
              </w:rPr>
              <w:t xml:space="preserve"> de pavilion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Ca </w:t>
            </w:r>
            <w:proofErr w:type="spellStart"/>
            <w:r w:rsidRPr="003567EB">
              <w:rPr>
                <w:rFonts w:eastAsia="Arial Unicode MS"/>
                <w:color w:val="000000" w:themeColor="text1"/>
                <w:sz w:val="20"/>
                <w:szCs w:val="20"/>
                <w:shd w:val="clear" w:color="auto" w:fill="FFFFFF"/>
                <w:lang w:val="en-US"/>
              </w:rPr>
              <w:t>urmare</w:t>
            </w:r>
            <w:proofErr w:type="spellEnd"/>
            <w:r w:rsidRPr="003567EB">
              <w:rPr>
                <w:rFonts w:eastAsia="Arial Unicode MS"/>
                <w:color w:val="000000" w:themeColor="text1"/>
                <w:sz w:val="20"/>
                <w:szCs w:val="20"/>
                <w:shd w:val="clear" w:color="auto" w:fill="FFFFFF"/>
                <w:lang w:val="en-US"/>
              </w:rPr>
              <w:t xml:space="preserve"> </w:t>
            </w:r>
            <w:proofErr w:type="gramStart"/>
            <w:r w:rsidRPr="003567EB">
              <w:rPr>
                <w:rFonts w:eastAsia="Arial Unicode MS"/>
                <w:color w:val="000000" w:themeColor="text1"/>
                <w:sz w:val="20"/>
                <w:szCs w:val="20"/>
                <w:shd w:val="clear" w:color="auto" w:fill="FFFFFF"/>
                <w:lang w:val="en-US"/>
              </w:rPr>
              <w:t>a</w:t>
            </w:r>
            <w:proofErr w:type="gram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emiterii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astfel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ordin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expulzare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orice</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cu </w:t>
            </w:r>
            <w:proofErr w:type="spellStart"/>
            <w:r w:rsidRPr="003567EB">
              <w:rPr>
                <w:rFonts w:eastAsia="Arial Unicode MS"/>
                <w:color w:val="000000" w:themeColor="text1"/>
                <w:sz w:val="20"/>
                <w:szCs w:val="20"/>
                <w:shd w:val="clear" w:color="auto" w:fill="FFFFFF"/>
                <w:lang w:val="en-US"/>
              </w:rPr>
              <w:t>excepția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al </w:t>
            </w:r>
            <w:proofErr w:type="spellStart"/>
            <w:r w:rsidRPr="003567EB">
              <w:rPr>
                <w:rFonts w:eastAsia="Arial Unicode MS"/>
                <w:color w:val="000000" w:themeColor="text1"/>
                <w:sz w:val="20"/>
                <w:szCs w:val="20"/>
                <w:shd w:val="clear" w:color="auto" w:fill="FFFFFF"/>
                <w:lang w:val="en-US"/>
              </w:rPr>
              <w:t>cărui</w:t>
            </w:r>
            <w:proofErr w:type="spellEnd"/>
            <w:r w:rsidRPr="003567EB">
              <w:rPr>
                <w:rFonts w:eastAsia="Arial Unicode MS"/>
                <w:color w:val="000000" w:themeColor="text1"/>
                <w:sz w:val="20"/>
                <w:szCs w:val="20"/>
                <w:shd w:val="clear" w:color="auto" w:fill="FFFFFF"/>
                <w:lang w:val="en-US"/>
              </w:rPr>
              <w:t xml:space="preserve"> pavilion </w:t>
            </w:r>
            <w:proofErr w:type="spellStart"/>
            <w:r w:rsidRPr="003567EB">
              <w:rPr>
                <w:rFonts w:eastAsia="Arial Unicode MS"/>
                <w:color w:val="000000" w:themeColor="text1"/>
                <w:sz w:val="20"/>
                <w:szCs w:val="20"/>
                <w:shd w:val="clear" w:color="auto" w:fill="FFFFFF"/>
                <w:lang w:val="en-US"/>
              </w:rPr>
              <w:t>îl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arborează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nava</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refuză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intrarea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navelor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aflate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responsabilitatea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companiei</w:t>
            </w:r>
            <w:proofErr w:type="spellEnd"/>
            <w:r w:rsidRPr="003567EB">
              <w:rPr>
                <w:rFonts w:eastAsia="Arial Unicode MS"/>
                <w:color w:val="000000" w:themeColor="text1"/>
                <w:sz w:val="20"/>
                <w:szCs w:val="20"/>
                <w:shd w:val="clear" w:color="auto" w:fill="FFFFFF"/>
                <w:lang w:val="en-US"/>
              </w:rPr>
              <w:t xml:space="preserve"> de transport maritim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oricare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dintre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porturile</w:t>
            </w:r>
            <w:proofErr w:type="spellEnd"/>
            <w:r w:rsidRPr="003567EB">
              <w:rPr>
                <w:rFonts w:eastAsia="Arial Unicode MS"/>
                <w:color w:val="000000" w:themeColor="text1"/>
                <w:sz w:val="20"/>
                <w:szCs w:val="20"/>
                <w:shd w:val="clear" w:color="auto" w:fill="FFFFFF"/>
                <w:lang w:val="en-US"/>
              </w:rPr>
              <w:t xml:space="preserve"> sale </w:t>
            </w:r>
            <w:proofErr w:type="spellStart"/>
            <w:r w:rsidRPr="003567EB">
              <w:rPr>
                <w:rFonts w:eastAsia="Arial Unicode MS"/>
                <w:color w:val="000000" w:themeColor="text1"/>
                <w:sz w:val="20"/>
                <w:szCs w:val="20"/>
                <w:shd w:val="clear" w:color="auto" w:fill="FFFFFF"/>
                <w:lang w:val="en-US"/>
              </w:rPr>
              <w:t>până</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îndeplinirea</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către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compania</w:t>
            </w:r>
            <w:proofErr w:type="spellEnd"/>
            <w:r w:rsidRPr="003567EB">
              <w:rPr>
                <w:rFonts w:eastAsia="Arial Unicode MS"/>
                <w:color w:val="000000" w:themeColor="text1"/>
                <w:sz w:val="20"/>
                <w:szCs w:val="20"/>
                <w:shd w:val="clear" w:color="auto" w:fill="FFFFFF"/>
                <w:lang w:val="en-US"/>
              </w:rPr>
              <w:t xml:space="preserve"> de transport maritim a </w:t>
            </w:r>
            <w:proofErr w:type="spellStart"/>
            <w:r w:rsidRPr="003567EB">
              <w:rPr>
                <w:rFonts w:eastAsia="Arial Unicode MS"/>
                <w:color w:val="000000" w:themeColor="text1"/>
                <w:sz w:val="20"/>
                <w:szCs w:val="20"/>
                <w:shd w:val="clear" w:color="auto" w:fill="FFFFFF"/>
                <w:lang w:val="en-US"/>
              </w:rPr>
              <w:t>obligațiilor</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restituire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revin</w:t>
            </w:r>
            <w:proofErr w:type="spellEnd"/>
            <w:r w:rsidRPr="003567EB">
              <w:rPr>
                <w:rFonts w:eastAsia="Arial Unicode MS"/>
                <w:color w:val="000000" w:themeColor="text1"/>
                <w:sz w:val="20"/>
                <w:szCs w:val="20"/>
                <w:shd w:val="clear" w:color="auto" w:fill="FFFFFF"/>
                <w:lang w:val="en-US"/>
              </w:rPr>
              <w:t xml:space="preserve"> în conformitate cu </w:t>
            </w:r>
            <w:proofErr w:type="spellStart"/>
            <w:r w:rsidRPr="003567EB">
              <w:rPr>
                <w:rFonts w:eastAsia="Arial Unicode MS"/>
                <w:color w:val="000000" w:themeColor="text1"/>
                <w:sz w:val="20"/>
                <w:szCs w:val="20"/>
                <w:shd w:val="clear" w:color="auto" w:fill="FFFFFF"/>
                <w:lang w:val="en-US"/>
              </w:rPr>
              <w:t>articolul</w:t>
            </w:r>
            <w:proofErr w:type="spellEnd"/>
            <w:r w:rsidR="003567EB">
              <w:rPr>
                <w:rFonts w:eastAsia="Arial Unicode MS"/>
                <w:color w:val="000000" w:themeColor="text1"/>
                <w:sz w:val="20"/>
                <w:szCs w:val="20"/>
                <w:shd w:val="clear" w:color="auto" w:fill="FFFFFF"/>
                <w:lang w:val="en-US"/>
              </w:rPr>
              <w:t xml:space="preserve"> </w:t>
            </w:r>
            <w:r w:rsidRPr="003567EB">
              <w:rPr>
                <w:rFonts w:eastAsia="Arial Unicode MS"/>
                <w:color w:val="000000" w:themeColor="text1"/>
                <w:sz w:val="20"/>
                <w:szCs w:val="20"/>
                <w:shd w:val="clear" w:color="auto" w:fill="FFFFFF"/>
                <w:lang w:val="en-US"/>
              </w:rPr>
              <w:t xml:space="preserve">12. 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în care </w:t>
            </w:r>
            <w:proofErr w:type="spellStart"/>
            <w:r w:rsidRPr="003567EB">
              <w:rPr>
                <w:rFonts w:eastAsia="Arial Unicode MS"/>
                <w:color w:val="000000" w:themeColor="text1"/>
                <w:sz w:val="20"/>
                <w:szCs w:val="20"/>
                <w:shd w:val="clear" w:color="auto" w:fill="FFFFFF"/>
                <w:lang w:val="en-US"/>
              </w:rPr>
              <w:t>nava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arborează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pavilionul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și </w:t>
            </w:r>
            <w:proofErr w:type="spellStart"/>
            <w:r w:rsidRPr="003567EB">
              <w:rPr>
                <w:rFonts w:eastAsia="Arial Unicode MS"/>
                <w:color w:val="000000" w:themeColor="text1"/>
                <w:sz w:val="20"/>
                <w:szCs w:val="20"/>
                <w:shd w:val="clear" w:color="auto" w:fill="FFFFFF"/>
                <w:lang w:val="en-US"/>
              </w:rPr>
              <w:t>intră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sau</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află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într-unul</w:t>
            </w:r>
            <w:proofErr w:type="spellEnd"/>
            <w:r w:rsidRPr="003567EB">
              <w:rPr>
                <w:rFonts w:eastAsia="Arial Unicode MS"/>
                <w:color w:val="000000" w:themeColor="text1"/>
                <w:sz w:val="20"/>
                <w:szCs w:val="20"/>
                <w:shd w:val="clear" w:color="auto" w:fill="FFFFFF"/>
                <w:lang w:val="en-US"/>
              </w:rPr>
              <w:t xml:space="preserve"> din </w:t>
            </w:r>
            <w:proofErr w:type="spellStart"/>
            <w:r w:rsidRPr="003567EB">
              <w:rPr>
                <w:rFonts w:eastAsia="Arial Unicode MS"/>
                <w:color w:val="000000" w:themeColor="text1"/>
                <w:sz w:val="20"/>
                <w:szCs w:val="20"/>
                <w:shd w:val="clear" w:color="auto" w:fill="FFFFFF"/>
                <w:lang w:val="en-US"/>
              </w:rPr>
              <w:t>porturile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acestuia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respectiv</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reține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nava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după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w:t>
            </w:r>
            <w:proofErr w:type="spellEnd"/>
            <w:r w:rsidRPr="003567EB">
              <w:rPr>
                <w:rFonts w:eastAsia="Arial Unicode MS"/>
                <w:color w:val="000000" w:themeColor="text1"/>
                <w:sz w:val="20"/>
                <w:szCs w:val="20"/>
                <w:shd w:val="clear" w:color="auto" w:fill="FFFFFF"/>
                <w:lang w:val="en-US"/>
              </w:rPr>
              <w:t xml:space="preserve">-a </w:t>
            </w:r>
            <w:proofErr w:type="spellStart"/>
            <w:r w:rsidRPr="003567EB">
              <w:rPr>
                <w:rFonts w:eastAsia="Arial Unicode MS"/>
                <w:color w:val="000000" w:themeColor="text1"/>
                <w:sz w:val="20"/>
                <w:szCs w:val="20"/>
                <w:shd w:val="clear" w:color="auto" w:fill="FFFFFF"/>
                <w:lang w:val="en-US"/>
              </w:rPr>
              <w:t>acordat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companiei</w:t>
            </w:r>
            <w:proofErr w:type="spellEnd"/>
            <w:r w:rsidRPr="003567EB">
              <w:rPr>
                <w:rFonts w:eastAsia="Arial Unicode MS"/>
                <w:color w:val="000000" w:themeColor="text1"/>
                <w:sz w:val="20"/>
                <w:szCs w:val="20"/>
                <w:shd w:val="clear" w:color="auto" w:fill="FFFFFF"/>
                <w:lang w:val="en-US"/>
              </w:rPr>
              <w:t xml:space="preserve"> de transport maritim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posibilitatea</w:t>
            </w:r>
            <w:proofErr w:type="spellEnd"/>
            <w:r w:rsidRPr="003567EB">
              <w:rPr>
                <w:rFonts w:eastAsia="Arial Unicode MS"/>
                <w:color w:val="000000" w:themeColor="text1"/>
                <w:sz w:val="20"/>
                <w:szCs w:val="20"/>
                <w:shd w:val="clear" w:color="auto" w:fill="FFFFFF"/>
                <w:lang w:val="en-US"/>
              </w:rPr>
              <w:t xml:space="preserve"> de a-și prezenta </w:t>
            </w:r>
            <w:proofErr w:type="spellStart"/>
            <w:r w:rsidRPr="003567EB">
              <w:rPr>
                <w:rFonts w:eastAsia="Arial Unicode MS"/>
                <w:color w:val="000000" w:themeColor="text1"/>
                <w:sz w:val="20"/>
                <w:szCs w:val="20"/>
                <w:shd w:val="clear" w:color="auto" w:fill="FFFFFF"/>
                <w:lang w:val="en-US"/>
              </w:rPr>
              <w:t>observațiile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până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când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compania</w:t>
            </w:r>
            <w:proofErr w:type="spellEnd"/>
            <w:r w:rsidRPr="003567EB">
              <w:rPr>
                <w:rFonts w:eastAsia="Arial Unicode MS"/>
                <w:color w:val="000000" w:themeColor="text1"/>
                <w:sz w:val="20"/>
                <w:szCs w:val="20"/>
                <w:shd w:val="clear" w:color="auto" w:fill="FFFFFF"/>
                <w:lang w:val="en-US"/>
              </w:rPr>
              <w:t xml:space="preserve"> de transport maritim </w:t>
            </w:r>
            <w:proofErr w:type="spellStart"/>
            <w:r w:rsidRPr="003567EB">
              <w:rPr>
                <w:rFonts w:eastAsia="Arial Unicode MS"/>
                <w:color w:val="000000" w:themeColor="text1"/>
                <w:sz w:val="20"/>
                <w:szCs w:val="20"/>
                <w:shd w:val="clear" w:color="auto" w:fill="FFFFFF"/>
                <w:lang w:val="en-US"/>
              </w:rPr>
              <w:t>își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îndeplinește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obligațiile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restituire</w:t>
            </w:r>
            <w:proofErr w:type="spellEnd"/>
            <w:r w:rsidRPr="003567EB">
              <w:rPr>
                <w:rFonts w:eastAsia="Arial Unicode MS"/>
                <w:color w:val="000000" w:themeColor="text1"/>
                <w:sz w:val="20"/>
                <w:szCs w:val="20"/>
                <w:shd w:val="clear" w:color="auto" w:fill="FFFFFF"/>
                <w:lang w:val="en-US"/>
              </w:rPr>
              <w:t>.</w:t>
            </w:r>
          </w:p>
          <w:p w14:paraId="67E7AD2B" w14:textId="77777777" w:rsidR="00124364" w:rsidRPr="003567EB" w:rsidRDefault="00000000" w:rsidP="003567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567EB">
              <w:rPr>
                <w:rFonts w:eastAsia="Arial Unicode MS"/>
                <w:color w:val="000000" w:themeColor="text1"/>
                <w:sz w:val="20"/>
                <w:szCs w:val="20"/>
                <w:shd w:val="clear" w:color="auto" w:fill="FFFFFF"/>
                <w:lang w:val="en-US"/>
              </w:rPr>
              <w:t xml:space="preserve">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în care se </w:t>
            </w:r>
            <w:proofErr w:type="spellStart"/>
            <w:r w:rsidRPr="003567EB">
              <w:rPr>
                <w:rFonts w:eastAsia="Arial Unicode MS"/>
                <w:color w:val="000000" w:themeColor="text1"/>
                <w:sz w:val="20"/>
                <w:szCs w:val="20"/>
                <w:shd w:val="clear" w:color="auto" w:fill="FFFFFF"/>
                <w:lang w:val="en-US"/>
              </w:rPr>
              <w:t>constată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că</w:t>
            </w:r>
            <w:proofErr w:type="spellEnd"/>
            <w:r w:rsidRPr="003567EB">
              <w:rPr>
                <w:rFonts w:eastAsia="Arial Unicode MS"/>
                <w:color w:val="000000" w:themeColor="text1"/>
                <w:sz w:val="20"/>
                <w:szCs w:val="20"/>
                <w:shd w:val="clear" w:color="auto" w:fill="FFFFFF"/>
                <w:lang w:val="en-US"/>
              </w:rPr>
              <w:t xml:space="preserve"> o </w:t>
            </w:r>
            <w:proofErr w:type="spellStart"/>
            <w:r w:rsidRPr="003567EB">
              <w:rPr>
                <w:rFonts w:eastAsia="Arial Unicode MS"/>
                <w:color w:val="000000" w:themeColor="text1"/>
                <w:sz w:val="20"/>
                <w:szCs w:val="20"/>
                <w:shd w:val="clear" w:color="auto" w:fill="FFFFFF"/>
                <w:lang w:val="en-US"/>
              </w:rPr>
              <w:t>navă</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unei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companii</w:t>
            </w:r>
            <w:proofErr w:type="spellEnd"/>
            <w:r w:rsidRPr="003567EB">
              <w:rPr>
                <w:rFonts w:eastAsia="Arial Unicode MS"/>
                <w:color w:val="000000" w:themeColor="text1"/>
                <w:sz w:val="20"/>
                <w:szCs w:val="20"/>
                <w:shd w:val="clear" w:color="auto" w:fill="FFFFFF"/>
                <w:lang w:val="en-US"/>
              </w:rPr>
              <w:t xml:space="preserve"> de transport maritim </w:t>
            </w:r>
            <w:proofErr w:type="spellStart"/>
            <w:r w:rsidRPr="003567EB">
              <w:rPr>
                <w:rFonts w:eastAsia="Arial Unicode MS"/>
                <w:color w:val="000000" w:themeColor="text1"/>
                <w:sz w:val="20"/>
                <w:szCs w:val="20"/>
                <w:shd w:val="clear" w:color="auto" w:fill="FFFFFF"/>
                <w:lang w:val="en-US"/>
              </w:rPr>
              <w:t>astfel</w:t>
            </w:r>
            <w:proofErr w:type="spellEnd"/>
            <w:r w:rsidRPr="003567EB">
              <w:rPr>
                <w:rFonts w:eastAsia="Arial Unicode MS"/>
                <w:color w:val="000000" w:themeColor="text1"/>
                <w:sz w:val="20"/>
                <w:szCs w:val="20"/>
                <w:shd w:val="clear" w:color="auto" w:fill="FFFFFF"/>
                <w:lang w:val="en-US"/>
              </w:rPr>
              <w:t xml:space="preserve"> cum </w:t>
            </w:r>
            <w:proofErr w:type="spellStart"/>
            <w:r w:rsidRPr="003567EB">
              <w:rPr>
                <w:rFonts w:eastAsia="Arial Unicode MS"/>
                <w:color w:val="000000" w:themeColor="text1"/>
                <w:sz w:val="20"/>
                <w:szCs w:val="20"/>
                <w:shd w:val="clear" w:color="auto" w:fill="FFFFFF"/>
                <w:lang w:val="en-US"/>
              </w:rPr>
              <w:t>este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menționată</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primul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paragraf</w:t>
            </w:r>
            <w:proofErr w:type="spellEnd"/>
            <w:r w:rsidRPr="003567EB">
              <w:rPr>
                <w:rFonts w:eastAsia="Arial Unicode MS"/>
                <w:color w:val="000000" w:themeColor="text1"/>
                <w:sz w:val="20"/>
                <w:szCs w:val="20"/>
                <w:shd w:val="clear" w:color="auto" w:fill="FFFFFF"/>
                <w:lang w:val="en-US"/>
              </w:rPr>
              <w:t xml:space="preserve"> se </w:t>
            </w:r>
            <w:proofErr w:type="spellStart"/>
            <w:r w:rsidRPr="003567EB">
              <w:rPr>
                <w:rFonts w:eastAsia="Arial Unicode MS"/>
                <w:color w:val="000000" w:themeColor="text1"/>
                <w:sz w:val="20"/>
                <w:szCs w:val="20"/>
                <w:shd w:val="clear" w:color="auto" w:fill="FFFFFF"/>
                <w:lang w:val="en-US"/>
              </w:rPr>
              <w:t>află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într-unul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dintre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porturile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al </w:t>
            </w:r>
            <w:proofErr w:type="spellStart"/>
            <w:r w:rsidRPr="003567EB">
              <w:rPr>
                <w:rFonts w:eastAsia="Arial Unicode MS"/>
                <w:color w:val="000000" w:themeColor="text1"/>
                <w:sz w:val="20"/>
                <w:szCs w:val="20"/>
                <w:shd w:val="clear" w:color="auto" w:fill="FFFFFF"/>
                <w:lang w:val="en-US"/>
              </w:rPr>
              <w:t>cărui</w:t>
            </w:r>
            <w:proofErr w:type="spellEnd"/>
            <w:r w:rsidRPr="003567EB">
              <w:rPr>
                <w:rFonts w:eastAsia="Arial Unicode MS"/>
                <w:color w:val="000000" w:themeColor="text1"/>
                <w:sz w:val="20"/>
                <w:szCs w:val="20"/>
                <w:shd w:val="clear" w:color="auto" w:fill="FFFFFF"/>
                <w:lang w:val="en-US"/>
              </w:rPr>
              <w:t xml:space="preserve"> pavilion </w:t>
            </w:r>
            <w:proofErr w:type="spellStart"/>
            <w:r w:rsidRPr="003567EB">
              <w:rPr>
                <w:rFonts w:eastAsia="Arial Unicode MS"/>
                <w:color w:val="000000" w:themeColor="text1"/>
                <w:sz w:val="20"/>
                <w:szCs w:val="20"/>
                <w:shd w:val="clear" w:color="auto" w:fill="FFFFFF"/>
                <w:lang w:val="en-US"/>
              </w:rPr>
              <w:t>îl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arborează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poate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lastRenderedPageBreak/>
              <w:t>după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w:t>
            </w:r>
            <w:proofErr w:type="spellEnd"/>
            <w:r w:rsidRPr="003567EB">
              <w:rPr>
                <w:rFonts w:eastAsia="Arial Unicode MS"/>
                <w:color w:val="000000" w:themeColor="text1"/>
                <w:sz w:val="20"/>
                <w:szCs w:val="20"/>
                <w:shd w:val="clear" w:color="auto" w:fill="FFFFFF"/>
                <w:lang w:val="en-US"/>
              </w:rPr>
              <w:t xml:space="preserve">-a </w:t>
            </w:r>
            <w:proofErr w:type="spellStart"/>
            <w:r w:rsidRPr="003567EB">
              <w:rPr>
                <w:rFonts w:eastAsia="Arial Unicode MS"/>
                <w:color w:val="000000" w:themeColor="text1"/>
                <w:sz w:val="20"/>
                <w:szCs w:val="20"/>
                <w:shd w:val="clear" w:color="auto" w:fill="FFFFFF"/>
                <w:lang w:val="en-US"/>
              </w:rPr>
              <w:t>acordat</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companiei</w:t>
            </w:r>
            <w:proofErr w:type="spellEnd"/>
            <w:r w:rsidRPr="003567EB">
              <w:rPr>
                <w:rFonts w:eastAsia="Arial Unicode MS"/>
                <w:color w:val="000000" w:themeColor="text1"/>
                <w:sz w:val="20"/>
                <w:szCs w:val="20"/>
                <w:shd w:val="clear" w:color="auto" w:fill="FFFFFF"/>
                <w:lang w:val="en-US"/>
              </w:rPr>
              <w:t xml:space="preserve"> de transport maritim în </w:t>
            </w:r>
            <w:proofErr w:type="spellStart"/>
            <w:r w:rsidRPr="003567EB">
              <w:rPr>
                <w:rFonts w:eastAsia="Arial Unicode MS"/>
                <w:color w:val="000000" w:themeColor="text1"/>
                <w:sz w:val="20"/>
                <w:szCs w:val="20"/>
                <w:shd w:val="clear" w:color="auto" w:fill="FFFFFF"/>
                <w:lang w:val="en-US"/>
              </w:rPr>
              <w:t>cauză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posibilitatea</w:t>
            </w:r>
            <w:proofErr w:type="spellEnd"/>
            <w:r w:rsidRPr="003567EB">
              <w:rPr>
                <w:rFonts w:eastAsia="Arial Unicode MS"/>
                <w:color w:val="000000" w:themeColor="text1"/>
                <w:sz w:val="20"/>
                <w:szCs w:val="20"/>
                <w:shd w:val="clear" w:color="auto" w:fill="FFFFFF"/>
                <w:lang w:val="en-US"/>
              </w:rPr>
              <w:t xml:space="preserve"> de a-și prezenta </w:t>
            </w:r>
            <w:proofErr w:type="spellStart"/>
            <w:r w:rsidRPr="003567EB">
              <w:rPr>
                <w:rFonts w:eastAsia="Arial Unicode MS"/>
                <w:color w:val="000000" w:themeColor="text1"/>
                <w:sz w:val="20"/>
                <w:szCs w:val="20"/>
                <w:shd w:val="clear" w:color="auto" w:fill="FFFFFF"/>
                <w:lang w:val="en-US"/>
              </w:rPr>
              <w:t>observațiile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emită</w:t>
            </w:r>
            <w:proofErr w:type="spellEnd"/>
            <w:r w:rsidRPr="003567EB">
              <w:rPr>
                <w:rFonts w:eastAsia="Arial Unicode MS"/>
                <w:color w:val="000000" w:themeColor="text1"/>
                <w:sz w:val="20"/>
                <w:szCs w:val="20"/>
                <w:shd w:val="clear" w:color="auto" w:fill="FFFFFF"/>
                <w:lang w:val="en-US"/>
              </w:rPr>
              <w:t xml:space="preserve"> un </w:t>
            </w:r>
            <w:proofErr w:type="spellStart"/>
            <w:r w:rsidRPr="003567EB">
              <w:rPr>
                <w:rFonts w:eastAsia="Arial Unicode MS"/>
                <w:color w:val="000000" w:themeColor="text1"/>
                <w:sz w:val="20"/>
                <w:szCs w:val="20"/>
                <w:shd w:val="clear" w:color="auto" w:fill="FFFFFF"/>
                <w:lang w:val="en-US"/>
              </w:rPr>
              <w:t>ordin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reținere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pavilionului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național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până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când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compania</w:t>
            </w:r>
            <w:proofErr w:type="spellEnd"/>
            <w:r w:rsidRPr="003567EB">
              <w:rPr>
                <w:rFonts w:eastAsia="Arial Unicode MS"/>
                <w:color w:val="000000" w:themeColor="text1"/>
                <w:sz w:val="20"/>
                <w:szCs w:val="20"/>
                <w:shd w:val="clear" w:color="auto" w:fill="FFFFFF"/>
                <w:lang w:val="en-US"/>
              </w:rPr>
              <w:t xml:space="preserve"> de transport maritim </w:t>
            </w:r>
            <w:proofErr w:type="spellStart"/>
            <w:r w:rsidRPr="003567EB">
              <w:rPr>
                <w:rFonts w:eastAsia="Arial Unicode MS"/>
                <w:color w:val="000000" w:themeColor="text1"/>
                <w:sz w:val="20"/>
                <w:szCs w:val="20"/>
                <w:shd w:val="clear" w:color="auto" w:fill="FFFFFF"/>
                <w:lang w:val="en-US"/>
              </w:rPr>
              <w:t>își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îndeplinește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obligațiile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restituire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Statul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informează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EMSA și </w:t>
            </w:r>
            <w:proofErr w:type="spellStart"/>
            <w:r w:rsidRPr="003567EB">
              <w:rPr>
                <w:rFonts w:eastAsia="Arial Unicode MS"/>
                <w:color w:val="000000" w:themeColor="text1"/>
                <w:sz w:val="20"/>
                <w:szCs w:val="20"/>
                <w:shd w:val="clear" w:color="auto" w:fill="FFFFFF"/>
                <w:lang w:val="en-US"/>
              </w:rPr>
              <w:t>celelalte</w:t>
            </w:r>
            <w:proofErr w:type="spellEnd"/>
            <w:r w:rsidRPr="003567EB">
              <w:rPr>
                <w:rFonts w:eastAsia="Arial Unicode MS"/>
                <w:color w:val="000000" w:themeColor="text1"/>
                <w:sz w:val="20"/>
                <w:szCs w:val="20"/>
                <w:shd w:val="clear" w:color="auto" w:fill="FFFFFF"/>
                <w:lang w:val="en-US"/>
              </w:rPr>
              <w:t xml:space="preserve"> state </w:t>
            </w:r>
            <w:proofErr w:type="spellStart"/>
            <w:r w:rsidRPr="003567EB">
              <w:rPr>
                <w:rFonts w:eastAsia="Arial Unicode MS"/>
                <w:color w:val="000000" w:themeColor="text1"/>
                <w:sz w:val="20"/>
                <w:szCs w:val="20"/>
                <w:shd w:val="clear" w:color="auto" w:fill="FFFFFF"/>
                <w:lang w:val="en-US"/>
              </w:rPr>
              <w:t>membre</w:t>
            </w:r>
            <w:proofErr w:type="spellEnd"/>
            <w:r w:rsidRPr="003567EB">
              <w:rPr>
                <w:rFonts w:eastAsia="Arial Unicode MS"/>
                <w:color w:val="000000" w:themeColor="text1"/>
                <w:sz w:val="20"/>
                <w:szCs w:val="20"/>
                <w:shd w:val="clear" w:color="auto" w:fill="FFFFFF"/>
                <w:lang w:val="en-US"/>
              </w:rPr>
              <w:t xml:space="preserve"> cu </w:t>
            </w:r>
            <w:proofErr w:type="spellStart"/>
            <w:r w:rsidRPr="003567EB">
              <w:rPr>
                <w:rFonts w:eastAsia="Arial Unicode MS"/>
                <w:color w:val="000000" w:themeColor="text1"/>
                <w:sz w:val="20"/>
                <w:szCs w:val="20"/>
                <w:shd w:val="clear" w:color="auto" w:fill="FFFFFF"/>
                <w:lang w:val="en-US"/>
              </w:rPr>
              <w:t>privire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această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situație</w:t>
            </w:r>
            <w:proofErr w:type="spellEnd"/>
            <w:r w:rsidRPr="003567EB">
              <w:rPr>
                <w:rFonts w:eastAsia="Arial Unicode MS"/>
                <w:color w:val="000000" w:themeColor="text1"/>
                <w:sz w:val="20"/>
                <w:szCs w:val="20"/>
                <w:shd w:val="clear" w:color="auto" w:fill="FFFFFF"/>
                <w:lang w:val="en-US"/>
              </w:rPr>
              <w:t xml:space="preserve">. Ca </w:t>
            </w:r>
            <w:proofErr w:type="spellStart"/>
            <w:r w:rsidRPr="003567EB">
              <w:rPr>
                <w:rFonts w:eastAsia="Arial Unicode MS"/>
                <w:color w:val="000000" w:themeColor="text1"/>
                <w:sz w:val="20"/>
                <w:szCs w:val="20"/>
                <w:shd w:val="clear" w:color="auto" w:fill="FFFFFF"/>
                <w:lang w:val="en-US"/>
              </w:rPr>
              <w:t>urmare</w:t>
            </w:r>
            <w:proofErr w:type="spellEnd"/>
            <w:r w:rsidRPr="003567EB">
              <w:rPr>
                <w:rFonts w:eastAsia="Arial Unicode MS"/>
                <w:color w:val="000000" w:themeColor="text1"/>
                <w:sz w:val="20"/>
                <w:szCs w:val="20"/>
                <w:shd w:val="clear" w:color="auto" w:fill="FFFFFF"/>
                <w:lang w:val="en-US"/>
              </w:rPr>
              <w:t xml:space="preserve"> </w:t>
            </w:r>
            <w:proofErr w:type="gramStart"/>
            <w:r w:rsidRPr="003567EB">
              <w:rPr>
                <w:rFonts w:eastAsia="Arial Unicode MS"/>
                <w:color w:val="000000" w:themeColor="text1"/>
                <w:sz w:val="20"/>
                <w:szCs w:val="20"/>
                <w:shd w:val="clear" w:color="auto" w:fill="FFFFFF"/>
                <w:lang w:val="en-US"/>
              </w:rPr>
              <w:t>a</w:t>
            </w:r>
            <w:proofErr w:type="gram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emiterii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astfel</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ordin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reținere</w:t>
            </w:r>
            <w:proofErr w:type="spellEnd"/>
            <w:r w:rsidRPr="003567EB">
              <w:rPr>
                <w:rFonts w:eastAsia="Arial Unicode MS"/>
                <w:color w:val="000000" w:themeColor="text1"/>
                <w:sz w:val="20"/>
                <w:szCs w:val="20"/>
                <w:shd w:val="clear" w:color="auto" w:fill="FFFFFF"/>
                <w:lang w:val="en-US"/>
              </w:rPr>
              <w:t xml:space="preserve"> a </w:t>
            </w:r>
            <w:proofErr w:type="spellStart"/>
            <w:r w:rsidRPr="003567EB">
              <w:rPr>
                <w:rFonts w:eastAsia="Arial Unicode MS"/>
                <w:color w:val="000000" w:themeColor="text1"/>
                <w:sz w:val="20"/>
                <w:szCs w:val="20"/>
                <w:shd w:val="clear" w:color="auto" w:fill="FFFFFF"/>
                <w:lang w:val="en-US"/>
              </w:rPr>
              <w:t>pavilionului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național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fiecare</w:t>
            </w:r>
            <w:proofErr w:type="spellEnd"/>
            <w:r w:rsidRPr="003567EB">
              <w:rPr>
                <w:rFonts w:eastAsia="Arial Unicode MS"/>
                <w:color w:val="000000" w:themeColor="text1"/>
                <w:sz w:val="20"/>
                <w:szCs w:val="20"/>
                <w:shd w:val="clear" w:color="auto" w:fill="FFFFFF"/>
                <w:lang w:val="en-US"/>
              </w:rPr>
              <w:t xml:space="preserve"> stat </w:t>
            </w:r>
            <w:proofErr w:type="spellStart"/>
            <w:r w:rsidRPr="003567EB">
              <w:rPr>
                <w:rFonts w:eastAsia="Arial Unicode MS"/>
                <w:color w:val="000000" w:themeColor="text1"/>
                <w:sz w:val="20"/>
                <w:szCs w:val="20"/>
                <w:shd w:val="clear" w:color="auto" w:fill="FFFFFF"/>
                <w:lang w:val="en-US"/>
              </w:rPr>
              <w:t>membru</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aceleași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măsuri</w:t>
            </w:r>
            <w:proofErr w:type="spellEnd"/>
            <w:r w:rsidRPr="003567EB">
              <w:rPr>
                <w:rFonts w:eastAsia="Arial Unicode MS"/>
                <w:color w:val="000000" w:themeColor="text1"/>
                <w:sz w:val="20"/>
                <w:szCs w:val="20"/>
                <w:shd w:val="clear" w:color="auto" w:fill="FFFFFF"/>
                <w:lang w:val="en-US"/>
              </w:rPr>
              <w:t xml:space="preserve"> ca și </w:t>
            </w:r>
            <w:proofErr w:type="spellStart"/>
            <w:r w:rsidRPr="003567EB">
              <w:rPr>
                <w:rFonts w:eastAsia="Arial Unicode MS"/>
                <w:color w:val="000000" w:themeColor="text1"/>
                <w:sz w:val="20"/>
                <w:szCs w:val="20"/>
                <w:shd w:val="clear" w:color="auto" w:fill="FFFFFF"/>
                <w:lang w:val="en-US"/>
              </w:rPr>
              <w:t>cele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necesare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urma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emiterii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unui</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ordin</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expulzare</w:t>
            </w:r>
            <w:proofErr w:type="spellEnd"/>
            <w:r w:rsidRPr="003567EB">
              <w:rPr>
                <w:rFonts w:eastAsia="Arial Unicode MS"/>
                <w:color w:val="000000" w:themeColor="text1"/>
                <w:sz w:val="20"/>
                <w:szCs w:val="20"/>
                <w:shd w:val="clear" w:color="auto" w:fill="FFFFFF"/>
                <w:lang w:val="en-US"/>
              </w:rPr>
              <w:t xml:space="preserve"> în conformitate cu a </w:t>
            </w:r>
            <w:proofErr w:type="spellStart"/>
            <w:r w:rsidRPr="003567EB">
              <w:rPr>
                <w:rFonts w:eastAsia="Arial Unicode MS"/>
                <w:color w:val="000000" w:themeColor="text1"/>
                <w:sz w:val="20"/>
                <w:szCs w:val="20"/>
                <w:shd w:val="clear" w:color="auto" w:fill="FFFFFF"/>
                <w:lang w:val="en-US"/>
              </w:rPr>
              <w:t>doua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teză</w:t>
            </w:r>
            <w:proofErr w:type="spellEnd"/>
            <w:r w:rsidRPr="003567EB">
              <w:rPr>
                <w:rFonts w:eastAsia="Arial Unicode MS"/>
                <w:color w:val="000000" w:themeColor="text1"/>
                <w:sz w:val="20"/>
                <w:szCs w:val="20"/>
                <w:shd w:val="clear" w:color="auto" w:fill="FFFFFF"/>
                <w:lang w:val="en-US"/>
              </w:rPr>
              <w:t xml:space="preserve"> de la </w:t>
            </w:r>
            <w:proofErr w:type="spellStart"/>
            <w:r w:rsidRPr="003567EB">
              <w:rPr>
                <w:rFonts w:eastAsia="Arial Unicode MS"/>
                <w:color w:val="000000" w:themeColor="text1"/>
                <w:sz w:val="20"/>
                <w:szCs w:val="20"/>
                <w:shd w:val="clear" w:color="auto" w:fill="FFFFFF"/>
                <w:lang w:val="en-US"/>
              </w:rPr>
              <w:t>primul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paragraf</w:t>
            </w:r>
            <w:proofErr w:type="spellEnd"/>
            <w:r w:rsidRPr="003567EB">
              <w:rPr>
                <w:rFonts w:eastAsia="Arial Unicode MS"/>
                <w:color w:val="000000" w:themeColor="text1"/>
                <w:sz w:val="20"/>
                <w:szCs w:val="20"/>
                <w:shd w:val="clear" w:color="auto" w:fill="FFFFFF"/>
                <w:lang w:val="en-US"/>
              </w:rPr>
              <w:t>.</w:t>
            </w:r>
          </w:p>
          <w:p w14:paraId="3DEB2775" w14:textId="77777777" w:rsidR="00124364" w:rsidRPr="003567EB" w:rsidRDefault="00000000" w:rsidP="003567E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Prezentul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alineat</w:t>
            </w:r>
            <w:proofErr w:type="spellEnd"/>
            <w:r w:rsidRPr="003567EB">
              <w:rPr>
                <w:rFonts w:eastAsia="Arial Unicode MS"/>
                <w:color w:val="000000" w:themeColor="text1"/>
                <w:sz w:val="20"/>
                <w:szCs w:val="20"/>
                <w:shd w:val="clear" w:color="auto" w:fill="FFFFFF"/>
                <w:lang w:val="en-US"/>
              </w:rPr>
              <w:t xml:space="preserve"> nu </w:t>
            </w:r>
            <w:proofErr w:type="spellStart"/>
            <w:r w:rsidRPr="003567EB">
              <w:rPr>
                <w:rFonts w:eastAsia="Arial Unicode MS"/>
                <w:color w:val="000000" w:themeColor="text1"/>
                <w:sz w:val="20"/>
                <w:szCs w:val="20"/>
                <w:shd w:val="clear" w:color="auto" w:fill="FFFFFF"/>
                <w:lang w:val="en-US"/>
              </w:rPr>
              <w:t>aduce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atingere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normelor</w:t>
            </w:r>
            <w:proofErr w:type="spellEnd"/>
            <w:r w:rsidRPr="003567EB">
              <w:rPr>
                <w:rFonts w:eastAsia="Arial Unicode MS"/>
                <w:color w:val="000000" w:themeColor="text1"/>
                <w:sz w:val="20"/>
                <w:szCs w:val="20"/>
                <w:shd w:val="clear" w:color="auto" w:fill="FFFFFF"/>
                <w:lang w:val="en-US"/>
              </w:rPr>
              <w:t xml:space="preserve"> maritime </w:t>
            </w:r>
            <w:proofErr w:type="spellStart"/>
            <w:r w:rsidRPr="003567EB">
              <w:rPr>
                <w:rFonts w:eastAsia="Arial Unicode MS"/>
                <w:color w:val="000000" w:themeColor="text1"/>
                <w:sz w:val="20"/>
                <w:szCs w:val="20"/>
                <w:shd w:val="clear" w:color="auto" w:fill="FFFFFF"/>
                <w:lang w:val="en-US"/>
              </w:rPr>
              <w:t>internaționale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aplicabile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cazul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navelor</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aflate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pericol</w:t>
            </w:r>
            <w:proofErr w:type="spellEnd"/>
            <w:r w:rsidRPr="003567EB">
              <w:rPr>
                <w:rFonts w:eastAsia="Arial Unicode MS"/>
                <w:color w:val="000000" w:themeColor="text1"/>
                <w:sz w:val="20"/>
                <w:szCs w:val="20"/>
                <w:shd w:val="clear" w:color="auto" w:fill="FFFFFF"/>
                <w:lang w:val="en-US"/>
              </w:rPr>
              <w:t>.</w:t>
            </w:r>
          </w:p>
          <w:p w14:paraId="01558F5F"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249" w:tooltip="32018L0410: REPLACED" w:history="1">
              <w:r>
                <w:rPr>
                  <w:rStyle w:val="af3"/>
                  <w:rFonts w:eastAsia="Arial Unicode MS"/>
                  <w:b/>
                  <w:bCs/>
                  <w:color w:val="4472C4" w:themeColor="accent1"/>
                  <w:sz w:val="20"/>
                  <w:szCs w:val="20"/>
                </w:rPr>
                <w:t>▼M9</w:t>
              </w:r>
            </w:hyperlink>
          </w:p>
          <w:p w14:paraId="4A69D726" w14:textId="77777777" w:rsidR="00124364" w:rsidRPr="003567EB" w:rsidRDefault="00000000" w:rsidP="003567EB">
            <w:pPr>
              <w:pStyle w:val="ti-art"/>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567EB">
              <w:rPr>
                <w:rFonts w:eastAsia="Arial Unicode MS"/>
                <w:color w:val="000000" w:themeColor="text1"/>
                <w:sz w:val="20"/>
                <w:szCs w:val="20"/>
                <w:shd w:val="clear" w:color="auto" w:fill="FFFFFF"/>
                <w:lang w:val="en-US"/>
              </w:rPr>
              <w:t>Comisia</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adoptă</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acte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punere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aplicare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privind</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normele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detaliate</w:t>
            </w:r>
            <w:proofErr w:type="spellEnd"/>
            <w:r w:rsidRPr="003567EB">
              <w:rPr>
                <w:rFonts w:eastAsia="Arial Unicode MS"/>
                <w:color w:val="000000" w:themeColor="text1"/>
                <w:sz w:val="20"/>
                <w:szCs w:val="20"/>
                <w:shd w:val="clear" w:color="auto" w:fill="FFFFFF"/>
                <w:lang w:val="en-US"/>
              </w:rPr>
              <w:t xml:space="preserve"> cu </w:t>
            </w:r>
            <w:proofErr w:type="spellStart"/>
            <w:r w:rsidRPr="003567EB">
              <w:rPr>
                <w:rFonts w:eastAsia="Arial Unicode MS"/>
                <w:color w:val="000000" w:themeColor="text1"/>
                <w:sz w:val="20"/>
                <w:szCs w:val="20"/>
                <w:shd w:val="clear" w:color="auto" w:fill="FFFFFF"/>
                <w:lang w:val="en-US"/>
              </w:rPr>
              <w:t>privire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procedurile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menționate</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prezentul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articol</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Actele</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punere</w:t>
            </w:r>
            <w:proofErr w:type="spellEnd"/>
            <w:r w:rsidRPr="003567EB">
              <w:rPr>
                <w:rFonts w:eastAsia="Arial Unicode MS"/>
                <w:color w:val="000000" w:themeColor="text1"/>
                <w:sz w:val="20"/>
                <w:szCs w:val="20"/>
                <w:shd w:val="clear" w:color="auto" w:fill="FFFFFF"/>
                <w:lang w:val="en-US"/>
              </w:rPr>
              <w:t xml:space="preserve"> în </w:t>
            </w:r>
            <w:proofErr w:type="spellStart"/>
            <w:r w:rsidRPr="003567EB">
              <w:rPr>
                <w:rFonts w:eastAsia="Arial Unicode MS"/>
                <w:color w:val="000000" w:themeColor="text1"/>
                <w:sz w:val="20"/>
                <w:szCs w:val="20"/>
                <w:shd w:val="clear" w:color="auto" w:fill="FFFFFF"/>
                <w:lang w:val="en-US"/>
              </w:rPr>
              <w:t>aplicare</w:t>
            </w:r>
            <w:proofErr w:type="spellEnd"/>
            <w:r w:rsidRPr="003567EB">
              <w:rPr>
                <w:rFonts w:eastAsia="Arial Unicode MS"/>
                <w:color w:val="000000" w:themeColor="text1"/>
                <w:sz w:val="20"/>
                <w:szCs w:val="20"/>
                <w:shd w:val="clear" w:color="auto" w:fill="FFFFFF"/>
                <w:lang w:val="en-US"/>
              </w:rPr>
              <w:t xml:space="preserve"> respective se </w:t>
            </w:r>
            <w:proofErr w:type="spellStart"/>
            <w:r w:rsidRPr="003567EB">
              <w:rPr>
                <w:rFonts w:eastAsia="Arial Unicode MS"/>
                <w:color w:val="000000" w:themeColor="text1"/>
                <w:sz w:val="20"/>
                <w:szCs w:val="20"/>
                <w:shd w:val="clear" w:color="auto" w:fill="FFFFFF"/>
                <w:lang w:val="en-US"/>
              </w:rPr>
              <w:t>adoptă</w:t>
            </w:r>
            <w:proofErr w:type="spellEnd"/>
            <w:r w:rsidRPr="003567EB">
              <w:rPr>
                <w:rFonts w:eastAsia="Arial Unicode MS"/>
                <w:color w:val="000000" w:themeColor="text1"/>
                <w:sz w:val="20"/>
                <w:szCs w:val="20"/>
                <w:shd w:val="clear" w:color="auto" w:fill="FFFFFF"/>
                <w:lang w:val="en-US"/>
              </w:rPr>
              <w:t xml:space="preserve"> în conformitate cu </w:t>
            </w:r>
            <w:proofErr w:type="spellStart"/>
            <w:r w:rsidRPr="003567EB">
              <w:rPr>
                <w:rFonts w:eastAsia="Arial Unicode MS"/>
                <w:color w:val="000000" w:themeColor="text1"/>
                <w:sz w:val="20"/>
                <w:szCs w:val="20"/>
                <w:shd w:val="clear" w:color="auto" w:fill="FFFFFF"/>
                <w:lang w:val="en-US"/>
              </w:rPr>
              <w:t>procedura</w:t>
            </w:r>
            <w:proofErr w:type="spellEnd"/>
            <w:r w:rsidRPr="003567EB">
              <w:rPr>
                <w:rFonts w:eastAsia="Arial Unicode MS"/>
                <w:color w:val="000000" w:themeColor="text1"/>
                <w:sz w:val="20"/>
                <w:szCs w:val="20"/>
                <w:shd w:val="clear" w:color="auto" w:fill="FFFFFF"/>
                <w:lang w:val="en-US"/>
              </w:rPr>
              <w:t xml:space="preserve"> de </w:t>
            </w:r>
            <w:proofErr w:type="spellStart"/>
            <w:r w:rsidRPr="003567EB">
              <w:rPr>
                <w:rFonts w:eastAsia="Arial Unicode MS"/>
                <w:color w:val="000000" w:themeColor="text1"/>
                <w:sz w:val="20"/>
                <w:szCs w:val="20"/>
                <w:shd w:val="clear" w:color="auto" w:fill="FFFFFF"/>
                <w:lang w:val="en-US"/>
              </w:rPr>
              <w:t>examinare</w:t>
            </w:r>
            <w:proofErr w:type="spellEnd"/>
            <w:r w:rsidRPr="003567EB">
              <w:rPr>
                <w:rFonts w:eastAsia="Arial Unicode MS"/>
                <w:color w:val="000000" w:themeColor="text1"/>
                <w:sz w:val="20"/>
                <w:szCs w:val="20"/>
                <w:shd w:val="clear" w:color="auto" w:fill="FFFFFF"/>
                <w:lang w:val="en-US"/>
              </w:rPr>
              <w:t xml:space="preserve"> </w:t>
            </w:r>
            <w:proofErr w:type="spellStart"/>
            <w:r w:rsidRPr="003567EB">
              <w:rPr>
                <w:rFonts w:eastAsia="Arial Unicode MS"/>
                <w:color w:val="000000" w:themeColor="text1"/>
                <w:sz w:val="20"/>
                <w:szCs w:val="20"/>
                <w:shd w:val="clear" w:color="auto" w:fill="FFFFFF"/>
                <w:lang w:val="en-US"/>
              </w:rPr>
              <w:t>menționată</w:t>
            </w:r>
            <w:proofErr w:type="spellEnd"/>
            <w:r w:rsidRPr="003567EB">
              <w:rPr>
                <w:rFonts w:eastAsia="Arial Unicode MS"/>
                <w:color w:val="000000" w:themeColor="text1"/>
                <w:sz w:val="20"/>
                <w:szCs w:val="20"/>
                <w:shd w:val="clear" w:color="auto" w:fill="FFFFFF"/>
                <w:lang w:val="en-US"/>
              </w:rPr>
              <w:t xml:space="preserve"> la </w:t>
            </w:r>
            <w:proofErr w:type="spellStart"/>
            <w:r w:rsidRPr="003567EB">
              <w:rPr>
                <w:rFonts w:eastAsia="Arial Unicode MS"/>
                <w:color w:val="000000" w:themeColor="text1"/>
                <w:sz w:val="20"/>
                <w:szCs w:val="20"/>
                <w:shd w:val="clear" w:color="auto" w:fill="FFFFFF"/>
                <w:lang w:val="en-US"/>
              </w:rPr>
              <w:t>articolul</w:t>
            </w:r>
            <w:proofErr w:type="spellEnd"/>
            <w:r w:rsidRPr="003567EB">
              <w:rPr>
                <w:rFonts w:eastAsia="Arial Unicode MS"/>
                <w:color w:val="000000" w:themeColor="text1"/>
                <w:sz w:val="20"/>
                <w:szCs w:val="20"/>
                <w:shd w:val="clear" w:color="auto" w:fill="FFFFFF"/>
                <w:lang w:val="en-US"/>
              </w:rPr>
              <w:t xml:space="preserve"> 22a </w:t>
            </w:r>
            <w:proofErr w:type="spellStart"/>
            <w:r w:rsidRPr="003567EB">
              <w:rPr>
                <w:rFonts w:eastAsia="Arial Unicode MS"/>
                <w:color w:val="000000" w:themeColor="text1"/>
                <w:sz w:val="20"/>
                <w:szCs w:val="20"/>
                <w:shd w:val="clear" w:color="auto" w:fill="FFFFFF"/>
                <w:lang w:val="en-US"/>
              </w:rPr>
              <w:t>alineatul</w:t>
            </w:r>
            <w:proofErr w:type="spellEnd"/>
            <w:r w:rsidRPr="003567EB">
              <w:rPr>
                <w:rFonts w:eastAsia="Arial Unicode MS"/>
                <w:color w:val="000000" w:themeColor="text1"/>
                <w:sz w:val="20"/>
                <w:szCs w:val="20"/>
                <w:shd w:val="clear" w:color="auto" w:fill="FFFFFF"/>
                <w:lang w:val="en-US"/>
              </w:rPr>
              <w:t xml:space="preserve"> (2).</w:t>
            </w:r>
          </w:p>
          <w:p w14:paraId="596FAA04"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50" w:tooltip="32004L0101R(02): REPLACED" w:history="1">
              <w:r>
                <w:rPr>
                  <w:rStyle w:val="af3"/>
                  <w:rFonts w:eastAsia="Arial Unicode MS"/>
                  <w:b/>
                  <w:bCs/>
                  <w:color w:val="4472C4" w:themeColor="accent1"/>
                  <w:sz w:val="20"/>
                  <w:szCs w:val="20"/>
                </w:rPr>
                <w:t>▼C3</w:t>
              </w:r>
            </w:hyperlink>
          </w:p>
        </w:tc>
        <w:tc>
          <w:tcPr>
            <w:tcW w:w="4394" w:type="dxa"/>
            <w:shd w:val="clear" w:color="auto" w:fill="auto"/>
          </w:tcPr>
          <w:p w14:paraId="2BDA3F42"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EB99EB7" w14:textId="2EC17F8B" w:rsidR="00124364" w:rsidRDefault="003567E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r w:rsidR="00000000">
              <w:rPr>
                <w:rFonts w:ascii="Times New Roman" w:hAnsi="Times New Roman"/>
                <w:bCs/>
                <w:sz w:val="20"/>
                <w:szCs w:val="20"/>
                <w:lang w:val="ro-RO"/>
              </w:rPr>
              <w:t xml:space="preserve"> </w:t>
            </w:r>
          </w:p>
          <w:p w14:paraId="620AC738"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2898908"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15AE202" w14:textId="7BB2044F" w:rsidR="00124364" w:rsidRPr="003567EB" w:rsidRDefault="003567EB" w:rsidP="003567EB">
            <w:pPr>
              <w:pStyle w:val="Para"/>
              <w:tabs>
                <w:tab w:val="clear" w:pos="1361"/>
                <w:tab w:val="left" w:pos="1422"/>
              </w:tabs>
              <w:spacing w:before="60" w:after="0"/>
              <w:ind w:right="0"/>
              <w:rPr>
                <w:rFonts w:ascii="Times New Roman" w:eastAsia="Times New Roman" w:hAnsi="Times New Roman"/>
              </w:rPr>
            </w:pPr>
            <w:r>
              <w:rPr>
                <w:rFonts w:ascii="Times New Roman" w:eastAsia="Times New Roman" w:hAnsi="Times New Roman"/>
              </w:rPr>
              <w:t xml:space="preserve">Prevederile vor fi transpuse în </w:t>
            </w:r>
            <w:r>
              <w:rPr>
                <w:rFonts w:ascii="Times New Roman" w:hAnsi="Times New Roman"/>
                <w:color w:val="000000" w:themeColor="text1"/>
              </w:rPr>
              <w:t>conformitate cu tehnica legislativă națională.</w:t>
            </w:r>
          </w:p>
        </w:tc>
        <w:tc>
          <w:tcPr>
            <w:tcW w:w="1464" w:type="dxa"/>
            <w:shd w:val="clear" w:color="auto" w:fill="auto"/>
          </w:tcPr>
          <w:p w14:paraId="252E011E" w14:textId="77777777" w:rsidR="00124364" w:rsidRDefault="00124364" w:rsidP="003567EB">
            <w:pPr>
              <w:autoSpaceDE w:val="0"/>
              <w:spacing w:after="0" w:line="240" w:lineRule="auto"/>
              <w:rPr>
                <w:rFonts w:ascii="Times New Roman" w:hAnsi="Times New Roman"/>
                <w:sz w:val="20"/>
                <w:szCs w:val="20"/>
                <w:lang w:val="fr-FR"/>
              </w:rPr>
            </w:pPr>
          </w:p>
        </w:tc>
      </w:tr>
      <w:tr w:rsidR="00124364" w14:paraId="05AD73B6" w14:textId="77777777">
        <w:trPr>
          <w:trHeight w:val="558"/>
        </w:trPr>
        <w:tc>
          <w:tcPr>
            <w:tcW w:w="4957" w:type="dxa"/>
            <w:shd w:val="clear" w:color="auto" w:fill="auto"/>
          </w:tcPr>
          <w:p w14:paraId="654D2FDA" w14:textId="4CACA840"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003567EB">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17</w:t>
            </w:r>
          </w:p>
          <w:p w14:paraId="5D319BC7" w14:textId="7777777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Accesul</w:t>
            </w:r>
            <w:proofErr w:type="spellEnd"/>
            <w:r w:rsidRPr="00E34C2B">
              <w:rPr>
                <w:rFonts w:eastAsia="Arial Unicode MS"/>
                <w:b/>
                <w:bCs/>
                <w:color w:val="333333"/>
                <w:sz w:val="20"/>
                <w:szCs w:val="20"/>
                <w:shd w:val="clear" w:color="auto" w:fill="FFFFFF"/>
                <w:lang w:val="en-US"/>
              </w:rPr>
              <w:t xml:space="preserve"> la </w:t>
            </w:r>
            <w:proofErr w:type="spellStart"/>
            <w:r w:rsidRPr="00E34C2B">
              <w:rPr>
                <w:rFonts w:eastAsia="Arial Unicode MS"/>
                <w:b/>
                <w:bCs/>
                <w:color w:val="333333"/>
                <w:sz w:val="20"/>
                <w:szCs w:val="20"/>
                <w:shd w:val="clear" w:color="auto" w:fill="FFFFFF"/>
                <w:lang w:val="en-US"/>
              </w:rPr>
              <w:t>informații</w:t>
            </w:r>
            <w:proofErr w:type="spellEnd"/>
          </w:p>
          <w:p w14:paraId="53321C79" w14:textId="41AF61CA" w:rsidR="00124364" w:rsidRDefault="00000000" w:rsidP="003567EB">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conformitate cu </w:t>
            </w:r>
            <w:proofErr w:type="spellStart"/>
            <w:r>
              <w:rPr>
                <w:rFonts w:eastAsia="Arial Unicode MS"/>
                <w:color w:val="333333"/>
                <w:sz w:val="20"/>
                <w:szCs w:val="20"/>
                <w:shd w:val="clear" w:color="auto" w:fill="FFFFFF"/>
                <w:lang w:val="en-US"/>
              </w:rPr>
              <w:t>Directiva</w:t>
            </w:r>
            <w:proofErr w:type="spellEnd"/>
            <w:r w:rsidR="003567E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2003/4/CE, se pun la </w:t>
            </w:r>
            <w:proofErr w:type="spellStart"/>
            <w:r>
              <w:rPr>
                <w:rFonts w:eastAsia="Arial Unicode MS"/>
                <w:color w:val="333333"/>
                <w:sz w:val="20"/>
                <w:szCs w:val="20"/>
                <w:shd w:val="clear" w:color="auto" w:fill="FFFFFF"/>
                <w:lang w:val="en-US"/>
              </w:rPr>
              <w:t>dispoziția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publicului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deciziile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alocarea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informațiile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bazate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la care un 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permite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entităților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publice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private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participe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rapoartele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privind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cerute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autorizația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de 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Pr>
                <w:rFonts w:eastAsia="Arial Unicode MS"/>
                <w:color w:val="333333"/>
                <w:sz w:val="20"/>
                <w:szCs w:val="20"/>
                <w:shd w:val="clear" w:color="auto" w:fill="FFFFFF"/>
                <w:lang w:val="en-US"/>
              </w:rPr>
              <w:t xml:space="preserve"> și care sunt </w:t>
            </w:r>
            <w:proofErr w:type="spellStart"/>
            <w:r>
              <w:rPr>
                <w:rFonts w:eastAsia="Arial Unicode MS"/>
                <w:color w:val="333333"/>
                <w:sz w:val="20"/>
                <w:szCs w:val="20"/>
                <w:shd w:val="clear" w:color="auto" w:fill="FFFFFF"/>
                <w:lang w:val="en-US"/>
              </w:rPr>
              <w:t>deținute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autoritatea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competentă</w:t>
            </w:r>
            <w:proofErr w:type="spellEnd"/>
            <w:r>
              <w:rPr>
                <w:rFonts w:eastAsia="Arial Unicode MS"/>
                <w:color w:val="333333"/>
                <w:sz w:val="20"/>
                <w:szCs w:val="20"/>
                <w:shd w:val="clear" w:color="auto" w:fill="FFFFFF"/>
                <w:lang w:val="en-US"/>
              </w:rPr>
              <w:t>.</w:t>
            </w:r>
          </w:p>
          <w:p w14:paraId="447B3F79"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51" w:tooltip="32003L0087" w:history="1">
              <w:r>
                <w:rPr>
                  <w:rStyle w:val="af3"/>
                  <w:rFonts w:eastAsia="Arial Unicode MS"/>
                  <w:b/>
                  <w:bCs/>
                  <w:color w:val="4472C4" w:themeColor="accent1"/>
                  <w:sz w:val="20"/>
                  <w:szCs w:val="20"/>
                </w:rPr>
                <w:t>▼B</w:t>
              </w:r>
            </w:hyperlink>
          </w:p>
        </w:tc>
        <w:tc>
          <w:tcPr>
            <w:tcW w:w="4394" w:type="dxa"/>
            <w:shd w:val="clear" w:color="auto" w:fill="auto"/>
          </w:tcPr>
          <w:p w14:paraId="473EE5EA"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30362A8" w14:textId="6D939C48" w:rsidR="00124364" w:rsidRDefault="003567EB" w:rsidP="003567E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43ECB8D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B7C334C" w14:textId="5DCF4A3A" w:rsidR="00124364" w:rsidRDefault="003567E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32ABD8EB" w14:textId="77777777" w:rsidR="00124364" w:rsidRDefault="00124364" w:rsidP="003567EB">
            <w:pPr>
              <w:autoSpaceDE w:val="0"/>
              <w:spacing w:after="0" w:line="240" w:lineRule="auto"/>
              <w:rPr>
                <w:rFonts w:ascii="Times New Roman" w:hAnsi="Times New Roman"/>
                <w:sz w:val="20"/>
                <w:szCs w:val="20"/>
                <w:lang w:val="fr-FR"/>
              </w:rPr>
            </w:pPr>
          </w:p>
        </w:tc>
      </w:tr>
      <w:tr w:rsidR="00124364" w14:paraId="1FFA4CB7" w14:textId="77777777">
        <w:trPr>
          <w:trHeight w:val="558"/>
        </w:trPr>
        <w:tc>
          <w:tcPr>
            <w:tcW w:w="4957" w:type="dxa"/>
            <w:shd w:val="clear" w:color="auto" w:fill="auto"/>
          </w:tcPr>
          <w:p w14:paraId="6A3CB367"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18</w:t>
            </w:r>
          </w:p>
          <w:p w14:paraId="35BB6FA7" w14:textId="7777777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Autoritatea</w:t>
            </w:r>
            <w:proofErr w:type="spellEnd"/>
            <w:r w:rsidRPr="00E34C2B">
              <w:rPr>
                <w:rFonts w:eastAsia="Arial Unicode MS"/>
                <w:b/>
                <w:bCs/>
                <w:color w:val="333333"/>
                <w:sz w:val="20"/>
                <w:szCs w:val="20"/>
                <w:shd w:val="clear" w:color="auto" w:fill="FFFFFF"/>
                <w:lang w:val="en-US"/>
              </w:rPr>
              <w:t xml:space="preserve"> </w:t>
            </w:r>
            <w:proofErr w:type="spellStart"/>
            <w:r w:rsidRPr="00E34C2B">
              <w:rPr>
                <w:rFonts w:eastAsia="Arial Unicode MS"/>
                <w:b/>
                <w:bCs/>
                <w:color w:val="333333"/>
                <w:sz w:val="20"/>
                <w:szCs w:val="20"/>
                <w:shd w:val="clear" w:color="auto" w:fill="FFFFFF"/>
                <w:lang w:val="en-US"/>
              </w:rPr>
              <w:t>competentă</w:t>
            </w:r>
            <w:proofErr w:type="spellEnd"/>
          </w:p>
          <w:p w14:paraId="72B72F75"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măsurile</w:t>
            </w:r>
            <w:proofErr w:type="spellEnd"/>
            <w:r>
              <w:rPr>
                <w:rFonts w:eastAsia="Arial Unicode MS"/>
                <w:color w:val="333333"/>
                <w:sz w:val="20"/>
                <w:szCs w:val="20"/>
                <w:shd w:val="clear" w:color="auto" w:fill="FFFFFF"/>
                <w:lang w:val="en-US"/>
              </w:rPr>
              <w:t xml:space="preserve"> administrative </w:t>
            </w:r>
            <w:proofErr w:type="spellStart"/>
            <w:r>
              <w:rPr>
                <w:rFonts w:eastAsia="Arial Unicode MS"/>
                <w:color w:val="333333"/>
                <w:sz w:val="20"/>
                <w:szCs w:val="20"/>
                <w:shd w:val="clear" w:color="auto" w:fill="FFFFFF"/>
                <w:lang w:val="en-US"/>
              </w:rPr>
              <w:t>adecvate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desemnarea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adecvate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aplicarea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normelor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de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sunt </w:t>
            </w:r>
            <w:proofErr w:type="spellStart"/>
            <w:r>
              <w:rPr>
                <w:rFonts w:eastAsia="Arial Unicode MS"/>
                <w:color w:val="333333"/>
                <w:sz w:val="20"/>
                <w:szCs w:val="20"/>
                <w:shd w:val="clear" w:color="auto" w:fill="FFFFFF"/>
                <w:lang w:val="en-US"/>
              </w:rPr>
              <w:t>desemnate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acestor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întreprinsă</w:t>
            </w:r>
            <w:proofErr w:type="spellEnd"/>
            <w:r>
              <w:rPr>
                <w:rFonts w:eastAsia="Arial Unicode MS"/>
                <w:color w:val="333333"/>
                <w:sz w:val="20"/>
                <w:szCs w:val="20"/>
                <w:shd w:val="clear" w:color="auto" w:fill="FFFFFF"/>
                <w:lang w:val="en-US"/>
              </w:rPr>
              <w:t xml:space="preserve"> în conformitate cu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coordonată</w:t>
            </w:r>
            <w:proofErr w:type="spellEnd"/>
            <w:r>
              <w:rPr>
                <w:rFonts w:eastAsia="Arial Unicode MS"/>
                <w:color w:val="333333"/>
                <w:sz w:val="20"/>
                <w:szCs w:val="20"/>
                <w:shd w:val="clear" w:color="auto" w:fill="FFFFFF"/>
                <w:lang w:val="en-US"/>
              </w:rPr>
              <w:t>.</w:t>
            </w:r>
          </w:p>
          <w:p w14:paraId="78A49AE1"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52" w:tooltip="32004L0101: INSERTED" w:history="1">
              <w:r w:rsidRPr="00E34C2B">
                <w:rPr>
                  <w:rStyle w:val="af3"/>
                  <w:rFonts w:eastAsia="Arial Unicode MS"/>
                  <w:b/>
                  <w:bCs/>
                  <w:color w:val="4472C4" w:themeColor="accent1"/>
                  <w:sz w:val="20"/>
                  <w:szCs w:val="20"/>
                  <w:lang w:val="en-US"/>
                </w:rPr>
                <w:t>▼M1</w:t>
              </w:r>
            </w:hyperlink>
          </w:p>
          <w:p w14:paraId="5DD6A1D9"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lastRenderedPageBreak/>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în special </w:t>
            </w:r>
            <w:proofErr w:type="spellStart"/>
            <w:r>
              <w:rPr>
                <w:rFonts w:eastAsia="Arial Unicode MS"/>
                <w:color w:val="333333"/>
                <w:sz w:val="20"/>
                <w:szCs w:val="20"/>
                <w:shd w:val="clear" w:color="auto" w:fill="FFFFFF"/>
                <w:lang w:val="en-US"/>
              </w:rPr>
              <w:t>coordonarea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interlocutorul</w:t>
            </w:r>
            <w:proofErr w:type="spellEnd"/>
            <w:r>
              <w:rPr>
                <w:rFonts w:eastAsia="Arial Unicode MS"/>
                <w:color w:val="333333"/>
                <w:sz w:val="20"/>
                <w:szCs w:val="20"/>
                <w:shd w:val="clear" w:color="auto" w:fill="FFFFFF"/>
                <w:lang w:val="en-US"/>
              </w:rPr>
              <w:t xml:space="preserve"> lor </w:t>
            </w:r>
            <w:proofErr w:type="spellStart"/>
            <w:r>
              <w:rPr>
                <w:rFonts w:eastAsia="Arial Unicode MS"/>
                <w:color w:val="333333"/>
                <w:sz w:val="20"/>
                <w:szCs w:val="20"/>
                <w:shd w:val="clear" w:color="auto" w:fill="FFFFFF"/>
                <w:lang w:val="en-US"/>
              </w:rPr>
              <w:t>desemnat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aprobarea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activităților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bazate</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proiecte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6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 </w:t>
            </w:r>
            <w:proofErr w:type="spellStart"/>
            <w:r>
              <w:rPr>
                <w:rFonts w:eastAsia="Arial Unicode MS"/>
                <w:color w:val="333333"/>
                <w:sz w:val="20"/>
                <w:szCs w:val="20"/>
                <w:shd w:val="clear" w:color="auto" w:fill="FFFFFF"/>
                <w:lang w:val="en-US"/>
              </w:rPr>
              <w:t>litera</w:t>
            </w:r>
            <w:proofErr w:type="spellEnd"/>
            <w:r>
              <w:rPr>
                <w:rFonts w:eastAsia="Arial Unicode MS"/>
                <w:color w:val="333333"/>
                <w:sz w:val="20"/>
                <w:szCs w:val="20"/>
                <w:shd w:val="clear" w:color="auto" w:fill="FFFFFF"/>
                <w:lang w:val="en-US"/>
              </w:rPr>
              <w:t xml:space="preserve"> (a) din </w:t>
            </w:r>
            <w:proofErr w:type="spellStart"/>
            <w:r>
              <w:rPr>
                <w:rFonts w:eastAsia="Arial Unicode MS"/>
                <w:color w:val="333333"/>
                <w:sz w:val="20"/>
                <w:szCs w:val="20"/>
                <w:shd w:val="clear" w:color="auto" w:fill="FFFFFF"/>
                <w:lang w:val="en-US"/>
              </w:rPr>
              <w:t>Protocolul</w:t>
            </w:r>
            <w:proofErr w:type="spellEnd"/>
            <w:r>
              <w:rPr>
                <w:rFonts w:eastAsia="Arial Unicode MS"/>
                <w:color w:val="333333"/>
                <w:sz w:val="20"/>
                <w:szCs w:val="20"/>
                <w:shd w:val="clear" w:color="auto" w:fill="FFFFFF"/>
                <w:lang w:val="en-US"/>
              </w:rPr>
              <w:t xml:space="preserve"> de la Kyoto și </w:t>
            </w:r>
            <w:proofErr w:type="spellStart"/>
            <w:r>
              <w:rPr>
                <w:rFonts w:eastAsia="Arial Unicode MS"/>
                <w:color w:val="333333"/>
                <w:sz w:val="20"/>
                <w:szCs w:val="20"/>
                <w:shd w:val="clear" w:color="auto" w:fill="FFFFFF"/>
                <w:lang w:val="en-US"/>
              </w:rPr>
              <w:t>autoritatea</w:t>
            </w:r>
            <w:proofErr w:type="spellEnd"/>
            <w:r>
              <w:rPr>
                <w:rFonts w:eastAsia="Arial Unicode MS"/>
                <w:color w:val="333333"/>
                <w:sz w:val="20"/>
                <w:szCs w:val="20"/>
                <w:shd w:val="clear" w:color="auto" w:fill="FFFFFF"/>
                <w:lang w:val="en-US"/>
              </w:rPr>
              <w:t xml:space="preserve"> lor națională </w:t>
            </w:r>
            <w:proofErr w:type="spellStart"/>
            <w:r>
              <w:rPr>
                <w:rFonts w:eastAsia="Arial Unicode MS"/>
                <w:color w:val="333333"/>
                <w:sz w:val="20"/>
                <w:szCs w:val="20"/>
                <w:shd w:val="clear" w:color="auto" w:fill="FFFFFF"/>
                <w:lang w:val="en-US"/>
              </w:rPr>
              <w:t>desemnată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punerea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12 din </w:t>
            </w:r>
            <w:proofErr w:type="spellStart"/>
            <w:r>
              <w:rPr>
                <w:rFonts w:eastAsia="Arial Unicode MS"/>
                <w:color w:val="333333"/>
                <w:sz w:val="20"/>
                <w:szCs w:val="20"/>
                <w:shd w:val="clear" w:color="auto" w:fill="FFFFFF"/>
                <w:lang w:val="en-US"/>
              </w:rPr>
              <w:t>Protocolul</w:t>
            </w:r>
            <w:proofErr w:type="spellEnd"/>
            <w:r>
              <w:rPr>
                <w:rFonts w:eastAsia="Arial Unicode MS"/>
                <w:color w:val="333333"/>
                <w:sz w:val="20"/>
                <w:szCs w:val="20"/>
                <w:shd w:val="clear" w:color="auto" w:fill="FFFFFF"/>
                <w:lang w:val="en-US"/>
              </w:rPr>
              <w:t xml:space="preserve"> de la Kyoto, care sunt </w:t>
            </w:r>
            <w:proofErr w:type="spellStart"/>
            <w:r>
              <w:rPr>
                <w:rFonts w:eastAsia="Arial Unicode MS"/>
                <w:color w:val="333333"/>
                <w:sz w:val="20"/>
                <w:szCs w:val="20"/>
                <w:shd w:val="clear" w:color="auto" w:fill="FFFFFF"/>
                <w:lang w:val="en-US"/>
              </w:rPr>
              <w:t>desemnate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deciziile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ulterioare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CCONUSC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al </w:t>
            </w:r>
            <w:proofErr w:type="spellStart"/>
            <w:r>
              <w:rPr>
                <w:rFonts w:eastAsia="Arial Unicode MS"/>
                <w:color w:val="333333"/>
                <w:sz w:val="20"/>
                <w:szCs w:val="20"/>
                <w:shd w:val="clear" w:color="auto" w:fill="FFFFFF"/>
                <w:lang w:val="en-US"/>
              </w:rPr>
              <w:t>Protocolului</w:t>
            </w:r>
            <w:proofErr w:type="spellEnd"/>
            <w:r>
              <w:rPr>
                <w:rFonts w:eastAsia="Arial Unicode MS"/>
                <w:color w:val="333333"/>
                <w:sz w:val="20"/>
                <w:szCs w:val="20"/>
                <w:shd w:val="clear" w:color="auto" w:fill="FFFFFF"/>
                <w:lang w:val="en-US"/>
              </w:rPr>
              <w:t xml:space="preserve"> de la Kyoto.</w:t>
            </w:r>
          </w:p>
          <w:p w14:paraId="0E0BE245"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53" w:tooltip="32008L0101: INSERTED" w:history="1">
              <w:r>
                <w:rPr>
                  <w:rStyle w:val="af3"/>
                  <w:rFonts w:eastAsia="Arial Unicode MS"/>
                  <w:b/>
                  <w:bCs/>
                  <w:color w:val="4472C4" w:themeColor="accent1"/>
                  <w:sz w:val="20"/>
                  <w:szCs w:val="20"/>
                </w:rPr>
                <w:t>▼M2</w:t>
              </w:r>
            </w:hyperlink>
          </w:p>
        </w:tc>
        <w:tc>
          <w:tcPr>
            <w:tcW w:w="4394" w:type="dxa"/>
            <w:shd w:val="clear" w:color="auto" w:fill="auto"/>
          </w:tcPr>
          <w:p w14:paraId="5E792B2F" w14:textId="77777777" w:rsidR="003567EB" w:rsidRPr="0066519A" w:rsidRDefault="003567EB" w:rsidP="003567EB">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lastRenderedPageBreak/>
              <w:t>Articolul 52.</w:t>
            </w:r>
            <w:r w:rsidRPr="0066519A">
              <w:rPr>
                <w:rFonts w:ascii="Times New Roman" w:hAnsi="Times New Roman"/>
                <w:bCs/>
                <w:sz w:val="20"/>
                <w:szCs w:val="20"/>
                <w:lang w:val="ro-MD"/>
              </w:rPr>
              <w:t>Monitorizarea, raportarea și verificarea emisiilor de GES de la instalațiile staționare</w:t>
            </w:r>
          </w:p>
          <w:p w14:paraId="697AA1CF" w14:textId="77777777" w:rsidR="003567EB" w:rsidRDefault="003567EB" w:rsidP="003567EB">
            <w:pPr>
              <w:spacing w:after="120"/>
              <w:jc w:val="both"/>
              <w:rPr>
                <w:rFonts w:ascii="Times New Roman" w:hAnsi="Times New Roman"/>
                <w:color w:val="000000"/>
                <w:sz w:val="20"/>
                <w:szCs w:val="20"/>
                <w:shd w:val="clear" w:color="auto" w:fill="FFFFFF"/>
                <w:lang w:val="ro-MD"/>
              </w:rPr>
            </w:pPr>
            <w:r>
              <w:rPr>
                <w:rFonts w:ascii="Times New Roman" w:hAnsi="Times New Roman"/>
                <w:sz w:val="20"/>
                <w:szCs w:val="20"/>
                <w:lang w:val="ro-MD"/>
              </w:rPr>
              <w:t>(1)</w:t>
            </w:r>
            <w:r w:rsidRPr="0066519A">
              <w:rPr>
                <w:rFonts w:ascii="Times New Roman" w:hAnsi="Times New Roman"/>
                <w:sz w:val="20"/>
                <w:szCs w:val="20"/>
                <w:lang w:val="ro-MD"/>
              </w:rPr>
              <w:t xml:space="preserve">Operatorul instalației staționare, </w:t>
            </w:r>
            <w:r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Pr="0066519A">
              <w:rPr>
                <w:rFonts w:ascii="Times New Roman" w:hAnsi="Times New Roman"/>
                <w:sz w:val="20"/>
                <w:szCs w:val="20"/>
                <w:lang w:val="ro-MD"/>
              </w:rPr>
              <w:t xml:space="preserve">deține </w:t>
            </w:r>
            <w:r w:rsidRPr="0066519A">
              <w:rPr>
                <w:rFonts w:ascii="Times New Roman" w:hAnsi="Times New Roman"/>
                <w:color w:val="000000"/>
                <w:sz w:val="20"/>
                <w:szCs w:val="20"/>
                <w:shd w:val="clear" w:color="auto" w:fill="FFFFFF"/>
                <w:lang w:val="ro-MD"/>
              </w:rPr>
              <w:t>autorizația integrată de mediu pentru desfășurarea</w:t>
            </w:r>
            <w:r w:rsidRPr="0066519A">
              <w:rPr>
                <w:rFonts w:ascii="Times New Roman" w:hAnsi="Times New Roman"/>
                <w:bCs/>
                <w:sz w:val="20"/>
                <w:szCs w:val="20"/>
                <w:lang w:val="ro-MD"/>
              </w:rPr>
              <w:t xml:space="preserve">  activității, </w:t>
            </w:r>
            <w:r w:rsidRPr="0066519A">
              <w:rPr>
                <w:rFonts w:ascii="Times New Roman" w:hAnsi="Times New Roman"/>
                <w:sz w:val="20"/>
                <w:szCs w:val="20"/>
                <w:lang w:val="ro-MD"/>
              </w:rPr>
              <w:t xml:space="preserve">asigură monitorizarea și raportarea emisiilor de GES </w:t>
            </w:r>
            <w:r w:rsidRPr="0066519A">
              <w:rPr>
                <w:rFonts w:ascii="Times New Roman" w:hAnsi="Times New Roman"/>
                <w:sz w:val="20"/>
                <w:szCs w:val="20"/>
                <w:shd w:val="clear" w:color="auto" w:fill="FFFFFF"/>
                <w:lang w:val="ro-MD"/>
              </w:rPr>
              <w:lastRenderedPageBreak/>
              <w:t xml:space="preserve">pe baza PM, care este partea integrantă a </w:t>
            </w:r>
            <w:r w:rsidRPr="0066519A">
              <w:rPr>
                <w:rFonts w:ascii="Times New Roman" w:hAnsi="Times New Roman"/>
                <w:color w:val="000000"/>
                <w:sz w:val="20"/>
                <w:szCs w:val="20"/>
                <w:shd w:val="clear" w:color="auto" w:fill="FFFFFF"/>
                <w:lang w:val="ro-MD"/>
              </w:rPr>
              <w:t>autorizației integrate de mediu emisă de către Agenția de Mediu</w:t>
            </w:r>
            <w:r>
              <w:rPr>
                <w:rFonts w:ascii="Times New Roman" w:hAnsi="Times New Roman"/>
                <w:color w:val="000000"/>
                <w:sz w:val="20"/>
                <w:szCs w:val="20"/>
                <w:shd w:val="clear" w:color="auto" w:fill="FFFFFF"/>
                <w:lang w:val="ro-MD"/>
              </w:rPr>
              <w:t>.</w:t>
            </w:r>
          </w:p>
          <w:p w14:paraId="45B3A2E5" w14:textId="77777777" w:rsidR="003567EB" w:rsidRPr="003567EB" w:rsidRDefault="003567EB" w:rsidP="003567EB">
            <w:pPr>
              <w:suppressAutoHyphens w:val="0"/>
              <w:autoSpaceDN/>
              <w:spacing w:after="0" w:line="240" w:lineRule="atLeast"/>
              <w:jc w:val="both"/>
              <w:textAlignment w:val="auto"/>
              <w:rPr>
                <w:rFonts w:ascii="Times New Roman" w:hAnsi="Times New Roman"/>
                <w:b/>
                <w:bCs/>
                <w:sz w:val="20"/>
                <w:szCs w:val="20"/>
                <w:shd w:val="clear" w:color="auto" w:fill="FFFFFF"/>
                <w:lang w:val="ro-MD"/>
              </w:rPr>
            </w:pPr>
          </w:p>
          <w:p w14:paraId="3F750530" w14:textId="15FA7DAA" w:rsidR="003567EB" w:rsidRDefault="003567EB" w:rsidP="003567EB">
            <w:pPr>
              <w:suppressAutoHyphens w:val="0"/>
              <w:autoSpaceDN/>
              <w:spacing w:after="0" w:line="240" w:lineRule="atLeast"/>
              <w:jc w:val="both"/>
              <w:textAlignment w:val="auto"/>
              <w:rPr>
                <w:rFonts w:ascii="Times New Roman" w:hAnsi="Times New Roman"/>
                <w:sz w:val="20"/>
                <w:szCs w:val="20"/>
                <w:shd w:val="clear" w:color="auto" w:fill="FFFFFF"/>
                <w:lang w:val="ro-MD"/>
              </w:rPr>
            </w:pPr>
            <w:proofErr w:type="spellStart"/>
            <w:r w:rsidRPr="008D7C12">
              <w:rPr>
                <w:rFonts w:ascii="Times New Roman" w:hAnsi="Times New Roman"/>
                <w:b/>
                <w:bCs/>
                <w:sz w:val="20"/>
                <w:szCs w:val="20"/>
                <w:shd w:val="clear" w:color="auto" w:fill="FFFFFF"/>
                <w:lang w:val="en-US"/>
              </w:rPr>
              <w:t>Articolul</w:t>
            </w:r>
            <w:proofErr w:type="spellEnd"/>
            <w:r w:rsidRPr="008D7C12">
              <w:rPr>
                <w:rFonts w:ascii="Times New Roman" w:hAnsi="Times New Roman"/>
                <w:b/>
                <w:bCs/>
                <w:sz w:val="20"/>
                <w:szCs w:val="20"/>
                <w:shd w:val="clear" w:color="auto" w:fill="FFFFFF"/>
                <w:lang w:val="en-US"/>
              </w:rPr>
              <w:t xml:space="preserve"> 53.</w:t>
            </w:r>
            <w:r>
              <w:rPr>
                <w:rFonts w:ascii="Times New Roman" w:hAnsi="Times New Roman"/>
                <w:b/>
                <w:bCs/>
                <w:sz w:val="20"/>
                <w:szCs w:val="20"/>
                <w:shd w:val="clear" w:color="auto" w:fill="FFFFFF"/>
                <w:lang w:val="en-US"/>
              </w:rPr>
              <w:t xml:space="preserve"> </w:t>
            </w:r>
            <w:proofErr w:type="spellStart"/>
            <w:r w:rsidRPr="008D7C12">
              <w:rPr>
                <w:rFonts w:ascii="Times New Roman" w:hAnsi="Times New Roman"/>
                <w:sz w:val="20"/>
                <w:szCs w:val="20"/>
                <w:shd w:val="clear" w:color="auto" w:fill="FFFFFF"/>
                <w:lang w:val="en-US"/>
              </w:rPr>
              <w:t>Verificare</w:t>
            </w:r>
            <w:proofErr w:type="spellEnd"/>
            <w:r w:rsidRPr="008D7C12">
              <w:rPr>
                <w:rFonts w:ascii="Times New Roman" w:hAnsi="Times New Roman"/>
                <w:sz w:val="20"/>
                <w:szCs w:val="20"/>
                <w:shd w:val="clear" w:color="auto" w:fill="FFFFFF"/>
                <w:lang w:val="en-US"/>
              </w:rPr>
              <w:t xml:space="preserve"> și </w:t>
            </w:r>
            <w:proofErr w:type="spellStart"/>
            <w:r w:rsidRPr="008D7C12">
              <w:rPr>
                <w:rFonts w:ascii="Times New Roman" w:hAnsi="Times New Roman"/>
                <w:sz w:val="20"/>
                <w:szCs w:val="20"/>
                <w:shd w:val="clear" w:color="auto" w:fill="FFFFFF"/>
                <w:lang w:val="en-US"/>
              </w:rPr>
              <w:t>acreditare</w:t>
            </w:r>
            <w:proofErr w:type="spellEnd"/>
          </w:p>
          <w:p w14:paraId="0754D324" w14:textId="77777777" w:rsidR="003567EB" w:rsidRPr="008D7C12" w:rsidRDefault="003567EB" w:rsidP="003567EB">
            <w:pPr>
              <w:pStyle w:val="af8"/>
              <w:numPr>
                <w:ilvl w:val="0"/>
                <w:numId w:val="249"/>
              </w:numPr>
              <w:suppressAutoHyphens w:val="0"/>
              <w:autoSpaceDN/>
              <w:spacing w:after="0" w:line="240" w:lineRule="atLeast"/>
              <w:ind w:left="0" w:firstLine="0"/>
              <w:jc w:val="both"/>
              <w:textAlignment w:val="auto"/>
              <w:rPr>
                <w:rFonts w:ascii="Times New Roman" w:hAnsi="Times New Roman"/>
                <w:bCs/>
                <w:sz w:val="20"/>
                <w:szCs w:val="20"/>
                <w:lang w:val="ro-MD" w:eastAsia="sl-SI"/>
              </w:rPr>
            </w:pPr>
            <w:r w:rsidRPr="008D7C12">
              <w:rPr>
                <w:rFonts w:ascii="Times New Roman" w:hAnsi="Times New Roman"/>
                <w:sz w:val="20"/>
                <w:szCs w:val="20"/>
                <w:shd w:val="clear" w:color="auto" w:fill="FFFFFF"/>
                <w:lang w:val="ro-MD"/>
              </w:rPr>
              <w:t>MOLDAC acreditează verificatorii în conformitate cu prevederile Legii nr.235/2011 privind activitățile de acreditare și de evaluare a conformității.</w:t>
            </w:r>
          </w:p>
          <w:p w14:paraId="1FD0645C" w14:textId="77777777" w:rsidR="003567EB" w:rsidRDefault="003567EB" w:rsidP="003567EB">
            <w:pPr>
              <w:suppressAutoHyphens w:val="0"/>
              <w:autoSpaceDN/>
              <w:spacing w:after="0" w:line="240" w:lineRule="auto"/>
              <w:textAlignment w:val="auto"/>
              <w:rPr>
                <w:rFonts w:ascii="Times New Roman" w:hAnsi="Times New Roman"/>
                <w:b/>
                <w:sz w:val="20"/>
                <w:szCs w:val="20"/>
                <w:lang w:val="ro-MD"/>
              </w:rPr>
            </w:pPr>
          </w:p>
          <w:p w14:paraId="5612B1E9" w14:textId="77777777" w:rsidR="003567EB" w:rsidRDefault="003567EB" w:rsidP="003567EB">
            <w:pPr>
              <w:suppressAutoHyphens w:val="0"/>
              <w:autoSpaceDN/>
              <w:spacing w:after="0" w:line="240" w:lineRule="auto"/>
              <w:textAlignment w:val="auto"/>
              <w:rPr>
                <w:rFonts w:ascii="Times New Roman" w:hAnsi="Times New Roman"/>
                <w:b/>
                <w:sz w:val="20"/>
                <w:szCs w:val="20"/>
                <w:lang w:val="ro-MD"/>
              </w:rPr>
            </w:pPr>
          </w:p>
          <w:p w14:paraId="00E0ED37" w14:textId="7E1E9ED5" w:rsidR="003567EB" w:rsidRPr="00C46326" w:rsidRDefault="003567EB" w:rsidP="003567EB">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w:t>
            </w:r>
            <w:r>
              <w:rPr>
                <w:rFonts w:ascii="Times New Roman" w:hAnsi="Times New Roman"/>
                <w:b/>
                <w:sz w:val="20"/>
                <w:szCs w:val="20"/>
                <w:lang w:val="ro-MD"/>
              </w:rPr>
              <w:t>4</w:t>
            </w:r>
            <w:r w:rsidRPr="0066519A">
              <w:rPr>
                <w:rFonts w:ascii="Times New Roman" w:hAnsi="Times New Roman"/>
                <w:b/>
                <w:sz w:val="20"/>
                <w:szCs w:val="20"/>
                <w:lang w:val="ro-MD"/>
              </w:rPr>
              <w:t>.</w:t>
            </w:r>
            <w:r w:rsidRPr="0066519A">
              <w:rPr>
                <w:rFonts w:ascii="Times New Roman" w:hAnsi="Times New Roman"/>
                <w:bCs/>
                <w:sz w:val="20"/>
                <w:szCs w:val="20"/>
                <w:lang w:val="ro-MD"/>
              </w:rPr>
              <w:t xml:space="preserve"> </w:t>
            </w:r>
            <w:r w:rsidR="002C0FC1">
              <w:rPr>
                <w:rFonts w:ascii="Times New Roman" w:hAnsi="Times New Roman"/>
                <w:bCs/>
                <w:sz w:val="20"/>
                <w:szCs w:val="20"/>
                <w:lang w:val="ro-MD"/>
              </w:rPr>
              <w:t>E</w:t>
            </w:r>
            <w:r w:rsidRPr="0066519A">
              <w:rPr>
                <w:rFonts w:ascii="Times New Roman" w:hAnsi="Times New Roman"/>
                <w:bCs/>
                <w:sz w:val="20"/>
                <w:szCs w:val="20"/>
                <w:lang w:val="ro-MD"/>
              </w:rPr>
              <w:t>misiil</w:t>
            </w:r>
            <w:r w:rsidR="002C0FC1">
              <w:rPr>
                <w:rFonts w:ascii="Times New Roman" w:hAnsi="Times New Roman"/>
                <w:bCs/>
                <w:sz w:val="20"/>
                <w:szCs w:val="20"/>
                <w:lang w:val="ro-MD"/>
              </w:rPr>
              <w:t>e</w:t>
            </w:r>
            <w:r w:rsidRPr="0066519A">
              <w:rPr>
                <w:rFonts w:ascii="Times New Roman" w:hAnsi="Times New Roman"/>
                <w:bCs/>
                <w:sz w:val="20"/>
                <w:szCs w:val="20"/>
                <w:lang w:val="ro-MD"/>
              </w:rPr>
              <w:t xml:space="preserve"> de GES de la </w:t>
            </w:r>
            <w:r w:rsidRPr="00C46326">
              <w:rPr>
                <w:rFonts w:ascii="Times New Roman" w:hAnsi="Times New Roman"/>
                <w:sz w:val="20"/>
                <w:szCs w:val="20"/>
                <w:lang w:val="ro-MD"/>
              </w:rPr>
              <w:t>activitățile d</w:t>
            </w:r>
            <w:r>
              <w:rPr>
                <w:rFonts w:ascii="Times New Roman" w:hAnsi="Times New Roman"/>
                <w:sz w:val="20"/>
                <w:szCs w:val="20"/>
                <w:lang w:val="ro-MD"/>
              </w:rPr>
              <w:t>e</w:t>
            </w:r>
            <w:r w:rsidRPr="00C46326">
              <w:rPr>
                <w:rFonts w:ascii="Times New Roman" w:hAnsi="Times New Roman"/>
                <w:sz w:val="20"/>
                <w:szCs w:val="20"/>
                <w:lang w:val="ro-MD"/>
              </w:rPr>
              <w:t xml:space="preserve"> aviației</w:t>
            </w:r>
          </w:p>
          <w:p w14:paraId="7AD6EF42" w14:textId="77777777" w:rsidR="003567EB" w:rsidRDefault="002C0FC1" w:rsidP="002C0FC1">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2C0FC1">
              <w:rPr>
                <w:rFonts w:ascii="Times New Roman" w:hAnsi="Times New Roman"/>
                <w:color w:val="000000" w:themeColor="text1"/>
                <w:sz w:val="20"/>
                <w:szCs w:val="20"/>
                <w:shd w:val="clear" w:color="auto" w:fill="FFFFFF"/>
                <w:lang w:val="ro-MD"/>
              </w:rPr>
              <w:t>(3)</w:t>
            </w:r>
            <w:r w:rsidRPr="002C0FC1">
              <w:rPr>
                <w:rFonts w:ascii="Times New Roman" w:hAnsi="Times New Roman"/>
                <w:color w:val="000000" w:themeColor="text1"/>
                <w:sz w:val="20"/>
                <w:szCs w:val="20"/>
                <w:shd w:val="clear" w:color="auto" w:fill="FFFFFF"/>
                <w:lang w:val="ro-MD"/>
              </w:rPr>
              <w:t>Operatorul de aeronave</w:t>
            </w:r>
            <w:r w:rsidRPr="002C0FC1">
              <w:rPr>
                <w:rFonts w:ascii="Times New Roman" w:hAnsi="Times New Roman"/>
                <w:color w:val="000000" w:themeColor="text1"/>
                <w:sz w:val="20"/>
                <w:szCs w:val="20"/>
                <w:lang w:val="ro-MD"/>
              </w:rPr>
              <w:t xml:space="preserve"> prezintă Autorității Aeronautice Civile PM spre aprobare, care cuprinde măsurile de monitorizare și raportare a </w:t>
            </w:r>
            <w:r w:rsidRPr="002C0FC1">
              <w:rPr>
                <w:rFonts w:ascii="Times New Roman" w:eastAsia="Arial Unicode MS" w:hAnsi="Times New Roman"/>
                <w:color w:val="000000" w:themeColor="text1"/>
                <w:sz w:val="20"/>
                <w:szCs w:val="20"/>
                <w:shd w:val="clear" w:color="auto" w:fill="FFFFFF"/>
                <w:lang w:val="ro-MD"/>
              </w:rPr>
              <w:t xml:space="preserve">emisiilor de carbon </w:t>
            </w:r>
            <w:r w:rsidRPr="002C0FC1">
              <w:rPr>
                <w:rFonts w:ascii="Times New Roman" w:hAnsi="Times New Roman"/>
                <w:color w:val="000000" w:themeColor="text1"/>
                <w:sz w:val="20"/>
                <w:szCs w:val="20"/>
                <w:lang w:val="ro-MD"/>
              </w:rPr>
              <w:t>înainte de începere a activității din domeniul aviației.</w:t>
            </w:r>
          </w:p>
          <w:p w14:paraId="4BA4C38B" w14:textId="1574FBD7" w:rsidR="002F5DEF" w:rsidRDefault="002F5DEF" w:rsidP="002C0FC1">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66519A">
              <w:rPr>
                <w:rFonts w:ascii="Times New Roman" w:hAnsi="Times New Roman"/>
                <w:b/>
                <w:sz w:val="20"/>
                <w:szCs w:val="20"/>
                <w:lang w:val="ro-MD"/>
              </w:rPr>
              <w:t>Articolul 5</w:t>
            </w:r>
            <w:r>
              <w:rPr>
                <w:rFonts w:ascii="Times New Roman" w:hAnsi="Times New Roman"/>
                <w:b/>
                <w:sz w:val="20"/>
                <w:szCs w:val="20"/>
                <w:lang w:val="ro-MD"/>
              </w:rPr>
              <w:t>5</w:t>
            </w:r>
            <w:r w:rsidRPr="0066519A">
              <w:rPr>
                <w:rFonts w:ascii="Times New Roman" w:hAnsi="Times New Roman"/>
                <w:b/>
                <w:sz w:val="20"/>
                <w:szCs w:val="20"/>
                <w:lang w:val="ro-MD"/>
              </w:rPr>
              <w:t>.</w:t>
            </w:r>
            <w:r>
              <w:rPr>
                <w:rFonts w:ascii="Times New Roman" w:hAnsi="Times New Roman"/>
                <w:bCs/>
                <w:sz w:val="20"/>
                <w:szCs w:val="20"/>
                <w:lang w:val="ro-MD"/>
              </w:rPr>
              <w:t xml:space="preserve"> </w:t>
            </w:r>
            <w:r>
              <w:rPr>
                <w:rFonts w:ascii="Times New Roman" w:hAnsi="Times New Roman"/>
                <w:bCs/>
                <w:sz w:val="20"/>
                <w:szCs w:val="20"/>
                <w:lang w:val="ro-MD"/>
              </w:rPr>
              <w:t>E</w:t>
            </w:r>
            <w:r w:rsidRPr="0066519A">
              <w:rPr>
                <w:rFonts w:ascii="Times New Roman" w:hAnsi="Times New Roman"/>
                <w:bCs/>
                <w:sz w:val="20"/>
                <w:szCs w:val="20"/>
                <w:lang w:val="ro-MD"/>
              </w:rPr>
              <w:t>misiil</w:t>
            </w:r>
            <w:r>
              <w:rPr>
                <w:rFonts w:ascii="Times New Roman" w:hAnsi="Times New Roman"/>
                <w:bCs/>
                <w:sz w:val="20"/>
                <w:szCs w:val="20"/>
                <w:lang w:val="ro-MD"/>
              </w:rPr>
              <w:t>e</w:t>
            </w:r>
            <w:r w:rsidRPr="0066519A">
              <w:rPr>
                <w:rFonts w:ascii="Times New Roman" w:hAnsi="Times New Roman"/>
                <w:bCs/>
                <w:sz w:val="20"/>
                <w:szCs w:val="20"/>
                <w:lang w:val="ro-MD"/>
              </w:rPr>
              <w:t xml:space="preserve"> de GES </w:t>
            </w:r>
            <w:r>
              <w:rPr>
                <w:rFonts w:ascii="Times New Roman" w:hAnsi="Times New Roman"/>
                <w:bCs/>
                <w:sz w:val="20"/>
                <w:szCs w:val="20"/>
                <w:lang w:val="ro-MD"/>
              </w:rPr>
              <w:t xml:space="preserve">provenite </w:t>
            </w:r>
            <w:r w:rsidRPr="0066519A">
              <w:rPr>
                <w:rFonts w:ascii="Times New Roman" w:hAnsi="Times New Roman"/>
                <w:bCs/>
                <w:sz w:val="20"/>
                <w:szCs w:val="20"/>
                <w:lang w:val="ro-MD"/>
              </w:rPr>
              <w:t>de la</w:t>
            </w:r>
            <w:r>
              <w:rPr>
                <w:rFonts w:ascii="Times New Roman" w:hAnsi="Times New Roman"/>
                <w:bCs/>
                <w:sz w:val="20"/>
                <w:szCs w:val="20"/>
                <w:lang w:val="ro-MD"/>
              </w:rPr>
              <w:t xml:space="preserve"> transportul maritim</w:t>
            </w:r>
          </w:p>
          <w:p w14:paraId="0AEE984C" w14:textId="38A7AC6B" w:rsidR="002F5DEF" w:rsidRPr="002F5DEF" w:rsidRDefault="002F5DEF" w:rsidP="002F5DEF">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2F5DEF">
              <w:rPr>
                <w:rFonts w:ascii="Times New Roman" w:hAnsi="Times New Roman"/>
                <w:bCs/>
                <w:color w:val="000000" w:themeColor="text1"/>
                <w:sz w:val="20"/>
                <w:szCs w:val="20"/>
                <w:lang w:val="ro-MD"/>
              </w:rPr>
              <w:t>(4)</w:t>
            </w:r>
            <w:r w:rsidRPr="002F5DEF">
              <w:rPr>
                <w:rFonts w:ascii="Times New Roman" w:hAnsi="Times New Roman"/>
                <w:bCs/>
                <w:color w:val="000000" w:themeColor="text1"/>
                <w:sz w:val="20"/>
                <w:szCs w:val="20"/>
                <w:lang w:val="ro-MD"/>
              </w:rPr>
              <w:t>Compania de transport maritim</w:t>
            </w:r>
            <w:r w:rsidRPr="002F5DEF">
              <w:rPr>
                <w:rFonts w:ascii="Times New Roman" w:hAnsi="Times New Roman"/>
                <w:color w:val="000000" w:themeColor="text1"/>
                <w:sz w:val="20"/>
                <w:szCs w:val="20"/>
                <w:shd w:val="clear" w:color="auto" w:fill="FFFFFF"/>
                <w:lang w:val="ro-MD"/>
              </w:rPr>
              <w:t xml:space="preserve"> </w:t>
            </w:r>
            <w:r w:rsidRPr="002F5DEF">
              <w:rPr>
                <w:rFonts w:ascii="Times New Roman" w:hAnsi="Times New Roman"/>
                <w:color w:val="000000" w:themeColor="text1"/>
                <w:sz w:val="20"/>
                <w:szCs w:val="20"/>
                <w:lang w:val="ro-MD"/>
              </w:rPr>
              <w:t>prezintă Agenției Navale a Republicii Moldova</w:t>
            </w:r>
            <w:r w:rsidRPr="002F5DEF">
              <w:rPr>
                <w:rFonts w:ascii="Times New Roman" w:hAnsi="Times New Roman"/>
                <w:color w:val="000000" w:themeColor="text1"/>
                <w:sz w:val="20"/>
                <w:szCs w:val="20"/>
                <w:shd w:val="clear" w:color="auto" w:fill="FFFFFF"/>
                <w:lang w:val="ro-MD"/>
              </w:rPr>
              <w:t xml:space="preserve"> până la data de 31 martie RAE, verificat</w:t>
            </w:r>
            <w:r w:rsidRPr="002F5DEF">
              <w:rPr>
                <w:rFonts w:ascii="Times New Roman" w:hAnsi="Times New Roman"/>
                <w:color w:val="000000" w:themeColor="text1"/>
                <w:sz w:val="20"/>
                <w:szCs w:val="20"/>
                <w:lang w:val="ro-MD"/>
              </w:rPr>
              <w:t xml:space="preserve"> de către un verificator independent și acreditat.</w:t>
            </w:r>
          </w:p>
          <w:p w14:paraId="78F41BC6" w14:textId="58E8EF7C" w:rsidR="002F5DEF" w:rsidRPr="002C0FC1" w:rsidRDefault="002F5DEF" w:rsidP="002C0FC1">
            <w:pPr>
              <w:suppressAutoHyphens w:val="0"/>
              <w:autoSpaceDN/>
              <w:spacing w:after="0" w:line="240" w:lineRule="atLeast"/>
              <w:jc w:val="both"/>
              <w:textAlignment w:val="auto"/>
              <w:rPr>
                <w:rFonts w:ascii="Times New Roman" w:hAnsi="Times New Roman" w:hint="eastAsia"/>
                <w:color w:val="000000" w:themeColor="text1"/>
                <w:sz w:val="20"/>
                <w:szCs w:val="20"/>
                <w:lang w:val="ro-MD"/>
              </w:rPr>
            </w:pPr>
          </w:p>
        </w:tc>
        <w:tc>
          <w:tcPr>
            <w:tcW w:w="1276" w:type="dxa"/>
            <w:shd w:val="clear" w:color="auto" w:fill="auto"/>
          </w:tcPr>
          <w:p w14:paraId="47DA694D"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 xml:space="preserve">Compatibil </w:t>
            </w:r>
          </w:p>
          <w:p w14:paraId="210677E1"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1031C277"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FFE0CE5" w14:textId="2CA24336" w:rsidR="00124364" w:rsidRDefault="003567E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 xml:space="preserve">de gaze cu efect de seră, dar intenționează să le </w:t>
            </w:r>
            <w:r w:rsidRPr="0066519A">
              <w:rPr>
                <w:rFonts w:ascii="Times New Roman" w:eastAsiaTheme="minorHAnsi" w:hAnsi="Times New Roman"/>
                <w:color w:val="000000" w:themeColor="text1"/>
                <w:sz w:val="20"/>
                <w:szCs w:val="20"/>
                <w:lang w:val="ro-RO"/>
              </w:rPr>
              <w:lastRenderedPageBreak/>
              <w:t>transpună și să instituie un sistem regional de comercializare a cotelor, care va fi instituit de către Comunitatea Energetică.</w:t>
            </w:r>
          </w:p>
        </w:tc>
        <w:tc>
          <w:tcPr>
            <w:tcW w:w="1464" w:type="dxa"/>
            <w:shd w:val="clear" w:color="auto" w:fill="auto"/>
          </w:tcPr>
          <w:p w14:paraId="304199D7"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lastRenderedPageBreak/>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B7C6B73" w14:textId="77777777" w:rsidR="00124364" w:rsidRDefault="00124364">
            <w:pPr>
              <w:autoSpaceDE w:val="0"/>
              <w:spacing w:after="0" w:line="240" w:lineRule="auto"/>
              <w:rPr>
                <w:rFonts w:ascii="Times New Roman" w:hAnsi="Times New Roman"/>
                <w:sz w:val="20"/>
                <w:szCs w:val="20"/>
                <w:lang w:val="fr-FR"/>
              </w:rPr>
            </w:pPr>
          </w:p>
          <w:p w14:paraId="19CC7755" w14:textId="77777777" w:rsidR="00983344" w:rsidRDefault="00983344">
            <w:pPr>
              <w:autoSpaceDE w:val="0"/>
              <w:spacing w:after="0" w:line="240" w:lineRule="auto"/>
              <w:rPr>
                <w:rFonts w:ascii="Times New Roman" w:hAnsi="Times New Roman"/>
                <w:color w:val="000000"/>
                <w:sz w:val="20"/>
                <w:szCs w:val="20"/>
                <w:shd w:val="clear" w:color="auto" w:fill="FFFFFF"/>
                <w:lang w:val="ro-MD"/>
              </w:rPr>
            </w:pPr>
            <w:r w:rsidRPr="0066519A">
              <w:rPr>
                <w:rFonts w:ascii="Times New Roman" w:hAnsi="Times New Roman"/>
                <w:color w:val="000000"/>
                <w:sz w:val="20"/>
                <w:szCs w:val="20"/>
                <w:shd w:val="clear" w:color="auto" w:fill="FFFFFF"/>
                <w:lang w:val="ro-MD"/>
              </w:rPr>
              <w:t>Agenția de Mediu</w:t>
            </w:r>
          </w:p>
          <w:p w14:paraId="39FA811C" w14:textId="77777777" w:rsidR="00983344" w:rsidRDefault="00983344">
            <w:pPr>
              <w:autoSpaceDE w:val="0"/>
              <w:spacing w:after="0" w:line="240" w:lineRule="auto"/>
              <w:rPr>
                <w:rFonts w:ascii="Times New Roman" w:hAnsi="Times New Roman"/>
                <w:color w:val="000000"/>
                <w:sz w:val="20"/>
                <w:szCs w:val="20"/>
                <w:shd w:val="clear" w:color="auto" w:fill="FFFFFF"/>
                <w:lang w:val="ro-MD"/>
              </w:rPr>
            </w:pPr>
          </w:p>
          <w:p w14:paraId="5CDE0C92" w14:textId="77777777" w:rsidR="00983344" w:rsidRDefault="00983344">
            <w:pPr>
              <w:autoSpaceDE w:val="0"/>
              <w:spacing w:after="0" w:line="240" w:lineRule="auto"/>
              <w:rPr>
                <w:rFonts w:ascii="Times New Roman" w:hAnsi="Times New Roman"/>
                <w:sz w:val="20"/>
                <w:szCs w:val="20"/>
                <w:shd w:val="clear" w:color="auto" w:fill="FFFFFF"/>
                <w:lang w:val="ro-MD"/>
              </w:rPr>
            </w:pPr>
            <w:r w:rsidRPr="008D7C12">
              <w:rPr>
                <w:rFonts w:ascii="Times New Roman" w:hAnsi="Times New Roman"/>
                <w:sz w:val="20"/>
                <w:szCs w:val="20"/>
                <w:shd w:val="clear" w:color="auto" w:fill="FFFFFF"/>
                <w:lang w:val="ro-MD"/>
              </w:rPr>
              <w:t>MOLDAC</w:t>
            </w:r>
          </w:p>
          <w:p w14:paraId="6C61DE7C" w14:textId="77777777" w:rsidR="00983344" w:rsidRDefault="00983344">
            <w:pPr>
              <w:autoSpaceDE w:val="0"/>
              <w:spacing w:after="0" w:line="240" w:lineRule="auto"/>
              <w:rPr>
                <w:rFonts w:ascii="Times New Roman" w:hAnsi="Times New Roman"/>
                <w:sz w:val="20"/>
                <w:szCs w:val="20"/>
                <w:shd w:val="clear" w:color="auto" w:fill="FFFFFF"/>
                <w:lang w:val="ro-MD"/>
              </w:rPr>
            </w:pPr>
          </w:p>
          <w:p w14:paraId="352BD42F" w14:textId="17017D9C" w:rsidR="00983344" w:rsidRDefault="00983344">
            <w:pPr>
              <w:autoSpaceDE w:val="0"/>
              <w:spacing w:after="0" w:line="240" w:lineRule="auto"/>
              <w:rPr>
                <w:rFonts w:ascii="Times New Roman" w:hAnsi="Times New Roman"/>
                <w:color w:val="000000" w:themeColor="text1"/>
                <w:sz w:val="20"/>
                <w:szCs w:val="20"/>
                <w:lang w:val="ro-MD"/>
              </w:rPr>
            </w:pPr>
            <w:r>
              <w:rPr>
                <w:rFonts w:ascii="Times New Roman" w:hAnsi="Times New Roman"/>
                <w:color w:val="000000" w:themeColor="text1"/>
                <w:sz w:val="20"/>
                <w:szCs w:val="20"/>
                <w:lang w:val="ro-MD"/>
              </w:rPr>
              <w:t>Autoritatea</w:t>
            </w:r>
          </w:p>
          <w:p w14:paraId="5EAD735A" w14:textId="4652DAE4" w:rsidR="00983344" w:rsidRDefault="00983344">
            <w:pPr>
              <w:autoSpaceDE w:val="0"/>
              <w:spacing w:after="0" w:line="240" w:lineRule="auto"/>
              <w:rPr>
                <w:rFonts w:ascii="Times New Roman" w:hAnsi="Times New Roman"/>
                <w:color w:val="000000" w:themeColor="text1"/>
                <w:sz w:val="20"/>
                <w:szCs w:val="20"/>
                <w:lang w:val="ro-MD"/>
              </w:rPr>
            </w:pPr>
            <w:r w:rsidRPr="002C0FC1">
              <w:rPr>
                <w:rFonts w:ascii="Times New Roman" w:hAnsi="Times New Roman"/>
                <w:color w:val="000000" w:themeColor="text1"/>
                <w:sz w:val="20"/>
                <w:szCs w:val="20"/>
                <w:lang w:val="ro-MD"/>
              </w:rPr>
              <w:lastRenderedPageBreak/>
              <w:t>Aeronautic</w:t>
            </w:r>
            <w:r>
              <w:rPr>
                <w:rFonts w:ascii="Times New Roman" w:hAnsi="Times New Roman"/>
                <w:color w:val="000000" w:themeColor="text1"/>
                <w:sz w:val="20"/>
                <w:szCs w:val="20"/>
                <w:lang w:val="ro-MD"/>
              </w:rPr>
              <w:t>ă</w:t>
            </w:r>
            <w:r w:rsidRPr="002C0FC1">
              <w:rPr>
                <w:rFonts w:ascii="Times New Roman" w:hAnsi="Times New Roman"/>
                <w:color w:val="000000" w:themeColor="text1"/>
                <w:sz w:val="20"/>
                <w:szCs w:val="20"/>
                <w:lang w:val="ro-MD"/>
              </w:rPr>
              <w:t xml:space="preserve"> Civil</w:t>
            </w:r>
            <w:r>
              <w:rPr>
                <w:rFonts w:ascii="Times New Roman" w:hAnsi="Times New Roman"/>
                <w:color w:val="000000" w:themeColor="text1"/>
                <w:sz w:val="20"/>
                <w:szCs w:val="20"/>
                <w:lang w:val="ro-MD"/>
              </w:rPr>
              <w:t>ă</w:t>
            </w:r>
            <w:r w:rsidRPr="002C0FC1">
              <w:rPr>
                <w:rFonts w:ascii="Times New Roman" w:hAnsi="Times New Roman"/>
                <w:color w:val="000000" w:themeColor="text1"/>
                <w:sz w:val="20"/>
                <w:szCs w:val="20"/>
                <w:lang w:val="ro-MD"/>
              </w:rPr>
              <w:t xml:space="preserve"> PM</w:t>
            </w:r>
          </w:p>
          <w:p w14:paraId="0D2C96D1" w14:textId="77777777" w:rsidR="00983344" w:rsidRDefault="00983344">
            <w:pPr>
              <w:autoSpaceDE w:val="0"/>
              <w:spacing w:after="0" w:line="240" w:lineRule="auto"/>
              <w:rPr>
                <w:rFonts w:ascii="Times New Roman" w:hAnsi="Times New Roman"/>
                <w:color w:val="000000" w:themeColor="text1"/>
                <w:sz w:val="20"/>
                <w:szCs w:val="20"/>
                <w:lang w:val="ro-MD"/>
              </w:rPr>
            </w:pPr>
          </w:p>
          <w:p w14:paraId="5FB78F1E" w14:textId="306F50E0" w:rsidR="00983344" w:rsidRDefault="00983344">
            <w:pPr>
              <w:autoSpaceDE w:val="0"/>
              <w:spacing w:after="0" w:line="240" w:lineRule="auto"/>
              <w:rPr>
                <w:rFonts w:ascii="Times New Roman" w:hAnsi="Times New Roman"/>
                <w:sz w:val="20"/>
                <w:szCs w:val="20"/>
                <w:lang w:val="fr-FR"/>
              </w:rPr>
            </w:pPr>
            <w:r>
              <w:rPr>
                <w:rFonts w:ascii="Times New Roman" w:hAnsi="Times New Roman"/>
                <w:color w:val="000000" w:themeColor="text1"/>
                <w:sz w:val="20"/>
                <w:szCs w:val="20"/>
                <w:lang w:val="ro-MD"/>
              </w:rPr>
              <w:t>Agenția Navală</w:t>
            </w:r>
          </w:p>
        </w:tc>
      </w:tr>
      <w:tr w:rsidR="00124364" w14:paraId="2C8045B2" w14:textId="77777777">
        <w:trPr>
          <w:trHeight w:val="558"/>
        </w:trPr>
        <w:tc>
          <w:tcPr>
            <w:tcW w:w="4957" w:type="dxa"/>
            <w:shd w:val="clear" w:color="auto" w:fill="auto"/>
          </w:tcPr>
          <w:p w14:paraId="605DC1A6" w14:textId="77777777" w:rsidR="00124364" w:rsidRPr="0098334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83344">
              <w:rPr>
                <w:rFonts w:eastAsia="Arial Unicode MS"/>
                <w:i/>
                <w:iCs/>
                <w:color w:val="000000" w:themeColor="text1"/>
                <w:sz w:val="20"/>
                <w:szCs w:val="20"/>
                <w:shd w:val="clear" w:color="auto" w:fill="FFFFFF"/>
                <w:lang w:val="en-US"/>
              </w:rPr>
              <w:lastRenderedPageBreak/>
              <w:t>Articolul</w:t>
            </w:r>
            <w:proofErr w:type="spellEnd"/>
            <w:r w:rsidRPr="00983344">
              <w:rPr>
                <w:rFonts w:eastAsia="Arial Unicode MS"/>
                <w:i/>
                <w:iCs/>
                <w:color w:val="000000" w:themeColor="text1"/>
                <w:sz w:val="20"/>
                <w:szCs w:val="20"/>
                <w:shd w:val="clear" w:color="auto" w:fill="FFFFFF"/>
                <w:lang w:val="en-US"/>
              </w:rPr>
              <w:t xml:space="preserve"> 18a</w:t>
            </w:r>
          </w:p>
          <w:p w14:paraId="07DAEDDA" w14:textId="77777777" w:rsidR="00124364" w:rsidRPr="0098334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83344">
              <w:rPr>
                <w:rFonts w:eastAsia="Arial Unicode MS"/>
                <w:b/>
                <w:bCs/>
                <w:color w:val="000000" w:themeColor="text1"/>
                <w:sz w:val="20"/>
                <w:szCs w:val="20"/>
                <w:shd w:val="clear" w:color="auto" w:fill="FFFFFF"/>
                <w:lang w:val="en-US"/>
              </w:rPr>
              <w:t>Statul</w:t>
            </w:r>
            <w:proofErr w:type="spellEnd"/>
            <w:r w:rsidRPr="00983344">
              <w:rPr>
                <w:rFonts w:eastAsia="Arial Unicode MS"/>
                <w:b/>
                <w:bCs/>
                <w:color w:val="000000" w:themeColor="text1"/>
                <w:sz w:val="20"/>
                <w:szCs w:val="20"/>
                <w:shd w:val="clear" w:color="auto" w:fill="FFFFFF"/>
                <w:lang w:val="en-US"/>
              </w:rPr>
              <w:t xml:space="preserve"> </w:t>
            </w:r>
            <w:proofErr w:type="spellStart"/>
            <w:r w:rsidRPr="00983344">
              <w:rPr>
                <w:rFonts w:eastAsia="Arial Unicode MS"/>
                <w:b/>
                <w:bCs/>
                <w:color w:val="000000" w:themeColor="text1"/>
                <w:sz w:val="20"/>
                <w:szCs w:val="20"/>
                <w:shd w:val="clear" w:color="auto" w:fill="FFFFFF"/>
                <w:lang w:val="en-US"/>
              </w:rPr>
              <w:t>membru</w:t>
            </w:r>
            <w:proofErr w:type="spellEnd"/>
            <w:r w:rsidRPr="00983344">
              <w:rPr>
                <w:rFonts w:eastAsia="Arial Unicode MS"/>
                <w:b/>
                <w:bCs/>
                <w:color w:val="000000" w:themeColor="text1"/>
                <w:sz w:val="20"/>
                <w:szCs w:val="20"/>
                <w:shd w:val="clear" w:color="auto" w:fill="FFFFFF"/>
                <w:lang w:val="en-US"/>
              </w:rPr>
              <w:t xml:space="preserve"> de </w:t>
            </w:r>
            <w:proofErr w:type="spellStart"/>
            <w:r w:rsidRPr="00983344">
              <w:rPr>
                <w:rFonts w:eastAsia="Arial Unicode MS"/>
                <w:b/>
                <w:bCs/>
                <w:color w:val="000000" w:themeColor="text1"/>
                <w:sz w:val="20"/>
                <w:szCs w:val="20"/>
                <w:shd w:val="clear" w:color="auto" w:fill="FFFFFF"/>
                <w:lang w:val="en-US"/>
              </w:rPr>
              <w:t>administrare</w:t>
            </w:r>
            <w:proofErr w:type="spellEnd"/>
          </w:p>
          <w:p w14:paraId="74E370ED" w14:textId="77777777" w:rsidR="00124364" w:rsidRPr="00983344" w:rsidRDefault="00000000">
            <w:pPr>
              <w:pStyle w:val="ti-art"/>
              <w:numPr>
                <w:ilvl w:val="0"/>
                <w:numId w:val="96"/>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un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este</w:t>
            </w:r>
            <w:proofErr w:type="spellEnd"/>
            <w:r w:rsidRPr="00983344">
              <w:rPr>
                <w:rFonts w:eastAsia="Arial Unicode MS"/>
                <w:color w:val="000000" w:themeColor="text1"/>
                <w:sz w:val="20"/>
                <w:szCs w:val="20"/>
                <w:shd w:val="clear" w:color="auto" w:fill="FFFFFF"/>
                <w:lang w:val="en-US"/>
              </w:rPr>
              <w:t>:</w:t>
            </w:r>
          </w:p>
          <w:p w14:paraId="54701ECB" w14:textId="282642FA" w:rsidR="00124364" w:rsidRPr="00983344" w:rsidRDefault="00000000">
            <w:pPr>
              <w:pStyle w:val="ti-art"/>
              <w:numPr>
                <w:ilvl w:val="0"/>
                <w:numId w:val="97"/>
              </w:numPr>
              <w:shd w:val="clear" w:color="auto" w:fill="FFFFFF"/>
              <w:spacing w:before="0" w:beforeAutospacing="0" w:after="0" w:afterAutospacing="0"/>
              <w:rPr>
                <w:rFonts w:eastAsia="Arial Unicode MS"/>
                <w:color w:val="000000" w:themeColor="text1"/>
                <w:sz w:val="20"/>
                <w:szCs w:val="20"/>
                <w:shd w:val="clear" w:color="auto" w:fill="FFFFFF"/>
                <w:lang w:val="en-US"/>
              </w:rPr>
            </w:pPr>
            <w:r w:rsidRPr="00983344">
              <w:rPr>
                <w:rFonts w:eastAsia="Arial Unicode MS"/>
                <w:color w:val="000000" w:themeColor="text1"/>
                <w:sz w:val="20"/>
                <w:szCs w:val="20"/>
                <w:shd w:val="clear" w:color="auto" w:fill="FFFFFF"/>
                <w:lang w:val="en-US"/>
              </w:rPr>
              <w:t xml:space="preserve">în </w:t>
            </w:r>
            <w:proofErr w:type="spellStart"/>
            <w:r w:rsidRPr="00983344">
              <w:rPr>
                <w:rFonts w:eastAsia="Arial Unicode MS"/>
                <w:color w:val="000000" w:themeColor="text1"/>
                <w:sz w:val="20"/>
                <w:szCs w:val="20"/>
                <w:shd w:val="clear" w:color="auto" w:fill="FFFFFF"/>
                <w:lang w:val="en-US"/>
              </w:rPr>
              <w:t>cazul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unui</w:t>
            </w:r>
            <w:proofErr w:type="spellEnd"/>
            <w:r w:rsidRPr="00983344">
              <w:rPr>
                <w:rFonts w:eastAsia="Arial Unicode MS"/>
                <w:color w:val="000000" w:themeColor="text1"/>
                <w:sz w:val="20"/>
                <w:szCs w:val="20"/>
                <w:shd w:val="clear" w:color="auto" w:fill="FFFFFF"/>
                <w:lang w:val="en-US"/>
              </w:rPr>
              <w:t xml:space="preserve">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cu o </w:t>
            </w:r>
            <w:proofErr w:type="spellStart"/>
            <w:r w:rsidRPr="00983344">
              <w:rPr>
                <w:rFonts w:eastAsia="Arial Unicode MS"/>
                <w:color w:val="000000" w:themeColor="text1"/>
                <w:sz w:val="20"/>
                <w:szCs w:val="20"/>
                <w:shd w:val="clear" w:color="auto" w:fill="FFFFFF"/>
                <w:lang w:val="en-US"/>
              </w:rPr>
              <w:t>licență</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operare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valabilă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acordată</w:t>
            </w:r>
            <w:proofErr w:type="spellEnd"/>
            <w:r w:rsidRPr="00983344">
              <w:rPr>
                <w:rFonts w:eastAsia="Arial Unicode MS"/>
                <w:color w:val="000000" w:themeColor="text1"/>
                <w:sz w:val="20"/>
                <w:szCs w:val="20"/>
                <w:shd w:val="clear" w:color="auto" w:fill="FFFFFF"/>
                <w:lang w:val="en-US"/>
              </w:rPr>
              <w:t xml:space="preserve"> de un stat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în conformitate cu </w:t>
            </w:r>
            <w:proofErr w:type="spellStart"/>
            <w:r w:rsidRPr="00983344">
              <w:rPr>
                <w:rFonts w:eastAsia="Arial Unicode MS"/>
                <w:color w:val="000000" w:themeColor="text1"/>
                <w:sz w:val="20"/>
                <w:szCs w:val="20"/>
                <w:shd w:val="clear" w:color="auto" w:fill="FFFFFF"/>
                <w:lang w:val="en-US"/>
              </w:rPr>
              <w:t>dispozițiile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Regulamentului</w:t>
            </w:r>
            <w:proofErr w:type="spellEnd"/>
            <w:r w:rsidRPr="00983344">
              <w:rPr>
                <w:rFonts w:eastAsia="Arial Unicode MS"/>
                <w:color w:val="000000" w:themeColor="text1"/>
                <w:sz w:val="20"/>
                <w:szCs w:val="20"/>
                <w:shd w:val="clear" w:color="auto" w:fill="FFFFFF"/>
                <w:lang w:val="en-US"/>
              </w:rPr>
              <w:t xml:space="preserve"> (CEE) nr. 2407/92 al </w:t>
            </w:r>
            <w:proofErr w:type="spellStart"/>
            <w:r w:rsidRPr="00983344">
              <w:rPr>
                <w:rFonts w:eastAsia="Arial Unicode MS"/>
                <w:color w:val="000000" w:themeColor="text1"/>
                <w:sz w:val="20"/>
                <w:szCs w:val="20"/>
                <w:shd w:val="clear" w:color="auto" w:fill="FFFFFF"/>
                <w:lang w:val="en-US"/>
              </w:rPr>
              <w:t>Consiliului</w:t>
            </w:r>
            <w:proofErr w:type="spellEnd"/>
            <w:r w:rsidRPr="00983344">
              <w:rPr>
                <w:rFonts w:eastAsia="Arial Unicode MS"/>
                <w:color w:val="000000" w:themeColor="text1"/>
                <w:sz w:val="20"/>
                <w:szCs w:val="20"/>
                <w:shd w:val="clear" w:color="auto" w:fill="FFFFFF"/>
                <w:lang w:val="en-US"/>
              </w:rPr>
              <w:t xml:space="preserve"> din 23 </w:t>
            </w:r>
            <w:proofErr w:type="spellStart"/>
            <w:r w:rsidRPr="00983344">
              <w:rPr>
                <w:rFonts w:eastAsia="Arial Unicode MS"/>
                <w:color w:val="000000" w:themeColor="text1"/>
                <w:sz w:val="20"/>
                <w:szCs w:val="20"/>
                <w:shd w:val="clear" w:color="auto" w:fill="FFFFFF"/>
                <w:lang w:val="en-US"/>
              </w:rPr>
              <w:t>iulie</w:t>
            </w:r>
            <w:proofErr w:type="spellEnd"/>
            <w:r w:rsidRPr="00983344">
              <w:rPr>
                <w:rFonts w:eastAsia="Arial Unicode MS"/>
                <w:color w:val="000000" w:themeColor="text1"/>
                <w:sz w:val="20"/>
                <w:szCs w:val="20"/>
                <w:shd w:val="clear" w:color="auto" w:fill="FFFFFF"/>
                <w:lang w:val="en-US"/>
              </w:rPr>
              <w:t xml:space="preserve"> 1992 </w:t>
            </w:r>
            <w:proofErr w:type="spellStart"/>
            <w:r w:rsidRPr="00983344">
              <w:rPr>
                <w:rFonts w:eastAsia="Arial Unicode MS"/>
                <w:color w:val="000000" w:themeColor="text1"/>
                <w:sz w:val="20"/>
                <w:szCs w:val="20"/>
                <w:shd w:val="clear" w:color="auto" w:fill="FFFFFF"/>
                <w:lang w:val="en-US"/>
              </w:rPr>
              <w:t>privind</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licențele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transportatorilor</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aerieni</w:t>
            </w:r>
            <w:proofErr w:type="spellEnd"/>
            <w:r w:rsidRPr="00983344">
              <w:rPr>
                <w:rFonts w:eastAsia="Arial Unicode MS"/>
                <w:color w:val="000000" w:themeColor="text1"/>
                <w:sz w:val="20"/>
                <w:szCs w:val="20"/>
                <w:shd w:val="clear" w:color="auto" w:fill="FFFFFF"/>
                <w:lang w:val="en-US"/>
              </w:rPr>
              <w:t>(</w:t>
            </w:r>
            <w:hyperlink r:id="rId254" w:anchor="E0032" w:history="1">
              <w:r w:rsidRPr="00983344">
                <w:rPr>
                  <w:rStyle w:val="superscript"/>
                  <w:rFonts w:eastAsia="Arial Unicode MS"/>
                  <w:color w:val="000000" w:themeColor="text1"/>
                  <w:sz w:val="20"/>
                  <w:szCs w:val="20"/>
                  <w:vertAlign w:val="superscript"/>
                  <w:lang w:val="en-US"/>
                </w:rPr>
                <w:t>31</w:t>
              </w:r>
            </w:hyperlink>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care a </w:t>
            </w:r>
            <w:proofErr w:type="spellStart"/>
            <w:r w:rsidRPr="00983344">
              <w:rPr>
                <w:rFonts w:eastAsia="Arial Unicode MS"/>
                <w:color w:val="000000" w:themeColor="text1"/>
                <w:sz w:val="20"/>
                <w:szCs w:val="20"/>
                <w:shd w:val="clear" w:color="auto" w:fill="FFFFFF"/>
                <w:lang w:val="en-US"/>
              </w:rPr>
              <w:t>acordat</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licența</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operare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operatorului</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cauză</w:t>
            </w:r>
            <w:proofErr w:type="spellEnd"/>
            <w:r w:rsidRPr="00983344">
              <w:rPr>
                <w:rFonts w:eastAsia="Arial Unicode MS"/>
                <w:color w:val="000000" w:themeColor="text1"/>
                <w:sz w:val="20"/>
                <w:szCs w:val="20"/>
                <w:shd w:val="clear" w:color="auto" w:fill="FFFFFF"/>
                <w:lang w:val="en-US"/>
              </w:rPr>
              <w:t>; și</w:t>
            </w:r>
          </w:p>
          <w:p w14:paraId="6C5A44C2" w14:textId="77777777" w:rsidR="00124364" w:rsidRPr="00983344" w:rsidRDefault="00000000" w:rsidP="00983344">
            <w:pPr>
              <w:pStyle w:val="ti-art"/>
              <w:numPr>
                <w:ilvl w:val="0"/>
                <w:numId w:val="9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3344">
              <w:rPr>
                <w:rFonts w:eastAsia="Arial Unicode MS"/>
                <w:color w:val="000000" w:themeColor="text1"/>
                <w:sz w:val="20"/>
                <w:szCs w:val="20"/>
                <w:shd w:val="clear" w:color="auto" w:fill="FFFFFF"/>
                <w:lang w:val="en-US"/>
              </w:rPr>
              <w:t xml:space="preserve">în </w:t>
            </w:r>
            <w:proofErr w:type="spellStart"/>
            <w:r w:rsidRPr="00983344">
              <w:rPr>
                <w:rFonts w:eastAsia="Arial Unicode MS"/>
                <w:color w:val="000000" w:themeColor="text1"/>
                <w:sz w:val="20"/>
                <w:szCs w:val="20"/>
                <w:shd w:val="clear" w:color="auto" w:fill="FFFFFF"/>
                <w:lang w:val="en-US"/>
              </w:rPr>
              <w:t>toate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celelalte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cazuri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cu </w:t>
            </w:r>
            <w:proofErr w:type="spellStart"/>
            <w:r w:rsidRPr="00983344">
              <w:rPr>
                <w:rFonts w:eastAsia="Arial Unicode MS"/>
                <w:color w:val="000000" w:themeColor="text1"/>
                <w:sz w:val="20"/>
                <w:szCs w:val="20"/>
                <w:shd w:val="clear" w:color="auto" w:fill="FFFFFF"/>
                <w:lang w:val="en-US"/>
              </w:rPr>
              <w:t>cele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mai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multe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emisii</w:t>
            </w:r>
            <w:proofErr w:type="spellEnd"/>
            <w:r w:rsidRPr="00983344">
              <w:rPr>
                <w:rFonts w:eastAsia="Arial Unicode MS"/>
                <w:color w:val="000000" w:themeColor="text1"/>
                <w:sz w:val="20"/>
                <w:szCs w:val="20"/>
                <w:shd w:val="clear" w:color="auto" w:fill="FFFFFF"/>
                <w:lang w:val="en-US"/>
              </w:rPr>
              <w:t xml:space="preserve"> estimate </w:t>
            </w:r>
            <w:proofErr w:type="spellStart"/>
            <w:r w:rsidRPr="00983344">
              <w:rPr>
                <w:rFonts w:eastAsia="Arial Unicode MS"/>
                <w:color w:val="000000" w:themeColor="text1"/>
                <w:sz w:val="20"/>
                <w:szCs w:val="20"/>
                <w:shd w:val="clear" w:color="auto" w:fill="FFFFFF"/>
                <w:lang w:val="en-US"/>
              </w:rPr>
              <w:t>atribuite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aviației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provenite</w:t>
            </w:r>
            <w:proofErr w:type="spellEnd"/>
            <w:r w:rsidRPr="00983344">
              <w:rPr>
                <w:rFonts w:eastAsia="Arial Unicode MS"/>
                <w:color w:val="000000" w:themeColor="text1"/>
                <w:sz w:val="20"/>
                <w:szCs w:val="20"/>
                <w:shd w:val="clear" w:color="auto" w:fill="FFFFFF"/>
                <w:lang w:val="en-US"/>
              </w:rPr>
              <w:t xml:space="preserve"> de la </w:t>
            </w:r>
            <w:proofErr w:type="spellStart"/>
            <w:r w:rsidRPr="00983344">
              <w:rPr>
                <w:rFonts w:eastAsia="Arial Unicode MS"/>
                <w:color w:val="000000" w:themeColor="text1"/>
                <w:sz w:val="20"/>
                <w:szCs w:val="20"/>
                <w:shd w:val="clear" w:color="auto" w:fill="FFFFFF"/>
                <w:lang w:val="en-US"/>
              </w:rPr>
              <w:t>zborurile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efectuate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operatorul</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respectiv</w:t>
            </w:r>
            <w:proofErr w:type="spellEnd"/>
            <w:r w:rsidRPr="00983344">
              <w:rPr>
                <w:rFonts w:eastAsia="Arial Unicode MS"/>
                <w:color w:val="000000" w:themeColor="text1"/>
                <w:sz w:val="20"/>
                <w:szCs w:val="20"/>
                <w:shd w:val="clear" w:color="auto" w:fill="FFFFFF"/>
                <w:lang w:val="en-US"/>
              </w:rPr>
              <w:t xml:space="preserve"> în anul de </w:t>
            </w:r>
            <w:proofErr w:type="spellStart"/>
            <w:r w:rsidRPr="00983344">
              <w:rPr>
                <w:rFonts w:eastAsia="Arial Unicode MS"/>
                <w:color w:val="000000" w:themeColor="text1"/>
                <w:sz w:val="20"/>
                <w:szCs w:val="20"/>
                <w:shd w:val="clear" w:color="auto" w:fill="FFFFFF"/>
                <w:lang w:val="en-US"/>
              </w:rPr>
              <w:t>referință</w:t>
            </w:r>
            <w:proofErr w:type="spellEnd"/>
            <w:r w:rsidRPr="00983344">
              <w:rPr>
                <w:rFonts w:eastAsia="Arial Unicode MS"/>
                <w:color w:val="000000" w:themeColor="text1"/>
                <w:sz w:val="20"/>
                <w:szCs w:val="20"/>
                <w:shd w:val="clear" w:color="auto" w:fill="FFFFFF"/>
                <w:lang w:val="en-US"/>
              </w:rPr>
              <w:t>.</w:t>
            </w:r>
          </w:p>
          <w:p w14:paraId="5E0CBFB6"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255" w:tooltip="32023L0958: REPLACED" w:history="1">
              <w:r>
                <w:rPr>
                  <w:rStyle w:val="af3"/>
                  <w:rFonts w:eastAsia="Arial Unicode MS"/>
                  <w:b/>
                  <w:bCs/>
                  <w:color w:val="4472C4" w:themeColor="accent1"/>
                  <w:sz w:val="20"/>
                  <w:szCs w:val="20"/>
                </w:rPr>
                <w:t>▼M14</w:t>
              </w:r>
            </w:hyperlink>
          </w:p>
          <w:p w14:paraId="2A237EE9" w14:textId="4DC3D544" w:rsidR="00124364" w:rsidRPr="00983344" w:rsidRDefault="00000000" w:rsidP="00983344">
            <w:pPr>
              <w:pStyle w:val="ti-art"/>
              <w:numPr>
                <w:ilvl w:val="0"/>
                <w:numId w:val="9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Pr>
                <w:rFonts w:eastAsia="Arial Unicode MS"/>
                <w:color w:val="333333"/>
                <w:sz w:val="20"/>
                <w:szCs w:val="20"/>
                <w:shd w:val="clear" w:color="auto" w:fill="FFFFFF"/>
                <w:lang w:val="en-US"/>
              </w:rPr>
              <w:t>Î</w:t>
            </w:r>
            <w:r w:rsidRPr="00983344">
              <w:rPr>
                <w:rFonts w:eastAsia="Arial Unicode MS"/>
                <w:color w:val="000000" w:themeColor="text1"/>
                <w:sz w:val="20"/>
                <w:szCs w:val="20"/>
                <w:shd w:val="clear" w:color="auto" w:fill="FFFFFF"/>
                <w:lang w:val="en-US"/>
              </w:rPr>
              <w:t xml:space="preserve">n </w:t>
            </w:r>
            <w:proofErr w:type="spellStart"/>
            <w:r w:rsidRPr="00983344">
              <w:rPr>
                <w:rFonts w:eastAsia="Arial Unicode MS"/>
                <w:color w:val="000000" w:themeColor="text1"/>
                <w:sz w:val="20"/>
                <w:szCs w:val="20"/>
                <w:shd w:val="clear" w:color="auto" w:fill="FFFFFF"/>
                <w:lang w:val="en-US"/>
              </w:rPr>
              <w:t>cazul</w:t>
            </w:r>
            <w:proofErr w:type="spellEnd"/>
            <w:r w:rsidRPr="00983344">
              <w:rPr>
                <w:rFonts w:eastAsia="Arial Unicode MS"/>
                <w:color w:val="000000" w:themeColor="text1"/>
                <w:sz w:val="20"/>
                <w:szCs w:val="20"/>
                <w:shd w:val="clear" w:color="auto" w:fill="FFFFFF"/>
                <w:lang w:val="en-US"/>
              </w:rPr>
              <w:t xml:space="preserve"> în care, în </w:t>
            </w:r>
            <w:proofErr w:type="spellStart"/>
            <w:r w:rsidRPr="00983344">
              <w:rPr>
                <w:rFonts w:eastAsia="Arial Unicode MS"/>
                <w:color w:val="000000" w:themeColor="text1"/>
                <w:sz w:val="20"/>
                <w:szCs w:val="20"/>
                <w:shd w:val="clear" w:color="auto" w:fill="FFFFFF"/>
                <w:lang w:val="en-US"/>
              </w:rPr>
              <w:t>primii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doi</w:t>
            </w:r>
            <w:proofErr w:type="spellEnd"/>
            <w:r w:rsidRPr="00983344">
              <w:rPr>
                <w:rFonts w:eastAsia="Arial Unicode MS"/>
                <w:color w:val="000000" w:themeColor="text1"/>
                <w:sz w:val="20"/>
                <w:szCs w:val="20"/>
                <w:shd w:val="clear" w:color="auto" w:fill="FFFFFF"/>
                <w:lang w:val="en-US"/>
              </w:rPr>
              <w:t xml:space="preserve"> ani ai </w:t>
            </w:r>
            <w:proofErr w:type="spellStart"/>
            <w:r w:rsidRPr="00983344">
              <w:rPr>
                <w:rFonts w:eastAsia="Arial Unicode MS"/>
                <w:color w:val="000000" w:themeColor="text1"/>
                <w:sz w:val="20"/>
                <w:szCs w:val="20"/>
                <w:shd w:val="clear" w:color="auto" w:fill="FFFFFF"/>
                <w:lang w:val="en-US"/>
              </w:rPr>
              <w:t>oricăreia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dintre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perioadele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menționate</w:t>
            </w:r>
            <w:proofErr w:type="spellEnd"/>
            <w:r w:rsidRPr="00983344">
              <w:rPr>
                <w:rFonts w:eastAsia="Arial Unicode MS"/>
                <w:color w:val="000000" w:themeColor="text1"/>
                <w:sz w:val="20"/>
                <w:szCs w:val="20"/>
                <w:shd w:val="clear" w:color="auto" w:fill="FFFFFF"/>
                <w:lang w:val="en-US"/>
              </w:rPr>
              <w:t xml:space="preserve"> la </w:t>
            </w:r>
            <w:proofErr w:type="spellStart"/>
            <w:r w:rsidRPr="00983344">
              <w:rPr>
                <w:rFonts w:eastAsia="Arial Unicode MS"/>
                <w:color w:val="000000" w:themeColor="text1"/>
                <w:sz w:val="20"/>
                <w:szCs w:val="20"/>
                <w:shd w:val="clear" w:color="auto" w:fill="FFFFFF"/>
                <w:lang w:val="en-US"/>
              </w:rPr>
              <w:t>articolul</w:t>
            </w:r>
            <w:proofErr w:type="spellEnd"/>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 xml:space="preserve">13, </w:t>
            </w:r>
            <w:proofErr w:type="spellStart"/>
            <w:r w:rsidRPr="00983344">
              <w:rPr>
                <w:rFonts w:eastAsia="Arial Unicode MS"/>
                <w:color w:val="000000" w:themeColor="text1"/>
                <w:sz w:val="20"/>
                <w:szCs w:val="20"/>
                <w:shd w:val="clear" w:color="auto" w:fill="FFFFFF"/>
                <w:lang w:val="en-US"/>
              </w:rPr>
              <w:t>niciuna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dintre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emisiile</w:t>
            </w:r>
            <w:proofErr w:type="spellEnd"/>
            <w:r w:rsidRPr="00983344">
              <w:rPr>
                <w:rFonts w:eastAsia="Arial Unicode MS"/>
                <w:color w:val="000000" w:themeColor="text1"/>
                <w:sz w:val="20"/>
                <w:szCs w:val="20"/>
                <w:shd w:val="clear" w:color="auto" w:fill="FFFFFF"/>
                <w:lang w:val="en-US"/>
              </w:rPr>
              <w:t xml:space="preserve"> din </w:t>
            </w:r>
            <w:proofErr w:type="spellStart"/>
            <w:r w:rsidRPr="00983344">
              <w:rPr>
                <w:rFonts w:eastAsia="Arial Unicode MS"/>
                <w:color w:val="000000" w:themeColor="text1"/>
                <w:sz w:val="20"/>
                <w:szCs w:val="20"/>
                <w:shd w:val="clear" w:color="auto" w:fill="FFFFFF"/>
                <w:lang w:val="en-US"/>
              </w:rPr>
              <w:t>aviație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rezultate</w:t>
            </w:r>
            <w:proofErr w:type="spellEnd"/>
            <w:r w:rsidRPr="00983344">
              <w:rPr>
                <w:rFonts w:eastAsia="Arial Unicode MS"/>
                <w:color w:val="000000" w:themeColor="text1"/>
                <w:sz w:val="20"/>
                <w:szCs w:val="20"/>
                <w:shd w:val="clear" w:color="auto" w:fill="FFFFFF"/>
                <w:lang w:val="en-US"/>
              </w:rPr>
              <w:t xml:space="preserve"> din </w:t>
            </w:r>
            <w:proofErr w:type="spellStart"/>
            <w:r w:rsidRPr="00983344">
              <w:rPr>
                <w:rFonts w:eastAsia="Arial Unicode MS"/>
                <w:color w:val="000000" w:themeColor="text1"/>
                <w:sz w:val="20"/>
                <w:szCs w:val="20"/>
                <w:shd w:val="clear" w:color="auto" w:fill="FFFFFF"/>
                <w:lang w:val="en-US"/>
              </w:rPr>
              <w:t>zborurile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efec</w:t>
            </w:r>
            <w:r w:rsidRPr="00983344">
              <w:rPr>
                <w:rFonts w:eastAsia="Arial Unicode MS"/>
                <w:color w:val="000000" w:themeColor="text1"/>
                <w:sz w:val="20"/>
                <w:szCs w:val="20"/>
                <w:shd w:val="clear" w:color="auto" w:fill="FFFFFF"/>
                <w:lang w:val="en-US"/>
              </w:rPr>
              <w:lastRenderedPageBreak/>
              <w:t>tuate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către</w:t>
            </w:r>
            <w:proofErr w:type="spellEnd"/>
            <w:r w:rsidRPr="00983344">
              <w:rPr>
                <w:rFonts w:eastAsia="Arial Unicode MS"/>
                <w:color w:val="000000" w:themeColor="text1"/>
                <w:sz w:val="20"/>
                <w:szCs w:val="20"/>
                <w:shd w:val="clear" w:color="auto" w:fill="FFFFFF"/>
                <w:lang w:val="en-US"/>
              </w:rPr>
              <w:t xml:space="preserve"> un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care se </w:t>
            </w:r>
            <w:proofErr w:type="spellStart"/>
            <w:r w:rsidRPr="00983344">
              <w:rPr>
                <w:rFonts w:eastAsia="Arial Unicode MS"/>
                <w:color w:val="000000" w:themeColor="text1"/>
                <w:sz w:val="20"/>
                <w:szCs w:val="20"/>
                <w:shd w:val="clear" w:color="auto" w:fill="FFFFFF"/>
                <w:lang w:val="en-US"/>
              </w:rPr>
              <w:t>încadrează</w:t>
            </w:r>
            <w:proofErr w:type="spellEnd"/>
            <w:r w:rsidRPr="00983344">
              <w:rPr>
                <w:rFonts w:eastAsia="Arial Unicode MS"/>
                <w:color w:val="000000" w:themeColor="text1"/>
                <w:sz w:val="20"/>
                <w:szCs w:val="20"/>
                <w:shd w:val="clear" w:color="auto" w:fill="FFFFFF"/>
                <w:lang w:val="en-US"/>
              </w:rPr>
              <w:t xml:space="preserve"> la </w:t>
            </w:r>
            <w:proofErr w:type="spellStart"/>
            <w:r w:rsidRPr="00983344">
              <w:rPr>
                <w:rFonts w:eastAsia="Arial Unicode MS"/>
                <w:color w:val="000000" w:themeColor="text1"/>
                <w:sz w:val="20"/>
                <w:szCs w:val="20"/>
                <w:shd w:val="clear" w:color="auto" w:fill="FFFFFF"/>
                <w:lang w:val="en-US"/>
              </w:rPr>
              <w:t>alineatul</w:t>
            </w:r>
            <w:proofErr w:type="spellEnd"/>
            <w:r w:rsidRPr="00983344">
              <w:rPr>
                <w:rFonts w:eastAsia="Arial Unicode MS"/>
                <w:color w:val="000000" w:themeColor="text1"/>
                <w:sz w:val="20"/>
                <w:szCs w:val="20"/>
                <w:shd w:val="clear" w:color="auto" w:fill="FFFFFF"/>
                <w:lang w:val="en-US"/>
              </w:rPr>
              <w:t xml:space="preserve"> (1) </w:t>
            </w:r>
            <w:proofErr w:type="spellStart"/>
            <w:r w:rsidRPr="00983344">
              <w:rPr>
                <w:rFonts w:eastAsia="Arial Unicode MS"/>
                <w:color w:val="000000" w:themeColor="text1"/>
                <w:sz w:val="20"/>
                <w:szCs w:val="20"/>
                <w:shd w:val="clear" w:color="auto" w:fill="FFFFFF"/>
                <w:lang w:val="en-US"/>
              </w:rPr>
              <w:t>litera</w:t>
            </w:r>
            <w:proofErr w:type="spellEnd"/>
            <w:r w:rsidRPr="00983344">
              <w:rPr>
                <w:rFonts w:eastAsia="Arial Unicode MS"/>
                <w:color w:val="000000" w:themeColor="text1"/>
                <w:sz w:val="20"/>
                <w:szCs w:val="20"/>
                <w:shd w:val="clear" w:color="auto" w:fill="FFFFFF"/>
                <w:lang w:val="en-US"/>
              </w:rPr>
              <w:t xml:space="preserve"> (b) de la </w:t>
            </w:r>
            <w:proofErr w:type="spellStart"/>
            <w:r w:rsidRPr="00983344">
              <w:rPr>
                <w:rFonts w:eastAsia="Arial Unicode MS"/>
                <w:color w:val="000000" w:themeColor="text1"/>
                <w:sz w:val="20"/>
                <w:szCs w:val="20"/>
                <w:shd w:val="clear" w:color="auto" w:fill="FFFFFF"/>
                <w:lang w:val="en-US"/>
              </w:rPr>
              <w:t>prezentul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articol</w:t>
            </w:r>
            <w:proofErr w:type="spellEnd"/>
            <w:r w:rsidRPr="00983344">
              <w:rPr>
                <w:rFonts w:eastAsia="Arial Unicode MS"/>
                <w:color w:val="000000" w:themeColor="text1"/>
                <w:sz w:val="20"/>
                <w:szCs w:val="20"/>
                <w:shd w:val="clear" w:color="auto" w:fill="FFFFFF"/>
                <w:lang w:val="en-US"/>
              </w:rPr>
              <w:t xml:space="preserve"> nu se </w:t>
            </w:r>
            <w:proofErr w:type="spellStart"/>
            <w:r w:rsidRPr="00983344">
              <w:rPr>
                <w:rFonts w:eastAsia="Arial Unicode MS"/>
                <w:color w:val="000000" w:themeColor="text1"/>
                <w:sz w:val="20"/>
                <w:szCs w:val="20"/>
                <w:shd w:val="clear" w:color="auto" w:fill="FFFFFF"/>
                <w:lang w:val="en-US"/>
              </w:rPr>
              <w:t>atribuie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statului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său</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operatorul</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este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transferat</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unui</w:t>
            </w:r>
            <w:proofErr w:type="spellEnd"/>
            <w:r w:rsidRPr="00983344">
              <w:rPr>
                <w:rFonts w:eastAsia="Arial Unicode MS"/>
                <w:color w:val="000000" w:themeColor="text1"/>
                <w:sz w:val="20"/>
                <w:szCs w:val="20"/>
                <w:shd w:val="clear" w:color="auto" w:fill="FFFFFF"/>
                <w:lang w:val="en-US"/>
              </w:rPr>
              <w:t xml:space="preserve"> alt stat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perioada </w:t>
            </w:r>
            <w:proofErr w:type="spellStart"/>
            <w:r w:rsidRPr="00983344">
              <w:rPr>
                <w:rFonts w:eastAsia="Arial Unicode MS"/>
                <w:color w:val="000000" w:themeColor="text1"/>
                <w:sz w:val="20"/>
                <w:szCs w:val="20"/>
                <w:shd w:val="clear" w:color="auto" w:fill="FFFFFF"/>
                <w:lang w:val="en-US"/>
              </w:rPr>
              <w:t>următoare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Noul</w:t>
            </w:r>
            <w:proofErr w:type="spellEnd"/>
            <w:r w:rsidRPr="00983344">
              <w:rPr>
                <w:rFonts w:eastAsia="Arial Unicode MS"/>
                <w:color w:val="000000" w:themeColor="text1"/>
                <w:sz w:val="20"/>
                <w:szCs w:val="20"/>
                <w:shd w:val="clear" w:color="auto" w:fill="FFFFFF"/>
                <w:lang w:val="en-US"/>
              </w:rPr>
              <w:t xml:space="preserve"> stat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este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cu </w:t>
            </w:r>
            <w:proofErr w:type="spellStart"/>
            <w:r w:rsidRPr="00983344">
              <w:rPr>
                <w:rFonts w:eastAsia="Arial Unicode MS"/>
                <w:color w:val="000000" w:themeColor="text1"/>
                <w:sz w:val="20"/>
                <w:szCs w:val="20"/>
                <w:shd w:val="clear" w:color="auto" w:fill="FFFFFF"/>
                <w:lang w:val="en-US"/>
              </w:rPr>
              <w:t>cele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mai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mari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emisii</w:t>
            </w:r>
            <w:proofErr w:type="spellEnd"/>
            <w:r w:rsidRPr="00983344">
              <w:rPr>
                <w:rFonts w:eastAsia="Arial Unicode MS"/>
                <w:color w:val="000000" w:themeColor="text1"/>
                <w:sz w:val="20"/>
                <w:szCs w:val="20"/>
                <w:shd w:val="clear" w:color="auto" w:fill="FFFFFF"/>
                <w:lang w:val="en-US"/>
              </w:rPr>
              <w:t xml:space="preserve"> estimate </w:t>
            </w:r>
            <w:proofErr w:type="spellStart"/>
            <w:r w:rsidRPr="00983344">
              <w:rPr>
                <w:rFonts w:eastAsia="Arial Unicode MS"/>
                <w:color w:val="000000" w:themeColor="text1"/>
                <w:sz w:val="20"/>
                <w:szCs w:val="20"/>
                <w:shd w:val="clear" w:color="auto" w:fill="FFFFFF"/>
                <w:lang w:val="en-US"/>
              </w:rPr>
              <w:t>atribuite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aviației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provenite</w:t>
            </w:r>
            <w:proofErr w:type="spellEnd"/>
            <w:r w:rsidRPr="00983344">
              <w:rPr>
                <w:rFonts w:eastAsia="Arial Unicode MS"/>
                <w:color w:val="000000" w:themeColor="text1"/>
                <w:sz w:val="20"/>
                <w:szCs w:val="20"/>
                <w:shd w:val="clear" w:color="auto" w:fill="FFFFFF"/>
                <w:lang w:val="en-US"/>
              </w:rPr>
              <w:t xml:space="preserve"> de la </w:t>
            </w:r>
            <w:proofErr w:type="spellStart"/>
            <w:r w:rsidRPr="00983344">
              <w:rPr>
                <w:rFonts w:eastAsia="Arial Unicode MS"/>
                <w:color w:val="000000" w:themeColor="text1"/>
                <w:sz w:val="20"/>
                <w:szCs w:val="20"/>
                <w:shd w:val="clear" w:color="auto" w:fill="FFFFFF"/>
                <w:lang w:val="en-US"/>
              </w:rPr>
              <w:t>zborurile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efectuate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către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respectivul</w:t>
            </w:r>
            <w:proofErr w:type="spellEnd"/>
            <w:r w:rsidRPr="00983344">
              <w:rPr>
                <w:rFonts w:eastAsia="Arial Unicode MS"/>
                <w:color w:val="000000" w:themeColor="text1"/>
                <w:sz w:val="20"/>
                <w:szCs w:val="20"/>
                <w:shd w:val="clear" w:color="auto" w:fill="FFFFFF"/>
                <w:lang w:val="en-US"/>
              </w:rPr>
              <w:t xml:space="preserve">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cursul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primilor</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doi</w:t>
            </w:r>
            <w:proofErr w:type="spellEnd"/>
            <w:r w:rsidRPr="00983344">
              <w:rPr>
                <w:rFonts w:eastAsia="Arial Unicode MS"/>
                <w:color w:val="000000" w:themeColor="text1"/>
                <w:sz w:val="20"/>
                <w:szCs w:val="20"/>
                <w:shd w:val="clear" w:color="auto" w:fill="FFFFFF"/>
                <w:lang w:val="en-US"/>
              </w:rPr>
              <w:t xml:space="preserve"> ani ai </w:t>
            </w:r>
            <w:proofErr w:type="spellStart"/>
            <w:r w:rsidRPr="00983344">
              <w:rPr>
                <w:rFonts w:eastAsia="Arial Unicode MS"/>
                <w:color w:val="000000" w:themeColor="text1"/>
                <w:sz w:val="20"/>
                <w:szCs w:val="20"/>
                <w:shd w:val="clear" w:color="auto" w:fill="FFFFFF"/>
                <w:lang w:val="en-US"/>
              </w:rPr>
              <w:t>perioadei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anterioare</w:t>
            </w:r>
            <w:proofErr w:type="spellEnd"/>
            <w:r w:rsidRPr="00983344">
              <w:rPr>
                <w:rFonts w:eastAsia="Arial Unicode MS"/>
                <w:color w:val="000000" w:themeColor="text1"/>
                <w:sz w:val="20"/>
                <w:szCs w:val="20"/>
                <w:shd w:val="clear" w:color="auto" w:fill="FFFFFF"/>
                <w:lang w:val="en-US"/>
              </w:rPr>
              <w:t>.</w:t>
            </w:r>
          </w:p>
          <w:p w14:paraId="2EC889A9"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256" w:tooltip="32008L0101: INSERTED" w:history="1">
              <w:r>
                <w:rPr>
                  <w:rStyle w:val="af3"/>
                  <w:rFonts w:eastAsia="Arial Unicode MS"/>
                  <w:b/>
                  <w:bCs/>
                  <w:color w:val="4472C4" w:themeColor="accent1"/>
                  <w:sz w:val="20"/>
                  <w:szCs w:val="20"/>
                </w:rPr>
                <w:t>▼M2</w:t>
              </w:r>
            </w:hyperlink>
          </w:p>
          <w:p w14:paraId="5E55EA24" w14:textId="77777777" w:rsidR="00124364" w:rsidRPr="00983344" w:rsidRDefault="00000000" w:rsidP="00983344">
            <w:pPr>
              <w:pStyle w:val="ti-art"/>
              <w:numPr>
                <w:ilvl w:val="0"/>
                <w:numId w:val="9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3344">
              <w:rPr>
                <w:rFonts w:eastAsia="Arial Unicode MS"/>
                <w:color w:val="000000" w:themeColor="text1"/>
                <w:sz w:val="20"/>
                <w:szCs w:val="20"/>
                <w:shd w:val="clear" w:color="auto" w:fill="FFFFFF"/>
                <w:lang w:val="en-US"/>
              </w:rPr>
              <w:t xml:space="preserve">Pe </w:t>
            </w:r>
            <w:proofErr w:type="spellStart"/>
            <w:r w:rsidRPr="00983344">
              <w:rPr>
                <w:rFonts w:eastAsia="Arial Unicode MS"/>
                <w:color w:val="000000" w:themeColor="text1"/>
                <w:sz w:val="20"/>
                <w:szCs w:val="20"/>
                <w:shd w:val="clear" w:color="auto" w:fill="FFFFFF"/>
                <w:lang w:val="en-US"/>
              </w:rPr>
              <w:t>baza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celor</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mai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fiabile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informații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disponibile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Comisia</w:t>
            </w:r>
            <w:proofErr w:type="spellEnd"/>
            <w:r w:rsidRPr="00983344">
              <w:rPr>
                <w:rFonts w:eastAsia="Arial Unicode MS"/>
                <w:color w:val="000000" w:themeColor="text1"/>
                <w:sz w:val="20"/>
                <w:szCs w:val="20"/>
                <w:shd w:val="clear" w:color="auto" w:fill="FFFFFF"/>
                <w:lang w:val="en-US"/>
              </w:rPr>
              <w:t>:</w:t>
            </w:r>
          </w:p>
          <w:p w14:paraId="21044770" w14:textId="77777777" w:rsidR="00124364" w:rsidRPr="00983344" w:rsidRDefault="00000000" w:rsidP="00983344">
            <w:pPr>
              <w:pStyle w:val="ti-art"/>
              <w:numPr>
                <w:ilvl w:val="0"/>
                <w:numId w:val="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3344">
              <w:rPr>
                <w:rFonts w:eastAsia="Arial Unicode MS"/>
                <w:color w:val="000000" w:themeColor="text1"/>
                <w:sz w:val="20"/>
                <w:szCs w:val="20"/>
                <w:shd w:val="clear" w:color="auto" w:fill="FFFFFF"/>
                <w:lang w:val="en-US"/>
              </w:rPr>
              <w:t>publică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înainte</w:t>
            </w:r>
            <w:proofErr w:type="spellEnd"/>
            <w:r w:rsidRPr="00983344">
              <w:rPr>
                <w:rFonts w:eastAsia="Arial Unicode MS"/>
                <w:color w:val="000000" w:themeColor="text1"/>
                <w:sz w:val="20"/>
                <w:szCs w:val="20"/>
                <w:shd w:val="clear" w:color="auto" w:fill="FFFFFF"/>
                <w:lang w:val="en-US"/>
              </w:rPr>
              <w:t xml:space="preserve"> de 1 </w:t>
            </w:r>
            <w:proofErr w:type="spellStart"/>
            <w:r w:rsidRPr="00983344">
              <w:rPr>
                <w:rFonts w:eastAsia="Arial Unicode MS"/>
                <w:color w:val="000000" w:themeColor="text1"/>
                <w:sz w:val="20"/>
                <w:szCs w:val="20"/>
                <w:shd w:val="clear" w:color="auto" w:fill="FFFFFF"/>
                <w:lang w:val="en-US"/>
              </w:rPr>
              <w:t>februarie</w:t>
            </w:r>
            <w:proofErr w:type="spellEnd"/>
            <w:r w:rsidRPr="00983344">
              <w:rPr>
                <w:rFonts w:eastAsia="Arial Unicode MS"/>
                <w:color w:val="000000" w:themeColor="text1"/>
                <w:sz w:val="20"/>
                <w:szCs w:val="20"/>
                <w:shd w:val="clear" w:color="auto" w:fill="FFFFFF"/>
                <w:lang w:val="en-US"/>
              </w:rPr>
              <w:t xml:space="preserve"> 2009, o </w:t>
            </w:r>
            <w:proofErr w:type="spellStart"/>
            <w:r w:rsidRPr="00983344">
              <w:rPr>
                <w:rFonts w:eastAsia="Arial Unicode MS"/>
                <w:color w:val="000000" w:themeColor="text1"/>
                <w:sz w:val="20"/>
                <w:szCs w:val="20"/>
                <w:shd w:val="clear" w:color="auto" w:fill="FFFFFF"/>
                <w:lang w:val="en-US"/>
              </w:rPr>
              <w:t>listă</w:t>
            </w:r>
            <w:proofErr w:type="spellEnd"/>
            <w:r w:rsidRPr="00983344">
              <w:rPr>
                <w:rFonts w:eastAsia="Arial Unicode MS"/>
                <w:color w:val="000000" w:themeColor="text1"/>
                <w:sz w:val="20"/>
                <w:szCs w:val="20"/>
                <w:shd w:val="clear" w:color="auto" w:fill="FFFFFF"/>
                <w:lang w:val="en-US"/>
              </w:rPr>
              <w:t xml:space="preserve"> </w:t>
            </w:r>
            <w:proofErr w:type="gramStart"/>
            <w:r w:rsidRPr="00983344">
              <w:rPr>
                <w:rFonts w:eastAsia="Arial Unicode MS"/>
                <w:color w:val="000000" w:themeColor="text1"/>
                <w:sz w:val="20"/>
                <w:szCs w:val="20"/>
                <w:shd w:val="clear" w:color="auto" w:fill="FFFFFF"/>
                <w:lang w:val="en-US"/>
              </w:rPr>
              <w:t>a</w:t>
            </w:r>
            <w:proofErr w:type="gram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operatorilor</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care au </w:t>
            </w:r>
            <w:proofErr w:type="spellStart"/>
            <w:r w:rsidRPr="00983344">
              <w:rPr>
                <w:rFonts w:eastAsia="Arial Unicode MS"/>
                <w:color w:val="000000" w:themeColor="text1"/>
                <w:sz w:val="20"/>
                <w:szCs w:val="20"/>
                <w:shd w:val="clear" w:color="auto" w:fill="FFFFFF"/>
                <w:lang w:val="en-US"/>
              </w:rPr>
              <w:t>efectuat</w:t>
            </w:r>
            <w:proofErr w:type="spellEnd"/>
            <w:r w:rsidRPr="00983344">
              <w:rPr>
                <w:rFonts w:eastAsia="Arial Unicode MS"/>
                <w:color w:val="000000" w:themeColor="text1"/>
                <w:sz w:val="20"/>
                <w:szCs w:val="20"/>
                <w:shd w:val="clear" w:color="auto" w:fill="FFFFFF"/>
                <w:lang w:val="en-US"/>
              </w:rPr>
              <w:t xml:space="preserve"> o </w:t>
            </w:r>
            <w:proofErr w:type="spellStart"/>
            <w:r w:rsidRPr="00983344">
              <w:rPr>
                <w:rFonts w:eastAsia="Arial Unicode MS"/>
                <w:color w:val="000000" w:themeColor="text1"/>
                <w:sz w:val="20"/>
                <w:szCs w:val="20"/>
                <w:shd w:val="clear" w:color="auto" w:fill="FFFFFF"/>
                <w:lang w:val="en-US"/>
              </w:rPr>
              <w:t>activitate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aviație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menționată</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anexa</w:t>
            </w:r>
            <w:proofErr w:type="spellEnd"/>
            <w:r w:rsidRPr="00983344">
              <w:rPr>
                <w:rFonts w:eastAsia="Arial Unicode MS"/>
                <w:color w:val="000000" w:themeColor="text1"/>
                <w:sz w:val="20"/>
                <w:szCs w:val="20"/>
                <w:shd w:val="clear" w:color="auto" w:fill="FFFFFF"/>
                <w:lang w:val="en-US"/>
              </w:rPr>
              <w:t xml:space="preserve"> I la 1 </w:t>
            </w:r>
            <w:proofErr w:type="spellStart"/>
            <w:r w:rsidRPr="00983344">
              <w:rPr>
                <w:rFonts w:eastAsia="Arial Unicode MS"/>
                <w:color w:val="000000" w:themeColor="text1"/>
                <w:sz w:val="20"/>
                <w:szCs w:val="20"/>
                <w:shd w:val="clear" w:color="auto" w:fill="FFFFFF"/>
                <w:lang w:val="en-US"/>
              </w:rPr>
              <w:t>ianuarie</w:t>
            </w:r>
            <w:proofErr w:type="spellEnd"/>
            <w:r w:rsidRPr="00983344">
              <w:rPr>
                <w:rFonts w:eastAsia="Arial Unicode MS"/>
                <w:color w:val="000000" w:themeColor="text1"/>
                <w:sz w:val="20"/>
                <w:szCs w:val="20"/>
                <w:shd w:val="clear" w:color="auto" w:fill="FFFFFF"/>
                <w:lang w:val="en-US"/>
              </w:rPr>
              <w:t xml:space="preserve"> 2006 </w:t>
            </w:r>
            <w:proofErr w:type="spellStart"/>
            <w:r w:rsidRPr="00983344">
              <w:rPr>
                <w:rFonts w:eastAsia="Arial Unicode MS"/>
                <w:color w:val="000000" w:themeColor="text1"/>
                <w:sz w:val="20"/>
                <w:szCs w:val="20"/>
                <w:shd w:val="clear" w:color="auto" w:fill="FFFFFF"/>
                <w:lang w:val="en-US"/>
              </w:rPr>
              <w:t>sau</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după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această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dată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specificând</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fiecare</w:t>
            </w:r>
            <w:proofErr w:type="spellEnd"/>
            <w:r w:rsidRPr="00983344">
              <w:rPr>
                <w:rFonts w:eastAsia="Arial Unicode MS"/>
                <w:color w:val="000000" w:themeColor="text1"/>
                <w:sz w:val="20"/>
                <w:szCs w:val="20"/>
                <w:shd w:val="clear" w:color="auto" w:fill="FFFFFF"/>
                <w:lang w:val="en-US"/>
              </w:rPr>
              <w:t xml:space="preserve">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în conformitate cu </w:t>
            </w:r>
            <w:proofErr w:type="spellStart"/>
            <w:r w:rsidRPr="00983344">
              <w:rPr>
                <w:rFonts w:eastAsia="Arial Unicode MS"/>
                <w:color w:val="000000" w:themeColor="text1"/>
                <w:sz w:val="20"/>
                <w:szCs w:val="20"/>
                <w:shd w:val="clear" w:color="auto" w:fill="FFFFFF"/>
                <w:lang w:val="en-US"/>
              </w:rPr>
              <w:t>alineatul</w:t>
            </w:r>
            <w:proofErr w:type="spellEnd"/>
            <w:r w:rsidRPr="00983344">
              <w:rPr>
                <w:rFonts w:eastAsia="Arial Unicode MS"/>
                <w:color w:val="000000" w:themeColor="text1"/>
                <w:sz w:val="20"/>
                <w:szCs w:val="20"/>
                <w:shd w:val="clear" w:color="auto" w:fill="FFFFFF"/>
                <w:lang w:val="en-US"/>
              </w:rPr>
              <w:t xml:space="preserve"> (1); și</w:t>
            </w:r>
          </w:p>
          <w:p w14:paraId="3C355DCB" w14:textId="77777777" w:rsidR="00124364"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257" w:tooltip="32023L0958: REPLACED" w:history="1">
              <w:r>
                <w:rPr>
                  <w:rStyle w:val="af3"/>
                  <w:rFonts w:eastAsia="Arial Unicode MS"/>
                  <w:b/>
                  <w:bCs/>
                  <w:color w:val="4472C4" w:themeColor="accent1"/>
                  <w:sz w:val="20"/>
                  <w:szCs w:val="20"/>
                </w:rPr>
                <w:t>▼M14</w:t>
              </w:r>
            </w:hyperlink>
          </w:p>
          <w:p w14:paraId="665C00DF" w14:textId="77777777" w:rsidR="00124364" w:rsidRPr="00983344" w:rsidRDefault="00000000" w:rsidP="00983344">
            <w:pPr>
              <w:pStyle w:val="ti-art"/>
              <w:numPr>
                <w:ilvl w:val="0"/>
                <w:numId w:val="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3344">
              <w:rPr>
                <w:rFonts w:eastAsia="Arial Unicode MS"/>
                <w:color w:val="000000" w:themeColor="text1"/>
                <w:sz w:val="20"/>
                <w:szCs w:val="20"/>
                <w:shd w:val="clear" w:color="auto" w:fill="FFFFFF"/>
                <w:lang w:val="en-US"/>
              </w:rPr>
              <w:t>începând</w:t>
            </w:r>
            <w:proofErr w:type="spellEnd"/>
            <w:r w:rsidRPr="00983344">
              <w:rPr>
                <w:rFonts w:eastAsia="Arial Unicode MS"/>
                <w:color w:val="000000" w:themeColor="text1"/>
                <w:sz w:val="20"/>
                <w:szCs w:val="20"/>
                <w:shd w:val="clear" w:color="auto" w:fill="FFFFFF"/>
                <w:lang w:val="en-US"/>
              </w:rPr>
              <w:t xml:space="preserve"> din 2024, </w:t>
            </w:r>
            <w:proofErr w:type="spellStart"/>
            <w:r w:rsidRPr="00983344">
              <w:rPr>
                <w:rFonts w:eastAsia="Arial Unicode MS"/>
                <w:color w:val="000000" w:themeColor="text1"/>
                <w:sz w:val="20"/>
                <w:szCs w:val="20"/>
                <w:shd w:val="clear" w:color="auto" w:fill="FFFFFF"/>
                <w:lang w:val="en-US"/>
              </w:rPr>
              <w:t>cel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puțin</w:t>
            </w:r>
            <w:proofErr w:type="spellEnd"/>
            <w:r w:rsidRPr="00983344">
              <w:rPr>
                <w:rFonts w:eastAsia="Arial Unicode MS"/>
                <w:color w:val="000000" w:themeColor="text1"/>
                <w:sz w:val="20"/>
                <w:szCs w:val="20"/>
                <w:shd w:val="clear" w:color="auto" w:fill="FFFFFF"/>
                <w:lang w:val="en-US"/>
              </w:rPr>
              <w:t xml:space="preserve"> o </w:t>
            </w:r>
            <w:proofErr w:type="spellStart"/>
            <w:r w:rsidRPr="00983344">
              <w:rPr>
                <w:rFonts w:eastAsia="Arial Unicode MS"/>
                <w:color w:val="000000" w:themeColor="text1"/>
                <w:sz w:val="20"/>
                <w:szCs w:val="20"/>
                <w:shd w:val="clear" w:color="auto" w:fill="FFFFFF"/>
                <w:lang w:val="en-US"/>
              </w:rPr>
              <w:t>dată</w:t>
            </w:r>
            <w:proofErr w:type="spellEnd"/>
            <w:r w:rsidRPr="00983344">
              <w:rPr>
                <w:rFonts w:eastAsia="Arial Unicode MS"/>
                <w:color w:val="000000" w:themeColor="text1"/>
                <w:sz w:val="20"/>
                <w:szCs w:val="20"/>
                <w:shd w:val="clear" w:color="auto" w:fill="FFFFFF"/>
                <w:lang w:val="en-US"/>
              </w:rPr>
              <w:t xml:space="preserve"> la </w:t>
            </w:r>
            <w:proofErr w:type="spellStart"/>
            <w:r w:rsidRPr="00983344">
              <w:rPr>
                <w:rFonts w:eastAsia="Arial Unicode MS"/>
                <w:color w:val="000000" w:themeColor="text1"/>
                <w:sz w:val="20"/>
                <w:szCs w:val="20"/>
                <w:shd w:val="clear" w:color="auto" w:fill="FFFFFF"/>
                <w:lang w:val="en-US"/>
              </w:rPr>
              <w:t>doi</w:t>
            </w:r>
            <w:proofErr w:type="spellEnd"/>
            <w:r w:rsidRPr="00983344">
              <w:rPr>
                <w:rFonts w:eastAsia="Arial Unicode MS"/>
                <w:color w:val="000000" w:themeColor="text1"/>
                <w:sz w:val="20"/>
                <w:szCs w:val="20"/>
                <w:shd w:val="clear" w:color="auto" w:fill="FFFFFF"/>
                <w:lang w:val="en-US"/>
              </w:rPr>
              <w:t xml:space="preserve"> ani, </w:t>
            </w:r>
            <w:proofErr w:type="spellStart"/>
            <w:r w:rsidRPr="00983344">
              <w:rPr>
                <w:rFonts w:eastAsia="Arial Unicode MS"/>
                <w:color w:val="000000" w:themeColor="text1"/>
                <w:sz w:val="20"/>
                <w:szCs w:val="20"/>
                <w:shd w:val="clear" w:color="auto" w:fill="FFFFFF"/>
                <w:lang w:val="en-US"/>
              </w:rPr>
              <w:t>actualizează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lista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a include </w:t>
            </w:r>
            <w:proofErr w:type="spellStart"/>
            <w:r w:rsidRPr="00983344">
              <w:rPr>
                <w:rFonts w:eastAsia="Arial Unicode MS"/>
                <w:color w:val="000000" w:themeColor="text1"/>
                <w:sz w:val="20"/>
                <w:szCs w:val="20"/>
                <w:shd w:val="clear" w:color="auto" w:fill="FFFFFF"/>
                <w:lang w:val="en-US"/>
              </w:rPr>
              <w:t>operatorii</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care au </w:t>
            </w:r>
            <w:proofErr w:type="spellStart"/>
            <w:r w:rsidRPr="00983344">
              <w:rPr>
                <w:rFonts w:eastAsia="Arial Unicode MS"/>
                <w:color w:val="000000" w:themeColor="text1"/>
                <w:sz w:val="20"/>
                <w:szCs w:val="20"/>
                <w:shd w:val="clear" w:color="auto" w:fill="FFFFFF"/>
                <w:lang w:val="en-US"/>
              </w:rPr>
              <w:t>efectuat</w:t>
            </w:r>
            <w:proofErr w:type="spellEnd"/>
            <w:r w:rsidRPr="00983344">
              <w:rPr>
                <w:rFonts w:eastAsia="Arial Unicode MS"/>
                <w:color w:val="000000" w:themeColor="text1"/>
                <w:sz w:val="20"/>
                <w:szCs w:val="20"/>
                <w:shd w:val="clear" w:color="auto" w:fill="FFFFFF"/>
                <w:lang w:val="en-US"/>
              </w:rPr>
              <w:t xml:space="preserve"> ulterior o </w:t>
            </w:r>
            <w:proofErr w:type="spellStart"/>
            <w:r w:rsidRPr="00983344">
              <w:rPr>
                <w:rFonts w:eastAsia="Arial Unicode MS"/>
                <w:color w:val="000000" w:themeColor="text1"/>
                <w:sz w:val="20"/>
                <w:szCs w:val="20"/>
                <w:shd w:val="clear" w:color="auto" w:fill="FFFFFF"/>
                <w:lang w:val="en-US"/>
              </w:rPr>
              <w:t>activitate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aviație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enumerată</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anexa</w:t>
            </w:r>
            <w:proofErr w:type="spellEnd"/>
            <w:r w:rsidRPr="00983344">
              <w:rPr>
                <w:rFonts w:eastAsia="Arial Unicode MS"/>
                <w:color w:val="000000" w:themeColor="text1"/>
                <w:sz w:val="20"/>
                <w:szCs w:val="20"/>
                <w:shd w:val="clear" w:color="auto" w:fill="FFFFFF"/>
                <w:lang w:val="en-US"/>
              </w:rPr>
              <w:t xml:space="preserve"> I; în </w:t>
            </w:r>
            <w:proofErr w:type="spellStart"/>
            <w:r w:rsidRPr="00983344">
              <w:rPr>
                <w:rFonts w:eastAsia="Arial Unicode MS"/>
                <w:color w:val="000000" w:themeColor="text1"/>
                <w:sz w:val="20"/>
                <w:szCs w:val="20"/>
                <w:shd w:val="clear" w:color="auto" w:fill="FFFFFF"/>
                <w:lang w:val="en-US"/>
              </w:rPr>
              <w:t>cazul</w:t>
            </w:r>
            <w:proofErr w:type="spellEnd"/>
            <w:r w:rsidRPr="00983344">
              <w:rPr>
                <w:rFonts w:eastAsia="Arial Unicode MS"/>
                <w:color w:val="000000" w:themeColor="text1"/>
                <w:sz w:val="20"/>
                <w:szCs w:val="20"/>
                <w:shd w:val="clear" w:color="auto" w:fill="FFFFFF"/>
                <w:lang w:val="en-US"/>
              </w:rPr>
              <w:t xml:space="preserve"> în care un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nu </w:t>
            </w:r>
            <w:proofErr w:type="gramStart"/>
            <w:r w:rsidRPr="00983344">
              <w:rPr>
                <w:rFonts w:eastAsia="Arial Unicode MS"/>
                <w:color w:val="000000" w:themeColor="text1"/>
                <w:sz w:val="20"/>
                <w:szCs w:val="20"/>
                <w:shd w:val="clear" w:color="auto" w:fill="FFFFFF"/>
                <w:lang w:val="en-US"/>
              </w:rPr>
              <w:t>a</w:t>
            </w:r>
            <w:proofErr w:type="gram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efectuat</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nicio</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activitate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aviație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dintre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cele</w:t>
            </w:r>
            <w:proofErr w:type="spellEnd"/>
            <w:r w:rsidRPr="00983344">
              <w:rPr>
                <w:rFonts w:eastAsia="Arial Unicode MS"/>
                <w:color w:val="000000" w:themeColor="text1"/>
                <w:sz w:val="20"/>
                <w:szCs w:val="20"/>
                <w:shd w:val="clear" w:color="auto" w:fill="FFFFFF"/>
                <w:lang w:val="en-US"/>
              </w:rPr>
              <w:t xml:space="preserve"> enumerate în </w:t>
            </w:r>
            <w:proofErr w:type="spellStart"/>
            <w:r w:rsidRPr="00983344">
              <w:rPr>
                <w:rFonts w:eastAsia="Arial Unicode MS"/>
                <w:color w:val="000000" w:themeColor="text1"/>
                <w:sz w:val="20"/>
                <w:szCs w:val="20"/>
                <w:shd w:val="clear" w:color="auto" w:fill="FFFFFF"/>
                <w:lang w:val="en-US"/>
              </w:rPr>
              <w:t>anexa</w:t>
            </w:r>
            <w:proofErr w:type="spellEnd"/>
            <w:r w:rsidRPr="00983344">
              <w:rPr>
                <w:rFonts w:eastAsia="Arial Unicode MS"/>
                <w:color w:val="000000" w:themeColor="text1"/>
                <w:sz w:val="20"/>
                <w:szCs w:val="20"/>
                <w:shd w:val="clear" w:color="auto" w:fill="FFFFFF"/>
                <w:lang w:val="en-US"/>
              </w:rPr>
              <w:t xml:space="preserve"> I </w:t>
            </w:r>
            <w:proofErr w:type="spellStart"/>
            <w:r w:rsidRPr="00983344">
              <w:rPr>
                <w:rFonts w:eastAsia="Arial Unicode MS"/>
                <w:color w:val="000000" w:themeColor="text1"/>
                <w:sz w:val="20"/>
                <w:szCs w:val="20"/>
                <w:shd w:val="clear" w:color="auto" w:fill="FFFFFF"/>
                <w:lang w:val="en-US"/>
              </w:rPr>
              <w:t>timp</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patru</w:t>
            </w:r>
            <w:proofErr w:type="spellEnd"/>
            <w:r w:rsidRPr="00983344">
              <w:rPr>
                <w:rFonts w:eastAsia="Arial Unicode MS"/>
                <w:color w:val="000000" w:themeColor="text1"/>
                <w:sz w:val="20"/>
                <w:szCs w:val="20"/>
                <w:shd w:val="clear" w:color="auto" w:fill="FFFFFF"/>
                <w:lang w:val="en-US"/>
              </w:rPr>
              <w:t xml:space="preserve"> ani </w:t>
            </w:r>
            <w:proofErr w:type="spellStart"/>
            <w:r w:rsidRPr="00983344">
              <w:rPr>
                <w:rFonts w:eastAsia="Arial Unicode MS"/>
                <w:color w:val="000000" w:themeColor="text1"/>
                <w:sz w:val="20"/>
                <w:szCs w:val="20"/>
                <w:shd w:val="clear" w:color="auto" w:fill="FFFFFF"/>
                <w:lang w:val="en-US"/>
              </w:rPr>
              <w:t>calendaristici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consecutivi</w:t>
            </w:r>
            <w:proofErr w:type="spellEnd"/>
            <w:r w:rsidRPr="00983344">
              <w:rPr>
                <w:rFonts w:eastAsia="Arial Unicode MS"/>
                <w:color w:val="000000" w:themeColor="text1"/>
                <w:sz w:val="20"/>
                <w:szCs w:val="20"/>
                <w:shd w:val="clear" w:color="auto" w:fill="FFFFFF"/>
                <w:lang w:val="en-US"/>
              </w:rPr>
              <w:t xml:space="preserve"> care </w:t>
            </w:r>
            <w:proofErr w:type="spellStart"/>
            <w:r w:rsidRPr="00983344">
              <w:rPr>
                <w:rFonts w:eastAsia="Arial Unicode MS"/>
                <w:color w:val="000000" w:themeColor="text1"/>
                <w:sz w:val="20"/>
                <w:szCs w:val="20"/>
                <w:shd w:val="clear" w:color="auto" w:fill="FFFFFF"/>
                <w:lang w:val="en-US"/>
              </w:rPr>
              <w:t>precedă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actualizarea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listei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operatorul</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respectiv</w:t>
            </w:r>
            <w:proofErr w:type="spellEnd"/>
            <w:r w:rsidRPr="00983344">
              <w:rPr>
                <w:rFonts w:eastAsia="Arial Unicode MS"/>
                <w:color w:val="000000" w:themeColor="text1"/>
                <w:sz w:val="20"/>
                <w:szCs w:val="20"/>
                <w:shd w:val="clear" w:color="auto" w:fill="FFFFFF"/>
                <w:lang w:val="en-US"/>
              </w:rPr>
              <w:t xml:space="preserve"> nu se include în </w:t>
            </w:r>
            <w:proofErr w:type="spellStart"/>
            <w:r w:rsidRPr="00983344">
              <w:rPr>
                <w:rFonts w:eastAsia="Arial Unicode MS"/>
                <w:color w:val="000000" w:themeColor="text1"/>
                <w:sz w:val="20"/>
                <w:szCs w:val="20"/>
                <w:shd w:val="clear" w:color="auto" w:fill="FFFFFF"/>
                <w:lang w:val="en-US"/>
              </w:rPr>
              <w:t>listă</w:t>
            </w:r>
            <w:proofErr w:type="spellEnd"/>
            <w:r w:rsidRPr="00983344">
              <w:rPr>
                <w:rFonts w:eastAsia="Arial Unicode MS"/>
                <w:color w:val="000000" w:themeColor="text1"/>
                <w:sz w:val="20"/>
                <w:szCs w:val="20"/>
                <w:shd w:val="clear" w:color="auto" w:fill="FFFFFF"/>
                <w:lang w:val="en-US"/>
              </w:rPr>
              <w:t>.</w:t>
            </w:r>
          </w:p>
          <w:p w14:paraId="729A59D4" w14:textId="77777777" w:rsidR="00124364" w:rsidRDefault="00000000">
            <w:pPr>
              <w:pStyle w:val="ti-art"/>
              <w:shd w:val="clear" w:color="auto" w:fill="FFFFFF"/>
              <w:spacing w:before="0" w:beforeAutospacing="0" w:after="0" w:afterAutospacing="0"/>
              <w:rPr>
                <w:color w:val="4472C4" w:themeColor="accent1"/>
                <w:sz w:val="20"/>
                <w:szCs w:val="20"/>
              </w:rPr>
            </w:pPr>
            <w:hyperlink r:id="rId258" w:tooltip="32008L0101: INSERTED" w:history="1">
              <w:r>
                <w:rPr>
                  <w:rStyle w:val="af3"/>
                  <w:rFonts w:eastAsia="Arial Unicode MS"/>
                  <w:b/>
                  <w:bCs/>
                  <w:color w:val="4472C4" w:themeColor="accent1"/>
                  <w:sz w:val="20"/>
                  <w:szCs w:val="20"/>
                </w:rPr>
                <w:t>▼M2</w:t>
              </w:r>
            </w:hyperlink>
          </w:p>
          <w:p w14:paraId="26750CA8" w14:textId="5E28DD0B" w:rsidR="00124364" w:rsidRPr="00983344" w:rsidRDefault="00000000" w:rsidP="00983344">
            <w:pPr>
              <w:pStyle w:val="ti-art"/>
              <w:numPr>
                <w:ilvl w:val="0"/>
                <w:numId w:val="8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3344">
              <w:rPr>
                <w:rFonts w:eastAsia="Arial Unicode MS"/>
                <w:color w:val="000000" w:themeColor="text1"/>
                <w:sz w:val="20"/>
                <w:szCs w:val="20"/>
                <w:shd w:val="clear" w:color="auto" w:fill="FFFFFF"/>
                <w:lang w:val="en-US"/>
              </w:rPr>
              <w:t>În conformitate cu</w:t>
            </w:r>
            <w:hyperlink r:id="rId259" w:tooltip="32018L0410: REPLACED" w:history="1">
              <w:r w:rsidRPr="00983344">
                <w:rPr>
                  <w:rStyle w:val="boldface"/>
                  <w:rFonts w:eastAsia="Arial Unicode MS"/>
                  <w:b/>
                  <w:bCs/>
                  <w:color w:val="000000" w:themeColor="text1"/>
                  <w:sz w:val="20"/>
                  <w:szCs w:val="20"/>
                  <w:lang w:val="en-US"/>
                </w:rPr>
                <w:t>►M9</w:t>
              </w:r>
            </w:hyperlink>
            <w:r w:rsidRPr="00983344">
              <w:rPr>
                <w:rFonts w:eastAsia="Arial Unicode MS"/>
                <w:color w:val="000000" w:themeColor="text1"/>
                <w:sz w:val="20"/>
                <w:szCs w:val="20"/>
                <w:shd w:val="clear" w:color="auto" w:fill="FFFFFF"/>
                <w:lang w:val="en-US"/>
              </w:rPr>
              <w:t xml:space="preserve">procedura de </w:t>
            </w:r>
            <w:proofErr w:type="spellStart"/>
            <w:r w:rsidRPr="00983344">
              <w:rPr>
                <w:rFonts w:eastAsia="Arial Unicode MS"/>
                <w:color w:val="000000" w:themeColor="text1"/>
                <w:sz w:val="20"/>
                <w:szCs w:val="20"/>
                <w:shd w:val="clear" w:color="auto" w:fill="FFFFFF"/>
                <w:lang w:val="en-US"/>
              </w:rPr>
              <w:t>examinare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menționată</w:t>
            </w:r>
            <w:proofErr w:type="spellEnd"/>
            <w:r w:rsidRPr="00983344">
              <w:rPr>
                <w:rFonts w:eastAsia="Arial Unicode MS"/>
                <w:color w:val="000000" w:themeColor="text1"/>
                <w:sz w:val="20"/>
                <w:szCs w:val="20"/>
                <w:shd w:val="clear" w:color="auto" w:fill="FFFFFF"/>
                <w:lang w:val="en-US"/>
              </w:rPr>
              <w:t xml:space="preserve"> la </w:t>
            </w:r>
            <w:proofErr w:type="spellStart"/>
            <w:r w:rsidRPr="00983344">
              <w:rPr>
                <w:rFonts w:eastAsia="Arial Unicode MS"/>
                <w:color w:val="000000" w:themeColor="text1"/>
                <w:sz w:val="20"/>
                <w:szCs w:val="20"/>
                <w:shd w:val="clear" w:color="auto" w:fill="FFFFFF"/>
                <w:lang w:val="en-US"/>
              </w:rPr>
              <w:t>articolul</w:t>
            </w:r>
            <w:proofErr w:type="spellEnd"/>
            <w:r w:rsidRPr="00983344">
              <w:rPr>
                <w:rFonts w:eastAsia="Arial Unicode MS"/>
                <w:color w:val="000000" w:themeColor="text1"/>
                <w:sz w:val="20"/>
                <w:szCs w:val="20"/>
                <w:shd w:val="clear" w:color="auto" w:fill="FFFFFF"/>
                <w:lang w:val="en-US"/>
              </w:rPr>
              <w:t xml:space="preserve"> 22a </w:t>
            </w:r>
            <w:proofErr w:type="spellStart"/>
            <w:r w:rsidRPr="00983344">
              <w:rPr>
                <w:rFonts w:eastAsia="Arial Unicode MS"/>
                <w:color w:val="000000" w:themeColor="text1"/>
                <w:sz w:val="20"/>
                <w:szCs w:val="20"/>
                <w:shd w:val="clear" w:color="auto" w:fill="FFFFFF"/>
                <w:lang w:val="en-US"/>
              </w:rPr>
              <w:t>alineatul</w:t>
            </w:r>
            <w:proofErr w:type="spellEnd"/>
            <w:r w:rsidRPr="00983344">
              <w:rPr>
                <w:rFonts w:eastAsia="Arial Unicode MS"/>
                <w:color w:val="000000" w:themeColor="text1"/>
                <w:sz w:val="20"/>
                <w:szCs w:val="20"/>
                <w:shd w:val="clear" w:color="auto" w:fill="FFFFFF"/>
                <w:lang w:val="en-US"/>
              </w:rPr>
              <w:t xml:space="preserve"> (2)</w:t>
            </w:r>
            <w:r w:rsidR="00983344" w:rsidRPr="00983344">
              <w:rPr>
                <w:rStyle w:val="boldface"/>
                <w:rFonts w:eastAsia="Arial Unicode MS"/>
                <w:b/>
                <w:bCs/>
                <w:color w:val="000000" w:themeColor="text1"/>
                <w:sz w:val="20"/>
                <w:szCs w:val="20"/>
                <w:lang w:val="en-US"/>
              </w:rPr>
              <w:t xml:space="preserve"> </w:t>
            </w:r>
            <w:r w:rsidRPr="00983344">
              <w:rPr>
                <w:rStyle w:val="boldface"/>
                <w:rFonts w:eastAsia="Arial Unicode MS"/>
                <w:b/>
                <w:bCs/>
                <w:color w:val="000000" w:themeColor="text1"/>
                <w:sz w:val="20"/>
                <w:szCs w:val="20"/>
                <w:lang w:val="en-US"/>
              </w:rPr>
              <w:t>◄</w:t>
            </w:r>
            <w:r w:rsidR="00983344" w:rsidRPr="00983344">
              <w:rPr>
                <w:rStyle w:val="apple-converted-space"/>
                <w:rFonts w:eastAsia="Arial Unicode MS"/>
                <w:b/>
                <w:bCs/>
                <w:color w:val="000000" w:themeColor="text1"/>
                <w:sz w:val="20"/>
                <w:szCs w:val="20"/>
                <w:lang w:val="en-US"/>
              </w:rPr>
              <w:t xml:space="preserve"> </w:t>
            </w:r>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Comisia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poate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elabora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orientări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privind</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administrarea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operatorilor</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temeiul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prezentei</w:t>
            </w:r>
            <w:proofErr w:type="spellEnd"/>
            <w:r w:rsidRPr="00983344">
              <w:rPr>
                <w:rFonts w:eastAsia="Arial Unicode MS"/>
                <w:color w:val="000000" w:themeColor="text1"/>
                <w:sz w:val="20"/>
                <w:szCs w:val="20"/>
                <w:shd w:val="clear" w:color="auto" w:fill="FFFFFF"/>
                <w:lang w:val="en-US"/>
              </w:rPr>
              <w:t xml:space="preserve"> directive, de </w:t>
            </w:r>
            <w:proofErr w:type="spellStart"/>
            <w:r w:rsidRPr="00983344">
              <w:rPr>
                <w:rFonts w:eastAsia="Arial Unicode MS"/>
                <w:color w:val="000000" w:themeColor="text1"/>
                <w:sz w:val="20"/>
                <w:szCs w:val="20"/>
                <w:shd w:val="clear" w:color="auto" w:fill="FFFFFF"/>
                <w:lang w:val="en-US"/>
              </w:rPr>
              <w:t>către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statele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w:t>
            </w:r>
          </w:p>
          <w:p w14:paraId="73735F6C" w14:textId="69994C89" w:rsidR="00124364" w:rsidRPr="00983344" w:rsidRDefault="00000000" w:rsidP="00983344">
            <w:pPr>
              <w:pStyle w:val="ti-art"/>
              <w:numPr>
                <w:ilvl w:val="0"/>
                <w:numId w:val="8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83344">
              <w:rPr>
                <w:rFonts w:eastAsia="Arial Unicode MS"/>
                <w:color w:val="000000" w:themeColor="text1"/>
                <w:sz w:val="20"/>
                <w:szCs w:val="20"/>
                <w:shd w:val="clear" w:color="auto" w:fill="FFFFFF"/>
                <w:lang w:val="en-US"/>
              </w:rPr>
              <w:t xml:space="preserve">În </w:t>
            </w:r>
            <w:proofErr w:type="spellStart"/>
            <w:r w:rsidRPr="00983344">
              <w:rPr>
                <w:rFonts w:eastAsia="Arial Unicode MS"/>
                <w:color w:val="000000" w:themeColor="text1"/>
                <w:sz w:val="20"/>
                <w:szCs w:val="20"/>
                <w:shd w:val="clear" w:color="auto" w:fill="FFFFFF"/>
                <w:lang w:val="en-US"/>
              </w:rPr>
              <w:t>sensul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alineatului</w:t>
            </w:r>
            <w:proofErr w:type="spellEnd"/>
            <w:r w:rsidRPr="00983344">
              <w:rPr>
                <w:rFonts w:eastAsia="Arial Unicode MS"/>
                <w:color w:val="000000" w:themeColor="text1"/>
                <w:sz w:val="20"/>
                <w:szCs w:val="20"/>
                <w:shd w:val="clear" w:color="auto" w:fill="FFFFFF"/>
                <w:lang w:val="en-US"/>
              </w:rPr>
              <w:t xml:space="preserve"> (1), „an de </w:t>
            </w:r>
            <w:proofErr w:type="spellStart"/>
            <w:r w:rsidRPr="00983344">
              <w:rPr>
                <w:rFonts w:eastAsia="Arial Unicode MS"/>
                <w:color w:val="000000" w:themeColor="text1"/>
                <w:sz w:val="20"/>
                <w:szCs w:val="20"/>
                <w:shd w:val="clear" w:color="auto" w:fill="FFFFFF"/>
                <w:lang w:val="en-US"/>
              </w:rPr>
              <w:t>referință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înseamnă</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ceea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privește</w:t>
            </w:r>
            <w:proofErr w:type="spellEnd"/>
            <w:r w:rsidRPr="00983344">
              <w:rPr>
                <w:rFonts w:eastAsia="Arial Unicode MS"/>
                <w:color w:val="000000" w:themeColor="text1"/>
                <w:sz w:val="20"/>
                <w:szCs w:val="20"/>
                <w:shd w:val="clear" w:color="auto" w:fill="FFFFFF"/>
                <w:lang w:val="en-US"/>
              </w:rPr>
              <w:t xml:space="preserve"> un operator de </w:t>
            </w:r>
            <w:proofErr w:type="spellStart"/>
            <w:r w:rsidRPr="00983344">
              <w:rPr>
                <w:rFonts w:eastAsia="Arial Unicode MS"/>
                <w:color w:val="000000" w:themeColor="text1"/>
                <w:sz w:val="20"/>
                <w:szCs w:val="20"/>
                <w:shd w:val="clear" w:color="auto" w:fill="FFFFFF"/>
                <w:lang w:val="en-US"/>
              </w:rPr>
              <w:t>aeronave</w:t>
            </w:r>
            <w:proofErr w:type="spellEnd"/>
            <w:r w:rsidRPr="00983344">
              <w:rPr>
                <w:rFonts w:eastAsia="Arial Unicode MS"/>
                <w:color w:val="000000" w:themeColor="text1"/>
                <w:sz w:val="20"/>
                <w:szCs w:val="20"/>
                <w:shd w:val="clear" w:color="auto" w:fill="FFFFFF"/>
                <w:lang w:val="en-US"/>
              </w:rPr>
              <w:t xml:space="preserve"> care a </w:t>
            </w:r>
            <w:proofErr w:type="spellStart"/>
            <w:r w:rsidRPr="00983344">
              <w:rPr>
                <w:rFonts w:eastAsia="Arial Unicode MS"/>
                <w:color w:val="000000" w:themeColor="text1"/>
                <w:sz w:val="20"/>
                <w:szCs w:val="20"/>
                <w:shd w:val="clear" w:color="auto" w:fill="FFFFFF"/>
                <w:lang w:val="en-US"/>
              </w:rPr>
              <w:t>început</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își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desfășoare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activitatea</w:t>
            </w:r>
            <w:proofErr w:type="spellEnd"/>
            <w:r w:rsidRPr="00983344">
              <w:rPr>
                <w:rFonts w:eastAsia="Arial Unicode MS"/>
                <w:color w:val="000000" w:themeColor="text1"/>
                <w:sz w:val="20"/>
                <w:szCs w:val="20"/>
                <w:shd w:val="clear" w:color="auto" w:fill="FFFFFF"/>
                <w:lang w:val="en-US"/>
              </w:rPr>
              <w:t xml:space="preserve"> în</w:t>
            </w:r>
            <w:r w:rsidR="00983344" w:rsidRPr="00983344">
              <w:rPr>
                <w:rStyle w:val="apple-converted-space"/>
                <w:rFonts w:eastAsia="Arial Unicode MS"/>
                <w:color w:val="000000" w:themeColor="text1"/>
                <w:sz w:val="20"/>
                <w:szCs w:val="20"/>
                <w:shd w:val="clear" w:color="auto" w:fill="FFFFFF"/>
                <w:lang w:val="en-US"/>
              </w:rPr>
              <w:t xml:space="preserve"> </w:t>
            </w:r>
            <w:hyperlink r:id="rId260" w:tooltip="32018L0410: REPLACED" w:history="1">
              <w:r w:rsidRPr="00983344">
                <w:rPr>
                  <w:rStyle w:val="boldface"/>
                  <w:rFonts w:eastAsia="Arial Unicode MS"/>
                  <w:b/>
                  <w:bCs/>
                  <w:color w:val="000000" w:themeColor="text1"/>
                  <w:sz w:val="20"/>
                  <w:szCs w:val="20"/>
                  <w:lang w:val="en-US"/>
                </w:rPr>
                <w:t>►M9</w:t>
              </w:r>
            </w:hyperlink>
            <w:r w:rsidR="00983344" w:rsidRPr="00983344">
              <w:rPr>
                <w:rStyle w:val="apple-converted-space"/>
                <w:rFonts w:eastAsia="Arial Unicode MS"/>
                <w:color w:val="000000" w:themeColor="text1"/>
                <w:sz w:val="20"/>
                <w:szCs w:val="20"/>
                <w:lang w:val="en-US"/>
              </w:rPr>
              <w:t xml:space="preserve"> </w:t>
            </w:r>
            <w:proofErr w:type="spellStart"/>
            <w:r w:rsidRPr="00983344">
              <w:rPr>
                <w:rFonts w:eastAsia="Arial Unicode MS"/>
                <w:color w:val="000000" w:themeColor="text1"/>
                <w:sz w:val="20"/>
                <w:szCs w:val="20"/>
                <w:shd w:val="clear" w:color="auto" w:fill="FFFFFF"/>
                <w:lang w:val="en-US"/>
              </w:rPr>
              <w:t>Uniune</w:t>
            </w:r>
            <w:proofErr w:type="spellEnd"/>
            <w:r w:rsidR="00983344" w:rsidRPr="00983344">
              <w:rPr>
                <w:rStyle w:val="boldface"/>
                <w:rFonts w:eastAsia="Arial Unicode MS"/>
                <w:b/>
                <w:bCs/>
                <w:color w:val="000000" w:themeColor="text1"/>
                <w:sz w:val="20"/>
                <w:szCs w:val="20"/>
                <w:lang w:val="en-US"/>
              </w:rPr>
              <w:t xml:space="preserve"> </w:t>
            </w:r>
            <w:r w:rsidRPr="00983344">
              <w:rPr>
                <w:rStyle w:val="boldface"/>
                <w:rFonts w:eastAsia="Arial Unicode MS"/>
                <w:b/>
                <w:bCs/>
                <w:color w:val="000000" w:themeColor="text1"/>
                <w:sz w:val="20"/>
                <w:szCs w:val="20"/>
                <w:lang w:val="en-US"/>
              </w:rPr>
              <w:t>◄</w:t>
            </w:r>
            <w:r w:rsidR="00983344" w:rsidRPr="00983344">
              <w:rPr>
                <w:rStyle w:val="apple-converted-space"/>
                <w:rFonts w:eastAsia="Arial Unicode MS"/>
                <w:b/>
                <w:bCs/>
                <w:color w:val="000000" w:themeColor="text1"/>
                <w:sz w:val="20"/>
                <w:szCs w:val="20"/>
                <w:lang w:val="en-US"/>
              </w:rPr>
              <w:t xml:space="preserve"> </w:t>
            </w:r>
            <w:proofErr w:type="spellStart"/>
            <w:r w:rsidRPr="00983344">
              <w:rPr>
                <w:rFonts w:eastAsia="Arial Unicode MS"/>
                <w:color w:val="000000" w:themeColor="text1"/>
                <w:sz w:val="20"/>
                <w:szCs w:val="20"/>
                <w:shd w:val="clear" w:color="auto" w:fill="FFFFFF"/>
                <w:lang w:val="en-US"/>
              </w:rPr>
              <w:t>după</w:t>
            </w:r>
            <w:proofErr w:type="spellEnd"/>
            <w:r w:rsidRPr="00983344">
              <w:rPr>
                <w:rFonts w:eastAsia="Arial Unicode MS"/>
                <w:color w:val="000000" w:themeColor="text1"/>
                <w:sz w:val="20"/>
                <w:szCs w:val="20"/>
                <w:shd w:val="clear" w:color="auto" w:fill="FFFFFF"/>
                <w:lang w:val="en-US"/>
              </w:rPr>
              <w:t xml:space="preserve"> 1 </w:t>
            </w:r>
            <w:proofErr w:type="spellStart"/>
            <w:r w:rsidRPr="00983344">
              <w:rPr>
                <w:rFonts w:eastAsia="Arial Unicode MS"/>
                <w:color w:val="000000" w:themeColor="text1"/>
                <w:sz w:val="20"/>
                <w:szCs w:val="20"/>
                <w:shd w:val="clear" w:color="auto" w:fill="FFFFFF"/>
                <w:lang w:val="en-US"/>
              </w:rPr>
              <w:t>ianuarie</w:t>
            </w:r>
            <w:proofErr w:type="spellEnd"/>
            <w:r w:rsidRPr="00983344">
              <w:rPr>
                <w:rFonts w:eastAsia="Arial Unicode MS"/>
                <w:color w:val="000000" w:themeColor="text1"/>
                <w:sz w:val="20"/>
                <w:szCs w:val="20"/>
                <w:shd w:val="clear" w:color="auto" w:fill="FFFFFF"/>
                <w:lang w:val="en-US"/>
              </w:rPr>
              <w:t xml:space="preserve"> 2006, </w:t>
            </w:r>
            <w:proofErr w:type="spellStart"/>
            <w:r w:rsidRPr="00983344">
              <w:rPr>
                <w:rFonts w:eastAsia="Arial Unicode MS"/>
                <w:color w:val="000000" w:themeColor="text1"/>
                <w:sz w:val="20"/>
                <w:szCs w:val="20"/>
                <w:shd w:val="clear" w:color="auto" w:fill="FFFFFF"/>
                <w:lang w:val="en-US"/>
              </w:rPr>
              <w:t>primul</w:t>
            </w:r>
            <w:proofErr w:type="spellEnd"/>
            <w:r w:rsidRPr="00983344">
              <w:rPr>
                <w:rFonts w:eastAsia="Arial Unicode MS"/>
                <w:color w:val="000000" w:themeColor="text1"/>
                <w:sz w:val="20"/>
                <w:szCs w:val="20"/>
                <w:shd w:val="clear" w:color="auto" w:fill="FFFFFF"/>
                <w:lang w:val="en-US"/>
              </w:rPr>
              <w:t xml:space="preserve"> an </w:t>
            </w:r>
            <w:proofErr w:type="spellStart"/>
            <w:r w:rsidRPr="00983344">
              <w:rPr>
                <w:rFonts w:eastAsia="Arial Unicode MS"/>
                <w:color w:val="000000" w:themeColor="text1"/>
                <w:sz w:val="20"/>
                <w:szCs w:val="20"/>
                <w:shd w:val="clear" w:color="auto" w:fill="FFFFFF"/>
                <w:lang w:val="en-US"/>
              </w:rPr>
              <w:t>calendaristic</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funcționare</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toate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celelalte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cazuri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înseamnă</w:t>
            </w:r>
            <w:proofErr w:type="spellEnd"/>
            <w:r w:rsidRPr="00983344">
              <w:rPr>
                <w:rFonts w:eastAsia="Arial Unicode MS"/>
                <w:color w:val="000000" w:themeColor="text1"/>
                <w:sz w:val="20"/>
                <w:szCs w:val="20"/>
                <w:shd w:val="clear" w:color="auto" w:fill="FFFFFF"/>
                <w:lang w:val="en-US"/>
              </w:rPr>
              <w:t xml:space="preserve"> anul </w:t>
            </w:r>
            <w:proofErr w:type="spellStart"/>
            <w:r w:rsidRPr="00983344">
              <w:rPr>
                <w:rFonts w:eastAsia="Arial Unicode MS"/>
                <w:color w:val="000000" w:themeColor="text1"/>
                <w:sz w:val="20"/>
                <w:szCs w:val="20"/>
                <w:shd w:val="clear" w:color="auto" w:fill="FFFFFF"/>
                <w:lang w:val="en-US"/>
              </w:rPr>
              <w:t>calendaristic</w:t>
            </w:r>
            <w:proofErr w:type="spellEnd"/>
            <w:r w:rsidRPr="00983344">
              <w:rPr>
                <w:rFonts w:eastAsia="Arial Unicode MS"/>
                <w:color w:val="000000" w:themeColor="text1"/>
                <w:sz w:val="20"/>
                <w:szCs w:val="20"/>
                <w:shd w:val="clear" w:color="auto" w:fill="FFFFFF"/>
                <w:lang w:val="en-US"/>
              </w:rPr>
              <w:t xml:space="preserve"> care a </w:t>
            </w:r>
            <w:proofErr w:type="spellStart"/>
            <w:r w:rsidRPr="00983344">
              <w:rPr>
                <w:rFonts w:eastAsia="Arial Unicode MS"/>
                <w:color w:val="000000" w:themeColor="text1"/>
                <w:sz w:val="20"/>
                <w:szCs w:val="20"/>
                <w:shd w:val="clear" w:color="auto" w:fill="FFFFFF"/>
                <w:lang w:val="en-US"/>
              </w:rPr>
              <w:t>început</w:t>
            </w:r>
            <w:proofErr w:type="spellEnd"/>
            <w:r w:rsidRPr="00983344">
              <w:rPr>
                <w:rFonts w:eastAsia="Arial Unicode MS"/>
                <w:color w:val="000000" w:themeColor="text1"/>
                <w:sz w:val="20"/>
                <w:szCs w:val="20"/>
                <w:shd w:val="clear" w:color="auto" w:fill="FFFFFF"/>
                <w:lang w:val="en-US"/>
              </w:rPr>
              <w:t xml:space="preserve"> la 1 </w:t>
            </w:r>
            <w:proofErr w:type="spellStart"/>
            <w:r w:rsidRPr="00983344">
              <w:rPr>
                <w:rFonts w:eastAsia="Arial Unicode MS"/>
                <w:color w:val="000000" w:themeColor="text1"/>
                <w:sz w:val="20"/>
                <w:szCs w:val="20"/>
                <w:shd w:val="clear" w:color="auto" w:fill="FFFFFF"/>
                <w:lang w:val="en-US"/>
              </w:rPr>
              <w:t>ianuarie</w:t>
            </w:r>
            <w:proofErr w:type="spellEnd"/>
            <w:r w:rsidRPr="00983344">
              <w:rPr>
                <w:rFonts w:eastAsia="Arial Unicode MS"/>
                <w:color w:val="000000" w:themeColor="text1"/>
                <w:sz w:val="20"/>
                <w:szCs w:val="20"/>
                <w:shd w:val="clear" w:color="auto" w:fill="FFFFFF"/>
                <w:lang w:val="en-US"/>
              </w:rPr>
              <w:t xml:space="preserve"> 2006.</w:t>
            </w:r>
          </w:p>
          <w:p w14:paraId="2C209CA2"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61" w:tooltip="32023L0959: REPLACED" w:history="1">
              <w:r>
                <w:rPr>
                  <w:rStyle w:val="af3"/>
                  <w:rFonts w:eastAsia="Arial Unicode MS"/>
                  <w:b/>
                  <w:bCs/>
                  <w:color w:val="4472C4" w:themeColor="accent1"/>
                  <w:sz w:val="20"/>
                  <w:szCs w:val="20"/>
                </w:rPr>
                <w:t>▼M15</w:t>
              </w:r>
            </w:hyperlink>
          </w:p>
        </w:tc>
        <w:tc>
          <w:tcPr>
            <w:tcW w:w="4394" w:type="dxa"/>
            <w:shd w:val="clear" w:color="auto" w:fill="auto"/>
          </w:tcPr>
          <w:p w14:paraId="6AB78658" w14:textId="49FD2918" w:rsidR="009B5D3D" w:rsidRPr="003D7184" w:rsidRDefault="009B5D3D" w:rsidP="009B5D3D">
            <w:pPr>
              <w:pStyle w:val="af8"/>
              <w:tabs>
                <w:tab w:val="left" w:pos="993"/>
              </w:tabs>
              <w:ind w:left="0"/>
              <w:rPr>
                <w:sz w:val="28"/>
                <w:szCs w:val="28"/>
                <w:lang w:val="ro-MD"/>
              </w:rPr>
            </w:pPr>
            <w:r w:rsidRPr="0066519A">
              <w:rPr>
                <w:rFonts w:ascii="Times New Roman" w:hAnsi="Times New Roman"/>
                <w:b/>
                <w:sz w:val="20"/>
                <w:szCs w:val="20"/>
                <w:lang w:val="ro-MD"/>
              </w:rPr>
              <w:lastRenderedPageBreak/>
              <w:t>Articolul 5</w:t>
            </w:r>
            <w:r>
              <w:rPr>
                <w:rFonts w:ascii="Times New Roman" w:hAnsi="Times New Roman"/>
                <w:b/>
                <w:sz w:val="20"/>
                <w:szCs w:val="20"/>
                <w:lang w:val="ro-MD"/>
              </w:rPr>
              <w:t>5</w:t>
            </w:r>
            <w:r w:rsidRPr="0066519A">
              <w:rPr>
                <w:rFonts w:ascii="Times New Roman" w:hAnsi="Times New Roman"/>
                <w:b/>
                <w:sz w:val="20"/>
                <w:szCs w:val="20"/>
                <w:lang w:val="ro-MD"/>
              </w:rPr>
              <w:t>.</w:t>
            </w:r>
            <w:r>
              <w:rPr>
                <w:rFonts w:ascii="Times New Roman" w:hAnsi="Times New Roman"/>
                <w:b/>
                <w:sz w:val="20"/>
                <w:szCs w:val="20"/>
                <w:lang w:val="ro-MD"/>
              </w:rPr>
              <w:t xml:space="preserve"> </w:t>
            </w:r>
            <w:r>
              <w:rPr>
                <w:rFonts w:ascii="Times New Roman" w:hAnsi="Times New Roman"/>
                <w:bCs/>
                <w:sz w:val="20"/>
                <w:szCs w:val="20"/>
                <w:lang w:val="ro-MD"/>
              </w:rPr>
              <w:t xml:space="preserve">Atribuțiile </w:t>
            </w:r>
            <w:r w:rsidRPr="009B5D3D">
              <w:rPr>
                <w:rFonts w:ascii="Times New Roman" w:hAnsi="Times New Roman"/>
                <w:color w:val="000000" w:themeColor="text1"/>
                <w:sz w:val="20"/>
                <w:szCs w:val="20"/>
                <w:shd w:val="clear" w:color="auto" w:fill="FFFFFF"/>
                <w:lang w:val="ro-MD"/>
              </w:rPr>
              <w:t>Ministerul</w:t>
            </w:r>
            <w:r>
              <w:rPr>
                <w:rFonts w:ascii="Times New Roman" w:hAnsi="Times New Roman"/>
                <w:color w:val="000000" w:themeColor="text1"/>
                <w:sz w:val="20"/>
                <w:szCs w:val="20"/>
                <w:shd w:val="clear" w:color="auto" w:fill="FFFFFF"/>
                <w:lang w:val="ro-MD"/>
              </w:rPr>
              <w:t>ui</w:t>
            </w:r>
            <w:r w:rsidRPr="009B5D3D">
              <w:rPr>
                <w:rFonts w:ascii="Times New Roman" w:hAnsi="Times New Roman"/>
                <w:color w:val="000000" w:themeColor="text1"/>
                <w:sz w:val="20"/>
                <w:szCs w:val="20"/>
                <w:shd w:val="clear" w:color="auto" w:fill="FFFFFF"/>
                <w:lang w:val="ro-MD"/>
              </w:rPr>
              <w:t xml:space="preserve"> Infrastructurii și Dezvoltării Regionale </w:t>
            </w:r>
          </w:p>
          <w:p w14:paraId="10CD35C6" w14:textId="316888A1" w:rsidR="009B5D3D" w:rsidRPr="009B5D3D" w:rsidRDefault="009B5D3D" w:rsidP="009B5D3D">
            <w:pPr>
              <w:pStyle w:val="af8"/>
              <w:tabs>
                <w:tab w:val="left" w:pos="993"/>
              </w:tabs>
              <w:ind w:left="0"/>
              <w:rPr>
                <w:rFonts w:ascii="Times New Roman" w:hAnsi="Times New Roman"/>
                <w:color w:val="000000" w:themeColor="text1"/>
                <w:sz w:val="20"/>
                <w:szCs w:val="20"/>
                <w:lang w:val="ro-MD"/>
              </w:rPr>
            </w:pPr>
            <w:r w:rsidRPr="009B5D3D">
              <w:rPr>
                <w:rFonts w:ascii="Times New Roman" w:hAnsi="Times New Roman"/>
                <w:color w:val="000000" w:themeColor="text1"/>
                <w:sz w:val="20"/>
                <w:szCs w:val="20"/>
                <w:shd w:val="clear" w:color="auto" w:fill="FFFFFF"/>
                <w:lang w:val="ro-MD"/>
              </w:rPr>
              <w:t xml:space="preserve">Ministerul Infrastructurii și Dezvoltării Regionale are </w:t>
            </w:r>
            <w:r w:rsidRPr="009B5D3D">
              <w:rPr>
                <w:rFonts w:ascii="Times New Roman" w:hAnsi="Times New Roman"/>
                <w:color w:val="000000" w:themeColor="text1"/>
                <w:sz w:val="20"/>
                <w:szCs w:val="20"/>
                <w:lang w:val="ro-MD"/>
              </w:rPr>
              <w:t>următoarele atribuţii :</w:t>
            </w:r>
          </w:p>
          <w:p w14:paraId="2F076868" w14:textId="7B6C9CED" w:rsidR="009B5D3D" w:rsidRPr="009B5D3D" w:rsidRDefault="009B5D3D" w:rsidP="009B5D3D">
            <w:pPr>
              <w:tabs>
                <w:tab w:val="left" w:pos="851"/>
              </w:tabs>
              <w:suppressAutoHyphens w:val="0"/>
              <w:autoSpaceDN/>
              <w:spacing w:after="0" w:line="240" w:lineRule="auto"/>
              <w:jc w:val="both"/>
              <w:textAlignment w:val="auto"/>
              <w:rPr>
                <w:rFonts w:ascii="Times New Roman" w:hAnsi="Times New Roman"/>
                <w:bCs/>
                <w:sz w:val="20"/>
                <w:szCs w:val="20"/>
                <w:lang w:val="ro-MD"/>
              </w:rPr>
            </w:pPr>
            <w:r w:rsidRPr="009B5D3D">
              <w:rPr>
                <w:rFonts w:ascii="Times New Roman" w:hAnsi="Times New Roman"/>
                <w:bCs/>
                <w:sz w:val="20"/>
                <w:szCs w:val="20"/>
                <w:lang w:val="ro-MD"/>
              </w:rPr>
              <w:t>(g)</w:t>
            </w:r>
            <w:r w:rsidRPr="009B5D3D">
              <w:rPr>
                <w:rFonts w:ascii="Times New Roman" w:hAnsi="Times New Roman"/>
                <w:bCs/>
                <w:sz w:val="20"/>
                <w:szCs w:val="20"/>
                <w:lang w:val="ro-MD"/>
              </w:rPr>
              <w:t xml:space="preserve">aprobă anual lista operatorilor care efectuează </w:t>
            </w:r>
            <w:r w:rsidRPr="009B5D3D">
              <w:rPr>
                <w:rFonts w:ascii="Times New Roman" w:hAnsi="Times New Roman"/>
                <w:color w:val="000000"/>
                <w:sz w:val="20"/>
                <w:szCs w:val="20"/>
                <w:lang w:val="ro-MD"/>
              </w:rPr>
              <w:t xml:space="preserve">monitorizarea, raportarea și verificarea emisiilor de GES de la activitățile din domeniul aviației civile și transportului maritim specificate la </w:t>
            </w:r>
            <w:r w:rsidRPr="009B5D3D">
              <w:rPr>
                <w:rFonts w:ascii="Times New Roman" w:hAnsi="Times New Roman"/>
                <w:sz w:val="20"/>
                <w:szCs w:val="20"/>
                <w:lang w:val="ro-MD" w:eastAsia="ro-RO" w:bidi="or-IN"/>
              </w:rPr>
              <w:t>Anexa nr. 1 în baza datelor raportate de către acestea pe ultimul an, precum și formatul Planului de Monitorizare;</w:t>
            </w:r>
            <w:r w:rsidRPr="009B5D3D">
              <w:rPr>
                <w:rFonts w:ascii="Times New Roman" w:hAnsi="Times New Roman"/>
                <w:color w:val="000000"/>
                <w:sz w:val="20"/>
                <w:szCs w:val="20"/>
                <w:shd w:val="clear" w:color="auto" w:fill="FFFFFF"/>
                <w:lang w:val="ro-MD"/>
              </w:rPr>
              <w:t xml:space="preserve"> </w:t>
            </w:r>
          </w:p>
          <w:p w14:paraId="7A25C9F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0C90CC8" w14:textId="475F432E" w:rsidR="00124364" w:rsidRDefault="009B5D3D" w:rsidP="009B5D3D">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Parțial compatibil</w:t>
            </w:r>
          </w:p>
        </w:tc>
        <w:tc>
          <w:tcPr>
            <w:tcW w:w="1275" w:type="dxa"/>
            <w:shd w:val="clear" w:color="auto" w:fill="auto"/>
          </w:tcPr>
          <w:p w14:paraId="4BFC3BC2"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68D58EB" w14:textId="72DFF639" w:rsidR="00124364" w:rsidRDefault="009B5D3D">
            <w:pPr>
              <w:autoSpaceDE w:val="0"/>
              <w:spacing w:after="0" w:line="240" w:lineRule="auto"/>
              <w:rPr>
                <w:rFonts w:ascii="Times New Roman" w:eastAsia="Times New Roman" w:hAnsi="Times New Roman"/>
                <w:sz w:val="20"/>
                <w:szCs w:val="20"/>
                <w:lang w:val="ro-RO"/>
              </w:rPr>
            </w:pPr>
            <w:proofErr w:type="spellStart"/>
            <w:r>
              <w:rPr>
                <w:rFonts w:ascii="Times New Roman" w:hAnsi="Times New Roman"/>
                <w:color w:val="000000" w:themeColor="text1"/>
                <w:sz w:val="20"/>
                <w:szCs w:val="20"/>
              </w:rPr>
              <w:t>Prevederile</w:t>
            </w:r>
            <w:proofErr w:type="spellEnd"/>
            <w:r>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vor</w:t>
            </w:r>
            <w:proofErr w:type="spellEnd"/>
            <w:r w:rsidRPr="00B30DEA">
              <w:rPr>
                <w:rFonts w:ascii="Times New Roman" w:hAnsi="Times New Roman"/>
                <w:color w:val="000000" w:themeColor="text1"/>
                <w:sz w:val="20"/>
                <w:szCs w:val="20"/>
              </w:rPr>
              <w:t xml:space="preserve"> fi </w:t>
            </w:r>
            <w:proofErr w:type="spellStart"/>
            <w:r w:rsidRPr="00B30DEA">
              <w:rPr>
                <w:rFonts w:ascii="Times New Roman" w:hAnsi="Times New Roman"/>
                <w:color w:val="000000" w:themeColor="text1"/>
                <w:sz w:val="20"/>
                <w:szCs w:val="20"/>
              </w:rPr>
              <w:t>reglementate</w:t>
            </w:r>
            <w:proofErr w:type="spellEnd"/>
            <w:r w:rsidRPr="00B30DEA">
              <w:rPr>
                <w:rFonts w:ascii="Times New Roman" w:hAnsi="Times New Roman"/>
                <w:color w:val="000000" w:themeColor="text1"/>
                <w:sz w:val="20"/>
                <w:szCs w:val="20"/>
              </w:rPr>
              <w:t xml:space="preserve"> în </w:t>
            </w:r>
            <w:proofErr w:type="spellStart"/>
            <w:r w:rsidRPr="00B30DEA">
              <w:rPr>
                <w:rFonts w:ascii="Times New Roman" w:hAnsi="Times New Roman"/>
                <w:color w:val="000000" w:themeColor="text1"/>
                <w:sz w:val="20"/>
                <w:szCs w:val="20"/>
              </w:rPr>
              <w:t>Regulamentul</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privind</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monitorizare</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raportare</w:t>
            </w:r>
            <w:proofErr w:type="spellEnd"/>
            <w:r w:rsidRPr="00B30DEA">
              <w:rPr>
                <w:rFonts w:ascii="Times New Roman" w:hAnsi="Times New Roman"/>
                <w:color w:val="000000" w:themeColor="text1"/>
                <w:sz w:val="20"/>
                <w:szCs w:val="20"/>
              </w:rPr>
              <w:t xml:space="preserve"> și </w:t>
            </w:r>
            <w:proofErr w:type="spellStart"/>
            <w:r w:rsidRPr="00B30DEA">
              <w:rPr>
                <w:rFonts w:ascii="Times New Roman" w:hAnsi="Times New Roman"/>
                <w:color w:val="000000" w:themeColor="text1"/>
                <w:sz w:val="20"/>
                <w:szCs w:val="20"/>
              </w:rPr>
              <w:t>verificare</w:t>
            </w:r>
            <w:proofErr w:type="spellEnd"/>
            <w:r w:rsidRPr="00B30DEA">
              <w:rPr>
                <w:rFonts w:ascii="Times New Roman" w:hAnsi="Times New Roman"/>
                <w:color w:val="000000" w:themeColor="text1"/>
                <w:sz w:val="20"/>
                <w:szCs w:val="20"/>
              </w:rPr>
              <w:t xml:space="preserve"> </w:t>
            </w:r>
            <w:proofErr w:type="gramStart"/>
            <w:r w:rsidRPr="00B30DEA">
              <w:rPr>
                <w:rFonts w:ascii="Times New Roman" w:hAnsi="Times New Roman"/>
                <w:color w:val="000000" w:themeColor="text1"/>
                <w:sz w:val="20"/>
                <w:szCs w:val="20"/>
              </w:rPr>
              <w:t>a</w:t>
            </w:r>
            <w:proofErr w:type="gram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emisiilor</w:t>
            </w:r>
            <w:proofErr w:type="spellEnd"/>
            <w:r w:rsidRPr="00B30DEA">
              <w:rPr>
                <w:rFonts w:ascii="Times New Roman" w:hAnsi="Times New Roman"/>
                <w:color w:val="000000" w:themeColor="text1"/>
                <w:sz w:val="20"/>
                <w:szCs w:val="20"/>
              </w:rPr>
              <w:t xml:space="preserve"> de gaze cu </w:t>
            </w:r>
            <w:proofErr w:type="spellStart"/>
            <w:r w:rsidRPr="00B30DEA">
              <w:rPr>
                <w:rFonts w:ascii="Times New Roman" w:hAnsi="Times New Roman"/>
                <w:color w:val="000000" w:themeColor="text1"/>
                <w:sz w:val="20"/>
                <w:szCs w:val="20"/>
              </w:rPr>
              <w:t>efect</w:t>
            </w:r>
            <w:proofErr w:type="spellEnd"/>
            <w:r w:rsidRPr="00B30DEA">
              <w:rPr>
                <w:rFonts w:ascii="Times New Roman" w:hAnsi="Times New Roman"/>
                <w:color w:val="000000" w:themeColor="text1"/>
                <w:sz w:val="20"/>
                <w:szCs w:val="20"/>
              </w:rPr>
              <w:t xml:space="preserve"> de sera de la </w:t>
            </w:r>
            <w:proofErr w:type="spellStart"/>
            <w:r w:rsidRPr="00B30DEA">
              <w:rPr>
                <w:rFonts w:ascii="Times New Roman" w:hAnsi="Times New Roman"/>
                <w:color w:val="000000" w:themeColor="text1"/>
                <w:sz w:val="20"/>
                <w:szCs w:val="20"/>
              </w:rPr>
              <w:t>instalațiile</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staționare</w:t>
            </w:r>
            <w:proofErr w:type="spellEnd"/>
            <w:r w:rsidRPr="00B30DEA">
              <w:rPr>
                <w:rFonts w:ascii="Times New Roman" w:hAnsi="Times New Roman"/>
                <w:color w:val="000000" w:themeColor="text1"/>
                <w:sz w:val="20"/>
                <w:szCs w:val="20"/>
              </w:rPr>
              <w:t xml:space="preserve"> și </w:t>
            </w:r>
            <w:proofErr w:type="spellStart"/>
            <w:r w:rsidRPr="00B30DEA">
              <w:rPr>
                <w:rFonts w:ascii="Times New Roman" w:hAnsi="Times New Roman"/>
                <w:color w:val="000000" w:themeColor="text1"/>
                <w:sz w:val="20"/>
                <w:szCs w:val="20"/>
              </w:rPr>
              <w:t>activitățile</w:t>
            </w:r>
            <w:proofErr w:type="spellEnd"/>
            <w:r w:rsidRPr="00B30DEA">
              <w:rPr>
                <w:rFonts w:ascii="Times New Roman" w:hAnsi="Times New Roman"/>
                <w:color w:val="000000" w:themeColor="text1"/>
                <w:sz w:val="20"/>
                <w:szCs w:val="20"/>
              </w:rPr>
              <w:t xml:space="preserve"> din </w:t>
            </w:r>
            <w:proofErr w:type="spellStart"/>
            <w:r w:rsidRPr="00B30DEA">
              <w:rPr>
                <w:rFonts w:ascii="Times New Roman" w:hAnsi="Times New Roman"/>
                <w:color w:val="000000" w:themeColor="text1"/>
                <w:sz w:val="20"/>
                <w:szCs w:val="20"/>
              </w:rPr>
              <w:t>domeniul</w:t>
            </w:r>
            <w:proofErr w:type="spellEnd"/>
            <w:r w:rsidRPr="00B30DEA">
              <w:rPr>
                <w:rFonts w:ascii="Times New Roman" w:hAnsi="Times New Roman"/>
                <w:color w:val="000000" w:themeColor="text1"/>
                <w:sz w:val="20"/>
                <w:szCs w:val="20"/>
              </w:rPr>
              <w:t xml:space="preserve"> </w:t>
            </w:r>
            <w:proofErr w:type="spellStart"/>
            <w:r w:rsidRPr="00B30DEA">
              <w:rPr>
                <w:rFonts w:ascii="Times New Roman" w:hAnsi="Times New Roman"/>
                <w:color w:val="000000" w:themeColor="text1"/>
                <w:sz w:val="20"/>
                <w:szCs w:val="20"/>
              </w:rPr>
              <w:t>aviației</w:t>
            </w:r>
            <w:proofErr w:type="spellEnd"/>
          </w:p>
        </w:tc>
        <w:tc>
          <w:tcPr>
            <w:tcW w:w="1464" w:type="dxa"/>
            <w:shd w:val="clear" w:color="auto" w:fill="auto"/>
          </w:tcPr>
          <w:p w14:paraId="02D6FB79" w14:textId="0C79F766" w:rsidR="009B5D3D" w:rsidRDefault="009B5D3D" w:rsidP="009B5D3D">
            <w:pPr>
              <w:autoSpaceDE w:val="0"/>
              <w:spacing w:after="0" w:line="240" w:lineRule="auto"/>
              <w:rPr>
                <w:rFonts w:ascii="Times New Roman" w:hAnsi="Times New Roman"/>
                <w:color w:val="000000" w:themeColor="text1"/>
                <w:sz w:val="20"/>
                <w:szCs w:val="20"/>
                <w:shd w:val="clear" w:color="auto" w:fill="FFFFFF"/>
                <w:lang w:val="ro-MD"/>
              </w:rPr>
            </w:pPr>
            <w:r w:rsidRPr="009B5D3D">
              <w:rPr>
                <w:rFonts w:ascii="Times New Roman" w:hAnsi="Times New Roman"/>
                <w:color w:val="000000" w:themeColor="text1"/>
                <w:sz w:val="20"/>
                <w:szCs w:val="20"/>
                <w:shd w:val="clear" w:color="auto" w:fill="FFFFFF"/>
                <w:lang w:val="ro-MD"/>
              </w:rPr>
              <w:t>Ministerul Infrastructurii și Dezvoltării Regionale</w:t>
            </w:r>
          </w:p>
          <w:p w14:paraId="0916A2C7" w14:textId="77777777" w:rsidR="009B5D3D" w:rsidRDefault="009B5D3D" w:rsidP="009B5D3D">
            <w:pPr>
              <w:autoSpaceDE w:val="0"/>
              <w:spacing w:after="0" w:line="240" w:lineRule="auto"/>
              <w:rPr>
                <w:rFonts w:ascii="Times New Roman" w:hAnsi="Times New Roman"/>
                <w:sz w:val="20"/>
                <w:szCs w:val="20"/>
                <w:lang w:val="fr-FR"/>
              </w:rPr>
            </w:pPr>
          </w:p>
          <w:p w14:paraId="0050EF2A" w14:textId="2754FF68" w:rsidR="009B5D3D" w:rsidRDefault="009B5D3D" w:rsidP="009B5D3D">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BF3C5D2" w14:textId="77777777" w:rsidR="009B5D3D" w:rsidRDefault="009B5D3D" w:rsidP="009B5D3D">
            <w:pPr>
              <w:autoSpaceDE w:val="0"/>
              <w:spacing w:after="0" w:line="240" w:lineRule="auto"/>
              <w:rPr>
                <w:rFonts w:ascii="Times New Roman" w:hAnsi="Times New Roman"/>
                <w:sz w:val="20"/>
                <w:szCs w:val="20"/>
                <w:lang w:val="fr-FR"/>
              </w:rPr>
            </w:pPr>
          </w:p>
          <w:p w14:paraId="64DDCFF8" w14:textId="77777777" w:rsidR="00124364" w:rsidRDefault="00124364" w:rsidP="009B5D3D">
            <w:pPr>
              <w:autoSpaceDE w:val="0"/>
              <w:spacing w:after="0" w:line="240" w:lineRule="auto"/>
              <w:rPr>
                <w:rFonts w:ascii="Times New Roman" w:hAnsi="Times New Roman"/>
                <w:sz w:val="20"/>
                <w:szCs w:val="20"/>
                <w:lang w:val="fr-FR"/>
              </w:rPr>
            </w:pPr>
          </w:p>
        </w:tc>
      </w:tr>
      <w:tr w:rsidR="00124364" w14:paraId="7CC27EE4" w14:textId="77777777">
        <w:trPr>
          <w:trHeight w:val="558"/>
        </w:trPr>
        <w:tc>
          <w:tcPr>
            <w:tcW w:w="4957" w:type="dxa"/>
            <w:shd w:val="clear" w:color="auto" w:fill="auto"/>
          </w:tcPr>
          <w:p w14:paraId="4FFE8705" w14:textId="323953E4"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00983344">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18b</w:t>
            </w:r>
          </w:p>
          <w:p w14:paraId="728E9DFC" w14:textId="77777777" w:rsidR="00124364" w:rsidRPr="00983344" w:rsidRDefault="00000000" w:rsidP="00983344">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Pr>
                <w:rFonts w:eastAsia="Arial Unicode MS"/>
                <w:b/>
                <w:bCs/>
                <w:color w:val="333333"/>
                <w:sz w:val="20"/>
                <w:szCs w:val="20"/>
                <w:shd w:val="clear" w:color="auto" w:fill="FFFFFF"/>
                <w:lang w:val="en-US"/>
              </w:rPr>
              <w:t>Asistență</w:t>
            </w:r>
            <w:proofErr w:type="spellEnd"/>
            <w:r>
              <w:rPr>
                <w:rFonts w:eastAsia="Arial Unicode MS"/>
                <w:b/>
                <w:bCs/>
                <w:color w:val="333333"/>
                <w:sz w:val="20"/>
                <w:szCs w:val="20"/>
                <w:shd w:val="clear" w:color="auto" w:fill="FFFFFF"/>
                <w:lang w:val="en-US"/>
              </w:rPr>
              <w:t xml:space="preserve"> din </w:t>
            </w:r>
            <w:proofErr w:type="spellStart"/>
            <w:r w:rsidRPr="00983344">
              <w:rPr>
                <w:rFonts w:eastAsia="Arial Unicode MS"/>
                <w:b/>
                <w:bCs/>
                <w:color w:val="000000" w:themeColor="text1"/>
                <w:sz w:val="20"/>
                <w:szCs w:val="20"/>
                <w:shd w:val="clear" w:color="auto" w:fill="FFFFFF"/>
                <w:lang w:val="en-US"/>
              </w:rPr>
              <w:t>partea</w:t>
            </w:r>
            <w:proofErr w:type="spellEnd"/>
            <w:r w:rsidRPr="00983344">
              <w:rPr>
                <w:rFonts w:eastAsia="Arial Unicode MS"/>
                <w:b/>
                <w:bCs/>
                <w:color w:val="000000" w:themeColor="text1"/>
                <w:sz w:val="20"/>
                <w:szCs w:val="20"/>
                <w:shd w:val="clear" w:color="auto" w:fill="FFFFFF"/>
                <w:lang w:val="en-US"/>
              </w:rPr>
              <w:t xml:space="preserve"> </w:t>
            </w:r>
            <w:proofErr w:type="spellStart"/>
            <w:r w:rsidRPr="00983344">
              <w:rPr>
                <w:rFonts w:eastAsia="Arial Unicode MS"/>
                <w:b/>
                <w:bCs/>
                <w:color w:val="000000" w:themeColor="text1"/>
                <w:sz w:val="20"/>
                <w:szCs w:val="20"/>
                <w:shd w:val="clear" w:color="auto" w:fill="FFFFFF"/>
                <w:lang w:val="en-US"/>
              </w:rPr>
              <w:t>Comisiei</w:t>
            </w:r>
            <w:proofErr w:type="spellEnd"/>
            <w:r w:rsidRPr="00983344">
              <w:rPr>
                <w:rFonts w:eastAsia="Arial Unicode MS"/>
                <w:b/>
                <w:bCs/>
                <w:color w:val="000000" w:themeColor="text1"/>
                <w:sz w:val="20"/>
                <w:szCs w:val="20"/>
                <w:shd w:val="clear" w:color="auto" w:fill="FFFFFF"/>
                <w:lang w:val="en-US"/>
              </w:rPr>
              <w:t xml:space="preserve">, EMSA și </w:t>
            </w:r>
            <w:proofErr w:type="gramStart"/>
            <w:r w:rsidRPr="00983344">
              <w:rPr>
                <w:rFonts w:eastAsia="Arial Unicode MS"/>
                <w:b/>
                <w:bCs/>
                <w:color w:val="000000" w:themeColor="text1"/>
                <w:sz w:val="20"/>
                <w:szCs w:val="20"/>
                <w:shd w:val="clear" w:color="auto" w:fill="FFFFFF"/>
                <w:lang w:val="en-US"/>
              </w:rPr>
              <w:t>a</w:t>
            </w:r>
            <w:proofErr w:type="gramEnd"/>
            <w:r w:rsidRPr="00983344">
              <w:rPr>
                <w:rFonts w:eastAsia="Arial Unicode MS"/>
                <w:b/>
                <w:bCs/>
                <w:color w:val="000000" w:themeColor="text1"/>
                <w:sz w:val="20"/>
                <w:szCs w:val="20"/>
                <w:shd w:val="clear" w:color="auto" w:fill="FFFFFF"/>
                <w:lang w:val="en-US"/>
              </w:rPr>
              <w:t xml:space="preserve"> </w:t>
            </w:r>
            <w:proofErr w:type="spellStart"/>
            <w:r w:rsidRPr="00983344">
              <w:rPr>
                <w:rFonts w:eastAsia="Arial Unicode MS"/>
                <w:b/>
                <w:bCs/>
                <w:color w:val="000000" w:themeColor="text1"/>
                <w:sz w:val="20"/>
                <w:szCs w:val="20"/>
                <w:shd w:val="clear" w:color="auto" w:fill="FFFFFF"/>
                <w:lang w:val="en-US"/>
              </w:rPr>
              <w:t>altor</w:t>
            </w:r>
            <w:proofErr w:type="spellEnd"/>
            <w:r w:rsidRPr="00983344">
              <w:rPr>
                <w:rFonts w:eastAsia="Arial Unicode MS"/>
                <w:b/>
                <w:bCs/>
                <w:color w:val="000000" w:themeColor="text1"/>
                <w:sz w:val="20"/>
                <w:szCs w:val="20"/>
                <w:shd w:val="clear" w:color="auto" w:fill="FFFFFF"/>
                <w:lang w:val="en-US"/>
              </w:rPr>
              <w:t xml:space="preserve"> </w:t>
            </w:r>
            <w:proofErr w:type="spellStart"/>
            <w:r w:rsidRPr="00983344">
              <w:rPr>
                <w:rFonts w:eastAsia="Arial Unicode MS"/>
                <w:b/>
                <w:bCs/>
                <w:color w:val="000000" w:themeColor="text1"/>
                <w:sz w:val="20"/>
                <w:szCs w:val="20"/>
                <w:shd w:val="clear" w:color="auto" w:fill="FFFFFF"/>
                <w:lang w:val="en-US"/>
              </w:rPr>
              <w:t>organizații</w:t>
            </w:r>
            <w:proofErr w:type="spellEnd"/>
            <w:r w:rsidRPr="00983344">
              <w:rPr>
                <w:rFonts w:eastAsia="Arial Unicode MS"/>
                <w:b/>
                <w:bCs/>
                <w:color w:val="000000" w:themeColor="text1"/>
                <w:sz w:val="20"/>
                <w:szCs w:val="20"/>
                <w:shd w:val="clear" w:color="auto" w:fill="FFFFFF"/>
                <w:lang w:val="en-US"/>
              </w:rPr>
              <w:t xml:space="preserve"> </w:t>
            </w:r>
            <w:proofErr w:type="spellStart"/>
            <w:r w:rsidRPr="00983344">
              <w:rPr>
                <w:rFonts w:eastAsia="Arial Unicode MS"/>
                <w:b/>
                <w:bCs/>
                <w:color w:val="000000" w:themeColor="text1"/>
                <w:sz w:val="20"/>
                <w:szCs w:val="20"/>
                <w:shd w:val="clear" w:color="auto" w:fill="FFFFFF"/>
                <w:lang w:val="en-US"/>
              </w:rPr>
              <w:t>relevante</w:t>
            </w:r>
            <w:proofErr w:type="spellEnd"/>
          </w:p>
          <w:p w14:paraId="644FBE36" w14:textId="519C5458" w:rsidR="00124364" w:rsidRPr="00983344" w:rsidRDefault="00000000" w:rsidP="00983344">
            <w:pPr>
              <w:pStyle w:val="ti-art"/>
              <w:numPr>
                <w:ilvl w:val="0"/>
                <w:numId w:val="9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a-și </w:t>
            </w:r>
            <w:proofErr w:type="spellStart"/>
            <w:r w:rsidRPr="00983344">
              <w:rPr>
                <w:rFonts w:eastAsia="Arial Unicode MS"/>
                <w:color w:val="000000" w:themeColor="text1"/>
                <w:sz w:val="20"/>
                <w:szCs w:val="20"/>
                <w:shd w:val="clear" w:color="auto" w:fill="FFFFFF"/>
                <w:lang w:val="en-US"/>
              </w:rPr>
              <w:t>îndeplini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obligațiile</w:t>
            </w:r>
            <w:proofErr w:type="spellEnd"/>
            <w:r w:rsidRPr="00983344">
              <w:rPr>
                <w:rFonts w:eastAsia="Arial Unicode MS"/>
                <w:color w:val="000000" w:themeColor="text1"/>
                <w:sz w:val="20"/>
                <w:szCs w:val="20"/>
                <w:shd w:val="clear" w:color="auto" w:fill="FFFFFF"/>
                <w:lang w:val="en-US"/>
              </w:rPr>
              <w:t xml:space="preserve"> care </w:t>
            </w:r>
            <w:proofErr w:type="spellStart"/>
            <w:r w:rsidRPr="00983344">
              <w:rPr>
                <w:rFonts w:eastAsia="Arial Unicode MS"/>
                <w:color w:val="000000" w:themeColor="text1"/>
                <w:sz w:val="20"/>
                <w:szCs w:val="20"/>
                <w:shd w:val="clear" w:color="auto" w:fill="FFFFFF"/>
                <w:lang w:val="en-US"/>
              </w:rPr>
              <w:t>îi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revin</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temeiul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articolului</w:t>
            </w:r>
            <w:proofErr w:type="spellEnd"/>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 xml:space="preserve">3c </w:t>
            </w:r>
            <w:proofErr w:type="spellStart"/>
            <w:r w:rsidRPr="00983344">
              <w:rPr>
                <w:rFonts w:eastAsia="Arial Unicode MS"/>
                <w:color w:val="000000" w:themeColor="text1"/>
                <w:sz w:val="20"/>
                <w:szCs w:val="20"/>
                <w:shd w:val="clear" w:color="auto" w:fill="FFFFFF"/>
                <w:lang w:val="en-US"/>
              </w:rPr>
              <w:t>alineatul</w:t>
            </w:r>
            <w:proofErr w:type="spellEnd"/>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 xml:space="preserve">(4), și al </w:t>
            </w:r>
            <w:proofErr w:type="spellStart"/>
            <w:r w:rsidRPr="00983344">
              <w:rPr>
                <w:rFonts w:eastAsia="Arial Unicode MS"/>
                <w:color w:val="000000" w:themeColor="text1"/>
                <w:sz w:val="20"/>
                <w:szCs w:val="20"/>
                <w:shd w:val="clear" w:color="auto" w:fill="FFFFFF"/>
                <w:lang w:val="en-US"/>
              </w:rPr>
              <w:t>articolelor</w:t>
            </w:r>
            <w:proofErr w:type="spellEnd"/>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3g,</w:t>
            </w:r>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3gd,</w:t>
            </w:r>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3ge,</w:t>
            </w:r>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3gf,</w:t>
            </w:r>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3gg și</w:t>
            </w:r>
            <w:r w:rsidR="00983344" w:rsidRPr="00983344">
              <w:rPr>
                <w:rFonts w:eastAsia="Arial Unicode MS"/>
                <w:color w:val="000000" w:themeColor="text1"/>
                <w:sz w:val="20"/>
                <w:szCs w:val="20"/>
                <w:shd w:val="clear" w:color="auto" w:fill="FFFFFF"/>
                <w:lang w:val="en-US"/>
              </w:rPr>
              <w:t xml:space="preserve"> </w:t>
            </w:r>
            <w:r w:rsidRPr="00983344">
              <w:rPr>
                <w:rFonts w:eastAsia="Arial Unicode MS"/>
                <w:color w:val="000000" w:themeColor="text1"/>
                <w:sz w:val="20"/>
                <w:szCs w:val="20"/>
                <w:shd w:val="clear" w:color="auto" w:fill="FFFFFF"/>
                <w:lang w:val="en-US"/>
              </w:rPr>
              <w:t xml:space="preserve">18a, </w:t>
            </w:r>
            <w:proofErr w:type="spellStart"/>
            <w:r w:rsidRPr="00983344">
              <w:rPr>
                <w:rFonts w:eastAsia="Arial Unicode MS"/>
                <w:color w:val="000000" w:themeColor="text1"/>
                <w:sz w:val="20"/>
                <w:szCs w:val="20"/>
                <w:shd w:val="clear" w:color="auto" w:fill="FFFFFF"/>
                <w:lang w:val="en-US"/>
              </w:rPr>
              <w:t>Comisia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membru</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și </w:t>
            </w:r>
            <w:proofErr w:type="spellStart"/>
            <w:r w:rsidRPr="00983344">
              <w:rPr>
                <w:rFonts w:eastAsia="Arial Unicode MS"/>
                <w:color w:val="000000" w:themeColor="text1"/>
                <w:sz w:val="20"/>
                <w:szCs w:val="20"/>
                <w:shd w:val="clear" w:color="auto" w:fill="FFFFFF"/>
                <w:lang w:val="en-US"/>
              </w:rPr>
              <w:t>autoritățile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administrare</w:t>
            </w:r>
            <w:proofErr w:type="spellEnd"/>
            <w:r w:rsidRPr="00983344">
              <w:rPr>
                <w:rFonts w:eastAsia="Arial Unicode MS"/>
                <w:color w:val="000000" w:themeColor="text1"/>
                <w:sz w:val="20"/>
                <w:szCs w:val="20"/>
                <w:shd w:val="clear" w:color="auto" w:fill="FFFFFF"/>
                <w:lang w:val="en-US"/>
              </w:rPr>
              <w:t xml:space="preserve"> ale </w:t>
            </w:r>
            <w:proofErr w:type="spellStart"/>
            <w:r w:rsidRPr="00983344">
              <w:rPr>
                <w:rFonts w:eastAsia="Arial Unicode MS"/>
                <w:color w:val="000000" w:themeColor="text1"/>
                <w:sz w:val="20"/>
                <w:szCs w:val="20"/>
                <w:shd w:val="clear" w:color="auto" w:fill="FFFFFF"/>
                <w:lang w:val="en-US"/>
              </w:rPr>
              <w:t>unei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companii</w:t>
            </w:r>
            <w:proofErr w:type="spellEnd"/>
            <w:r w:rsidRPr="00983344">
              <w:rPr>
                <w:rFonts w:eastAsia="Arial Unicode MS"/>
                <w:color w:val="000000" w:themeColor="text1"/>
                <w:sz w:val="20"/>
                <w:szCs w:val="20"/>
                <w:shd w:val="clear" w:color="auto" w:fill="FFFFFF"/>
                <w:lang w:val="en-US"/>
              </w:rPr>
              <w:t xml:space="preserve"> de transport maritim pot </w:t>
            </w:r>
            <w:proofErr w:type="spellStart"/>
            <w:r w:rsidRPr="00983344">
              <w:rPr>
                <w:rFonts w:eastAsia="Arial Unicode MS"/>
                <w:color w:val="000000" w:themeColor="text1"/>
                <w:sz w:val="20"/>
                <w:szCs w:val="20"/>
                <w:shd w:val="clear" w:color="auto" w:fill="FFFFFF"/>
                <w:lang w:val="en-US"/>
              </w:rPr>
              <w:t>solicita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asistența</w:t>
            </w:r>
            <w:proofErr w:type="spellEnd"/>
            <w:r w:rsidRPr="00983344">
              <w:rPr>
                <w:rFonts w:eastAsia="Arial Unicode MS"/>
                <w:color w:val="000000" w:themeColor="text1"/>
                <w:sz w:val="20"/>
                <w:szCs w:val="20"/>
                <w:shd w:val="clear" w:color="auto" w:fill="FFFFFF"/>
                <w:lang w:val="en-US"/>
              </w:rPr>
              <w:t xml:space="preserve"> EMSA </w:t>
            </w:r>
            <w:proofErr w:type="spellStart"/>
            <w:r w:rsidRPr="00983344">
              <w:rPr>
                <w:rFonts w:eastAsia="Arial Unicode MS"/>
                <w:color w:val="000000" w:themeColor="text1"/>
                <w:sz w:val="20"/>
                <w:szCs w:val="20"/>
                <w:shd w:val="clear" w:color="auto" w:fill="FFFFFF"/>
                <w:lang w:val="en-US"/>
              </w:rPr>
              <w:t>sau</w:t>
            </w:r>
            <w:proofErr w:type="spellEnd"/>
            <w:r w:rsidRPr="00983344">
              <w:rPr>
                <w:rFonts w:eastAsia="Arial Unicode MS"/>
                <w:color w:val="000000" w:themeColor="text1"/>
                <w:sz w:val="20"/>
                <w:szCs w:val="20"/>
                <w:shd w:val="clear" w:color="auto" w:fill="FFFFFF"/>
                <w:lang w:val="en-US"/>
              </w:rPr>
              <w:t xml:space="preserve"> a </w:t>
            </w:r>
            <w:proofErr w:type="spellStart"/>
            <w:r w:rsidRPr="00983344">
              <w:rPr>
                <w:rFonts w:eastAsia="Arial Unicode MS"/>
                <w:color w:val="000000" w:themeColor="text1"/>
                <w:sz w:val="20"/>
                <w:szCs w:val="20"/>
                <w:shd w:val="clear" w:color="auto" w:fill="FFFFFF"/>
                <w:lang w:val="en-US"/>
              </w:rPr>
              <w:t>unei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alte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organizații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relevante</w:t>
            </w:r>
            <w:proofErr w:type="spellEnd"/>
            <w:r w:rsidRPr="00983344">
              <w:rPr>
                <w:rFonts w:eastAsia="Arial Unicode MS"/>
                <w:color w:val="000000" w:themeColor="text1"/>
                <w:sz w:val="20"/>
                <w:szCs w:val="20"/>
                <w:shd w:val="clear" w:color="auto" w:fill="FFFFFF"/>
                <w:lang w:val="en-US"/>
              </w:rPr>
              <w:t xml:space="preserve"> și pot </w:t>
            </w:r>
            <w:proofErr w:type="spellStart"/>
            <w:r w:rsidRPr="00983344">
              <w:rPr>
                <w:rFonts w:eastAsia="Arial Unicode MS"/>
                <w:color w:val="000000" w:themeColor="text1"/>
                <w:sz w:val="20"/>
                <w:szCs w:val="20"/>
                <w:shd w:val="clear" w:color="auto" w:fill="FFFFFF"/>
                <w:lang w:val="en-US"/>
              </w:rPr>
              <w:t>încheia</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acest</w:t>
            </w:r>
            <w:proofErr w:type="spellEnd"/>
            <w:r w:rsidRPr="00983344">
              <w:rPr>
                <w:rFonts w:eastAsia="Arial Unicode MS"/>
                <w:color w:val="000000" w:themeColor="text1"/>
                <w:sz w:val="20"/>
                <w:szCs w:val="20"/>
                <w:shd w:val="clear" w:color="auto" w:fill="FFFFFF"/>
                <w:lang w:val="en-US"/>
              </w:rPr>
              <w:t xml:space="preserve"> scop, </w:t>
            </w:r>
            <w:proofErr w:type="spellStart"/>
            <w:r w:rsidRPr="00983344">
              <w:rPr>
                <w:rFonts w:eastAsia="Arial Unicode MS"/>
                <w:color w:val="000000" w:themeColor="text1"/>
                <w:sz w:val="20"/>
                <w:szCs w:val="20"/>
                <w:shd w:val="clear" w:color="auto" w:fill="FFFFFF"/>
                <w:lang w:val="en-US"/>
              </w:rPr>
              <w:t>orice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acorduri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corespunzătoare</w:t>
            </w:r>
            <w:proofErr w:type="spellEnd"/>
            <w:r w:rsidRPr="00983344">
              <w:rPr>
                <w:rFonts w:eastAsia="Arial Unicode MS"/>
                <w:color w:val="000000" w:themeColor="text1"/>
                <w:sz w:val="20"/>
                <w:szCs w:val="20"/>
                <w:shd w:val="clear" w:color="auto" w:fill="FFFFFF"/>
                <w:lang w:val="en-US"/>
              </w:rPr>
              <w:t xml:space="preserve"> cu </w:t>
            </w:r>
            <w:proofErr w:type="spellStart"/>
            <w:r w:rsidRPr="00983344">
              <w:rPr>
                <w:rFonts w:eastAsia="Arial Unicode MS"/>
                <w:color w:val="000000" w:themeColor="text1"/>
                <w:sz w:val="20"/>
                <w:szCs w:val="20"/>
                <w:shd w:val="clear" w:color="auto" w:fill="FFFFFF"/>
                <w:lang w:val="en-US"/>
              </w:rPr>
              <w:t>organizațiile</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cauză</w:t>
            </w:r>
            <w:proofErr w:type="spellEnd"/>
            <w:r w:rsidRPr="00983344">
              <w:rPr>
                <w:rFonts w:eastAsia="Arial Unicode MS"/>
                <w:color w:val="000000" w:themeColor="text1"/>
                <w:sz w:val="20"/>
                <w:szCs w:val="20"/>
                <w:shd w:val="clear" w:color="auto" w:fill="FFFFFF"/>
                <w:lang w:val="en-US"/>
              </w:rPr>
              <w:t>.</w:t>
            </w:r>
          </w:p>
          <w:p w14:paraId="62410C96" w14:textId="77777777" w:rsidR="00124364" w:rsidRPr="00983344" w:rsidRDefault="00000000" w:rsidP="00983344">
            <w:pPr>
              <w:pStyle w:val="ti-art"/>
              <w:numPr>
                <w:ilvl w:val="0"/>
                <w:numId w:val="9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83344">
              <w:rPr>
                <w:rFonts w:eastAsia="Arial Unicode MS"/>
                <w:color w:val="000000" w:themeColor="text1"/>
                <w:sz w:val="20"/>
                <w:szCs w:val="20"/>
                <w:shd w:val="clear" w:color="auto" w:fill="FFFFFF"/>
                <w:lang w:val="en-US"/>
              </w:rPr>
              <w:t>Comisia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asistată</w:t>
            </w:r>
            <w:proofErr w:type="spellEnd"/>
            <w:r w:rsidRPr="00983344">
              <w:rPr>
                <w:rFonts w:eastAsia="Arial Unicode MS"/>
                <w:color w:val="000000" w:themeColor="text1"/>
                <w:sz w:val="20"/>
                <w:szCs w:val="20"/>
                <w:shd w:val="clear" w:color="auto" w:fill="FFFFFF"/>
                <w:lang w:val="en-US"/>
              </w:rPr>
              <w:t xml:space="preserve"> de EMSA, </w:t>
            </w:r>
            <w:proofErr w:type="spellStart"/>
            <w:r w:rsidRPr="00983344">
              <w:rPr>
                <w:rFonts w:eastAsia="Arial Unicode MS"/>
                <w:color w:val="000000" w:themeColor="text1"/>
                <w:sz w:val="20"/>
                <w:szCs w:val="20"/>
                <w:shd w:val="clear" w:color="auto" w:fill="FFFFFF"/>
                <w:lang w:val="en-US"/>
              </w:rPr>
              <w:t>depune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eforturi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a </w:t>
            </w:r>
            <w:proofErr w:type="spellStart"/>
            <w:r w:rsidRPr="00983344">
              <w:rPr>
                <w:rFonts w:eastAsia="Arial Unicode MS"/>
                <w:color w:val="000000" w:themeColor="text1"/>
                <w:sz w:val="20"/>
                <w:szCs w:val="20"/>
                <w:shd w:val="clear" w:color="auto" w:fill="FFFFFF"/>
                <w:lang w:val="en-US"/>
              </w:rPr>
              <w:t>concepe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instrumente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adecvate</w:t>
            </w:r>
            <w:proofErr w:type="spellEnd"/>
            <w:r w:rsidRPr="00983344">
              <w:rPr>
                <w:rFonts w:eastAsia="Arial Unicode MS"/>
                <w:color w:val="000000" w:themeColor="text1"/>
                <w:sz w:val="20"/>
                <w:szCs w:val="20"/>
                <w:shd w:val="clear" w:color="auto" w:fill="FFFFFF"/>
                <w:lang w:val="en-US"/>
              </w:rPr>
              <w:t xml:space="preserve"> și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w:t>
            </w:r>
            <w:proofErr w:type="gramStart"/>
            <w:r w:rsidRPr="00983344">
              <w:rPr>
                <w:rFonts w:eastAsia="Arial Unicode MS"/>
                <w:color w:val="000000" w:themeColor="text1"/>
                <w:sz w:val="20"/>
                <w:szCs w:val="20"/>
                <w:shd w:val="clear" w:color="auto" w:fill="FFFFFF"/>
                <w:lang w:val="en-US"/>
              </w:rPr>
              <w:t>a</w:t>
            </w:r>
            <w:proofErr w:type="gram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elabora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orientări</w:t>
            </w:r>
            <w:proofErr w:type="spellEnd"/>
            <w:r w:rsidRPr="00983344">
              <w:rPr>
                <w:rFonts w:eastAsia="Arial Unicode MS"/>
                <w:color w:val="000000" w:themeColor="text1"/>
                <w:sz w:val="20"/>
                <w:szCs w:val="20"/>
                <w:shd w:val="clear" w:color="auto" w:fill="FFFFFF"/>
                <w:lang w:val="en-US"/>
              </w:rPr>
              <w:t xml:space="preserve"> care </w:t>
            </w:r>
            <w:proofErr w:type="spellStart"/>
            <w:r w:rsidRPr="00983344">
              <w:rPr>
                <w:rFonts w:eastAsia="Arial Unicode MS"/>
                <w:color w:val="000000" w:themeColor="text1"/>
                <w:sz w:val="20"/>
                <w:szCs w:val="20"/>
                <w:shd w:val="clear" w:color="auto" w:fill="FFFFFF"/>
                <w:lang w:val="en-US"/>
              </w:rPr>
              <w:t>să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faciliteze</w:t>
            </w:r>
            <w:proofErr w:type="spellEnd"/>
            <w:r w:rsidRPr="00983344">
              <w:rPr>
                <w:rFonts w:eastAsia="Arial Unicode MS"/>
                <w:color w:val="000000" w:themeColor="text1"/>
                <w:sz w:val="20"/>
                <w:szCs w:val="20"/>
                <w:shd w:val="clear" w:color="auto" w:fill="FFFFFF"/>
                <w:lang w:val="en-US"/>
              </w:rPr>
              <w:t xml:space="preserve"> și </w:t>
            </w:r>
            <w:proofErr w:type="spellStart"/>
            <w:r w:rsidRPr="00983344">
              <w:rPr>
                <w:rFonts w:eastAsia="Arial Unicode MS"/>
                <w:color w:val="000000" w:themeColor="text1"/>
                <w:sz w:val="20"/>
                <w:szCs w:val="20"/>
                <w:shd w:val="clear" w:color="auto" w:fill="FFFFFF"/>
                <w:lang w:val="en-US"/>
              </w:rPr>
              <w:t>să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coordoneze</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activitățile</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verificare</w:t>
            </w:r>
            <w:proofErr w:type="spellEnd"/>
            <w:r w:rsidRPr="00983344">
              <w:rPr>
                <w:rFonts w:eastAsia="Arial Unicode MS"/>
                <w:color w:val="000000" w:themeColor="text1"/>
                <w:sz w:val="20"/>
                <w:szCs w:val="20"/>
                <w:shd w:val="clear" w:color="auto" w:fill="FFFFFF"/>
                <w:lang w:val="en-US"/>
              </w:rPr>
              <w:t xml:space="preserve"> și de </w:t>
            </w:r>
            <w:proofErr w:type="spellStart"/>
            <w:r w:rsidRPr="00983344">
              <w:rPr>
                <w:rFonts w:eastAsia="Arial Unicode MS"/>
                <w:color w:val="000000" w:themeColor="text1"/>
                <w:sz w:val="20"/>
                <w:szCs w:val="20"/>
                <w:shd w:val="clear" w:color="auto" w:fill="FFFFFF"/>
                <w:lang w:val="en-US"/>
              </w:rPr>
              <w:t>asigurare</w:t>
            </w:r>
            <w:proofErr w:type="spellEnd"/>
            <w:r w:rsidRPr="00983344">
              <w:rPr>
                <w:rFonts w:eastAsia="Arial Unicode MS"/>
                <w:color w:val="000000" w:themeColor="text1"/>
                <w:sz w:val="20"/>
                <w:szCs w:val="20"/>
                <w:shd w:val="clear" w:color="auto" w:fill="FFFFFF"/>
                <w:lang w:val="en-US"/>
              </w:rPr>
              <w:t xml:space="preserve"> a </w:t>
            </w:r>
            <w:proofErr w:type="spellStart"/>
            <w:r w:rsidRPr="00983344">
              <w:rPr>
                <w:rFonts w:eastAsia="Arial Unicode MS"/>
                <w:color w:val="000000" w:themeColor="text1"/>
                <w:sz w:val="20"/>
                <w:szCs w:val="20"/>
                <w:shd w:val="clear" w:color="auto" w:fill="FFFFFF"/>
                <w:lang w:val="en-US"/>
              </w:rPr>
              <w:t>respectării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legislației</w:t>
            </w:r>
            <w:proofErr w:type="spellEnd"/>
            <w:r w:rsidRPr="00983344">
              <w:rPr>
                <w:rFonts w:eastAsia="Arial Unicode MS"/>
                <w:color w:val="000000" w:themeColor="text1"/>
                <w:sz w:val="20"/>
                <w:szCs w:val="20"/>
                <w:shd w:val="clear" w:color="auto" w:fill="FFFFFF"/>
                <w:lang w:val="en-US"/>
              </w:rPr>
              <w:t xml:space="preserve"> legate de </w:t>
            </w:r>
            <w:proofErr w:type="spellStart"/>
            <w:r w:rsidRPr="00983344">
              <w:rPr>
                <w:rFonts w:eastAsia="Arial Unicode MS"/>
                <w:color w:val="000000" w:themeColor="text1"/>
                <w:sz w:val="20"/>
                <w:szCs w:val="20"/>
                <w:shd w:val="clear" w:color="auto" w:fill="FFFFFF"/>
                <w:lang w:val="en-US"/>
              </w:rPr>
              <w:t>aplicarea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prezentei</w:t>
            </w:r>
            <w:proofErr w:type="spellEnd"/>
            <w:r w:rsidRPr="00983344">
              <w:rPr>
                <w:rFonts w:eastAsia="Arial Unicode MS"/>
                <w:color w:val="000000" w:themeColor="text1"/>
                <w:sz w:val="20"/>
                <w:szCs w:val="20"/>
                <w:shd w:val="clear" w:color="auto" w:fill="FFFFFF"/>
                <w:lang w:val="en-US"/>
              </w:rPr>
              <w:t xml:space="preserve"> directive în </w:t>
            </w:r>
            <w:proofErr w:type="spellStart"/>
            <w:r w:rsidRPr="00983344">
              <w:rPr>
                <w:rFonts w:eastAsia="Arial Unicode MS"/>
                <w:color w:val="000000" w:themeColor="text1"/>
                <w:sz w:val="20"/>
                <w:szCs w:val="20"/>
                <w:shd w:val="clear" w:color="auto" w:fill="FFFFFF"/>
                <w:lang w:val="en-US"/>
              </w:rPr>
              <w:t>sectorul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transportului</w:t>
            </w:r>
            <w:proofErr w:type="spellEnd"/>
            <w:r w:rsidRPr="00983344">
              <w:rPr>
                <w:rFonts w:eastAsia="Arial Unicode MS"/>
                <w:color w:val="000000" w:themeColor="text1"/>
                <w:sz w:val="20"/>
                <w:szCs w:val="20"/>
                <w:shd w:val="clear" w:color="auto" w:fill="FFFFFF"/>
                <w:lang w:val="en-US"/>
              </w:rPr>
              <w:t xml:space="preserve"> maritim. În </w:t>
            </w:r>
            <w:proofErr w:type="spellStart"/>
            <w:r w:rsidRPr="00983344">
              <w:rPr>
                <w:rFonts w:eastAsia="Arial Unicode MS"/>
                <w:color w:val="000000" w:themeColor="text1"/>
                <w:sz w:val="20"/>
                <w:szCs w:val="20"/>
                <w:shd w:val="clear" w:color="auto" w:fill="FFFFFF"/>
                <w:lang w:val="en-US"/>
              </w:rPr>
              <w:t>măsura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posibilului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astfel</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orientări</w:t>
            </w:r>
            <w:proofErr w:type="spellEnd"/>
            <w:r w:rsidRPr="00983344">
              <w:rPr>
                <w:rFonts w:eastAsia="Arial Unicode MS"/>
                <w:color w:val="000000" w:themeColor="text1"/>
                <w:sz w:val="20"/>
                <w:szCs w:val="20"/>
                <w:shd w:val="clear" w:color="auto" w:fill="FFFFFF"/>
                <w:lang w:val="en-US"/>
              </w:rPr>
              <w:t xml:space="preserve"> și </w:t>
            </w:r>
            <w:proofErr w:type="spellStart"/>
            <w:r w:rsidRPr="00983344">
              <w:rPr>
                <w:rFonts w:eastAsia="Arial Unicode MS"/>
                <w:color w:val="000000" w:themeColor="text1"/>
                <w:sz w:val="20"/>
                <w:szCs w:val="20"/>
                <w:shd w:val="clear" w:color="auto" w:fill="FFFFFF"/>
                <w:lang w:val="en-US"/>
              </w:rPr>
              <w:t>instrumente</w:t>
            </w:r>
            <w:proofErr w:type="spellEnd"/>
            <w:r w:rsidRPr="00983344">
              <w:rPr>
                <w:rFonts w:eastAsia="Arial Unicode MS"/>
                <w:color w:val="000000" w:themeColor="text1"/>
                <w:sz w:val="20"/>
                <w:szCs w:val="20"/>
                <w:shd w:val="clear" w:color="auto" w:fill="FFFFFF"/>
                <w:lang w:val="en-US"/>
              </w:rPr>
              <w:t xml:space="preserve"> sunt </w:t>
            </w:r>
            <w:proofErr w:type="spellStart"/>
            <w:r w:rsidRPr="00983344">
              <w:rPr>
                <w:rFonts w:eastAsia="Arial Unicode MS"/>
                <w:color w:val="000000" w:themeColor="text1"/>
                <w:sz w:val="20"/>
                <w:szCs w:val="20"/>
                <w:shd w:val="clear" w:color="auto" w:fill="FFFFFF"/>
                <w:lang w:val="en-US"/>
              </w:rPr>
              <w:t>puse</w:t>
            </w:r>
            <w:proofErr w:type="spellEnd"/>
            <w:r w:rsidRPr="00983344">
              <w:rPr>
                <w:rFonts w:eastAsia="Arial Unicode MS"/>
                <w:color w:val="000000" w:themeColor="text1"/>
                <w:sz w:val="20"/>
                <w:szCs w:val="20"/>
                <w:shd w:val="clear" w:color="auto" w:fill="FFFFFF"/>
                <w:lang w:val="en-US"/>
              </w:rPr>
              <w:t xml:space="preserve"> la </w:t>
            </w:r>
            <w:proofErr w:type="spellStart"/>
            <w:r w:rsidRPr="00983344">
              <w:rPr>
                <w:rFonts w:eastAsia="Arial Unicode MS"/>
                <w:color w:val="000000" w:themeColor="text1"/>
                <w:sz w:val="20"/>
                <w:szCs w:val="20"/>
                <w:shd w:val="clear" w:color="auto" w:fill="FFFFFF"/>
                <w:lang w:val="en-US"/>
              </w:rPr>
              <w:t>dispoziția</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statelor</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membre</w:t>
            </w:r>
            <w:proofErr w:type="spellEnd"/>
            <w:r w:rsidRPr="00983344">
              <w:rPr>
                <w:rFonts w:eastAsia="Arial Unicode MS"/>
                <w:color w:val="000000" w:themeColor="text1"/>
                <w:sz w:val="20"/>
                <w:szCs w:val="20"/>
                <w:shd w:val="clear" w:color="auto" w:fill="FFFFFF"/>
                <w:lang w:val="en-US"/>
              </w:rPr>
              <w:t xml:space="preserve"> și a </w:t>
            </w:r>
            <w:proofErr w:type="spellStart"/>
            <w:r w:rsidRPr="00983344">
              <w:rPr>
                <w:rFonts w:eastAsia="Arial Unicode MS"/>
                <w:color w:val="000000" w:themeColor="text1"/>
                <w:sz w:val="20"/>
                <w:szCs w:val="20"/>
                <w:shd w:val="clear" w:color="auto" w:fill="FFFFFF"/>
                <w:lang w:val="en-US"/>
              </w:rPr>
              <w:t>verificatorilor</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scopul</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partajării</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informațiilor</w:t>
            </w:r>
            <w:proofErr w:type="spellEnd"/>
            <w:r w:rsidRPr="00983344">
              <w:rPr>
                <w:rFonts w:eastAsia="Arial Unicode MS"/>
                <w:color w:val="000000" w:themeColor="text1"/>
                <w:sz w:val="20"/>
                <w:szCs w:val="20"/>
                <w:shd w:val="clear" w:color="auto" w:fill="FFFFFF"/>
                <w:lang w:val="en-US"/>
              </w:rPr>
              <w:t xml:space="preserve"> și </w:t>
            </w:r>
            <w:proofErr w:type="spellStart"/>
            <w:r w:rsidRPr="00983344">
              <w:rPr>
                <w:rFonts w:eastAsia="Arial Unicode MS"/>
                <w:color w:val="000000" w:themeColor="text1"/>
                <w:sz w:val="20"/>
                <w:szCs w:val="20"/>
                <w:shd w:val="clear" w:color="auto" w:fill="FFFFFF"/>
                <w:lang w:val="en-US"/>
              </w:rPr>
              <w:t>pentru</w:t>
            </w:r>
            <w:proofErr w:type="spellEnd"/>
            <w:r w:rsidRPr="00983344">
              <w:rPr>
                <w:rFonts w:eastAsia="Arial Unicode MS"/>
                <w:color w:val="000000" w:themeColor="text1"/>
                <w:sz w:val="20"/>
                <w:szCs w:val="20"/>
                <w:shd w:val="clear" w:color="auto" w:fill="FFFFFF"/>
                <w:lang w:val="en-US"/>
              </w:rPr>
              <w:t xml:space="preserve"> a se </w:t>
            </w:r>
            <w:proofErr w:type="spellStart"/>
            <w:r w:rsidRPr="00983344">
              <w:rPr>
                <w:rFonts w:eastAsia="Arial Unicode MS"/>
                <w:color w:val="000000" w:themeColor="text1"/>
                <w:sz w:val="20"/>
                <w:szCs w:val="20"/>
                <w:shd w:val="clear" w:color="auto" w:fill="FFFFFF"/>
                <w:lang w:val="en-US"/>
              </w:rPr>
              <w:t>asigura</w:t>
            </w:r>
            <w:proofErr w:type="spellEnd"/>
            <w:r w:rsidRPr="00983344">
              <w:rPr>
                <w:rFonts w:eastAsia="Arial Unicode MS"/>
                <w:color w:val="000000" w:themeColor="text1"/>
                <w:sz w:val="20"/>
                <w:szCs w:val="20"/>
                <w:shd w:val="clear" w:color="auto" w:fill="FFFFFF"/>
                <w:lang w:val="en-US"/>
              </w:rPr>
              <w:t xml:space="preserve"> o </w:t>
            </w:r>
            <w:proofErr w:type="spellStart"/>
            <w:r w:rsidRPr="00983344">
              <w:rPr>
                <w:rFonts w:eastAsia="Arial Unicode MS"/>
                <w:color w:val="000000" w:themeColor="text1"/>
                <w:sz w:val="20"/>
                <w:szCs w:val="20"/>
                <w:shd w:val="clear" w:color="auto" w:fill="FFFFFF"/>
                <w:lang w:val="en-US"/>
              </w:rPr>
              <w:t>bună</w:t>
            </w:r>
            <w:proofErr w:type="spellEnd"/>
            <w:r w:rsidRPr="00983344">
              <w:rPr>
                <w:rFonts w:eastAsia="Arial Unicode MS"/>
                <w:color w:val="000000" w:themeColor="text1"/>
                <w:sz w:val="20"/>
                <w:szCs w:val="20"/>
                <w:shd w:val="clear" w:color="auto" w:fill="FFFFFF"/>
                <w:lang w:val="en-US"/>
              </w:rPr>
              <w:t xml:space="preserve"> </w:t>
            </w:r>
            <w:proofErr w:type="spellStart"/>
            <w:r w:rsidRPr="00983344">
              <w:rPr>
                <w:rFonts w:eastAsia="Arial Unicode MS"/>
                <w:color w:val="000000" w:themeColor="text1"/>
                <w:sz w:val="20"/>
                <w:szCs w:val="20"/>
                <w:shd w:val="clear" w:color="auto" w:fill="FFFFFF"/>
                <w:lang w:val="en-US"/>
              </w:rPr>
              <w:t>punere</w:t>
            </w:r>
            <w:proofErr w:type="spellEnd"/>
            <w:r w:rsidRPr="00983344">
              <w:rPr>
                <w:rFonts w:eastAsia="Arial Unicode MS"/>
                <w:color w:val="000000" w:themeColor="text1"/>
                <w:sz w:val="20"/>
                <w:szCs w:val="20"/>
                <w:shd w:val="clear" w:color="auto" w:fill="FFFFFF"/>
                <w:lang w:val="en-US"/>
              </w:rPr>
              <w:t xml:space="preserve"> în </w:t>
            </w:r>
            <w:proofErr w:type="spellStart"/>
            <w:r w:rsidRPr="00983344">
              <w:rPr>
                <w:rFonts w:eastAsia="Arial Unicode MS"/>
                <w:color w:val="000000" w:themeColor="text1"/>
                <w:sz w:val="20"/>
                <w:szCs w:val="20"/>
                <w:shd w:val="clear" w:color="auto" w:fill="FFFFFF"/>
                <w:lang w:val="en-US"/>
              </w:rPr>
              <w:t>aplicare</w:t>
            </w:r>
            <w:proofErr w:type="spellEnd"/>
            <w:r w:rsidRPr="00983344">
              <w:rPr>
                <w:rFonts w:eastAsia="Arial Unicode MS"/>
                <w:color w:val="000000" w:themeColor="text1"/>
                <w:sz w:val="20"/>
                <w:szCs w:val="20"/>
                <w:shd w:val="clear" w:color="auto" w:fill="FFFFFF"/>
                <w:lang w:val="en-US"/>
              </w:rPr>
              <w:t xml:space="preserve"> a </w:t>
            </w:r>
            <w:proofErr w:type="spellStart"/>
            <w:r w:rsidRPr="00983344">
              <w:rPr>
                <w:rFonts w:eastAsia="Arial Unicode MS"/>
                <w:color w:val="000000" w:themeColor="text1"/>
                <w:sz w:val="20"/>
                <w:szCs w:val="20"/>
                <w:shd w:val="clear" w:color="auto" w:fill="FFFFFF"/>
                <w:lang w:val="en-US"/>
              </w:rPr>
              <w:t>dispozițiilor</w:t>
            </w:r>
            <w:proofErr w:type="spellEnd"/>
            <w:r w:rsidRPr="00983344">
              <w:rPr>
                <w:rFonts w:eastAsia="Arial Unicode MS"/>
                <w:color w:val="000000" w:themeColor="text1"/>
                <w:sz w:val="20"/>
                <w:szCs w:val="20"/>
                <w:shd w:val="clear" w:color="auto" w:fill="FFFFFF"/>
                <w:lang w:val="en-US"/>
              </w:rPr>
              <w:t xml:space="preserve"> de </w:t>
            </w:r>
            <w:proofErr w:type="spellStart"/>
            <w:r w:rsidRPr="00983344">
              <w:rPr>
                <w:rFonts w:eastAsia="Arial Unicode MS"/>
                <w:color w:val="000000" w:themeColor="text1"/>
                <w:sz w:val="20"/>
                <w:szCs w:val="20"/>
                <w:shd w:val="clear" w:color="auto" w:fill="FFFFFF"/>
                <w:lang w:val="en-US"/>
              </w:rPr>
              <w:t>drept</w:t>
            </w:r>
            <w:proofErr w:type="spellEnd"/>
            <w:r w:rsidRPr="00983344">
              <w:rPr>
                <w:rFonts w:eastAsia="Arial Unicode MS"/>
                <w:color w:val="000000" w:themeColor="text1"/>
                <w:sz w:val="20"/>
                <w:szCs w:val="20"/>
                <w:shd w:val="clear" w:color="auto" w:fill="FFFFFF"/>
                <w:lang w:val="en-US"/>
              </w:rPr>
              <w:t xml:space="preserve"> intern care </w:t>
            </w:r>
            <w:proofErr w:type="spellStart"/>
            <w:r w:rsidRPr="00983344">
              <w:rPr>
                <w:rFonts w:eastAsia="Arial Unicode MS"/>
                <w:color w:val="000000" w:themeColor="text1"/>
                <w:sz w:val="20"/>
                <w:szCs w:val="20"/>
                <w:shd w:val="clear" w:color="auto" w:fill="FFFFFF"/>
                <w:lang w:val="en-US"/>
              </w:rPr>
              <w:t>transpun</w:t>
            </w:r>
            <w:proofErr w:type="spellEnd"/>
            <w:r w:rsidRPr="00983344">
              <w:rPr>
                <w:rFonts w:eastAsia="Arial Unicode MS"/>
                <w:color w:val="000000" w:themeColor="text1"/>
                <w:sz w:val="20"/>
                <w:szCs w:val="20"/>
                <w:shd w:val="clear" w:color="auto" w:fill="FFFFFF"/>
                <w:lang w:val="en-US"/>
              </w:rPr>
              <w:t xml:space="preserve"> prezenta </w:t>
            </w:r>
            <w:proofErr w:type="spellStart"/>
            <w:r w:rsidRPr="00983344">
              <w:rPr>
                <w:rFonts w:eastAsia="Arial Unicode MS"/>
                <w:color w:val="000000" w:themeColor="text1"/>
                <w:sz w:val="20"/>
                <w:szCs w:val="20"/>
                <w:shd w:val="clear" w:color="auto" w:fill="FFFFFF"/>
                <w:lang w:val="en-US"/>
              </w:rPr>
              <w:t>directivă</w:t>
            </w:r>
            <w:proofErr w:type="spellEnd"/>
            <w:r w:rsidRPr="00983344">
              <w:rPr>
                <w:rFonts w:eastAsia="Arial Unicode MS"/>
                <w:color w:val="000000" w:themeColor="text1"/>
                <w:sz w:val="20"/>
                <w:szCs w:val="20"/>
                <w:shd w:val="clear" w:color="auto" w:fill="FFFFFF"/>
                <w:lang w:val="en-US"/>
              </w:rPr>
              <w:t>.</w:t>
            </w:r>
          </w:p>
          <w:p w14:paraId="748CB0B4"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62" w:tooltip="32003L0087" w:history="1">
              <w:r>
                <w:rPr>
                  <w:rStyle w:val="af3"/>
                  <w:rFonts w:eastAsia="Arial Unicode MS"/>
                  <w:b/>
                  <w:bCs/>
                  <w:color w:val="4472C4" w:themeColor="accent1"/>
                  <w:sz w:val="20"/>
                  <w:szCs w:val="20"/>
                </w:rPr>
                <w:t>▼B</w:t>
              </w:r>
            </w:hyperlink>
          </w:p>
        </w:tc>
        <w:tc>
          <w:tcPr>
            <w:tcW w:w="4394" w:type="dxa"/>
            <w:shd w:val="clear" w:color="auto" w:fill="auto"/>
          </w:tcPr>
          <w:p w14:paraId="5463DDE7"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93E8625" w14:textId="44A2FC67" w:rsidR="00124364" w:rsidRDefault="009B5D3D" w:rsidP="00983344">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EAD15D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021CC77" w14:textId="77777777" w:rsidR="009B5D3D" w:rsidRPr="000643DF" w:rsidRDefault="009B5D3D" w:rsidP="009B5D3D">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712B3E6E"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B1982F9" w14:textId="77777777" w:rsidR="00124364" w:rsidRDefault="00124364" w:rsidP="00983344">
            <w:pPr>
              <w:autoSpaceDE w:val="0"/>
              <w:spacing w:after="0" w:line="240" w:lineRule="auto"/>
              <w:rPr>
                <w:rFonts w:ascii="Times New Roman" w:hAnsi="Times New Roman"/>
                <w:sz w:val="20"/>
                <w:szCs w:val="20"/>
                <w:lang w:val="fr-FR"/>
              </w:rPr>
            </w:pPr>
          </w:p>
        </w:tc>
      </w:tr>
      <w:tr w:rsidR="00124364" w14:paraId="59768FB5" w14:textId="77777777">
        <w:trPr>
          <w:trHeight w:val="558"/>
        </w:trPr>
        <w:tc>
          <w:tcPr>
            <w:tcW w:w="4957" w:type="dxa"/>
            <w:shd w:val="clear" w:color="auto" w:fill="auto"/>
          </w:tcPr>
          <w:p w14:paraId="4C8AFB5F" w14:textId="77777777" w:rsidR="00124364"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t>Articolul</w:t>
            </w:r>
            <w:proofErr w:type="spellEnd"/>
            <w:r>
              <w:rPr>
                <w:rFonts w:eastAsia="Arial Unicode MS"/>
                <w:i/>
                <w:iCs/>
                <w:color w:val="333333"/>
                <w:sz w:val="20"/>
                <w:szCs w:val="20"/>
                <w:shd w:val="clear" w:color="auto" w:fill="FFFFFF"/>
              </w:rPr>
              <w:t xml:space="preserve"> 19</w:t>
            </w:r>
          </w:p>
          <w:p w14:paraId="0ADA3FCF" w14:textId="77777777" w:rsidR="00124364" w:rsidRPr="002137FB" w:rsidRDefault="00000000" w:rsidP="002137F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rPr>
            </w:pPr>
            <w:proofErr w:type="spellStart"/>
            <w:r w:rsidRPr="002137FB">
              <w:rPr>
                <w:rFonts w:eastAsia="Arial Unicode MS"/>
                <w:b/>
                <w:bCs/>
                <w:color w:val="000000" w:themeColor="text1"/>
                <w:sz w:val="20"/>
                <w:szCs w:val="20"/>
                <w:shd w:val="clear" w:color="auto" w:fill="FFFFFF"/>
              </w:rPr>
              <w:t>Registre</w:t>
            </w:r>
            <w:proofErr w:type="spellEnd"/>
          </w:p>
          <w:p w14:paraId="71CEA8EF" w14:textId="77777777" w:rsidR="00124364" w:rsidRPr="002137FB" w:rsidRDefault="00000000" w:rsidP="002137FB">
            <w:pPr>
              <w:pStyle w:val="ti-art"/>
              <w:shd w:val="clear" w:color="auto" w:fill="FFFFFF"/>
              <w:spacing w:before="0" w:beforeAutospacing="0" w:after="0" w:afterAutospacing="0"/>
              <w:jc w:val="both"/>
              <w:rPr>
                <w:color w:val="000000" w:themeColor="text1"/>
                <w:sz w:val="20"/>
                <w:szCs w:val="20"/>
              </w:rPr>
            </w:pPr>
            <w:hyperlink r:id="rId263" w:tooltip="32009L0029: REPLACED" w:history="1">
              <w:r w:rsidRPr="002137FB">
                <w:rPr>
                  <w:rStyle w:val="af3"/>
                  <w:rFonts w:eastAsia="Arial Unicode MS"/>
                  <w:b/>
                  <w:bCs/>
                  <w:color w:val="000000" w:themeColor="text1"/>
                  <w:sz w:val="20"/>
                  <w:szCs w:val="20"/>
                </w:rPr>
                <w:t>▼M4</w:t>
              </w:r>
            </w:hyperlink>
          </w:p>
          <w:p w14:paraId="2033D6A2" w14:textId="558ED807" w:rsidR="00124364" w:rsidRPr="002137FB" w:rsidRDefault="00000000" w:rsidP="002137FB">
            <w:pPr>
              <w:pStyle w:val="ti-art"/>
              <w:numPr>
                <w:ilvl w:val="0"/>
                <w:numId w:val="1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Certificatele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începând</w:t>
            </w:r>
            <w:proofErr w:type="spellEnd"/>
            <w:r w:rsidRPr="002137FB">
              <w:rPr>
                <w:rFonts w:eastAsia="Arial Unicode MS"/>
                <w:color w:val="000000" w:themeColor="text1"/>
                <w:sz w:val="20"/>
                <w:szCs w:val="20"/>
                <w:shd w:val="clear" w:color="auto" w:fill="FFFFFF"/>
                <w:lang w:val="en-US"/>
              </w:rPr>
              <w:t xml:space="preserve"> cu 1</w:t>
            </w:r>
            <w:r w:rsidR="00983344"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ianuarie</w:t>
            </w:r>
            <w:proofErr w:type="spellEnd"/>
            <w:r w:rsidRPr="002137FB">
              <w:rPr>
                <w:rFonts w:eastAsia="Arial Unicode MS"/>
                <w:color w:val="000000" w:themeColor="text1"/>
                <w:sz w:val="20"/>
                <w:szCs w:val="20"/>
                <w:shd w:val="clear" w:color="auto" w:fill="FFFFFF"/>
                <w:lang w:val="en-US"/>
              </w:rPr>
              <w:t xml:space="preserve"> 2012 sunt </w:t>
            </w:r>
            <w:proofErr w:type="spellStart"/>
            <w:r w:rsidRPr="002137FB">
              <w:rPr>
                <w:rFonts w:eastAsia="Arial Unicode MS"/>
                <w:color w:val="000000" w:themeColor="text1"/>
                <w:sz w:val="20"/>
                <w:szCs w:val="20"/>
                <w:shd w:val="clear" w:color="auto" w:fill="FFFFFF"/>
                <w:lang w:val="en-US"/>
              </w:rPr>
              <w:t>înregistrate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registrul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comunitar</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vederea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executării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proceselor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referitoare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menținerea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conturilor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depozit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deschise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statul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membru</w:t>
            </w:r>
            <w:proofErr w:type="spellEnd"/>
            <w:r w:rsidRPr="002137FB">
              <w:rPr>
                <w:rFonts w:eastAsia="Arial Unicode MS"/>
                <w:color w:val="000000" w:themeColor="text1"/>
                <w:sz w:val="20"/>
                <w:szCs w:val="20"/>
                <w:shd w:val="clear" w:color="auto" w:fill="FFFFFF"/>
                <w:lang w:val="en-US"/>
              </w:rPr>
              <w:t xml:space="preserve"> și la </w:t>
            </w:r>
            <w:proofErr w:type="spellStart"/>
            <w:r w:rsidRPr="002137FB">
              <w:rPr>
                <w:rFonts w:eastAsia="Arial Unicode MS"/>
                <w:color w:val="000000" w:themeColor="text1"/>
                <w:sz w:val="20"/>
                <w:szCs w:val="20"/>
                <w:shd w:val="clear" w:color="auto" w:fill="FFFFFF"/>
                <w:lang w:val="en-US"/>
              </w:rPr>
              <w:t>alocarea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restituirea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anularea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în conformitate cu</w:t>
            </w:r>
            <w:hyperlink r:id="rId264" w:tooltip="32018L0410: REPLACED" w:history="1">
              <w:r w:rsidRPr="002137FB">
                <w:rPr>
                  <w:rStyle w:val="boldface"/>
                  <w:rFonts w:eastAsia="Arial Unicode MS"/>
                  <w:b/>
                  <w:bCs/>
                  <w:color w:val="000000" w:themeColor="text1"/>
                  <w:sz w:val="20"/>
                  <w:szCs w:val="20"/>
                  <w:lang w:val="en-US"/>
                </w:rPr>
                <w:t>►M9</w:t>
              </w:r>
            </w:hyperlink>
            <w:r w:rsidRPr="002137FB">
              <w:rPr>
                <w:rFonts w:eastAsia="Arial Unicode MS"/>
                <w:color w:val="000000" w:themeColor="text1"/>
                <w:sz w:val="20"/>
                <w:szCs w:val="20"/>
                <w:shd w:val="clear" w:color="auto" w:fill="FFFFFF"/>
                <w:lang w:val="en-US"/>
              </w:rPr>
              <w:t>actele</w:t>
            </w:r>
            <w:r w:rsidR="009B5D3D" w:rsidRPr="002137FB">
              <w:rPr>
                <w:rStyle w:val="boldface"/>
                <w:rFonts w:eastAsia="Arial Unicode MS"/>
                <w:b/>
                <w:bCs/>
                <w:color w:val="000000" w:themeColor="text1"/>
                <w:sz w:val="20"/>
                <w:szCs w:val="20"/>
                <w:lang w:val="en-US"/>
              </w:rPr>
              <w:t xml:space="preserve"> </w:t>
            </w:r>
            <w:r w:rsidRPr="002137FB">
              <w:rPr>
                <w:rStyle w:val="boldface"/>
                <w:rFonts w:eastAsia="Arial Unicode MS"/>
                <w:b/>
                <w:bCs/>
                <w:color w:val="000000" w:themeColor="text1"/>
                <w:sz w:val="20"/>
                <w:szCs w:val="20"/>
                <w:lang w:val="en-US"/>
              </w:rPr>
              <w:t>◄</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(3).</w:t>
            </w:r>
          </w:p>
          <w:p w14:paraId="7FBDB76D"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Fiecare</w:t>
            </w:r>
            <w:proofErr w:type="spellEnd"/>
            <w:r w:rsidRPr="002137FB">
              <w:rPr>
                <w:rFonts w:eastAsia="Arial Unicode MS"/>
                <w:color w:val="000000" w:themeColor="text1"/>
                <w:sz w:val="20"/>
                <w:szCs w:val="20"/>
                <w:shd w:val="clear" w:color="auto" w:fill="FFFFFF"/>
                <w:lang w:val="en-US"/>
              </w:rPr>
              <w:t xml:space="preserve"> stat </w:t>
            </w:r>
            <w:proofErr w:type="spellStart"/>
            <w:r w:rsidRPr="002137FB">
              <w:rPr>
                <w:rFonts w:eastAsia="Arial Unicode MS"/>
                <w:color w:val="000000" w:themeColor="text1"/>
                <w:sz w:val="20"/>
                <w:szCs w:val="20"/>
                <w:shd w:val="clear" w:color="auto" w:fill="FFFFFF"/>
                <w:lang w:val="en-US"/>
              </w:rPr>
              <w:t>membru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trebuie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fie în </w:t>
            </w:r>
            <w:proofErr w:type="spellStart"/>
            <w:r w:rsidRPr="002137FB">
              <w:rPr>
                <w:rFonts w:eastAsia="Arial Unicode MS"/>
                <w:color w:val="000000" w:themeColor="text1"/>
                <w:sz w:val="20"/>
                <w:szCs w:val="20"/>
                <w:shd w:val="clear" w:color="auto" w:fill="FFFFFF"/>
                <w:lang w:val="en-US"/>
              </w:rPr>
              <w:t>măsură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realizeze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executarea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operațiilor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autorizate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temeiul</w:t>
            </w:r>
            <w:proofErr w:type="spellEnd"/>
            <w:r w:rsidRPr="002137FB">
              <w:rPr>
                <w:rFonts w:eastAsia="Arial Unicode MS"/>
                <w:color w:val="000000" w:themeColor="text1"/>
                <w:sz w:val="20"/>
                <w:szCs w:val="20"/>
                <w:shd w:val="clear" w:color="auto" w:fill="FFFFFF"/>
                <w:lang w:val="en-US"/>
              </w:rPr>
              <w:t xml:space="preserve"> UNFCCC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Protocolului</w:t>
            </w:r>
            <w:proofErr w:type="spellEnd"/>
            <w:r w:rsidRPr="002137FB">
              <w:rPr>
                <w:rFonts w:eastAsia="Arial Unicode MS"/>
                <w:color w:val="000000" w:themeColor="text1"/>
                <w:sz w:val="20"/>
                <w:szCs w:val="20"/>
                <w:shd w:val="clear" w:color="auto" w:fill="FFFFFF"/>
                <w:lang w:val="en-US"/>
              </w:rPr>
              <w:t xml:space="preserve"> de la Kyoto.</w:t>
            </w:r>
          </w:p>
          <w:p w14:paraId="2C32C1BE"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hyperlink r:id="rId265" w:tooltip="32003L0087R(06): REPLACED" w:history="1">
              <w:r w:rsidRPr="002137FB">
                <w:rPr>
                  <w:rStyle w:val="af3"/>
                  <w:rFonts w:eastAsia="Arial Unicode MS"/>
                  <w:b/>
                  <w:bCs/>
                  <w:color w:val="000000" w:themeColor="text1"/>
                  <w:sz w:val="20"/>
                  <w:szCs w:val="20"/>
                </w:rPr>
                <w:t>▼C2</w:t>
              </w:r>
            </w:hyperlink>
          </w:p>
          <w:p w14:paraId="323F5424" w14:textId="77777777" w:rsidR="00124364" w:rsidRPr="002137FB" w:rsidRDefault="00000000" w:rsidP="002137FB">
            <w:pPr>
              <w:pStyle w:val="ti-art"/>
              <w:numPr>
                <w:ilvl w:val="0"/>
                <w:numId w:val="1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Orice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persoană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deține</w:t>
            </w:r>
            <w:proofErr w:type="spellEnd"/>
            <w:r w:rsidRPr="002137FB">
              <w:rPr>
                <w:rFonts w:eastAsia="Arial Unicode MS"/>
                <w:color w:val="000000" w:themeColor="text1"/>
                <w:sz w:val="20"/>
                <w:szCs w:val="20"/>
                <w:shd w:val="clear" w:color="auto" w:fill="FFFFFF"/>
                <w:lang w:val="en-US"/>
              </w:rPr>
              <w:t xml:space="preserve"> certificate. </w:t>
            </w:r>
            <w:proofErr w:type="spellStart"/>
            <w:r w:rsidRPr="002137FB">
              <w:rPr>
                <w:rFonts w:eastAsia="Arial Unicode MS"/>
                <w:color w:val="000000" w:themeColor="text1"/>
                <w:sz w:val="20"/>
                <w:szCs w:val="20"/>
                <w:shd w:val="clear" w:color="auto" w:fill="FFFFFF"/>
                <w:lang w:val="en-US"/>
              </w:rPr>
              <w:t>Registrul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accesibil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publicului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conține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evidențe</w:t>
            </w:r>
            <w:proofErr w:type="spellEnd"/>
            <w:r w:rsidRPr="002137FB">
              <w:rPr>
                <w:rFonts w:eastAsia="Arial Unicode MS"/>
                <w:color w:val="000000" w:themeColor="text1"/>
                <w:sz w:val="20"/>
                <w:szCs w:val="20"/>
                <w:shd w:val="clear" w:color="auto" w:fill="FFFFFF"/>
                <w:lang w:val="en-US"/>
              </w:rPr>
              <w:t xml:space="preserve"> separate în care sunt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deținute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fiecare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persoană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de la care sunt </w:t>
            </w:r>
            <w:proofErr w:type="spellStart"/>
            <w:r w:rsidRPr="002137FB">
              <w:rPr>
                <w:rFonts w:eastAsia="Arial Unicode MS"/>
                <w:color w:val="000000" w:themeColor="text1"/>
                <w:sz w:val="20"/>
                <w:szCs w:val="20"/>
                <w:shd w:val="clear" w:color="auto" w:fill="FFFFFF"/>
                <w:lang w:val="en-US"/>
              </w:rPr>
              <w:t>emise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transferate</w:t>
            </w:r>
            <w:proofErr w:type="spellEnd"/>
            <w:r w:rsidRPr="002137FB">
              <w:rPr>
                <w:rFonts w:eastAsia="Arial Unicode MS"/>
                <w:color w:val="000000" w:themeColor="text1"/>
                <w:sz w:val="20"/>
                <w:szCs w:val="20"/>
                <w:shd w:val="clear" w:color="auto" w:fill="FFFFFF"/>
                <w:lang w:val="en-US"/>
              </w:rPr>
              <w:t xml:space="preserve"> certificate.</w:t>
            </w:r>
          </w:p>
          <w:p w14:paraId="428BB2CF" w14:textId="77777777" w:rsidR="00124364" w:rsidRPr="002137FB" w:rsidRDefault="00000000" w:rsidP="002137FB">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hyperlink r:id="rId266" w:tooltip="32018L0410: REPLACED" w:history="1">
              <w:r w:rsidRPr="002137FB">
                <w:rPr>
                  <w:rStyle w:val="af3"/>
                  <w:rFonts w:eastAsia="Arial Unicode MS"/>
                  <w:b/>
                  <w:bCs/>
                  <w:color w:val="000000" w:themeColor="text1"/>
                  <w:sz w:val="20"/>
                  <w:szCs w:val="20"/>
                </w:rPr>
                <w:t>▼M9</w:t>
              </w:r>
            </w:hyperlink>
          </w:p>
          <w:p w14:paraId="04577EDA" w14:textId="387FEC99" w:rsidR="00124364" w:rsidRPr="002137FB" w:rsidRDefault="00000000" w:rsidP="002137FB">
            <w:pPr>
              <w:pStyle w:val="ti-art"/>
              <w:numPr>
                <w:ilvl w:val="0"/>
                <w:numId w:val="1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împuternicită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adopte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acte</w:t>
            </w:r>
            <w:proofErr w:type="spellEnd"/>
            <w:r w:rsidRPr="002137FB">
              <w:rPr>
                <w:rFonts w:eastAsia="Arial Unicode MS"/>
                <w:color w:val="000000" w:themeColor="text1"/>
                <w:sz w:val="20"/>
                <w:szCs w:val="20"/>
                <w:shd w:val="clear" w:color="auto" w:fill="FFFFFF"/>
                <w:lang w:val="en-US"/>
              </w:rPr>
              <w:t xml:space="preserve"> delegate în conformitate cu </w:t>
            </w:r>
            <w:proofErr w:type="spellStart"/>
            <w:r w:rsidRPr="002137FB">
              <w:rPr>
                <w:rFonts w:eastAsia="Arial Unicode MS"/>
                <w:color w:val="000000" w:themeColor="text1"/>
                <w:sz w:val="20"/>
                <w:szCs w:val="20"/>
                <w:shd w:val="clear" w:color="auto" w:fill="FFFFFF"/>
                <w:lang w:val="en-US"/>
              </w:rPr>
              <w:t>articolul</w:t>
            </w:r>
            <w:proofErr w:type="spellEnd"/>
            <w:r w:rsidR="009B5D3D" w:rsidRP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23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completa</w:t>
            </w:r>
            <w:proofErr w:type="spellEnd"/>
            <w:r w:rsidRPr="002137FB">
              <w:rPr>
                <w:rFonts w:eastAsia="Arial Unicode MS"/>
                <w:color w:val="000000" w:themeColor="text1"/>
                <w:sz w:val="20"/>
                <w:szCs w:val="20"/>
                <w:shd w:val="clear" w:color="auto" w:fill="FFFFFF"/>
                <w:lang w:val="en-US"/>
              </w:rPr>
              <w:t xml:space="preserve">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prin</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stabilirea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tuturor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cerințelor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registrul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perioada de </w:t>
            </w:r>
            <w:proofErr w:type="spellStart"/>
            <w:r w:rsidRPr="002137FB">
              <w:rPr>
                <w:rFonts w:eastAsia="Arial Unicode MS"/>
                <w:color w:val="000000" w:themeColor="text1"/>
                <w:sz w:val="20"/>
                <w:szCs w:val="20"/>
                <w:shd w:val="clear" w:color="auto" w:fill="FFFFFF"/>
                <w:lang w:val="en-US"/>
              </w:rPr>
              <w:t>comercializare</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începe</w:t>
            </w:r>
            <w:proofErr w:type="spellEnd"/>
            <w:r w:rsidRPr="002137FB">
              <w:rPr>
                <w:rFonts w:eastAsia="Arial Unicode MS"/>
                <w:color w:val="000000" w:themeColor="text1"/>
                <w:sz w:val="20"/>
                <w:szCs w:val="20"/>
                <w:shd w:val="clear" w:color="auto" w:fill="FFFFFF"/>
                <w:lang w:val="en-US"/>
              </w:rPr>
              <w:t xml:space="preserve"> la 1</w:t>
            </w:r>
            <w:r w:rsidR="009B5D3D"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ianuarie</w:t>
            </w:r>
            <w:proofErr w:type="spellEnd"/>
            <w:r w:rsidRPr="002137FB">
              <w:rPr>
                <w:rFonts w:eastAsia="Arial Unicode MS"/>
                <w:color w:val="000000" w:themeColor="text1"/>
                <w:sz w:val="20"/>
                <w:szCs w:val="20"/>
                <w:shd w:val="clear" w:color="auto" w:fill="FFFFFF"/>
                <w:lang w:val="en-US"/>
              </w:rPr>
              <w:t xml:space="preserve"> 2013 și </w:t>
            </w:r>
            <w:proofErr w:type="spellStart"/>
            <w:r w:rsidRPr="002137FB">
              <w:rPr>
                <w:rFonts w:eastAsia="Arial Unicode MS"/>
                <w:color w:val="000000" w:themeColor="text1"/>
                <w:sz w:val="20"/>
                <w:szCs w:val="20"/>
                <w:shd w:val="clear" w:color="auto" w:fill="FFFFFF"/>
                <w:lang w:val="en-US"/>
              </w:rPr>
              <w:lastRenderedPageBreak/>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perioadele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ulterioare</w:t>
            </w:r>
            <w:proofErr w:type="spellEnd"/>
            <w:r w:rsidRPr="002137FB">
              <w:rPr>
                <w:rFonts w:eastAsia="Arial Unicode MS"/>
                <w:color w:val="000000" w:themeColor="text1"/>
                <w:sz w:val="20"/>
                <w:szCs w:val="20"/>
                <w:shd w:val="clear" w:color="auto" w:fill="FFFFFF"/>
                <w:lang w:val="en-US"/>
              </w:rPr>
              <w:t xml:space="preserve">, sub forma </w:t>
            </w:r>
            <w:proofErr w:type="spellStart"/>
            <w:r w:rsidRPr="002137FB">
              <w:rPr>
                <w:rFonts w:eastAsia="Arial Unicode MS"/>
                <w:color w:val="000000" w:themeColor="text1"/>
                <w:sz w:val="20"/>
                <w:szCs w:val="20"/>
                <w:shd w:val="clear" w:color="auto" w:fill="FFFFFF"/>
                <w:lang w:val="en-US"/>
              </w:rPr>
              <w:t>bazelor</w:t>
            </w:r>
            <w:proofErr w:type="spellEnd"/>
            <w:r w:rsidRPr="002137FB">
              <w:rPr>
                <w:rFonts w:eastAsia="Arial Unicode MS"/>
                <w:color w:val="000000" w:themeColor="text1"/>
                <w:sz w:val="20"/>
                <w:szCs w:val="20"/>
                <w:shd w:val="clear" w:color="auto" w:fill="FFFFFF"/>
                <w:lang w:val="en-US"/>
              </w:rPr>
              <w:t xml:space="preserve"> de date </w:t>
            </w:r>
            <w:proofErr w:type="spellStart"/>
            <w:r w:rsidRPr="002137FB">
              <w:rPr>
                <w:rFonts w:eastAsia="Arial Unicode MS"/>
                <w:color w:val="000000" w:themeColor="text1"/>
                <w:sz w:val="20"/>
                <w:szCs w:val="20"/>
                <w:shd w:val="clear" w:color="auto" w:fill="FFFFFF"/>
                <w:lang w:val="en-US"/>
              </w:rPr>
              <w:t>electronice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standardizate</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conțin</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elemente</w:t>
            </w:r>
            <w:proofErr w:type="spellEnd"/>
            <w:r w:rsidRPr="002137FB">
              <w:rPr>
                <w:rFonts w:eastAsia="Arial Unicode MS"/>
                <w:color w:val="000000" w:themeColor="text1"/>
                <w:sz w:val="20"/>
                <w:szCs w:val="20"/>
                <w:shd w:val="clear" w:color="auto" w:fill="FFFFFF"/>
                <w:lang w:val="en-US"/>
              </w:rPr>
              <w:t xml:space="preserve"> de date </w:t>
            </w:r>
            <w:proofErr w:type="spellStart"/>
            <w:r w:rsidRPr="002137FB">
              <w:rPr>
                <w:rFonts w:eastAsia="Arial Unicode MS"/>
                <w:color w:val="000000" w:themeColor="text1"/>
                <w:sz w:val="20"/>
                <w:szCs w:val="20"/>
                <w:shd w:val="clear" w:color="auto" w:fill="FFFFFF"/>
                <w:lang w:val="en-US"/>
              </w:rPr>
              <w:t>comune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folosite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urmărirea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emiterii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deținerii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transferului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anulării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prevedea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dispoziții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referitoare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accesul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publicului</w:t>
            </w:r>
            <w:proofErr w:type="spellEnd"/>
            <w:r w:rsidRPr="002137FB">
              <w:rPr>
                <w:rFonts w:eastAsia="Arial Unicode MS"/>
                <w:color w:val="000000" w:themeColor="text1"/>
                <w:sz w:val="20"/>
                <w:szCs w:val="20"/>
                <w:shd w:val="clear" w:color="auto" w:fill="FFFFFF"/>
                <w:lang w:val="en-US"/>
              </w:rPr>
              <w:t xml:space="preserve"> și la </w:t>
            </w:r>
            <w:proofErr w:type="spellStart"/>
            <w:r w:rsidRPr="002137FB">
              <w:rPr>
                <w:rFonts w:eastAsia="Arial Unicode MS"/>
                <w:color w:val="000000" w:themeColor="text1"/>
                <w:sz w:val="20"/>
                <w:szCs w:val="20"/>
                <w:shd w:val="clear" w:color="auto" w:fill="FFFFFF"/>
                <w:lang w:val="en-US"/>
              </w:rPr>
              <w:t>confidențialitate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Actele</w:t>
            </w:r>
            <w:proofErr w:type="spellEnd"/>
            <w:r w:rsidRPr="002137FB">
              <w:rPr>
                <w:rFonts w:eastAsia="Arial Unicode MS"/>
                <w:color w:val="000000" w:themeColor="text1"/>
                <w:sz w:val="20"/>
                <w:szCs w:val="20"/>
                <w:shd w:val="clear" w:color="auto" w:fill="FFFFFF"/>
                <w:lang w:val="en-US"/>
              </w:rPr>
              <w:t xml:space="preserve"> delegate respective </w:t>
            </w:r>
            <w:proofErr w:type="spellStart"/>
            <w:r w:rsidRPr="002137FB">
              <w:rPr>
                <w:rFonts w:eastAsia="Arial Unicode MS"/>
                <w:color w:val="000000" w:themeColor="text1"/>
                <w:sz w:val="20"/>
                <w:szCs w:val="20"/>
                <w:shd w:val="clear" w:color="auto" w:fill="FFFFFF"/>
                <w:lang w:val="en-US"/>
              </w:rPr>
              <w:t>includ</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dispoziții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introduce </w:t>
            </w:r>
            <w:proofErr w:type="spellStart"/>
            <w:r w:rsidRPr="002137FB">
              <w:rPr>
                <w:rFonts w:eastAsia="Arial Unicode MS"/>
                <w:color w:val="000000" w:themeColor="text1"/>
                <w:sz w:val="20"/>
                <w:szCs w:val="20"/>
                <w:shd w:val="clear" w:color="auto" w:fill="FFFFFF"/>
                <w:lang w:val="en-US"/>
              </w:rPr>
              <w:t>norme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recunoașterea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reciprocă</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acordurile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conectare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sistemelor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comercializare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w:t>
            </w:r>
          </w:p>
          <w:p w14:paraId="2BAA27E5" w14:textId="77777777" w:rsidR="00124364" w:rsidRPr="002137FB" w:rsidRDefault="00000000" w:rsidP="002137FB">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hyperlink r:id="rId267" w:tooltip="32009L0029: INSERTED" w:history="1">
              <w:r w:rsidRPr="002137FB">
                <w:rPr>
                  <w:rStyle w:val="af3"/>
                  <w:rFonts w:ascii="Arial Unicode MS" w:eastAsia="Arial Unicode MS" w:hAnsi="Arial Unicode MS" w:cs="Arial Unicode MS" w:hint="eastAsia"/>
                  <w:b/>
                  <w:bCs/>
                  <w:color w:val="000000" w:themeColor="text1"/>
                  <w:sz w:val="21"/>
                  <w:szCs w:val="21"/>
                </w:rPr>
                <w:t>▼M4</w:t>
              </w:r>
            </w:hyperlink>
          </w:p>
          <w:p w14:paraId="39C94699" w14:textId="213B4518" w:rsidR="00124364" w:rsidRPr="002137FB" w:rsidRDefault="00000000" w:rsidP="002137FB">
            <w:pPr>
              <w:pStyle w:val="ti-art"/>
              <w:numPr>
                <w:ilvl w:val="0"/>
                <w:numId w:val="1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hyperlink r:id="rId268" w:tooltip="32018L0410: REPLACED" w:history="1">
              <w:r w:rsidRPr="002137FB">
                <w:rPr>
                  <w:rStyle w:val="boldface"/>
                  <w:rFonts w:eastAsia="Arial Unicode MS"/>
                  <w:b/>
                  <w:bCs/>
                  <w:color w:val="000000" w:themeColor="text1"/>
                  <w:sz w:val="20"/>
                  <w:szCs w:val="20"/>
                  <w:lang w:val="en-US"/>
                </w:rPr>
                <w:t>►M9</w:t>
              </w:r>
            </w:hyperlink>
            <w:r w:rsidRPr="002137FB">
              <w:rPr>
                <w:rFonts w:eastAsia="Arial Unicode MS"/>
                <w:color w:val="000000" w:themeColor="text1"/>
                <w:sz w:val="20"/>
                <w:szCs w:val="20"/>
                <w:shd w:val="clear" w:color="auto" w:fill="FFFFFF"/>
                <w:lang w:val="en-US"/>
              </w:rPr>
              <w:t>Actele</w:t>
            </w:r>
            <w:r w:rsidR="009B5D3D" w:rsidRPr="002137FB">
              <w:rPr>
                <w:rStyle w:val="boldface"/>
                <w:rFonts w:eastAsia="Arial Unicode MS"/>
                <w:b/>
                <w:bCs/>
                <w:color w:val="000000" w:themeColor="text1"/>
                <w:sz w:val="20"/>
                <w:szCs w:val="20"/>
                <w:lang w:val="en-US"/>
              </w:rPr>
              <w:t xml:space="preserve"> </w:t>
            </w:r>
            <w:r w:rsidRPr="002137FB">
              <w:rPr>
                <w:rStyle w:val="boldface"/>
                <w:rFonts w:eastAsia="Arial Unicode MS"/>
                <w:b/>
                <w:bCs/>
                <w:color w:val="000000" w:themeColor="text1"/>
                <w:sz w:val="20"/>
                <w:szCs w:val="20"/>
                <w:lang w:val="en-US"/>
              </w:rPr>
              <w:t>◄</w:t>
            </w:r>
            <w:r w:rsidR="009B5D3D" w:rsidRPr="002137FB">
              <w:rPr>
                <w:rStyle w:val="apple-converted-space"/>
                <w:rFonts w:eastAsia="Arial Unicode MS"/>
                <w:b/>
                <w:bCs/>
                <w:color w:val="000000" w:themeColor="text1"/>
                <w:sz w:val="20"/>
                <w:szCs w:val="20"/>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(3) </w:t>
            </w:r>
            <w:proofErr w:type="spellStart"/>
            <w:r w:rsidRPr="002137FB">
              <w:rPr>
                <w:rFonts w:eastAsia="Arial Unicode MS"/>
                <w:color w:val="000000" w:themeColor="text1"/>
                <w:sz w:val="20"/>
                <w:szCs w:val="20"/>
                <w:shd w:val="clear" w:color="auto" w:fill="FFFFFF"/>
                <w:lang w:val="en-US"/>
              </w:rPr>
              <w:t>prevăd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modalitățile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adecvate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ca </w:t>
            </w:r>
            <w:proofErr w:type="spellStart"/>
            <w:r w:rsidRPr="002137FB">
              <w:rPr>
                <w:rFonts w:eastAsia="Arial Unicode MS"/>
                <w:color w:val="000000" w:themeColor="text1"/>
                <w:sz w:val="20"/>
                <w:szCs w:val="20"/>
                <w:shd w:val="clear" w:color="auto" w:fill="FFFFFF"/>
                <w:lang w:val="en-US"/>
              </w:rPr>
              <w:t>registrul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comunitar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poată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efectua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tranzacții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alte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operațiuni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procedurilor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Pr="002137FB">
              <w:rPr>
                <w:rFonts w:eastAsia="Arial Unicode MS"/>
                <w:color w:val="000000" w:themeColor="text1"/>
                <w:sz w:val="20"/>
                <w:szCs w:val="20"/>
                <w:shd w:val="clear" w:color="auto" w:fill="FFFFFF"/>
                <w:lang w:val="en-US"/>
              </w:rPr>
              <w:t xml:space="preserve"> 25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(1b).</w:t>
            </w:r>
            <w:r w:rsidRPr="002137FB">
              <w:rPr>
                <w:color w:val="000000" w:themeColor="text1"/>
              </w:rPr>
              <w:fldChar w:fldCharType="begin"/>
            </w:r>
            <w:r w:rsidRPr="002137FB">
              <w:rPr>
                <w:color w:val="000000" w:themeColor="text1"/>
                <w:lang w:val="en-US"/>
              </w:rPr>
              <w:instrText>HYPERLINK "https://eur-lex.europa.eu/legal-content/RO/AUTO/?uri=celex:32018L0410" \o "32018L0410: REPLACED"</w:instrText>
            </w:r>
            <w:r w:rsidRPr="002137FB">
              <w:rPr>
                <w:color w:val="000000" w:themeColor="text1"/>
              </w:rPr>
            </w:r>
            <w:r w:rsidRPr="002137FB">
              <w:rPr>
                <w:color w:val="000000" w:themeColor="text1"/>
              </w:rPr>
              <w:fldChar w:fldCharType="separate"/>
            </w:r>
            <w:r w:rsidRPr="002137FB">
              <w:rPr>
                <w:rStyle w:val="boldface"/>
                <w:rFonts w:eastAsia="Arial Unicode MS"/>
                <w:b/>
                <w:bCs/>
                <w:color w:val="000000" w:themeColor="text1"/>
                <w:sz w:val="20"/>
                <w:szCs w:val="20"/>
                <w:lang w:val="en-US"/>
              </w:rPr>
              <w:t>►M9</w:t>
            </w:r>
            <w:r w:rsidRPr="002137FB">
              <w:rPr>
                <w:rStyle w:val="apple-converted-space"/>
                <w:rFonts w:eastAsia="Arial Unicode MS"/>
                <w:color w:val="000000" w:themeColor="text1"/>
                <w:sz w:val="20"/>
                <w:szCs w:val="20"/>
                <w:lang w:val="en-US"/>
              </w:rPr>
              <w:fldChar w:fldCharType="end"/>
            </w:r>
            <w:r w:rsidRPr="002137FB">
              <w:rPr>
                <w:rFonts w:eastAsia="Arial Unicode MS"/>
                <w:color w:val="000000" w:themeColor="text1"/>
                <w:sz w:val="20"/>
                <w:szCs w:val="20"/>
                <w:shd w:val="clear" w:color="auto" w:fill="FFFFFF"/>
                <w:lang w:val="en-US"/>
              </w:rPr>
              <w:t>Actele</w:t>
            </w:r>
            <w:r w:rsidRPr="002137FB">
              <w:rPr>
                <w:rStyle w:val="boldface"/>
                <w:rFonts w:eastAsia="Arial Unicode MS"/>
                <w:b/>
                <w:bCs/>
                <w:color w:val="000000" w:themeColor="text1"/>
                <w:sz w:val="20"/>
                <w:szCs w:val="20"/>
                <w:lang w:val="en-US"/>
              </w:rPr>
              <w:t>◄</w:t>
            </w:r>
            <w:r w:rsidRPr="002137FB">
              <w:rPr>
                <w:rFonts w:eastAsia="Arial Unicode MS"/>
                <w:color w:val="000000" w:themeColor="text1"/>
                <w:sz w:val="20"/>
                <w:szCs w:val="20"/>
                <w:shd w:val="clear" w:color="auto" w:fill="FFFFFF"/>
                <w:lang w:val="en-US"/>
              </w:rPr>
              <w:t xml:space="preserve">în </w:t>
            </w:r>
            <w:proofErr w:type="spellStart"/>
            <w:r w:rsidRPr="002137FB">
              <w:rPr>
                <w:rFonts w:eastAsia="Arial Unicode MS"/>
                <w:color w:val="000000" w:themeColor="text1"/>
                <w:sz w:val="20"/>
                <w:szCs w:val="20"/>
                <w:shd w:val="clear" w:color="auto" w:fill="FFFFFF"/>
                <w:lang w:val="en-US"/>
              </w:rPr>
              <w:t>cauză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includ</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procesele</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gestionarea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schimbării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incidentelor</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cadrul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registrului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comunitar</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chestiunile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(1) din </w:t>
            </w:r>
            <w:proofErr w:type="spellStart"/>
            <w:r w:rsidRPr="002137FB">
              <w:rPr>
                <w:rFonts w:eastAsia="Arial Unicode MS"/>
                <w:color w:val="000000" w:themeColor="text1"/>
                <w:sz w:val="20"/>
                <w:szCs w:val="20"/>
                <w:shd w:val="clear" w:color="auto" w:fill="FFFFFF"/>
                <w:lang w:val="en-US"/>
              </w:rPr>
              <w:t>prezentul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articol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Acestea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modalitățile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adecvate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prin</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registrul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comunitar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asigure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inițiativele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măsurile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îmbunătățirea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eficienței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gestionarea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costurilor</w:t>
            </w:r>
            <w:proofErr w:type="spellEnd"/>
            <w:r w:rsidRPr="002137FB">
              <w:rPr>
                <w:rFonts w:eastAsia="Arial Unicode MS"/>
                <w:color w:val="000000" w:themeColor="text1"/>
                <w:sz w:val="20"/>
                <w:szCs w:val="20"/>
                <w:shd w:val="clear" w:color="auto" w:fill="FFFFFF"/>
                <w:lang w:val="en-US"/>
              </w:rPr>
              <w:t xml:space="preserve"> administrative și </w:t>
            </w:r>
            <w:proofErr w:type="spellStart"/>
            <w:r w:rsidRPr="002137FB">
              <w:rPr>
                <w:rFonts w:eastAsia="Arial Unicode MS"/>
                <w:color w:val="000000" w:themeColor="text1"/>
                <w:sz w:val="20"/>
                <w:szCs w:val="20"/>
                <w:shd w:val="clear" w:color="auto" w:fill="FFFFFF"/>
                <w:lang w:val="en-US"/>
              </w:rPr>
              <w:t>controlul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calității</w:t>
            </w:r>
            <w:proofErr w:type="spellEnd"/>
            <w:r w:rsidRPr="002137FB">
              <w:rPr>
                <w:rFonts w:eastAsia="Arial Unicode MS"/>
                <w:color w:val="000000" w:themeColor="text1"/>
                <w:sz w:val="20"/>
                <w:szCs w:val="20"/>
                <w:shd w:val="clear" w:color="auto" w:fill="FFFFFF"/>
                <w:lang w:val="en-US"/>
              </w:rPr>
              <w:t xml:space="preserve"> sunt </w:t>
            </w:r>
            <w:proofErr w:type="spellStart"/>
            <w:r w:rsidRPr="002137FB">
              <w:rPr>
                <w:rFonts w:eastAsia="Arial Unicode MS"/>
                <w:color w:val="000000" w:themeColor="text1"/>
                <w:sz w:val="20"/>
                <w:szCs w:val="20"/>
                <w:shd w:val="clear" w:color="auto" w:fill="FFFFFF"/>
                <w:lang w:val="en-US"/>
              </w:rPr>
              <w:t>realizabile</w:t>
            </w:r>
            <w:proofErr w:type="spellEnd"/>
            <w:r w:rsidRPr="002137FB">
              <w:rPr>
                <w:rFonts w:eastAsia="Arial Unicode MS"/>
                <w:color w:val="000000" w:themeColor="text1"/>
                <w:sz w:val="20"/>
                <w:szCs w:val="20"/>
                <w:shd w:val="clear" w:color="auto" w:fill="FFFFFF"/>
                <w:lang w:val="en-US"/>
              </w:rPr>
              <w:t>.</w:t>
            </w:r>
          </w:p>
          <w:p w14:paraId="79A61D37"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69" w:tooltip="32003L0087" w:history="1">
              <w:r>
                <w:rPr>
                  <w:rStyle w:val="af3"/>
                  <w:rFonts w:eastAsia="Arial Unicode MS"/>
                  <w:b/>
                  <w:bCs/>
                  <w:color w:val="4472C4" w:themeColor="accent1"/>
                  <w:sz w:val="20"/>
                  <w:szCs w:val="20"/>
                </w:rPr>
                <w:t>▼B</w:t>
              </w:r>
            </w:hyperlink>
          </w:p>
        </w:tc>
        <w:tc>
          <w:tcPr>
            <w:tcW w:w="4394" w:type="dxa"/>
            <w:shd w:val="clear" w:color="auto" w:fill="auto"/>
          </w:tcPr>
          <w:p w14:paraId="74BBCBA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EE65528" w14:textId="0B58B315" w:rsidR="00124364" w:rsidRDefault="002137FB" w:rsidP="002137F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655DED72"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F6B094D" w14:textId="18067026" w:rsidR="00124364" w:rsidRDefault="002137F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3B4ECF61"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608585CD" w14:textId="77777777">
        <w:trPr>
          <w:trHeight w:val="558"/>
        </w:trPr>
        <w:tc>
          <w:tcPr>
            <w:tcW w:w="4957" w:type="dxa"/>
            <w:shd w:val="clear" w:color="auto" w:fill="auto"/>
          </w:tcPr>
          <w:p w14:paraId="3473F9EE" w14:textId="77777777" w:rsidR="00124364" w:rsidRPr="009B5D3D"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9B5D3D">
              <w:rPr>
                <w:rFonts w:eastAsia="Arial Unicode MS"/>
                <w:i/>
                <w:iCs/>
                <w:color w:val="000000" w:themeColor="text1"/>
                <w:sz w:val="20"/>
                <w:szCs w:val="20"/>
                <w:shd w:val="clear" w:color="auto" w:fill="FFFFFF"/>
              </w:rPr>
              <w:t>Articolul</w:t>
            </w:r>
            <w:proofErr w:type="spellEnd"/>
            <w:r w:rsidRPr="009B5D3D">
              <w:rPr>
                <w:rFonts w:eastAsia="Arial Unicode MS"/>
                <w:i/>
                <w:iCs/>
                <w:color w:val="000000" w:themeColor="text1"/>
                <w:sz w:val="20"/>
                <w:szCs w:val="20"/>
                <w:shd w:val="clear" w:color="auto" w:fill="FFFFFF"/>
              </w:rPr>
              <w:t xml:space="preserve"> 20</w:t>
            </w:r>
          </w:p>
          <w:p w14:paraId="6047FDDE" w14:textId="77777777" w:rsidR="00124364" w:rsidRPr="009B5D3D"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9B5D3D">
              <w:rPr>
                <w:rFonts w:eastAsia="Arial Unicode MS"/>
                <w:b/>
                <w:bCs/>
                <w:color w:val="000000" w:themeColor="text1"/>
                <w:sz w:val="20"/>
                <w:szCs w:val="20"/>
                <w:shd w:val="clear" w:color="auto" w:fill="FFFFFF"/>
              </w:rPr>
              <w:t>Administratorul</w:t>
            </w:r>
            <w:proofErr w:type="spellEnd"/>
            <w:r w:rsidRPr="009B5D3D">
              <w:rPr>
                <w:rFonts w:eastAsia="Arial Unicode MS"/>
                <w:b/>
                <w:bCs/>
                <w:color w:val="000000" w:themeColor="text1"/>
                <w:sz w:val="20"/>
                <w:szCs w:val="20"/>
                <w:shd w:val="clear" w:color="auto" w:fill="FFFFFF"/>
              </w:rPr>
              <w:t xml:space="preserve"> </w:t>
            </w:r>
            <w:proofErr w:type="spellStart"/>
            <w:r w:rsidRPr="009B5D3D">
              <w:rPr>
                <w:rFonts w:eastAsia="Arial Unicode MS"/>
                <w:b/>
                <w:bCs/>
                <w:color w:val="000000" w:themeColor="text1"/>
                <w:sz w:val="20"/>
                <w:szCs w:val="20"/>
                <w:shd w:val="clear" w:color="auto" w:fill="FFFFFF"/>
              </w:rPr>
              <w:t>central</w:t>
            </w:r>
            <w:proofErr w:type="spellEnd"/>
          </w:p>
          <w:p w14:paraId="44E328C1" w14:textId="77777777" w:rsidR="00124364" w:rsidRDefault="00000000">
            <w:pPr>
              <w:pStyle w:val="ti-art"/>
              <w:shd w:val="clear" w:color="auto" w:fill="FFFFFF"/>
              <w:spacing w:before="0" w:beforeAutospacing="0" w:after="0" w:afterAutospacing="0"/>
              <w:rPr>
                <w:color w:val="4472C4" w:themeColor="accent1"/>
                <w:sz w:val="20"/>
                <w:szCs w:val="20"/>
              </w:rPr>
            </w:pPr>
            <w:hyperlink r:id="rId270" w:tooltip="32003L0087R(06): REPLACED" w:history="1">
              <w:r>
                <w:rPr>
                  <w:rStyle w:val="af3"/>
                  <w:rFonts w:eastAsia="Arial Unicode MS"/>
                  <w:b/>
                  <w:bCs/>
                  <w:color w:val="4472C4" w:themeColor="accent1"/>
                  <w:sz w:val="20"/>
                  <w:szCs w:val="20"/>
                </w:rPr>
                <w:t>▼C2</w:t>
              </w:r>
            </w:hyperlink>
          </w:p>
          <w:p w14:paraId="599F5EA9" w14:textId="77777777" w:rsidR="00124364" w:rsidRPr="009B5D3D" w:rsidRDefault="00000000" w:rsidP="009B5D3D">
            <w:pPr>
              <w:pStyle w:val="ti-art"/>
              <w:numPr>
                <w:ilvl w:val="0"/>
                <w:numId w:val="1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Comisia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desemnează</w:t>
            </w:r>
            <w:proofErr w:type="spellEnd"/>
            <w:r w:rsidRPr="009B5D3D">
              <w:rPr>
                <w:rFonts w:eastAsia="Arial Unicode MS"/>
                <w:color w:val="000000" w:themeColor="text1"/>
                <w:sz w:val="20"/>
                <w:szCs w:val="20"/>
                <w:shd w:val="clear" w:color="auto" w:fill="FFFFFF"/>
                <w:lang w:val="en-US"/>
              </w:rPr>
              <w:t xml:space="preserve"> un administrator central care </w:t>
            </w:r>
            <w:proofErr w:type="spellStart"/>
            <w:r w:rsidRPr="009B5D3D">
              <w:rPr>
                <w:rFonts w:eastAsia="Arial Unicode MS"/>
                <w:color w:val="000000" w:themeColor="text1"/>
                <w:sz w:val="20"/>
                <w:szCs w:val="20"/>
                <w:shd w:val="clear" w:color="auto" w:fill="FFFFFF"/>
                <w:lang w:val="en-US"/>
              </w:rPr>
              <w:t>păstrează</w:t>
            </w:r>
            <w:proofErr w:type="spellEnd"/>
            <w:r w:rsidRPr="009B5D3D">
              <w:rPr>
                <w:rFonts w:eastAsia="Arial Unicode MS"/>
                <w:color w:val="000000" w:themeColor="text1"/>
                <w:sz w:val="20"/>
                <w:szCs w:val="20"/>
                <w:shd w:val="clear" w:color="auto" w:fill="FFFFFF"/>
                <w:lang w:val="en-US"/>
              </w:rPr>
              <w:t xml:space="preserve"> un </w:t>
            </w:r>
            <w:proofErr w:type="spellStart"/>
            <w:r w:rsidRPr="009B5D3D">
              <w:rPr>
                <w:rFonts w:eastAsia="Arial Unicode MS"/>
                <w:color w:val="000000" w:themeColor="text1"/>
                <w:sz w:val="20"/>
                <w:szCs w:val="20"/>
                <w:shd w:val="clear" w:color="auto" w:fill="FFFFFF"/>
                <w:lang w:val="en-US"/>
              </w:rPr>
              <w:t>registru</w:t>
            </w:r>
            <w:proofErr w:type="spellEnd"/>
            <w:r w:rsidRPr="009B5D3D">
              <w:rPr>
                <w:rFonts w:eastAsia="Arial Unicode MS"/>
                <w:color w:val="000000" w:themeColor="text1"/>
                <w:sz w:val="20"/>
                <w:szCs w:val="20"/>
                <w:shd w:val="clear" w:color="auto" w:fill="FFFFFF"/>
                <w:lang w:val="en-US"/>
              </w:rPr>
              <w:t xml:space="preserve"> independent </w:t>
            </w:r>
            <w:proofErr w:type="spellStart"/>
            <w:r w:rsidRPr="009B5D3D">
              <w:rPr>
                <w:rFonts w:eastAsia="Arial Unicode MS"/>
                <w:color w:val="000000" w:themeColor="text1"/>
                <w:sz w:val="20"/>
                <w:szCs w:val="20"/>
                <w:shd w:val="clear" w:color="auto" w:fill="FFFFFF"/>
                <w:lang w:val="en-US"/>
              </w:rPr>
              <w:t>privind</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tranzacțiile</w:t>
            </w:r>
            <w:proofErr w:type="spellEnd"/>
            <w:r w:rsidRPr="009B5D3D">
              <w:rPr>
                <w:rFonts w:eastAsia="Arial Unicode MS"/>
                <w:color w:val="000000" w:themeColor="text1"/>
                <w:sz w:val="20"/>
                <w:szCs w:val="20"/>
                <w:shd w:val="clear" w:color="auto" w:fill="FFFFFF"/>
                <w:lang w:val="en-US"/>
              </w:rPr>
              <w:t xml:space="preserve"> în care </w:t>
            </w:r>
            <w:proofErr w:type="spellStart"/>
            <w:r w:rsidRPr="009B5D3D">
              <w:rPr>
                <w:rFonts w:eastAsia="Arial Unicode MS"/>
                <w:color w:val="000000" w:themeColor="text1"/>
                <w:sz w:val="20"/>
                <w:szCs w:val="20"/>
                <w:shd w:val="clear" w:color="auto" w:fill="FFFFFF"/>
                <w:lang w:val="en-US"/>
              </w:rPr>
              <w:t>înregistrează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emiterea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transferul</w:t>
            </w:r>
            <w:proofErr w:type="spellEnd"/>
            <w:r w:rsidRPr="009B5D3D">
              <w:rPr>
                <w:rFonts w:eastAsia="Arial Unicode MS"/>
                <w:color w:val="000000" w:themeColor="text1"/>
                <w:sz w:val="20"/>
                <w:szCs w:val="20"/>
                <w:shd w:val="clear" w:color="auto" w:fill="FFFFFF"/>
                <w:lang w:val="en-US"/>
              </w:rPr>
              <w:t xml:space="preserve"> și </w:t>
            </w:r>
            <w:proofErr w:type="spellStart"/>
            <w:r w:rsidRPr="009B5D3D">
              <w:rPr>
                <w:rFonts w:eastAsia="Arial Unicode MS"/>
                <w:color w:val="000000" w:themeColor="text1"/>
                <w:sz w:val="20"/>
                <w:szCs w:val="20"/>
                <w:shd w:val="clear" w:color="auto" w:fill="FFFFFF"/>
                <w:lang w:val="en-US"/>
              </w:rPr>
              <w:t>anularea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certificatelor</w:t>
            </w:r>
            <w:proofErr w:type="spellEnd"/>
            <w:r w:rsidRPr="009B5D3D">
              <w:rPr>
                <w:rFonts w:eastAsia="Arial Unicode MS"/>
                <w:color w:val="000000" w:themeColor="text1"/>
                <w:sz w:val="20"/>
                <w:szCs w:val="20"/>
                <w:shd w:val="clear" w:color="auto" w:fill="FFFFFF"/>
                <w:lang w:val="en-US"/>
              </w:rPr>
              <w:t>.</w:t>
            </w:r>
          </w:p>
          <w:p w14:paraId="51FF5E79" w14:textId="77777777" w:rsidR="00124364" w:rsidRPr="009B5D3D" w:rsidRDefault="00000000" w:rsidP="009B5D3D">
            <w:pPr>
              <w:pStyle w:val="ti-art"/>
              <w:numPr>
                <w:ilvl w:val="0"/>
                <w:numId w:val="1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Administratorul</w:t>
            </w:r>
            <w:proofErr w:type="spellEnd"/>
            <w:r w:rsidRPr="009B5D3D">
              <w:rPr>
                <w:rFonts w:eastAsia="Arial Unicode MS"/>
                <w:color w:val="000000" w:themeColor="text1"/>
                <w:sz w:val="20"/>
                <w:szCs w:val="20"/>
                <w:shd w:val="clear" w:color="auto" w:fill="FFFFFF"/>
                <w:lang w:val="en-US"/>
              </w:rPr>
              <w:t xml:space="preserve"> central efectuează un control </w:t>
            </w:r>
            <w:proofErr w:type="spellStart"/>
            <w:r w:rsidRPr="009B5D3D">
              <w:rPr>
                <w:rFonts w:eastAsia="Arial Unicode MS"/>
                <w:color w:val="000000" w:themeColor="text1"/>
                <w:sz w:val="20"/>
                <w:szCs w:val="20"/>
                <w:shd w:val="clear" w:color="auto" w:fill="FFFFFF"/>
                <w:lang w:val="en-US"/>
              </w:rPr>
              <w:t>automatizat</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asupra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fiecărei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tranzacții</w:t>
            </w:r>
            <w:proofErr w:type="spellEnd"/>
            <w:r w:rsidRPr="009B5D3D">
              <w:rPr>
                <w:rFonts w:eastAsia="Arial Unicode MS"/>
                <w:color w:val="000000" w:themeColor="text1"/>
                <w:sz w:val="20"/>
                <w:szCs w:val="20"/>
                <w:shd w:val="clear" w:color="auto" w:fill="FFFFFF"/>
                <w:lang w:val="en-US"/>
              </w:rPr>
              <w:t xml:space="preserve"> din </w:t>
            </w:r>
            <w:proofErr w:type="spellStart"/>
            <w:r w:rsidRPr="009B5D3D">
              <w:rPr>
                <w:rFonts w:eastAsia="Arial Unicode MS"/>
                <w:color w:val="000000" w:themeColor="text1"/>
                <w:sz w:val="20"/>
                <w:szCs w:val="20"/>
                <w:shd w:val="clear" w:color="auto" w:fill="FFFFFF"/>
                <w:lang w:val="en-US"/>
              </w:rPr>
              <w:t>registre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intermediul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registrului</w:t>
            </w:r>
            <w:proofErr w:type="spellEnd"/>
            <w:r w:rsidRPr="009B5D3D">
              <w:rPr>
                <w:rFonts w:eastAsia="Arial Unicode MS"/>
                <w:color w:val="000000" w:themeColor="text1"/>
                <w:sz w:val="20"/>
                <w:szCs w:val="20"/>
                <w:shd w:val="clear" w:color="auto" w:fill="FFFFFF"/>
                <w:lang w:val="en-US"/>
              </w:rPr>
              <w:t xml:space="preserve"> independent </w:t>
            </w:r>
            <w:proofErr w:type="spellStart"/>
            <w:r w:rsidRPr="009B5D3D">
              <w:rPr>
                <w:rFonts w:eastAsia="Arial Unicode MS"/>
                <w:color w:val="000000" w:themeColor="text1"/>
                <w:sz w:val="20"/>
                <w:szCs w:val="20"/>
                <w:shd w:val="clear" w:color="auto" w:fill="FFFFFF"/>
                <w:lang w:val="en-US"/>
              </w:rPr>
              <w:t>privind</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tranzacțiile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a se </w:t>
            </w:r>
            <w:proofErr w:type="spellStart"/>
            <w:r w:rsidRPr="009B5D3D">
              <w:rPr>
                <w:rFonts w:eastAsia="Arial Unicode MS"/>
                <w:color w:val="000000" w:themeColor="text1"/>
                <w:sz w:val="20"/>
                <w:szCs w:val="20"/>
                <w:shd w:val="clear" w:color="auto" w:fill="FFFFFF"/>
                <w:lang w:val="en-US"/>
              </w:rPr>
              <w:t>asigura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că</w:t>
            </w:r>
            <w:proofErr w:type="spellEnd"/>
            <w:r w:rsidRPr="009B5D3D">
              <w:rPr>
                <w:rFonts w:eastAsia="Arial Unicode MS"/>
                <w:color w:val="000000" w:themeColor="text1"/>
                <w:sz w:val="20"/>
                <w:szCs w:val="20"/>
                <w:shd w:val="clear" w:color="auto" w:fill="FFFFFF"/>
                <w:lang w:val="en-US"/>
              </w:rPr>
              <w:t xml:space="preserve"> nu există </w:t>
            </w:r>
            <w:proofErr w:type="spellStart"/>
            <w:r w:rsidRPr="009B5D3D">
              <w:rPr>
                <w:rFonts w:eastAsia="Arial Unicode MS"/>
                <w:color w:val="000000" w:themeColor="text1"/>
                <w:sz w:val="20"/>
                <w:szCs w:val="20"/>
                <w:shd w:val="clear" w:color="auto" w:fill="FFFFFF"/>
                <w:lang w:val="en-US"/>
              </w:rPr>
              <w:t>neregularități</w:t>
            </w:r>
            <w:proofErr w:type="spellEnd"/>
            <w:r w:rsidRPr="009B5D3D">
              <w:rPr>
                <w:rFonts w:eastAsia="Arial Unicode MS"/>
                <w:color w:val="000000" w:themeColor="text1"/>
                <w:sz w:val="20"/>
                <w:szCs w:val="20"/>
                <w:shd w:val="clear" w:color="auto" w:fill="FFFFFF"/>
                <w:lang w:val="en-US"/>
              </w:rPr>
              <w:t xml:space="preserve"> legate de </w:t>
            </w:r>
            <w:proofErr w:type="spellStart"/>
            <w:r w:rsidRPr="009B5D3D">
              <w:rPr>
                <w:rFonts w:eastAsia="Arial Unicode MS"/>
                <w:color w:val="000000" w:themeColor="text1"/>
                <w:sz w:val="20"/>
                <w:szCs w:val="20"/>
                <w:shd w:val="clear" w:color="auto" w:fill="FFFFFF"/>
                <w:lang w:val="en-US"/>
              </w:rPr>
              <w:t>emiterea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transferul</w:t>
            </w:r>
            <w:proofErr w:type="spellEnd"/>
            <w:r w:rsidRPr="009B5D3D">
              <w:rPr>
                <w:rFonts w:eastAsia="Arial Unicode MS"/>
                <w:color w:val="000000" w:themeColor="text1"/>
                <w:sz w:val="20"/>
                <w:szCs w:val="20"/>
                <w:shd w:val="clear" w:color="auto" w:fill="FFFFFF"/>
                <w:lang w:val="en-US"/>
              </w:rPr>
              <w:t xml:space="preserve"> și </w:t>
            </w:r>
            <w:proofErr w:type="spellStart"/>
            <w:r w:rsidRPr="009B5D3D">
              <w:rPr>
                <w:rFonts w:eastAsia="Arial Unicode MS"/>
                <w:color w:val="000000" w:themeColor="text1"/>
                <w:sz w:val="20"/>
                <w:szCs w:val="20"/>
                <w:shd w:val="clear" w:color="auto" w:fill="FFFFFF"/>
                <w:lang w:val="en-US"/>
              </w:rPr>
              <w:t>anularea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certificatelor</w:t>
            </w:r>
            <w:proofErr w:type="spellEnd"/>
            <w:r w:rsidRPr="009B5D3D">
              <w:rPr>
                <w:rFonts w:eastAsia="Arial Unicode MS"/>
                <w:color w:val="000000" w:themeColor="text1"/>
                <w:sz w:val="20"/>
                <w:szCs w:val="20"/>
                <w:shd w:val="clear" w:color="auto" w:fill="FFFFFF"/>
                <w:lang w:val="en-US"/>
              </w:rPr>
              <w:t>.</w:t>
            </w:r>
          </w:p>
          <w:p w14:paraId="4CD82312" w14:textId="77777777" w:rsidR="00124364" w:rsidRPr="009B5D3D" w:rsidRDefault="00000000" w:rsidP="009B5D3D">
            <w:pPr>
              <w:pStyle w:val="ti-art"/>
              <w:numPr>
                <w:ilvl w:val="0"/>
                <w:numId w:val="1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B5D3D">
              <w:rPr>
                <w:rFonts w:eastAsia="Arial Unicode MS"/>
                <w:color w:val="000000" w:themeColor="text1"/>
                <w:sz w:val="20"/>
                <w:szCs w:val="20"/>
                <w:shd w:val="clear" w:color="auto" w:fill="FFFFFF"/>
                <w:lang w:val="en-US"/>
              </w:rPr>
              <w:t xml:space="preserve">În </w:t>
            </w:r>
            <w:proofErr w:type="spellStart"/>
            <w:r w:rsidRPr="009B5D3D">
              <w:rPr>
                <w:rFonts w:eastAsia="Arial Unicode MS"/>
                <w:color w:val="000000" w:themeColor="text1"/>
                <w:sz w:val="20"/>
                <w:szCs w:val="20"/>
                <w:shd w:val="clear" w:color="auto" w:fill="FFFFFF"/>
                <w:lang w:val="en-US"/>
              </w:rPr>
              <w:t>cazul</w:t>
            </w:r>
            <w:proofErr w:type="spellEnd"/>
            <w:r w:rsidRPr="009B5D3D">
              <w:rPr>
                <w:rFonts w:eastAsia="Arial Unicode MS"/>
                <w:color w:val="000000" w:themeColor="text1"/>
                <w:sz w:val="20"/>
                <w:szCs w:val="20"/>
                <w:shd w:val="clear" w:color="auto" w:fill="FFFFFF"/>
                <w:lang w:val="en-US"/>
              </w:rPr>
              <w:t xml:space="preserve"> în care în </w:t>
            </w:r>
            <w:proofErr w:type="spellStart"/>
            <w:r w:rsidRPr="009B5D3D">
              <w:rPr>
                <w:rFonts w:eastAsia="Arial Unicode MS"/>
                <w:color w:val="000000" w:themeColor="text1"/>
                <w:sz w:val="20"/>
                <w:szCs w:val="20"/>
                <w:shd w:val="clear" w:color="auto" w:fill="FFFFFF"/>
                <w:lang w:val="en-US"/>
              </w:rPr>
              <w:t>urma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controlului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automatizat</w:t>
            </w:r>
            <w:proofErr w:type="spellEnd"/>
            <w:r w:rsidRPr="009B5D3D">
              <w:rPr>
                <w:rFonts w:eastAsia="Arial Unicode MS"/>
                <w:color w:val="000000" w:themeColor="text1"/>
                <w:sz w:val="20"/>
                <w:szCs w:val="20"/>
                <w:shd w:val="clear" w:color="auto" w:fill="FFFFFF"/>
                <w:lang w:val="en-US"/>
              </w:rPr>
              <w:t xml:space="preserve"> sunt </w:t>
            </w:r>
            <w:proofErr w:type="spellStart"/>
            <w:r w:rsidRPr="009B5D3D">
              <w:rPr>
                <w:rFonts w:eastAsia="Arial Unicode MS"/>
                <w:color w:val="000000" w:themeColor="text1"/>
                <w:sz w:val="20"/>
                <w:szCs w:val="20"/>
                <w:shd w:val="clear" w:color="auto" w:fill="FFFFFF"/>
                <w:lang w:val="en-US"/>
              </w:rPr>
              <w:t>identificate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neregularități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administratorul</w:t>
            </w:r>
            <w:proofErr w:type="spellEnd"/>
            <w:r w:rsidRPr="009B5D3D">
              <w:rPr>
                <w:rFonts w:eastAsia="Arial Unicode MS"/>
                <w:color w:val="000000" w:themeColor="text1"/>
                <w:sz w:val="20"/>
                <w:szCs w:val="20"/>
                <w:shd w:val="clear" w:color="auto" w:fill="FFFFFF"/>
                <w:lang w:val="en-US"/>
              </w:rPr>
              <w:t xml:space="preserve"> central </w:t>
            </w:r>
            <w:proofErr w:type="spellStart"/>
            <w:r w:rsidRPr="009B5D3D">
              <w:rPr>
                <w:rFonts w:eastAsia="Arial Unicode MS"/>
                <w:color w:val="000000" w:themeColor="text1"/>
                <w:sz w:val="20"/>
                <w:szCs w:val="20"/>
                <w:shd w:val="clear" w:color="auto" w:fill="FFFFFF"/>
                <w:lang w:val="en-US"/>
              </w:rPr>
              <w:t>informează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statul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membru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sau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statele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membre</w:t>
            </w:r>
            <w:proofErr w:type="spellEnd"/>
            <w:r w:rsidRPr="009B5D3D">
              <w:rPr>
                <w:rFonts w:eastAsia="Arial Unicode MS"/>
                <w:color w:val="000000" w:themeColor="text1"/>
                <w:sz w:val="20"/>
                <w:szCs w:val="20"/>
                <w:shd w:val="clear" w:color="auto" w:fill="FFFFFF"/>
                <w:lang w:val="en-US"/>
              </w:rPr>
              <w:t xml:space="preserve"> în </w:t>
            </w:r>
            <w:proofErr w:type="spellStart"/>
            <w:r w:rsidRPr="009B5D3D">
              <w:rPr>
                <w:rFonts w:eastAsia="Arial Unicode MS"/>
                <w:color w:val="000000" w:themeColor="text1"/>
                <w:sz w:val="20"/>
                <w:szCs w:val="20"/>
                <w:shd w:val="clear" w:color="auto" w:fill="FFFFFF"/>
                <w:lang w:val="en-US"/>
              </w:rPr>
              <w:t>cauză</w:t>
            </w:r>
            <w:proofErr w:type="spellEnd"/>
            <w:r w:rsidRPr="009B5D3D">
              <w:rPr>
                <w:rFonts w:eastAsia="Arial Unicode MS"/>
                <w:color w:val="000000" w:themeColor="text1"/>
                <w:sz w:val="20"/>
                <w:szCs w:val="20"/>
                <w:shd w:val="clear" w:color="auto" w:fill="FFFFFF"/>
                <w:lang w:val="en-US"/>
              </w:rPr>
              <w:t xml:space="preserve">, care nu </w:t>
            </w:r>
            <w:proofErr w:type="spellStart"/>
            <w:r w:rsidRPr="009B5D3D">
              <w:rPr>
                <w:rFonts w:eastAsia="Arial Unicode MS"/>
                <w:color w:val="000000" w:themeColor="text1"/>
                <w:sz w:val="20"/>
                <w:szCs w:val="20"/>
                <w:shd w:val="clear" w:color="auto" w:fill="FFFFFF"/>
                <w:lang w:val="en-US"/>
              </w:rPr>
              <w:t>înregistrează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tranzacțiile</w:t>
            </w:r>
            <w:proofErr w:type="spellEnd"/>
            <w:r w:rsidRPr="009B5D3D">
              <w:rPr>
                <w:rFonts w:eastAsia="Arial Unicode MS"/>
                <w:color w:val="000000" w:themeColor="text1"/>
                <w:sz w:val="20"/>
                <w:szCs w:val="20"/>
                <w:shd w:val="clear" w:color="auto" w:fill="FFFFFF"/>
                <w:lang w:val="en-US"/>
              </w:rPr>
              <w:t xml:space="preserve"> respective și </w:t>
            </w:r>
            <w:proofErr w:type="spellStart"/>
            <w:r w:rsidRPr="009B5D3D">
              <w:rPr>
                <w:rFonts w:eastAsia="Arial Unicode MS"/>
                <w:color w:val="000000" w:themeColor="text1"/>
                <w:sz w:val="20"/>
                <w:szCs w:val="20"/>
                <w:shd w:val="clear" w:color="auto" w:fill="FFFFFF"/>
                <w:lang w:val="en-US"/>
              </w:rPr>
              <w:t>nici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alte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tranzacții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ulterioare</w:t>
            </w:r>
            <w:proofErr w:type="spellEnd"/>
            <w:r w:rsidRPr="009B5D3D">
              <w:rPr>
                <w:rFonts w:eastAsia="Arial Unicode MS"/>
                <w:color w:val="000000" w:themeColor="text1"/>
                <w:sz w:val="20"/>
                <w:szCs w:val="20"/>
                <w:shd w:val="clear" w:color="auto" w:fill="FFFFFF"/>
                <w:lang w:val="en-US"/>
              </w:rPr>
              <w:t xml:space="preserve"> legate de </w:t>
            </w:r>
            <w:proofErr w:type="spellStart"/>
            <w:r w:rsidRPr="009B5D3D">
              <w:rPr>
                <w:rFonts w:eastAsia="Arial Unicode MS"/>
                <w:color w:val="000000" w:themeColor="text1"/>
                <w:sz w:val="20"/>
                <w:szCs w:val="20"/>
                <w:shd w:val="clear" w:color="auto" w:fill="FFFFFF"/>
                <w:lang w:val="en-US"/>
              </w:rPr>
              <w:t>certificatele</w:t>
            </w:r>
            <w:proofErr w:type="spellEnd"/>
            <w:r w:rsidRPr="009B5D3D">
              <w:rPr>
                <w:rFonts w:eastAsia="Arial Unicode MS"/>
                <w:color w:val="000000" w:themeColor="text1"/>
                <w:sz w:val="20"/>
                <w:szCs w:val="20"/>
                <w:shd w:val="clear" w:color="auto" w:fill="FFFFFF"/>
                <w:lang w:val="en-US"/>
              </w:rPr>
              <w:t xml:space="preserve"> în </w:t>
            </w:r>
            <w:proofErr w:type="spellStart"/>
            <w:r w:rsidRPr="009B5D3D">
              <w:rPr>
                <w:rFonts w:eastAsia="Arial Unicode MS"/>
                <w:color w:val="000000" w:themeColor="text1"/>
                <w:sz w:val="20"/>
                <w:szCs w:val="20"/>
                <w:shd w:val="clear" w:color="auto" w:fill="FFFFFF"/>
                <w:lang w:val="en-US"/>
              </w:rPr>
              <w:t>cauză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până</w:t>
            </w:r>
            <w:proofErr w:type="spellEnd"/>
            <w:r w:rsidRPr="009B5D3D">
              <w:rPr>
                <w:rFonts w:eastAsia="Arial Unicode MS"/>
                <w:color w:val="000000" w:themeColor="text1"/>
                <w:sz w:val="20"/>
                <w:szCs w:val="20"/>
                <w:shd w:val="clear" w:color="auto" w:fill="FFFFFF"/>
                <w:lang w:val="en-US"/>
              </w:rPr>
              <w:t xml:space="preserve"> la </w:t>
            </w:r>
            <w:proofErr w:type="spellStart"/>
            <w:r w:rsidRPr="009B5D3D">
              <w:rPr>
                <w:rFonts w:eastAsia="Arial Unicode MS"/>
                <w:color w:val="000000" w:themeColor="text1"/>
                <w:sz w:val="20"/>
                <w:szCs w:val="20"/>
                <w:shd w:val="clear" w:color="auto" w:fill="FFFFFF"/>
                <w:lang w:val="en-US"/>
              </w:rPr>
              <w:t>remedierea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neregularităților</w:t>
            </w:r>
            <w:proofErr w:type="spellEnd"/>
            <w:r w:rsidRPr="009B5D3D">
              <w:rPr>
                <w:rFonts w:eastAsia="Arial Unicode MS"/>
                <w:color w:val="000000" w:themeColor="text1"/>
                <w:sz w:val="20"/>
                <w:szCs w:val="20"/>
                <w:shd w:val="clear" w:color="auto" w:fill="FFFFFF"/>
                <w:lang w:val="en-US"/>
              </w:rPr>
              <w:t>.</w:t>
            </w:r>
          </w:p>
          <w:p w14:paraId="1AC63E96"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71" w:tooltip="32003L0087" w:history="1">
              <w:r>
                <w:rPr>
                  <w:rStyle w:val="af3"/>
                  <w:rFonts w:eastAsia="Arial Unicode MS"/>
                  <w:b/>
                  <w:bCs/>
                  <w:color w:val="4472C4" w:themeColor="accent1"/>
                  <w:sz w:val="20"/>
                  <w:szCs w:val="20"/>
                </w:rPr>
                <w:t>▼B</w:t>
              </w:r>
            </w:hyperlink>
          </w:p>
        </w:tc>
        <w:tc>
          <w:tcPr>
            <w:tcW w:w="4394" w:type="dxa"/>
            <w:shd w:val="clear" w:color="auto" w:fill="auto"/>
          </w:tcPr>
          <w:p w14:paraId="425BBA30"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4029808" w14:textId="1FA06A07" w:rsidR="00124364" w:rsidRDefault="002137F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028F4786"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DB78046"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3C0D7CC" w14:textId="5C289E4E" w:rsidR="00124364" w:rsidRDefault="002137F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3405E095"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7E1E9EF1" w14:textId="77777777">
        <w:trPr>
          <w:trHeight w:val="558"/>
        </w:trPr>
        <w:tc>
          <w:tcPr>
            <w:tcW w:w="4957" w:type="dxa"/>
            <w:shd w:val="clear" w:color="auto" w:fill="auto"/>
          </w:tcPr>
          <w:p w14:paraId="7D6AE2DC" w14:textId="77777777" w:rsidR="00124364" w:rsidRPr="002137FB" w:rsidRDefault="00000000" w:rsidP="009B5D3D">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37FB">
              <w:rPr>
                <w:rFonts w:eastAsia="Arial Unicode MS"/>
                <w:i/>
                <w:iCs/>
                <w:color w:val="000000" w:themeColor="text1"/>
                <w:sz w:val="20"/>
                <w:szCs w:val="20"/>
                <w:shd w:val="clear" w:color="auto" w:fill="FFFFFF"/>
                <w:lang w:val="en-US"/>
              </w:rPr>
              <w:t>Articolul</w:t>
            </w:r>
            <w:proofErr w:type="spellEnd"/>
            <w:r w:rsidRPr="002137FB">
              <w:rPr>
                <w:rFonts w:eastAsia="Arial Unicode MS"/>
                <w:i/>
                <w:iCs/>
                <w:color w:val="000000" w:themeColor="text1"/>
                <w:sz w:val="20"/>
                <w:szCs w:val="20"/>
                <w:shd w:val="clear" w:color="auto" w:fill="FFFFFF"/>
                <w:lang w:val="en-US"/>
              </w:rPr>
              <w:t xml:space="preserve"> 21</w:t>
            </w:r>
          </w:p>
          <w:p w14:paraId="088E0684" w14:textId="77777777" w:rsidR="00124364" w:rsidRPr="002137FB" w:rsidRDefault="00000000" w:rsidP="009B5D3D">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37FB">
              <w:rPr>
                <w:rFonts w:eastAsia="Arial Unicode MS"/>
                <w:b/>
                <w:bCs/>
                <w:color w:val="000000" w:themeColor="text1"/>
                <w:sz w:val="20"/>
                <w:szCs w:val="20"/>
                <w:shd w:val="clear" w:color="auto" w:fill="FFFFFF"/>
                <w:lang w:val="en-US"/>
              </w:rPr>
              <w:t>Raportarea</w:t>
            </w:r>
            <w:proofErr w:type="spellEnd"/>
            <w:r w:rsidRPr="002137FB">
              <w:rPr>
                <w:rFonts w:eastAsia="Arial Unicode MS"/>
                <w:b/>
                <w:bCs/>
                <w:color w:val="000000" w:themeColor="text1"/>
                <w:sz w:val="20"/>
                <w:szCs w:val="20"/>
                <w:shd w:val="clear" w:color="auto" w:fill="FFFFFF"/>
                <w:lang w:val="en-US"/>
              </w:rPr>
              <w:t xml:space="preserve"> de </w:t>
            </w:r>
            <w:proofErr w:type="spellStart"/>
            <w:r w:rsidRPr="002137FB">
              <w:rPr>
                <w:rFonts w:eastAsia="Arial Unicode MS"/>
                <w:b/>
                <w:bCs/>
                <w:color w:val="000000" w:themeColor="text1"/>
                <w:sz w:val="20"/>
                <w:szCs w:val="20"/>
                <w:shd w:val="clear" w:color="auto" w:fill="FFFFFF"/>
                <w:lang w:val="en-US"/>
              </w:rPr>
              <w:t>către</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statele</w:t>
            </w:r>
            <w:proofErr w:type="spellEnd"/>
            <w:r w:rsidRPr="002137FB">
              <w:rPr>
                <w:rFonts w:eastAsia="Arial Unicode MS"/>
                <w:b/>
                <w:bCs/>
                <w:color w:val="000000" w:themeColor="text1"/>
                <w:sz w:val="20"/>
                <w:szCs w:val="20"/>
                <w:shd w:val="clear" w:color="auto" w:fill="FFFFFF"/>
                <w:lang w:val="en-US"/>
              </w:rPr>
              <w:t xml:space="preserve"> member</w:t>
            </w:r>
          </w:p>
          <w:p w14:paraId="4B9C9B58" w14:textId="4396EB78" w:rsidR="00124364" w:rsidRPr="002137FB" w:rsidRDefault="00000000" w:rsidP="002137FB">
            <w:pPr>
              <w:pStyle w:val="ti-art"/>
              <w:numPr>
                <w:ilvl w:val="0"/>
                <w:numId w:val="10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w:t>
            </w:r>
            <w:proofErr w:type="spellStart"/>
            <w:r w:rsidRPr="002137FB">
              <w:rPr>
                <w:rFonts w:eastAsia="Arial Unicode MS"/>
                <w:color w:val="000000" w:themeColor="text1"/>
                <w:sz w:val="20"/>
                <w:szCs w:val="20"/>
                <w:shd w:val="clear" w:color="auto" w:fill="FFFFFF"/>
                <w:lang w:val="en-US"/>
              </w:rPr>
              <w:t>fiecare</w:t>
            </w:r>
            <w:proofErr w:type="spellEnd"/>
            <w:r w:rsidRPr="002137FB">
              <w:rPr>
                <w:rFonts w:eastAsia="Arial Unicode MS"/>
                <w:color w:val="000000" w:themeColor="text1"/>
                <w:sz w:val="20"/>
                <w:szCs w:val="20"/>
                <w:shd w:val="clear" w:color="auto" w:fill="FFFFFF"/>
                <w:lang w:val="en-US"/>
              </w:rPr>
              <w:t xml:space="preserve"> an, </w:t>
            </w:r>
            <w:proofErr w:type="spellStart"/>
            <w:r w:rsidRPr="002137FB">
              <w:rPr>
                <w:rFonts w:eastAsia="Arial Unicode MS"/>
                <w:color w:val="000000" w:themeColor="text1"/>
                <w:sz w:val="20"/>
                <w:szCs w:val="20"/>
                <w:shd w:val="clear" w:color="auto" w:fill="FFFFFF"/>
                <w:lang w:val="en-US"/>
              </w:rPr>
              <w:t>statele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prezintă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Comisiei</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privire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aplicarea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w:t>
            </w:r>
            <w:hyperlink r:id="rId272" w:tooltip="32009L0029: REPLACED" w:history="1">
              <w:r w:rsidRPr="002137FB">
                <w:rPr>
                  <w:rStyle w:val="boldface"/>
                  <w:rFonts w:eastAsia="Arial Unicode MS"/>
                  <w:b/>
                  <w:bCs/>
                  <w:color w:val="000000" w:themeColor="text1"/>
                  <w:sz w:val="20"/>
                  <w:szCs w:val="20"/>
                  <w:lang w:val="en-US"/>
                </w:rPr>
                <w:t>►M4</w:t>
              </w:r>
            </w:hyperlink>
            <w:r w:rsidR="002137FB">
              <w:rPr>
                <w:rStyle w:val="apple-converted-space"/>
                <w:rFonts w:eastAsia="Arial Unicode MS"/>
                <w:color w:val="000000" w:themeColor="text1"/>
                <w:sz w:val="20"/>
                <w:szCs w:val="20"/>
                <w:lang w:val="en-US"/>
              </w:rPr>
              <w:t xml:space="preserve"> </w:t>
            </w:r>
            <w:hyperlink r:id="rId273" w:tooltip="32009L0029R(04): REPLACED" w:history="1">
              <w:r w:rsidRPr="002137FB">
                <w:rPr>
                  <w:rStyle w:val="boldface"/>
                  <w:rFonts w:eastAsia="Arial Unicode MS"/>
                  <w:b/>
                  <w:bCs/>
                  <w:color w:val="000000" w:themeColor="text1"/>
                  <w:sz w:val="20"/>
                  <w:szCs w:val="20"/>
                  <w:lang w:val="en-US"/>
                </w:rPr>
                <w:t>►C5</w:t>
              </w:r>
            </w:hyperlink>
            <w:r w:rsidR="002137FB">
              <w:rPr>
                <w:rStyle w:val="apple-converted-space"/>
                <w:rFonts w:eastAsia="Arial Unicode MS"/>
                <w:color w:val="000000" w:themeColor="text1"/>
                <w:sz w:val="20"/>
                <w:szCs w:val="20"/>
                <w:lang w:val="en-US"/>
              </w:rPr>
              <w:t xml:space="preserve">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acordă</w:t>
            </w:r>
            <w:proofErr w:type="spellEnd"/>
            <w:r w:rsidRPr="002137FB">
              <w:rPr>
                <w:rFonts w:eastAsia="Arial Unicode MS"/>
                <w:color w:val="000000" w:themeColor="text1"/>
                <w:sz w:val="20"/>
                <w:szCs w:val="20"/>
                <w:shd w:val="clear" w:color="auto" w:fill="FFFFFF"/>
                <w:lang w:val="en-US"/>
              </w:rPr>
              <w:t xml:space="preserve"> o </w:t>
            </w:r>
            <w:proofErr w:type="spellStart"/>
            <w:r w:rsidRPr="002137FB">
              <w:rPr>
                <w:rFonts w:eastAsia="Arial Unicode MS"/>
                <w:color w:val="000000" w:themeColor="text1"/>
                <w:sz w:val="20"/>
                <w:szCs w:val="20"/>
                <w:shd w:val="clear" w:color="auto" w:fill="FFFFFF"/>
                <w:lang w:val="en-US"/>
              </w:rPr>
              <w:t>atenție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specială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modalităților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alocarea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funcționarea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registrelor</w:t>
            </w:r>
            <w:proofErr w:type="spellEnd"/>
            <w:r w:rsidRPr="002137FB">
              <w:rPr>
                <w:rFonts w:eastAsia="Arial Unicode MS"/>
                <w:color w:val="000000" w:themeColor="text1"/>
                <w:sz w:val="20"/>
                <w:szCs w:val="20"/>
                <w:shd w:val="clear" w:color="auto" w:fill="FFFFFF"/>
                <w:lang w:val="en-US"/>
              </w:rPr>
              <w:t xml:space="preserve">, precum și </w:t>
            </w:r>
            <w:proofErr w:type="spellStart"/>
            <w:r w:rsidRPr="002137FB">
              <w:rPr>
                <w:rFonts w:eastAsia="Arial Unicode MS"/>
                <w:color w:val="000000" w:themeColor="text1"/>
                <w:sz w:val="20"/>
                <w:szCs w:val="20"/>
                <w:shd w:val="clear" w:color="auto" w:fill="FFFFFF"/>
                <w:lang w:val="en-US"/>
              </w:rPr>
              <w:t>executarea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punere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monitorizarea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raportarea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verificare</w:t>
            </w:r>
            <w:proofErr w:type="spellEnd"/>
            <w:r w:rsidRPr="002137FB">
              <w:rPr>
                <w:rFonts w:eastAsia="Arial Unicode MS"/>
                <w:color w:val="000000" w:themeColor="text1"/>
                <w:sz w:val="20"/>
                <w:szCs w:val="20"/>
                <w:shd w:val="clear" w:color="auto" w:fill="FFFFFF"/>
                <w:lang w:val="en-US"/>
              </w:rPr>
              <w:t xml:space="preserve"> și de </w:t>
            </w:r>
            <w:proofErr w:type="spellStart"/>
            <w:r w:rsidRPr="002137FB">
              <w:rPr>
                <w:rFonts w:eastAsia="Arial Unicode MS"/>
                <w:color w:val="000000" w:themeColor="text1"/>
                <w:sz w:val="20"/>
                <w:szCs w:val="20"/>
                <w:shd w:val="clear" w:color="auto" w:fill="FFFFFF"/>
                <w:lang w:val="en-US"/>
              </w:rPr>
              <w:t>acreditare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aspectele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referitoare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respectarea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 și,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regimul</w:t>
            </w:r>
            <w:proofErr w:type="spellEnd"/>
            <w:r w:rsidRPr="002137FB">
              <w:rPr>
                <w:rFonts w:eastAsia="Arial Unicode MS"/>
                <w:color w:val="000000" w:themeColor="text1"/>
                <w:sz w:val="20"/>
                <w:szCs w:val="20"/>
                <w:shd w:val="clear" w:color="auto" w:fill="FFFFFF"/>
                <w:lang w:val="en-US"/>
              </w:rPr>
              <w:t xml:space="preserve"> fiscal </w:t>
            </w:r>
            <w:proofErr w:type="spellStart"/>
            <w:r w:rsidRPr="002137FB">
              <w:rPr>
                <w:rFonts w:eastAsia="Arial Unicode MS"/>
                <w:color w:val="000000" w:themeColor="text1"/>
                <w:sz w:val="20"/>
                <w:szCs w:val="20"/>
                <w:shd w:val="clear" w:color="auto" w:fill="FFFFFF"/>
                <w:lang w:val="en-US"/>
              </w:rPr>
              <w:t>aplicat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w:t>
            </w:r>
            <w:r w:rsidRPr="002137FB">
              <w:rPr>
                <w:rStyle w:val="boldface"/>
                <w:rFonts w:eastAsia="Arial Unicode MS"/>
                <w:b/>
                <w:bCs/>
                <w:color w:val="000000" w:themeColor="text1"/>
                <w:sz w:val="20"/>
                <w:szCs w:val="20"/>
                <w:lang w:val="en-US"/>
              </w:rPr>
              <w:t>◄◄</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trimis</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până</w:t>
            </w:r>
            <w:proofErr w:type="spellEnd"/>
            <w:r w:rsidRPr="002137FB">
              <w:rPr>
                <w:rFonts w:eastAsia="Arial Unicode MS"/>
                <w:color w:val="000000" w:themeColor="text1"/>
                <w:sz w:val="20"/>
                <w:szCs w:val="20"/>
                <w:shd w:val="clear" w:color="auto" w:fill="FFFFFF"/>
                <w:lang w:val="en-US"/>
              </w:rPr>
              <w:t xml:space="preserve"> la 30 </w:t>
            </w:r>
            <w:proofErr w:type="spellStart"/>
            <w:r w:rsidRPr="002137FB">
              <w:rPr>
                <w:rFonts w:eastAsia="Arial Unicode MS"/>
                <w:color w:val="000000" w:themeColor="text1"/>
                <w:sz w:val="20"/>
                <w:szCs w:val="20"/>
                <w:shd w:val="clear" w:color="auto" w:fill="FFFFFF"/>
                <w:lang w:val="en-US"/>
              </w:rPr>
              <w:t>iunie</w:t>
            </w:r>
            <w:proofErr w:type="spellEnd"/>
            <w:r w:rsidRPr="002137FB">
              <w:rPr>
                <w:rFonts w:eastAsia="Arial Unicode MS"/>
                <w:color w:val="000000" w:themeColor="text1"/>
                <w:sz w:val="20"/>
                <w:szCs w:val="20"/>
                <w:shd w:val="clear" w:color="auto" w:fill="FFFFFF"/>
                <w:lang w:val="en-US"/>
              </w:rPr>
              <w:t xml:space="preserve"> 2005.</w:t>
            </w:r>
            <w:hyperlink r:id="rId274" w:tooltip="32018L0410: REPLACED" w:history="1">
              <w:r w:rsidRPr="002137FB">
                <w:rPr>
                  <w:rStyle w:val="boldface"/>
                  <w:rFonts w:eastAsia="Arial Unicode MS"/>
                  <w:b/>
                  <w:bCs/>
                  <w:color w:val="000000" w:themeColor="text1"/>
                  <w:sz w:val="20"/>
                  <w:szCs w:val="20"/>
                  <w:lang w:val="en-US"/>
                </w:rPr>
                <w:t>►M9</w:t>
              </w:r>
              <w:r w:rsidRPr="002137FB">
                <w:rPr>
                  <w:rStyle w:val="apple-converted-space"/>
                  <w:rFonts w:eastAsia="Arial Unicode MS"/>
                  <w:color w:val="000000" w:themeColor="text1"/>
                  <w:sz w:val="20"/>
                  <w:szCs w:val="20"/>
                  <w:lang w:val="en-US"/>
                </w:rPr>
                <w:t> </w:t>
              </w:r>
              <w:proofErr w:type="spellStart"/>
            </w:hyperlink>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se </w:t>
            </w:r>
            <w:proofErr w:type="spellStart"/>
            <w:r w:rsidRPr="002137FB">
              <w:rPr>
                <w:rFonts w:eastAsia="Arial Unicode MS"/>
                <w:color w:val="000000" w:themeColor="text1"/>
                <w:sz w:val="20"/>
                <w:szCs w:val="20"/>
                <w:shd w:val="clear" w:color="auto" w:fill="FFFFFF"/>
                <w:lang w:val="en-US"/>
              </w:rPr>
              <w:t>întocmește</w:t>
            </w:r>
            <w:proofErr w:type="spellEnd"/>
            <w:r w:rsidRPr="002137FB">
              <w:rPr>
                <w:rFonts w:eastAsia="Arial Unicode MS"/>
                <w:color w:val="000000" w:themeColor="text1"/>
                <w:sz w:val="20"/>
                <w:szCs w:val="20"/>
                <w:shd w:val="clear" w:color="auto" w:fill="FFFFFF"/>
                <w:lang w:val="en-US"/>
              </w:rPr>
              <w:t xml:space="preserve"> pe </w:t>
            </w:r>
            <w:proofErr w:type="spellStart"/>
            <w:r w:rsidRPr="002137FB">
              <w:rPr>
                <w:rFonts w:eastAsia="Arial Unicode MS"/>
                <w:color w:val="000000" w:themeColor="text1"/>
                <w:sz w:val="20"/>
                <w:szCs w:val="20"/>
                <w:shd w:val="clear" w:color="auto" w:fill="FFFFFF"/>
                <w:lang w:val="en-US"/>
              </w:rPr>
              <w:t>baza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chestionar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unei</w:t>
            </w:r>
            <w:proofErr w:type="spellEnd"/>
            <w:r w:rsidRPr="002137FB">
              <w:rPr>
                <w:rFonts w:eastAsia="Arial Unicode MS"/>
                <w:color w:val="000000" w:themeColor="text1"/>
                <w:sz w:val="20"/>
                <w:szCs w:val="20"/>
                <w:shd w:val="clear" w:color="auto" w:fill="FFFFFF"/>
                <w:lang w:val="en-US"/>
              </w:rPr>
              <w:t xml:space="preserve"> scheme </w:t>
            </w:r>
            <w:proofErr w:type="spellStart"/>
            <w:r w:rsidRPr="002137FB">
              <w:rPr>
                <w:rFonts w:eastAsia="Arial Unicode MS"/>
                <w:color w:val="000000" w:themeColor="text1"/>
                <w:sz w:val="20"/>
                <w:szCs w:val="20"/>
                <w:shd w:val="clear" w:color="auto" w:fill="FFFFFF"/>
                <w:lang w:val="en-US"/>
              </w:rPr>
              <w:t>adoptate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Comisie</w:t>
            </w:r>
            <w:proofErr w:type="spellEnd"/>
            <w:r w:rsidRPr="002137FB">
              <w:rPr>
                <w:rFonts w:eastAsia="Arial Unicode MS"/>
                <w:color w:val="000000" w:themeColor="text1"/>
                <w:sz w:val="20"/>
                <w:szCs w:val="20"/>
                <w:shd w:val="clear" w:color="auto" w:fill="FFFFFF"/>
                <w:lang w:val="en-US"/>
              </w:rPr>
              <w:t xml:space="preserve"> sub </w:t>
            </w:r>
            <w:proofErr w:type="spellStart"/>
            <w:r w:rsidRPr="002137FB">
              <w:rPr>
                <w:rFonts w:eastAsia="Arial Unicode MS"/>
                <w:color w:val="000000" w:themeColor="text1"/>
                <w:sz w:val="20"/>
                <w:szCs w:val="20"/>
                <w:shd w:val="clear" w:color="auto" w:fill="FFFFFF"/>
                <w:lang w:val="en-US"/>
              </w:rPr>
              <w:t>formă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acte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punere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Actele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punere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respective se </w:t>
            </w:r>
            <w:proofErr w:type="spellStart"/>
            <w:r w:rsidRPr="002137FB">
              <w:rPr>
                <w:rFonts w:eastAsia="Arial Unicode MS"/>
                <w:color w:val="000000" w:themeColor="text1"/>
                <w:sz w:val="20"/>
                <w:szCs w:val="20"/>
                <w:shd w:val="clear" w:color="auto" w:fill="FFFFFF"/>
                <w:lang w:val="en-US"/>
              </w:rPr>
              <w:t>adoptă</w:t>
            </w:r>
            <w:proofErr w:type="spellEnd"/>
            <w:r w:rsidRPr="002137FB">
              <w:rPr>
                <w:rFonts w:eastAsia="Arial Unicode MS"/>
                <w:color w:val="000000" w:themeColor="text1"/>
                <w:sz w:val="20"/>
                <w:szCs w:val="20"/>
                <w:shd w:val="clear" w:color="auto" w:fill="FFFFFF"/>
                <w:lang w:val="en-US"/>
              </w:rPr>
              <w:t xml:space="preserve"> în conformitate cu </w:t>
            </w:r>
            <w:proofErr w:type="spellStart"/>
            <w:r w:rsidRPr="002137FB">
              <w:rPr>
                <w:rFonts w:eastAsia="Arial Unicode MS"/>
                <w:color w:val="000000" w:themeColor="text1"/>
                <w:sz w:val="20"/>
                <w:szCs w:val="20"/>
                <w:shd w:val="clear" w:color="auto" w:fill="FFFFFF"/>
                <w:lang w:val="en-US"/>
              </w:rPr>
              <w:t>procedura</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examinare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Pr="002137FB">
              <w:rPr>
                <w:rFonts w:eastAsia="Arial Unicode MS"/>
                <w:color w:val="000000" w:themeColor="text1"/>
                <w:sz w:val="20"/>
                <w:szCs w:val="20"/>
                <w:shd w:val="clear" w:color="auto" w:fill="FFFFFF"/>
                <w:lang w:val="en-US"/>
              </w:rPr>
              <w:t xml:space="preserve"> 22a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(2</w:t>
            </w:r>
            <w:proofErr w:type="gramStart"/>
            <w:r w:rsidRPr="002137FB">
              <w:rPr>
                <w:rFonts w:eastAsia="Arial Unicode MS"/>
                <w:color w:val="000000" w:themeColor="text1"/>
                <w:sz w:val="20"/>
                <w:szCs w:val="20"/>
                <w:shd w:val="clear" w:color="auto" w:fill="FFFFFF"/>
                <w:lang w:val="en-US"/>
              </w:rPr>
              <w:t>).</w:t>
            </w:r>
            <w:r w:rsidRPr="002137FB">
              <w:rPr>
                <w:rStyle w:val="boldface"/>
                <w:rFonts w:eastAsia="Arial Unicode MS"/>
                <w:b/>
                <w:bCs/>
                <w:color w:val="000000" w:themeColor="text1"/>
                <w:sz w:val="20"/>
                <w:szCs w:val="20"/>
                <w:lang w:val="en-US"/>
              </w:rPr>
              <w:t>◄</w:t>
            </w:r>
            <w:proofErr w:type="spellStart"/>
            <w:proofErr w:type="gramEnd"/>
            <w:r w:rsidRPr="002137FB">
              <w:rPr>
                <w:rFonts w:eastAsia="Arial Unicode MS"/>
                <w:color w:val="000000" w:themeColor="text1"/>
                <w:sz w:val="20"/>
                <w:szCs w:val="20"/>
                <w:shd w:val="clear" w:color="auto" w:fill="FFFFFF"/>
                <w:lang w:val="en-US"/>
              </w:rPr>
              <w:t>Chestionarul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planul</w:t>
            </w:r>
            <w:proofErr w:type="spellEnd"/>
            <w:r w:rsidRPr="002137FB">
              <w:rPr>
                <w:rFonts w:eastAsia="Arial Unicode MS"/>
                <w:color w:val="000000" w:themeColor="text1"/>
                <w:sz w:val="20"/>
                <w:szCs w:val="20"/>
                <w:shd w:val="clear" w:color="auto" w:fill="FFFFFF"/>
                <w:lang w:val="en-US"/>
              </w:rPr>
              <w:t xml:space="preserve"> sunt </w:t>
            </w:r>
            <w:proofErr w:type="spellStart"/>
            <w:r w:rsidRPr="002137FB">
              <w:rPr>
                <w:rFonts w:eastAsia="Arial Unicode MS"/>
                <w:color w:val="000000" w:themeColor="text1"/>
                <w:sz w:val="20"/>
                <w:szCs w:val="20"/>
                <w:shd w:val="clear" w:color="auto" w:fill="FFFFFF"/>
                <w:lang w:val="en-US"/>
              </w:rPr>
              <w:t>trimise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cel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puțin</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șase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înainte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termenul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primului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w:t>
            </w:r>
          </w:p>
          <w:p w14:paraId="52004AF2" w14:textId="77777777" w:rsidR="00124364" w:rsidRPr="002137FB" w:rsidRDefault="00000000" w:rsidP="002137FB">
            <w:pPr>
              <w:pStyle w:val="ti-art"/>
              <w:numPr>
                <w:ilvl w:val="0"/>
                <w:numId w:val="10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Pe </w:t>
            </w:r>
            <w:proofErr w:type="spellStart"/>
            <w:r w:rsidRPr="002137FB">
              <w:rPr>
                <w:rFonts w:eastAsia="Arial Unicode MS"/>
                <w:color w:val="000000" w:themeColor="text1"/>
                <w:sz w:val="20"/>
                <w:szCs w:val="20"/>
                <w:shd w:val="clear" w:color="auto" w:fill="FFFFFF"/>
                <w:lang w:val="en-US"/>
              </w:rPr>
              <w:t>baza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rapoartelor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(1),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publică</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 în termen de </w:t>
            </w:r>
            <w:proofErr w:type="spellStart"/>
            <w:r w:rsidRPr="002137FB">
              <w:rPr>
                <w:rFonts w:eastAsia="Arial Unicode MS"/>
                <w:color w:val="000000" w:themeColor="text1"/>
                <w:sz w:val="20"/>
                <w:szCs w:val="20"/>
                <w:shd w:val="clear" w:color="auto" w:fill="FFFFFF"/>
                <w:lang w:val="en-US"/>
              </w:rPr>
              <w:t>trei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de la </w:t>
            </w:r>
            <w:proofErr w:type="spellStart"/>
            <w:r w:rsidRPr="002137FB">
              <w:rPr>
                <w:rFonts w:eastAsia="Arial Unicode MS"/>
                <w:color w:val="000000" w:themeColor="text1"/>
                <w:sz w:val="20"/>
                <w:szCs w:val="20"/>
                <w:shd w:val="clear" w:color="auto" w:fill="FFFFFF"/>
                <w:lang w:val="en-US"/>
              </w:rPr>
              <w:t>primirea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rapoartelor</w:t>
            </w:r>
            <w:proofErr w:type="spellEnd"/>
            <w:r w:rsidRPr="002137FB">
              <w:rPr>
                <w:rFonts w:eastAsia="Arial Unicode MS"/>
                <w:color w:val="000000" w:themeColor="text1"/>
                <w:sz w:val="20"/>
                <w:szCs w:val="20"/>
                <w:shd w:val="clear" w:color="auto" w:fill="FFFFFF"/>
                <w:lang w:val="en-US"/>
              </w:rPr>
              <w:t xml:space="preserve"> de la </w:t>
            </w:r>
            <w:proofErr w:type="spellStart"/>
            <w:r w:rsidRPr="002137FB">
              <w:rPr>
                <w:rFonts w:eastAsia="Arial Unicode MS"/>
                <w:color w:val="000000" w:themeColor="text1"/>
                <w:sz w:val="20"/>
                <w:szCs w:val="20"/>
                <w:shd w:val="clear" w:color="auto" w:fill="FFFFFF"/>
                <w:lang w:val="en-US"/>
              </w:rPr>
              <w:t>statele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w:t>
            </w:r>
          </w:p>
          <w:p w14:paraId="704806CB" w14:textId="77777777" w:rsidR="00124364" w:rsidRPr="002137FB" w:rsidRDefault="00000000" w:rsidP="002137FB">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hyperlink r:id="rId275" w:tooltip="32009L0029: REPLACED" w:history="1">
              <w:r w:rsidRPr="002137FB">
                <w:rPr>
                  <w:rStyle w:val="af3"/>
                  <w:rFonts w:eastAsia="Arial Unicode MS"/>
                  <w:b/>
                  <w:bCs/>
                  <w:color w:val="000000" w:themeColor="text1"/>
                  <w:sz w:val="20"/>
                  <w:szCs w:val="20"/>
                </w:rPr>
                <w:t>▼M4</w:t>
              </w:r>
            </w:hyperlink>
          </w:p>
          <w:p w14:paraId="163994A2" w14:textId="32F118E3" w:rsidR="00124364" w:rsidRPr="002137FB" w:rsidRDefault="00000000" w:rsidP="002137FB">
            <w:pPr>
              <w:pStyle w:val="ti-art"/>
              <w:numPr>
                <w:ilvl w:val="0"/>
                <w:numId w:val="10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organizează</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schimb</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informații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autoritățile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competente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statele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privire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evoluțiile</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alocarea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folosirea</w:t>
            </w:r>
            <w:proofErr w:type="spellEnd"/>
            <w:r w:rsidRPr="002137FB">
              <w:rPr>
                <w:rFonts w:eastAsia="Arial Unicode MS"/>
                <w:color w:val="000000" w:themeColor="text1"/>
                <w:sz w:val="20"/>
                <w:szCs w:val="20"/>
                <w:shd w:val="clear" w:color="auto" w:fill="FFFFFF"/>
                <w:lang w:val="en-US"/>
              </w:rPr>
              <w:t xml:space="preserve"> ERU și CER în</w:t>
            </w:r>
            <w:hyperlink r:id="rId276" w:tooltip="32018L0410: REPLACED" w:history="1"/>
            <w:r w:rsidR="002137FB">
              <w:rPr>
                <w:rStyle w:val="apple-converted-space"/>
                <w:rFonts w:eastAsia="Arial Unicode MS"/>
                <w:color w:val="000000" w:themeColor="text1"/>
                <w:sz w:val="20"/>
                <w:szCs w:val="20"/>
                <w:lang w:val="en-US"/>
              </w:rPr>
              <w:t xml:space="preserve"> </w:t>
            </w:r>
            <w:r w:rsidRPr="002137FB">
              <w:rPr>
                <w:rFonts w:eastAsia="Arial Unicode MS"/>
                <w:color w:val="000000" w:themeColor="text1"/>
                <w:sz w:val="20"/>
                <w:szCs w:val="20"/>
                <w:shd w:val="clear" w:color="auto" w:fill="FFFFFF"/>
                <w:lang w:val="en-US"/>
              </w:rPr>
              <w:t>EU ETS</w:t>
            </w:r>
            <w:r w:rsidRPr="002137FB">
              <w:rPr>
                <w:rStyle w:val="boldface"/>
                <w:rFonts w:eastAsia="Arial Unicode MS"/>
                <w:b/>
                <w:bCs/>
                <w:color w:val="000000" w:themeColor="text1"/>
                <w:sz w:val="20"/>
                <w:szCs w:val="20"/>
                <w:lang w:val="en-US"/>
              </w:rPr>
              <w:t>◄</w:t>
            </w:r>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funcționarea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registrelor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monitorizare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verificare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acreditare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tehnologia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informațiilor</w:t>
            </w:r>
            <w:proofErr w:type="spellEnd"/>
            <w:r w:rsidRPr="002137FB">
              <w:rPr>
                <w:rFonts w:eastAsia="Arial Unicode MS"/>
                <w:color w:val="000000" w:themeColor="text1"/>
                <w:sz w:val="20"/>
                <w:szCs w:val="20"/>
                <w:shd w:val="clear" w:color="auto" w:fill="FFFFFF"/>
                <w:lang w:val="en-US"/>
              </w:rPr>
              <w:t xml:space="preserve">, precum și de </w:t>
            </w:r>
            <w:proofErr w:type="spellStart"/>
            <w:r w:rsidRPr="002137FB">
              <w:rPr>
                <w:rFonts w:eastAsia="Arial Unicode MS"/>
                <w:color w:val="000000" w:themeColor="text1"/>
                <w:sz w:val="20"/>
                <w:szCs w:val="20"/>
                <w:shd w:val="clear" w:color="auto" w:fill="FFFFFF"/>
                <w:lang w:val="en-US"/>
              </w:rPr>
              <w:t>respectarea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w:t>
            </w:r>
          </w:p>
          <w:p w14:paraId="3A07BA22"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77" w:tooltip="32018L0410: INSERTED" w:history="1">
              <w:r>
                <w:rPr>
                  <w:rStyle w:val="af3"/>
                  <w:rFonts w:eastAsia="Arial Unicode MS"/>
                  <w:b/>
                  <w:bCs/>
                  <w:color w:val="4472C4" w:themeColor="accent1"/>
                  <w:sz w:val="20"/>
                  <w:szCs w:val="20"/>
                </w:rPr>
                <w:t>▼M9</w:t>
              </w:r>
            </w:hyperlink>
          </w:p>
          <w:p w14:paraId="557C756E" w14:textId="293AE737" w:rsidR="00124364" w:rsidRDefault="00000000" w:rsidP="002137FB">
            <w:pPr>
              <w:pStyle w:val="ti-art"/>
              <w:numPr>
                <w:ilvl w:val="0"/>
                <w:numId w:val="102"/>
              </w:numPr>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O </w:t>
            </w:r>
            <w:proofErr w:type="spellStart"/>
            <w:r>
              <w:rPr>
                <w:rFonts w:eastAsia="Arial Unicode MS"/>
                <w:color w:val="333333"/>
                <w:sz w:val="20"/>
                <w:szCs w:val="20"/>
                <w:shd w:val="clear" w:color="auto" w:fill="FFFFFF"/>
                <w:lang w:val="en-US"/>
              </w:rPr>
              <w:t>dată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trei</w:t>
            </w:r>
            <w:proofErr w:type="spellEnd"/>
            <w:r>
              <w:rPr>
                <w:rFonts w:eastAsia="Arial Unicode MS"/>
                <w:color w:val="333333"/>
                <w:sz w:val="20"/>
                <w:szCs w:val="20"/>
                <w:shd w:val="clear" w:color="auto" w:fill="FFFFFF"/>
                <w:lang w:val="en-US"/>
              </w:rPr>
              <w:t xml:space="preserve"> ani, </w:t>
            </w:r>
            <w:proofErr w:type="spellStart"/>
            <w:r>
              <w:rPr>
                <w:rFonts w:eastAsia="Arial Unicode MS"/>
                <w:color w:val="333333"/>
                <w:sz w:val="20"/>
                <w:szCs w:val="20"/>
                <w:shd w:val="clear" w:color="auto" w:fill="FFFFFF"/>
                <w:lang w:val="en-US"/>
              </w:rPr>
              <w:t>raportul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 </w:t>
            </w:r>
            <w:proofErr w:type="spellStart"/>
            <w:r>
              <w:rPr>
                <w:rFonts w:eastAsia="Arial Unicode MS"/>
                <w:color w:val="333333"/>
                <w:sz w:val="20"/>
                <w:szCs w:val="20"/>
                <w:shd w:val="clear" w:color="auto" w:fill="FFFFFF"/>
                <w:lang w:val="en-US"/>
              </w:rPr>
              <w:t>acordă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asemenea</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atenție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deosebită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echivalente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instalațiile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dimensiuni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excluse</w:t>
            </w:r>
            <w:proofErr w:type="spellEnd"/>
            <w:r>
              <w:rPr>
                <w:rFonts w:eastAsia="Arial Unicode MS"/>
                <w:color w:val="333333"/>
                <w:sz w:val="20"/>
                <w:szCs w:val="20"/>
                <w:shd w:val="clear" w:color="auto" w:fill="FFFFFF"/>
                <w:lang w:val="en-US"/>
              </w:rPr>
              <w:t xml:space="preserve"> din EU</w:t>
            </w:r>
            <w:r w:rsidR="002137F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ETS.</w:t>
            </w:r>
            <w:r w:rsidR="002137FB">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echivalente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instalațiile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dimensiuni</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iau</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asemenea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considerare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schimbul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informații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w:t>
            </w:r>
          </w:p>
          <w:p w14:paraId="22B1D6F4"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78" w:tooltip="32004L0101: INSERTED" w:history="1">
              <w:r>
                <w:rPr>
                  <w:rStyle w:val="af3"/>
                  <w:rFonts w:eastAsia="Arial Unicode MS"/>
                  <w:b/>
                  <w:bCs/>
                  <w:color w:val="4472C4" w:themeColor="accent1"/>
                  <w:sz w:val="20"/>
                  <w:szCs w:val="20"/>
                </w:rPr>
                <w:t>▼M1</w:t>
              </w:r>
            </w:hyperlink>
          </w:p>
        </w:tc>
        <w:tc>
          <w:tcPr>
            <w:tcW w:w="4394" w:type="dxa"/>
            <w:shd w:val="clear" w:color="auto" w:fill="auto"/>
          </w:tcPr>
          <w:p w14:paraId="1B9007E3"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1063603" w14:textId="34BBA0EF" w:rsidR="00124364" w:rsidRDefault="002137FB" w:rsidP="002137FB">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0652D5C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ED275B6" w14:textId="7411DAC2" w:rsidR="002137FB" w:rsidRPr="000643DF" w:rsidRDefault="002137FB" w:rsidP="002137F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r>
              <w:rPr>
                <w:rFonts w:ascii="Times New Roman" w:hAnsi="Times New Roman"/>
                <w:sz w:val="20"/>
                <w:szCs w:val="20"/>
                <w:lang w:val="ro-RO" w:eastAsia="zh-CN"/>
              </w:rPr>
              <w:t xml:space="preserve"> și statele </w:t>
            </w:r>
            <w:proofErr w:type="spellStart"/>
            <w:r>
              <w:rPr>
                <w:rFonts w:ascii="Times New Roman" w:hAnsi="Times New Roman"/>
                <w:sz w:val="20"/>
                <w:szCs w:val="20"/>
                <w:lang w:val="ro-RO" w:eastAsia="zh-CN"/>
              </w:rPr>
              <w:t>mebmre</w:t>
            </w:r>
            <w:proofErr w:type="spellEnd"/>
            <w:r>
              <w:rPr>
                <w:rFonts w:ascii="Times New Roman" w:hAnsi="Times New Roman"/>
                <w:sz w:val="20"/>
                <w:szCs w:val="20"/>
                <w:lang w:val="ro-RO" w:eastAsia="zh-CN"/>
              </w:rPr>
              <w:t xml:space="preserve"> ale UE</w:t>
            </w:r>
          </w:p>
          <w:p w14:paraId="32E0E29B"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56F6911"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6AA06D6D" w14:textId="77777777">
        <w:trPr>
          <w:trHeight w:val="558"/>
        </w:trPr>
        <w:tc>
          <w:tcPr>
            <w:tcW w:w="4957" w:type="dxa"/>
            <w:shd w:val="clear" w:color="auto" w:fill="auto"/>
          </w:tcPr>
          <w:p w14:paraId="77C487B9"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21a</w:t>
            </w:r>
          </w:p>
          <w:p w14:paraId="4997ADEE" w14:textId="77777777" w:rsidR="00124364" w:rsidRPr="002137FB" w:rsidRDefault="00000000" w:rsidP="002137F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b/>
                <w:bCs/>
                <w:color w:val="000000" w:themeColor="text1"/>
                <w:sz w:val="20"/>
                <w:szCs w:val="20"/>
                <w:shd w:val="clear" w:color="auto" w:fill="FFFFFF"/>
                <w:lang w:val="en-US"/>
              </w:rPr>
              <w:t>Contribuții</w:t>
            </w:r>
            <w:proofErr w:type="spellEnd"/>
            <w:r w:rsidRPr="002137FB">
              <w:rPr>
                <w:rFonts w:eastAsia="Arial Unicode MS"/>
                <w:b/>
                <w:bCs/>
                <w:color w:val="000000" w:themeColor="text1"/>
                <w:sz w:val="20"/>
                <w:szCs w:val="20"/>
                <w:shd w:val="clear" w:color="auto" w:fill="FFFFFF"/>
                <w:lang w:val="en-US"/>
              </w:rPr>
              <w:t xml:space="preserve"> la </w:t>
            </w:r>
            <w:proofErr w:type="spellStart"/>
            <w:r w:rsidRPr="002137FB">
              <w:rPr>
                <w:rFonts w:eastAsia="Arial Unicode MS"/>
                <w:b/>
                <w:bCs/>
                <w:color w:val="000000" w:themeColor="text1"/>
                <w:sz w:val="20"/>
                <w:szCs w:val="20"/>
                <w:shd w:val="clear" w:color="auto" w:fill="FFFFFF"/>
                <w:lang w:val="en-US"/>
              </w:rPr>
              <w:t>activitățile</w:t>
            </w:r>
            <w:proofErr w:type="spellEnd"/>
            <w:r w:rsidRPr="002137FB">
              <w:rPr>
                <w:rFonts w:eastAsia="Arial Unicode MS"/>
                <w:b/>
                <w:bCs/>
                <w:color w:val="000000" w:themeColor="text1"/>
                <w:sz w:val="20"/>
                <w:szCs w:val="20"/>
                <w:shd w:val="clear" w:color="auto" w:fill="FFFFFF"/>
                <w:lang w:val="en-US"/>
              </w:rPr>
              <w:t xml:space="preserve"> de </w:t>
            </w:r>
            <w:proofErr w:type="spellStart"/>
            <w:r w:rsidRPr="002137FB">
              <w:rPr>
                <w:rFonts w:eastAsia="Arial Unicode MS"/>
                <w:b/>
                <w:bCs/>
                <w:color w:val="000000" w:themeColor="text1"/>
                <w:sz w:val="20"/>
                <w:szCs w:val="20"/>
                <w:shd w:val="clear" w:color="auto" w:fill="FFFFFF"/>
                <w:lang w:val="en-US"/>
              </w:rPr>
              <w:t>consolidare</w:t>
            </w:r>
            <w:proofErr w:type="spellEnd"/>
            <w:r w:rsidRPr="002137FB">
              <w:rPr>
                <w:rFonts w:eastAsia="Arial Unicode MS"/>
                <w:b/>
                <w:bCs/>
                <w:color w:val="000000" w:themeColor="text1"/>
                <w:sz w:val="20"/>
                <w:szCs w:val="20"/>
                <w:shd w:val="clear" w:color="auto" w:fill="FFFFFF"/>
                <w:lang w:val="en-US"/>
              </w:rPr>
              <w:t xml:space="preserve"> a </w:t>
            </w:r>
            <w:proofErr w:type="spellStart"/>
            <w:r w:rsidRPr="002137FB">
              <w:rPr>
                <w:rFonts w:eastAsia="Arial Unicode MS"/>
                <w:b/>
                <w:bCs/>
                <w:color w:val="000000" w:themeColor="text1"/>
                <w:sz w:val="20"/>
                <w:szCs w:val="20"/>
                <w:shd w:val="clear" w:color="auto" w:fill="FFFFFF"/>
                <w:lang w:val="en-US"/>
              </w:rPr>
              <w:t>capacităților</w:t>
            </w:r>
            <w:proofErr w:type="spellEnd"/>
          </w:p>
          <w:p w14:paraId="5AF868B0"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conformitate cu CCONUSC, cu </w:t>
            </w:r>
            <w:proofErr w:type="spellStart"/>
            <w:r w:rsidRPr="002137FB">
              <w:rPr>
                <w:rFonts w:eastAsia="Arial Unicode MS"/>
                <w:color w:val="000000" w:themeColor="text1"/>
                <w:sz w:val="20"/>
                <w:szCs w:val="20"/>
                <w:shd w:val="clear" w:color="auto" w:fill="FFFFFF"/>
                <w:lang w:val="en-US"/>
              </w:rPr>
              <w:t>Protocolul</w:t>
            </w:r>
            <w:proofErr w:type="spellEnd"/>
            <w:r w:rsidRPr="002137FB">
              <w:rPr>
                <w:rFonts w:eastAsia="Arial Unicode MS"/>
                <w:color w:val="000000" w:themeColor="text1"/>
                <w:sz w:val="20"/>
                <w:szCs w:val="20"/>
                <w:shd w:val="clear" w:color="auto" w:fill="FFFFFF"/>
                <w:lang w:val="en-US"/>
              </w:rPr>
              <w:t xml:space="preserve"> de la Kyoto și cu </w:t>
            </w:r>
            <w:proofErr w:type="spellStart"/>
            <w:r w:rsidRPr="002137FB">
              <w:rPr>
                <w:rFonts w:eastAsia="Arial Unicode MS"/>
                <w:color w:val="000000" w:themeColor="text1"/>
                <w:sz w:val="20"/>
                <w:szCs w:val="20"/>
                <w:shd w:val="clear" w:color="auto" w:fill="FFFFFF"/>
                <w:lang w:val="en-US"/>
              </w:rPr>
              <w:t>orice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decizie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ulterioară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statele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contribuie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activitățile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consolidare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capacităților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țărilor</w:t>
            </w:r>
            <w:proofErr w:type="spellEnd"/>
            <w:r w:rsidRPr="002137FB">
              <w:rPr>
                <w:rFonts w:eastAsia="Arial Unicode MS"/>
                <w:color w:val="000000" w:themeColor="text1"/>
                <w:sz w:val="20"/>
                <w:szCs w:val="20"/>
                <w:shd w:val="clear" w:color="auto" w:fill="FFFFFF"/>
                <w:lang w:val="en-US"/>
              </w:rPr>
              <w:t xml:space="preserve"> în curs de </w:t>
            </w:r>
            <w:proofErr w:type="spellStart"/>
            <w:r w:rsidRPr="002137FB">
              <w:rPr>
                <w:rFonts w:eastAsia="Arial Unicode MS"/>
                <w:color w:val="000000" w:themeColor="text1"/>
                <w:sz w:val="20"/>
                <w:szCs w:val="20"/>
                <w:shd w:val="clear" w:color="auto" w:fill="FFFFFF"/>
                <w:lang w:val="en-US"/>
              </w:rPr>
              <w:t>dezvoltare</w:t>
            </w:r>
            <w:proofErr w:type="spellEnd"/>
            <w:r w:rsidRPr="002137FB">
              <w:rPr>
                <w:rFonts w:eastAsia="Arial Unicode MS"/>
                <w:color w:val="000000" w:themeColor="text1"/>
                <w:sz w:val="20"/>
                <w:szCs w:val="20"/>
                <w:shd w:val="clear" w:color="auto" w:fill="FFFFFF"/>
                <w:lang w:val="en-US"/>
              </w:rPr>
              <w:t xml:space="preserve"> și ale </w:t>
            </w:r>
            <w:proofErr w:type="spellStart"/>
            <w:r w:rsidRPr="002137FB">
              <w:rPr>
                <w:rFonts w:eastAsia="Arial Unicode MS"/>
                <w:color w:val="000000" w:themeColor="text1"/>
                <w:sz w:val="20"/>
                <w:szCs w:val="20"/>
                <w:shd w:val="clear" w:color="auto" w:fill="FFFFFF"/>
                <w:lang w:val="en-US"/>
              </w:rPr>
              <w:t>țărilor</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economie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tranziție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le </w:t>
            </w:r>
            <w:proofErr w:type="spellStart"/>
            <w:r w:rsidRPr="002137FB">
              <w:rPr>
                <w:rFonts w:eastAsia="Arial Unicode MS"/>
                <w:color w:val="000000" w:themeColor="text1"/>
                <w:sz w:val="20"/>
                <w:szCs w:val="20"/>
                <w:shd w:val="clear" w:color="auto" w:fill="FFFFFF"/>
                <w:lang w:val="en-US"/>
              </w:rPr>
              <w:t>ajuta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profite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plin</w:t>
            </w:r>
            <w:proofErr w:type="spellEnd"/>
            <w:r w:rsidRPr="002137FB">
              <w:rPr>
                <w:rFonts w:eastAsia="Arial Unicode MS"/>
                <w:color w:val="000000" w:themeColor="text1"/>
                <w:sz w:val="20"/>
                <w:szCs w:val="20"/>
                <w:shd w:val="clear" w:color="auto" w:fill="FFFFFF"/>
                <w:lang w:val="en-US"/>
              </w:rPr>
              <w:t xml:space="preserve"> de AC și MDP </w:t>
            </w:r>
            <w:proofErr w:type="spellStart"/>
            <w:r w:rsidRPr="002137FB">
              <w:rPr>
                <w:rFonts w:eastAsia="Arial Unicode MS"/>
                <w:color w:val="000000" w:themeColor="text1"/>
                <w:sz w:val="20"/>
                <w:szCs w:val="20"/>
                <w:shd w:val="clear" w:color="auto" w:fill="FFFFFF"/>
                <w:lang w:val="en-US"/>
              </w:rPr>
              <w:t>într</w:t>
            </w:r>
            <w:proofErr w:type="spellEnd"/>
            <w:r w:rsidRPr="002137FB">
              <w:rPr>
                <w:rFonts w:eastAsia="Arial Unicode MS"/>
                <w:color w:val="000000" w:themeColor="text1"/>
                <w:sz w:val="20"/>
                <w:szCs w:val="20"/>
                <w:shd w:val="clear" w:color="auto" w:fill="FFFFFF"/>
                <w:lang w:val="en-US"/>
              </w:rPr>
              <w:t xml:space="preserve">-un mod care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le </w:t>
            </w:r>
            <w:proofErr w:type="spellStart"/>
            <w:r w:rsidRPr="002137FB">
              <w:rPr>
                <w:rFonts w:eastAsia="Arial Unicode MS"/>
                <w:color w:val="000000" w:themeColor="text1"/>
                <w:sz w:val="20"/>
                <w:szCs w:val="20"/>
                <w:shd w:val="clear" w:color="auto" w:fill="FFFFFF"/>
                <w:lang w:val="en-US"/>
              </w:rPr>
              <w:t>susțină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strategiile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dezvoltare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durabilă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încurajeze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entitățile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se </w:t>
            </w:r>
            <w:proofErr w:type="spellStart"/>
            <w:r w:rsidRPr="002137FB">
              <w:rPr>
                <w:rFonts w:eastAsia="Arial Unicode MS"/>
                <w:color w:val="000000" w:themeColor="text1"/>
                <w:sz w:val="20"/>
                <w:szCs w:val="20"/>
                <w:shd w:val="clear" w:color="auto" w:fill="FFFFFF"/>
                <w:lang w:val="en-US"/>
              </w:rPr>
              <w:t>angajeze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elaborarea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punerea</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proiecte</w:t>
            </w:r>
            <w:proofErr w:type="spellEnd"/>
            <w:r w:rsidRPr="002137FB">
              <w:rPr>
                <w:rFonts w:eastAsia="Arial Unicode MS"/>
                <w:color w:val="000000" w:themeColor="text1"/>
                <w:sz w:val="20"/>
                <w:szCs w:val="20"/>
                <w:shd w:val="clear" w:color="auto" w:fill="FFFFFF"/>
                <w:lang w:val="en-US"/>
              </w:rPr>
              <w:t xml:space="preserve"> AC și MDP.</w:t>
            </w:r>
          </w:p>
          <w:p w14:paraId="06D510FE"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79" w:tooltip="32018L0410: REPLACED" w:history="1">
              <w:r>
                <w:rPr>
                  <w:rStyle w:val="af3"/>
                  <w:rFonts w:eastAsia="Arial Unicode MS"/>
                  <w:b/>
                  <w:bCs/>
                  <w:color w:val="4472C4" w:themeColor="accent1"/>
                  <w:sz w:val="20"/>
                  <w:szCs w:val="20"/>
                </w:rPr>
                <w:t>▼M9</w:t>
              </w:r>
            </w:hyperlink>
          </w:p>
        </w:tc>
        <w:tc>
          <w:tcPr>
            <w:tcW w:w="4394" w:type="dxa"/>
            <w:shd w:val="clear" w:color="auto" w:fill="auto"/>
          </w:tcPr>
          <w:p w14:paraId="36F986B6"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DB1D4ED" w14:textId="79579DCE" w:rsidR="00124364" w:rsidRDefault="002137FB">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sz w:val="20"/>
                <w:szCs w:val="20"/>
                <w:lang w:val="ro-RO"/>
              </w:rPr>
              <w:t>Prevederi UE neaplicabile</w:t>
            </w:r>
          </w:p>
          <w:p w14:paraId="4A4255A6"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DDC9B1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876E3CE" w14:textId="77777777" w:rsidR="002137FB" w:rsidRPr="000643DF" w:rsidRDefault="002137FB" w:rsidP="002137F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r>
              <w:rPr>
                <w:rFonts w:ascii="Times New Roman" w:hAnsi="Times New Roman"/>
                <w:sz w:val="20"/>
                <w:szCs w:val="20"/>
                <w:lang w:val="ro-RO" w:eastAsia="zh-CN"/>
              </w:rPr>
              <w:t xml:space="preserve"> și statele </w:t>
            </w:r>
            <w:proofErr w:type="spellStart"/>
            <w:r>
              <w:rPr>
                <w:rFonts w:ascii="Times New Roman" w:hAnsi="Times New Roman"/>
                <w:sz w:val="20"/>
                <w:szCs w:val="20"/>
                <w:lang w:val="ro-RO" w:eastAsia="zh-CN"/>
              </w:rPr>
              <w:t>mebmre</w:t>
            </w:r>
            <w:proofErr w:type="spellEnd"/>
            <w:r>
              <w:rPr>
                <w:rFonts w:ascii="Times New Roman" w:hAnsi="Times New Roman"/>
                <w:sz w:val="20"/>
                <w:szCs w:val="20"/>
                <w:lang w:val="ro-RO" w:eastAsia="zh-CN"/>
              </w:rPr>
              <w:t xml:space="preserve"> ale UE</w:t>
            </w:r>
          </w:p>
          <w:p w14:paraId="4335CC3E"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CE6BAFD"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403A5D70" w14:textId="77777777">
        <w:trPr>
          <w:trHeight w:val="558"/>
        </w:trPr>
        <w:tc>
          <w:tcPr>
            <w:tcW w:w="4957" w:type="dxa"/>
            <w:shd w:val="clear" w:color="auto" w:fill="auto"/>
          </w:tcPr>
          <w:p w14:paraId="2792E68F"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22</w:t>
            </w:r>
          </w:p>
          <w:p w14:paraId="49A3CE5F" w14:textId="77777777" w:rsidR="00124364" w:rsidRPr="002137FB" w:rsidRDefault="00000000" w:rsidP="0005419F">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37FB">
              <w:rPr>
                <w:rFonts w:eastAsia="Arial Unicode MS"/>
                <w:b/>
                <w:bCs/>
                <w:color w:val="000000" w:themeColor="text1"/>
                <w:sz w:val="20"/>
                <w:szCs w:val="20"/>
                <w:shd w:val="clear" w:color="auto" w:fill="FFFFFF"/>
                <w:lang w:val="en-US"/>
              </w:rPr>
              <w:t>Modificări</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aduse</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anexelor</w:t>
            </w:r>
            <w:proofErr w:type="spellEnd"/>
          </w:p>
          <w:p w14:paraId="2C30E4DC" w14:textId="009C2490"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împuternicită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adopte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acte</w:t>
            </w:r>
            <w:proofErr w:type="spellEnd"/>
            <w:r w:rsidRPr="002137FB">
              <w:rPr>
                <w:rFonts w:eastAsia="Arial Unicode MS"/>
                <w:color w:val="000000" w:themeColor="text1"/>
                <w:sz w:val="20"/>
                <w:szCs w:val="20"/>
                <w:shd w:val="clear" w:color="auto" w:fill="FFFFFF"/>
                <w:lang w:val="en-US"/>
              </w:rPr>
              <w:t xml:space="preserve"> delegate în conformitate cu </w:t>
            </w:r>
            <w:proofErr w:type="spellStart"/>
            <w:r w:rsidRPr="002137FB">
              <w:rPr>
                <w:rFonts w:eastAsia="Arial Unicode MS"/>
                <w:color w:val="000000" w:themeColor="text1"/>
                <w:sz w:val="20"/>
                <w:szCs w:val="20"/>
                <w:shd w:val="clear" w:color="auto" w:fill="FFFFFF"/>
                <w:lang w:val="en-US"/>
              </w:rPr>
              <w:t>articolul</w:t>
            </w:r>
            <w:proofErr w:type="spellEnd"/>
            <w:r w:rsidR="002137FB" w:rsidRP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23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modifica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anexele</w:t>
            </w:r>
            <w:proofErr w:type="spellEnd"/>
            <w:r w:rsidRPr="002137FB">
              <w:rPr>
                <w:rFonts w:eastAsia="Arial Unicode MS"/>
                <w:color w:val="000000" w:themeColor="text1"/>
                <w:sz w:val="20"/>
                <w:szCs w:val="20"/>
                <w:shd w:val="clear" w:color="auto" w:fill="FFFFFF"/>
                <w:lang w:val="en-US"/>
              </w:rPr>
              <w:t xml:space="preserve"> la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excepția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anexelor</w:t>
            </w:r>
            <w:proofErr w:type="spellEnd"/>
            <w:r w:rsidRPr="002137FB">
              <w:rPr>
                <w:rFonts w:eastAsia="Arial Unicode MS"/>
                <w:color w:val="000000" w:themeColor="text1"/>
                <w:sz w:val="20"/>
                <w:szCs w:val="20"/>
                <w:shd w:val="clear" w:color="auto" w:fill="FFFFFF"/>
                <w:lang w:val="en-US"/>
              </w:rPr>
              <w:t xml:space="preserve"> I, </w:t>
            </w:r>
            <w:proofErr w:type="spellStart"/>
            <w:r w:rsidRPr="002137FB">
              <w:rPr>
                <w:rFonts w:eastAsia="Arial Unicode MS"/>
                <w:color w:val="000000" w:themeColor="text1"/>
                <w:sz w:val="20"/>
                <w:szCs w:val="20"/>
                <w:shd w:val="clear" w:color="auto" w:fill="FFFFFF"/>
                <w:lang w:val="en-US"/>
              </w:rPr>
              <w:t>IIa</w:t>
            </w:r>
            <w:proofErr w:type="spellEnd"/>
            <w:r w:rsidRPr="002137FB">
              <w:rPr>
                <w:rFonts w:eastAsia="Arial Unicode MS"/>
                <w:color w:val="000000" w:themeColor="text1"/>
                <w:sz w:val="20"/>
                <w:szCs w:val="20"/>
                <w:shd w:val="clear" w:color="auto" w:fill="FFFFFF"/>
                <w:lang w:val="en-US"/>
              </w:rPr>
              <w:t xml:space="preserve"> și IIb, </w:t>
            </w:r>
            <w:proofErr w:type="spellStart"/>
            <w:r w:rsidRPr="002137FB">
              <w:rPr>
                <w:rFonts w:eastAsia="Arial Unicode MS"/>
                <w:color w:val="000000" w:themeColor="text1"/>
                <w:sz w:val="20"/>
                <w:szCs w:val="20"/>
                <w:shd w:val="clear" w:color="auto" w:fill="FFFFFF"/>
                <w:lang w:val="en-US"/>
              </w:rPr>
              <w:t>având</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vedere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rapoartele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Pr="002137FB">
              <w:rPr>
                <w:rFonts w:eastAsia="Arial Unicode MS"/>
                <w:color w:val="000000" w:themeColor="text1"/>
                <w:sz w:val="20"/>
                <w:szCs w:val="20"/>
                <w:shd w:val="clear" w:color="auto" w:fill="FFFFFF"/>
                <w:lang w:val="en-US"/>
              </w:rPr>
              <w:t xml:space="preserve"> 21 și </w:t>
            </w:r>
            <w:proofErr w:type="spellStart"/>
            <w:r w:rsidRPr="002137FB">
              <w:rPr>
                <w:rFonts w:eastAsia="Arial Unicode MS"/>
                <w:color w:val="000000" w:themeColor="text1"/>
                <w:sz w:val="20"/>
                <w:szCs w:val="20"/>
                <w:shd w:val="clear" w:color="auto" w:fill="FFFFFF"/>
                <w:lang w:val="en-US"/>
              </w:rPr>
              <w:t>experiența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 </w:t>
            </w:r>
            <w:proofErr w:type="spellStart"/>
            <w:r w:rsidRPr="002137FB">
              <w:rPr>
                <w:rFonts w:eastAsia="Arial Unicode MS"/>
                <w:color w:val="000000" w:themeColor="text1"/>
                <w:sz w:val="20"/>
                <w:szCs w:val="20"/>
                <w:shd w:val="clear" w:color="auto" w:fill="FFFFFF"/>
                <w:lang w:val="en-US"/>
              </w:rPr>
              <w:t>Anexele</w:t>
            </w:r>
            <w:proofErr w:type="spellEnd"/>
            <w:r w:rsidRPr="002137FB">
              <w:rPr>
                <w:rFonts w:eastAsia="Arial Unicode MS"/>
                <w:color w:val="000000" w:themeColor="text1"/>
                <w:sz w:val="20"/>
                <w:szCs w:val="20"/>
                <w:shd w:val="clear" w:color="auto" w:fill="FFFFFF"/>
                <w:lang w:val="en-US"/>
              </w:rPr>
              <w:t xml:space="preserve"> IV și V pot fi </w:t>
            </w:r>
            <w:proofErr w:type="spellStart"/>
            <w:r w:rsidRPr="002137FB">
              <w:rPr>
                <w:rFonts w:eastAsia="Arial Unicode MS"/>
                <w:color w:val="000000" w:themeColor="text1"/>
                <w:sz w:val="20"/>
                <w:szCs w:val="20"/>
                <w:shd w:val="clear" w:color="auto" w:fill="FFFFFF"/>
                <w:lang w:val="en-US"/>
              </w:rPr>
              <w:t>modificate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se </w:t>
            </w:r>
            <w:proofErr w:type="spellStart"/>
            <w:r w:rsidRPr="002137FB">
              <w:rPr>
                <w:rFonts w:eastAsia="Arial Unicode MS"/>
                <w:color w:val="000000" w:themeColor="text1"/>
                <w:sz w:val="20"/>
                <w:szCs w:val="20"/>
                <w:shd w:val="clear" w:color="auto" w:fill="FFFFFF"/>
                <w:lang w:val="en-US"/>
              </w:rPr>
              <w:t>îmbunătăți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monitorizarea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raportarea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verificarea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w:t>
            </w:r>
          </w:p>
          <w:p w14:paraId="6AC8974C"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80" w:tooltip="32018L0410: INSERTED" w:history="1">
              <w:r>
                <w:rPr>
                  <w:rStyle w:val="af3"/>
                  <w:rFonts w:eastAsia="Arial Unicode MS"/>
                  <w:b/>
                  <w:bCs/>
                  <w:color w:val="4472C4" w:themeColor="accent1"/>
                  <w:sz w:val="20"/>
                  <w:szCs w:val="20"/>
                </w:rPr>
                <w:t>▼M9</w:t>
              </w:r>
            </w:hyperlink>
          </w:p>
        </w:tc>
        <w:tc>
          <w:tcPr>
            <w:tcW w:w="4394" w:type="dxa"/>
            <w:shd w:val="clear" w:color="auto" w:fill="auto"/>
          </w:tcPr>
          <w:p w14:paraId="2C61347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ACA2574" w14:textId="77777777" w:rsidR="002137FB" w:rsidRDefault="002137FB" w:rsidP="002137FB">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sz w:val="20"/>
                <w:szCs w:val="20"/>
                <w:lang w:val="ro-RO"/>
              </w:rPr>
              <w:t>Prevederi UE neaplicabile</w:t>
            </w:r>
          </w:p>
          <w:p w14:paraId="74CC3925" w14:textId="77777777" w:rsidR="00124364" w:rsidRDefault="00124364" w:rsidP="002137FB">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59B92392"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E967DDE" w14:textId="60031856" w:rsidR="00124364" w:rsidRDefault="002137FB">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43E8420A"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5ABD78C0" w14:textId="77777777">
        <w:trPr>
          <w:trHeight w:val="558"/>
        </w:trPr>
        <w:tc>
          <w:tcPr>
            <w:tcW w:w="4957" w:type="dxa"/>
            <w:shd w:val="clear" w:color="auto" w:fill="auto"/>
          </w:tcPr>
          <w:p w14:paraId="1A1F696E" w14:textId="77777777" w:rsidR="00124364"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t>Articolul</w:t>
            </w:r>
            <w:proofErr w:type="spellEnd"/>
            <w:r>
              <w:rPr>
                <w:rFonts w:eastAsia="Arial Unicode MS"/>
                <w:i/>
                <w:iCs/>
                <w:color w:val="333333"/>
                <w:sz w:val="20"/>
                <w:szCs w:val="20"/>
                <w:shd w:val="clear" w:color="auto" w:fill="FFFFFF"/>
              </w:rPr>
              <w:t xml:space="preserve"> 22a</w:t>
            </w:r>
          </w:p>
          <w:p w14:paraId="421C6F56"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Procedura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comitetului</w:t>
            </w:r>
            <w:proofErr w:type="spellEnd"/>
          </w:p>
          <w:p w14:paraId="57E80FEE" w14:textId="6671F89D" w:rsidR="00124364" w:rsidRPr="0005419F" w:rsidRDefault="00000000" w:rsidP="0005419F">
            <w:pPr>
              <w:pStyle w:val="ti-art"/>
              <w:numPr>
                <w:ilvl w:val="0"/>
                <w:numId w:val="103"/>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este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asistată</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Comitetul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privind</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schimbările</w:t>
            </w:r>
            <w:proofErr w:type="spellEnd"/>
            <w:r w:rsidRPr="0005419F">
              <w:rPr>
                <w:rFonts w:eastAsia="Arial Unicode MS"/>
                <w:color w:val="000000" w:themeColor="text1"/>
                <w:sz w:val="20"/>
                <w:szCs w:val="20"/>
                <w:shd w:val="clear" w:color="auto" w:fill="FFFFFF"/>
                <w:lang w:val="en-US"/>
              </w:rPr>
              <w:t xml:space="preserve"> climatice, </w:t>
            </w:r>
            <w:proofErr w:type="spellStart"/>
            <w:r w:rsidRPr="0005419F">
              <w:rPr>
                <w:rFonts w:eastAsia="Arial Unicode MS"/>
                <w:color w:val="000000" w:themeColor="text1"/>
                <w:sz w:val="20"/>
                <w:szCs w:val="20"/>
                <w:shd w:val="clear" w:color="auto" w:fill="FFFFFF"/>
                <w:lang w:val="en-US"/>
              </w:rPr>
              <w:t>înființat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prin</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26 din </w:t>
            </w:r>
            <w:proofErr w:type="spellStart"/>
            <w:r w:rsidRPr="0005419F">
              <w:rPr>
                <w:rFonts w:eastAsia="Arial Unicode MS"/>
                <w:color w:val="000000" w:themeColor="text1"/>
                <w:sz w:val="20"/>
                <w:szCs w:val="20"/>
                <w:shd w:val="clear" w:color="auto" w:fill="FFFFFF"/>
                <w:lang w:val="en-US"/>
              </w:rPr>
              <w:t>Regulamentul</w:t>
            </w:r>
            <w:proofErr w:type="spellEnd"/>
            <w:r w:rsidRPr="0005419F">
              <w:rPr>
                <w:rFonts w:eastAsia="Arial Unicode MS"/>
                <w:color w:val="000000" w:themeColor="text1"/>
                <w:sz w:val="20"/>
                <w:szCs w:val="20"/>
                <w:shd w:val="clear" w:color="auto" w:fill="FFFFFF"/>
                <w:lang w:val="en-US"/>
              </w:rPr>
              <w:t xml:space="preserve"> (UE) nr. 525/2013 al </w:t>
            </w:r>
            <w:proofErr w:type="spellStart"/>
            <w:r w:rsidRPr="0005419F">
              <w:rPr>
                <w:rFonts w:eastAsia="Arial Unicode MS"/>
                <w:color w:val="000000" w:themeColor="text1"/>
                <w:sz w:val="20"/>
                <w:szCs w:val="20"/>
                <w:shd w:val="clear" w:color="auto" w:fill="FFFFFF"/>
                <w:lang w:val="en-US"/>
              </w:rPr>
              <w:t>Parlamentului</w:t>
            </w:r>
            <w:proofErr w:type="spellEnd"/>
            <w:r w:rsidRPr="0005419F">
              <w:rPr>
                <w:rFonts w:eastAsia="Arial Unicode MS"/>
                <w:color w:val="000000" w:themeColor="text1"/>
                <w:sz w:val="20"/>
                <w:szCs w:val="20"/>
                <w:shd w:val="clear" w:color="auto" w:fill="FFFFFF"/>
                <w:lang w:val="en-US"/>
              </w:rPr>
              <w:t xml:space="preserve"> European și al </w:t>
            </w:r>
            <w:proofErr w:type="spellStart"/>
            <w:r w:rsidRPr="0005419F">
              <w:rPr>
                <w:rFonts w:eastAsia="Arial Unicode MS"/>
                <w:color w:val="000000" w:themeColor="text1"/>
                <w:sz w:val="20"/>
                <w:szCs w:val="20"/>
                <w:shd w:val="clear" w:color="auto" w:fill="FFFFFF"/>
                <w:lang w:val="en-US"/>
              </w:rPr>
              <w:t>Consiliului</w:t>
            </w:r>
            <w:proofErr w:type="spellEnd"/>
            <w:r w:rsidR="0005419F"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w:t>
            </w:r>
            <w:hyperlink r:id="rId281" w:anchor="E0033" w:history="1">
              <w:r w:rsidRPr="0005419F">
                <w:rPr>
                  <w:rStyle w:val="superscript"/>
                  <w:rFonts w:eastAsia="Arial Unicode MS"/>
                  <w:color w:val="000000" w:themeColor="text1"/>
                  <w:sz w:val="20"/>
                  <w:szCs w:val="20"/>
                  <w:vertAlign w:val="superscript"/>
                  <w:lang w:val="en-US"/>
                </w:rPr>
                <w:t>32</w:t>
              </w:r>
            </w:hyperlink>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Respectivul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comitet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este</w:t>
            </w:r>
            <w:proofErr w:type="spellEnd"/>
            <w:r w:rsidRPr="0005419F">
              <w:rPr>
                <w:rFonts w:eastAsia="Arial Unicode MS"/>
                <w:color w:val="000000" w:themeColor="text1"/>
                <w:sz w:val="20"/>
                <w:szCs w:val="20"/>
                <w:shd w:val="clear" w:color="auto" w:fill="FFFFFF"/>
                <w:lang w:val="en-US"/>
              </w:rPr>
              <w:t xml:space="preserve"> un </w:t>
            </w:r>
            <w:proofErr w:type="spellStart"/>
            <w:r w:rsidRPr="0005419F">
              <w:rPr>
                <w:rFonts w:eastAsia="Arial Unicode MS"/>
                <w:color w:val="000000" w:themeColor="text1"/>
                <w:sz w:val="20"/>
                <w:szCs w:val="20"/>
                <w:shd w:val="clear" w:color="auto" w:fill="FFFFFF"/>
                <w:lang w:val="en-US"/>
              </w:rPr>
              <w:t>comitet</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înțelesul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Regulamentului</w:t>
            </w:r>
            <w:proofErr w:type="spellEnd"/>
            <w:r w:rsidRPr="0005419F">
              <w:rPr>
                <w:rFonts w:eastAsia="Arial Unicode MS"/>
                <w:color w:val="000000" w:themeColor="text1"/>
                <w:sz w:val="20"/>
                <w:szCs w:val="20"/>
                <w:shd w:val="clear" w:color="auto" w:fill="FFFFFF"/>
                <w:lang w:val="en-US"/>
              </w:rPr>
              <w:t xml:space="preserve"> (UE) nr. 182/2011 al </w:t>
            </w:r>
            <w:proofErr w:type="spellStart"/>
            <w:r w:rsidRPr="0005419F">
              <w:rPr>
                <w:rFonts w:eastAsia="Arial Unicode MS"/>
                <w:color w:val="000000" w:themeColor="text1"/>
                <w:sz w:val="20"/>
                <w:szCs w:val="20"/>
                <w:shd w:val="clear" w:color="auto" w:fill="FFFFFF"/>
                <w:lang w:val="en-US"/>
              </w:rPr>
              <w:t>Parlamentului</w:t>
            </w:r>
            <w:proofErr w:type="spellEnd"/>
            <w:r w:rsidRPr="0005419F">
              <w:rPr>
                <w:rFonts w:eastAsia="Arial Unicode MS"/>
                <w:color w:val="000000" w:themeColor="text1"/>
                <w:sz w:val="20"/>
                <w:szCs w:val="20"/>
                <w:shd w:val="clear" w:color="auto" w:fill="FFFFFF"/>
                <w:lang w:val="en-US"/>
              </w:rPr>
              <w:t xml:space="preserve"> European și al </w:t>
            </w:r>
            <w:proofErr w:type="spellStart"/>
            <w:r w:rsidRPr="0005419F">
              <w:rPr>
                <w:rFonts w:eastAsia="Arial Unicode MS"/>
                <w:color w:val="000000" w:themeColor="text1"/>
                <w:sz w:val="20"/>
                <w:szCs w:val="20"/>
                <w:shd w:val="clear" w:color="auto" w:fill="FFFFFF"/>
                <w:lang w:val="en-US"/>
              </w:rPr>
              <w:t>Consiliului</w:t>
            </w:r>
            <w:proofErr w:type="spellEnd"/>
            <w:r w:rsidRPr="0005419F">
              <w:rPr>
                <w:rFonts w:eastAsia="Arial Unicode MS"/>
                <w:color w:val="000000" w:themeColor="text1"/>
                <w:sz w:val="20"/>
                <w:szCs w:val="20"/>
                <w:shd w:val="clear" w:color="auto" w:fill="FFFFFF"/>
                <w:lang w:val="en-US"/>
              </w:rPr>
              <w:t>(</w:t>
            </w:r>
            <w:hyperlink r:id="rId282" w:anchor="E0034" w:history="1">
              <w:r w:rsidRPr="0005419F">
                <w:rPr>
                  <w:rStyle w:val="superscript"/>
                  <w:rFonts w:eastAsia="Arial Unicode MS"/>
                  <w:color w:val="000000" w:themeColor="text1"/>
                  <w:sz w:val="20"/>
                  <w:szCs w:val="20"/>
                  <w:vertAlign w:val="superscript"/>
                  <w:lang w:val="en-US"/>
                </w:rPr>
                <w:t>33</w:t>
              </w:r>
            </w:hyperlink>
            <w:r w:rsidRPr="0005419F">
              <w:rPr>
                <w:rFonts w:eastAsia="Arial Unicode MS"/>
                <w:color w:val="000000" w:themeColor="text1"/>
                <w:sz w:val="20"/>
                <w:szCs w:val="20"/>
                <w:shd w:val="clear" w:color="auto" w:fill="FFFFFF"/>
                <w:lang w:val="en-US"/>
              </w:rPr>
              <w:t>).</w:t>
            </w:r>
          </w:p>
          <w:p w14:paraId="7CB8078E" w14:textId="77777777" w:rsidR="00124364" w:rsidRPr="0005419F" w:rsidRDefault="00000000" w:rsidP="0005419F">
            <w:pPr>
              <w:pStyle w:val="ti-art"/>
              <w:numPr>
                <w:ilvl w:val="0"/>
                <w:numId w:val="103"/>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În </w:t>
            </w:r>
            <w:proofErr w:type="spellStart"/>
            <w:r w:rsidRPr="0005419F">
              <w:rPr>
                <w:rFonts w:eastAsia="Arial Unicode MS"/>
                <w:color w:val="000000" w:themeColor="text1"/>
                <w:sz w:val="20"/>
                <w:szCs w:val="20"/>
                <w:shd w:val="clear" w:color="auto" w:fill="FFFFFF"/>
                <w:lang w:val="en-US"/>
              </w:rPr>
              <w:t>cazul</w:t>
            </w:r>
            <w:proofErr w:type="spellEnd"/>
            <w:r w:rsidRPr="0005419F">
              <w:rPr>
                <w:rFonts w:eastAsia="Arial Unicode MS"/>
                <w:color w:val="000000" w:themeColor="text1"/>
                <w:sz w:val="20"/>
                <w:szCs w:val="20"/>
                <w:shd w:val="clear" w:color="auto" w:fill="FFFFFF"/>
                <w:lang w:val="en-US"/>
              </w:rPr>
              <w:t xml:space="preserve"> în care se face </w:t>
            </w:r>
            <w:proofErr w:type="spellStart"/>
            <w:r w:rsidRPr="0005419F">
              <w:rPr>
                <w:rFonts w:eastAsia="Arial Unicode MS"/>
                <w:color w:val="000000" w:themeColor="text1"/>
                <w:sz w:val="20"/>
                <w:szCs w:val="20"/>
                <w:shd w:val="clear" w:color="auto" w:fill="FFFFFF"/>
                <w:lang w:val="en-US"/>
              </w:rPr>
              <w:t>trimitere</w:t>
            </w:r>
            <w:proofErr w:type="spellEnd"/>
            <w:r w:rsidRPr="0005419F">
              <w:rPr>
                <w:rFonts w:eastAsia="Arial Unicode MS"/>
                <w:color w:val="000000" w:themeColor="text1"/>
                <w:sz w:val="20"/>
                <w:szCs w:val="20"/>
                <w:shd w:val="clear" w:color="auto" w:fill="FFFFFF"/>
                <w:lang w:val="en-US"/>
              </w:rPr>
              <w:t xml:space="preserve"> la </w:t>
            </w:r>
            <w:proofErr w:type="spellStart"/>
            <w:r w:rsidRPr="0005419F">
              <w:rPr>
                <w:rFonts w:eastAsia="Arial Unicode MS"/>
                <w:color w:val="000000" w:themeColor="text1"/>
                <w:sz w:val="20"/>
                <w:szCs w:val="20"/>
                <w:shd w:val="clear" w:color="auto" w:fill="FFFFFF"/>
                <w:lang w:val="en-US"/>
              </w:rPr>
              <w:t>prezentul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alineat</w:t>
            </w:r>
            <w:proofErr w:type="spellEnd"/>
            <w:r w:rsidRPr="0005419F">
              <w:rPr>
                <w:rFonts w:eastAsia="Arial Unicode MS"/>
                <w:color w:val="000000" w:themeColor="text1"/>
                <w:sz w:val="20"/>
                <w:szCs w:val="20"/>
                <w:shd w:val="clear" w:color="auto" w:fill="FFFFFF"/>
                <w:lang w:val="en-US"/>
              </w:rPr>
              <w:t xml:space="preserve">, se </w:t>
            </w:r>
            <w:proofErr w:type="spellStart"/>
            <w:r w:rsidRPr="0005419F">
              <w:rPr>
                <w:rFonts w:eastAsia="Arial Unicode MS"/>
                <w:color w:val="000000" w:themeColor="text1"/>
                <w:sz w:val="20"/>
                <w:szCs w:val="20"/>
                <w:shd w:val="clear" w:color="auto" w:fill="FFFFFF"/>
                <w:lang w:val="en-US"/>
              </w:rPr>
              <w:t>aplică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5 din </w:t>
            </w:r>
            <w:proofErr w:type="spellStart"/>
            <w:r w:rsidRPr="0005419F">
              <w:rPr>
                <w:rFonts w:eastAsia="Arial Unicode MS"/>
                <w:color w:val="000000" w:themeColor="text1"/>
                <w:sz w:val="20"/>
                <w:szCs w:val="20"/>
                <w:shd w:val="clear" w:color="auto" w:fill="FFFFFF"/>
                <w:lang w:val="en-US"/>
              </w:rPr>
              <w:t>Regulamentul</w:t>
            </w:r>
            <w:proofErr w:type="spellEnd"/>
            <w:r w:rsidRPr="0005419F">
              <w:rPr>
                <w:rFonts w:eastAsia="Arial Unicode MS"/>
                <w:color w:val="000000" w:themeColor="text1"/>
                <w:sz w:val="20"/>
                <w:szCs w:val="20"/>
                <w:shd w:val="clear" w:color="auto" w:fill="FFFFFF"/>
                <w:lang w:val="en-US"/>
              </w:rPr>
              <w:t xml:space="preserve"> (UE) nr. 182/2011.</w:t>
            </w:r>
          </w:p>
          <w:p w14:paraId="3B06DA95" w14:textId="77777777" w:rsidR="00124364" w:rsidRPr="0005419F" w:rsidRDefault="00000000" w:rsidP="0005419F">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În </w:t>
            </w:r>
            <w:proofErr w:type="spellStart"/>
            <w:r w:rsidRPr="0005419F">
              <w:rPr>
                <w:rFonts w:eastAsia="Arial Unicode MS"/>
                <w:color w:val="000000" w:themeColor="text1"/>
                <w:sz w:val="20"/>
                <w:szCs w:val="20"/>
                <w:shd w:val="clear" w:color="auto" w:fill="FFFFFF"/>
                <w:lang w:val="en-US"/>
              </w:rPr>
              <w:t>cazul</w:t>
            </w:r>
            <w:proofErr w:type="spellEnd"/>
            <w:r w:rsidRPr="0005419F">
              <w:rPr>
                <w:rFonts w:eastAsia="Arial Unicode MS"/>
                <w:color w:val="000000" w:themeColor="text1"/>
                <w:sz w:val="20"/>
                <w:szCs w:val="20"/>
                <w:shd w:val="clear" w:color="auto" w:fill="FFFFFF"/>
                <w:lang w:val="en-US"/>
              </w:rPr>
              <w:t xml:space="preserve"> în care </w:t>
            </w:r>
            <w:proofErr w:type="spellStart"/>
            <w:r w:rsidRPr="0005419F">
              <w:rPr>
                <w:rFonts w:eastAsia="Arial Unicode MS"/>
                <w:color w:val="000000" w:themeColor="text1"/>
                <w:sz w:val="20"/>
                <w:szCs w:val="20"/>
                <w:shd w:val="clear" w:color="auto" w:fill="FFFFFF"/>
                <w:lang w:val="en-US"/>
              </w:rPr>
              <w:t>comitetul</w:t>
            </w:r>
            <w:proofErr w:type="spellEnd"/>
            <w:r w:rsidRPr="0005419F">
              <w:rPr>
                <w:rFonts w:eastAsia="Arial Unicode MS"/>
                <w:color w:val="000000" w:themeColor="text1"/>
                <w:sz w:val="20"/>
                <w:szCs w:val="20"/>
                <w:shd w:val="clear" w:color="auto" w:fill="FFFFFF"/>
                <w:lang w:val="en-US"/>
              </w:rPr>
              <w:t xml:space="preserve"> nu </w:t>
            </w:r>
            <w:proofErr w:type="spellStart"/>
            <w:r w:rsidRPr="0005419F">
              <w:rPr>
                <w:rFonts w:eastAsia="Arial Unicode MS"/>
                <w:color w:val="000000" w:themeColor="text1"/>
                <w:sz w:val="20"/>
                <w:szCs w:val="20"/>
                <w:shd w:val="clear" w:color="auto" w:fill="FFFFFF"/>
                <w:lang w:val="en-US"/>
              </w:rPr>
              <w:t>emite</w:t>
            </w:r>
            <w:proofErr w:type="spellEnd"/>
            <w:r w:rsidRPr="0005419F">
              <w:rPr>
                <w:rFonts w:eastAsia="Arial Unicode MS"/>
                <w:color w:val="000000" w:themeColor="text1"/>
                <w:sz w:val="20"/>
                <w:szCs w:val="20"/>
                <w:shd w:val="clear" w:color="auto" w:fill="FFFFFF"/>
                <w:lang w:val="en-US"/>
              </w:rPr>
              <w:t xml:space="preserve"> un </w:t>
            </w:r>
            <w:proofErr w:type="spellStart"/>
            <w:r w:rsidRPr="0005419F">
              <w:rPr>
                <w:rFonts w:eastAsia="Arial Unicode MS"/>
                <w:color w:val="000000" w:themeColor="text1"/>
                <w:sz w:val="20"/>
                <w:szCs w:val="20"/>
                <w:shd w:val="clear" w:color="auto" w:fill="FFFFFF"/>
                <w:lang w:val="en-US"/>
              </w:rPr>
              <w:t>aviz</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nu </w:t>
            </w:r>
            <w:proofErr w:type="spellStart"/>
            <w:r w:rsidRPr="0005419F">
              <w:rPr>
                <w:rFonts w:eastAsia="Arial Unicode MS"/>
                <w:color w:val="000000" w:themeColor="text1"/>
                <w:sz w:val="20"/>
                <w:szCs w:val="20"/>
                <w:shd w:val="clear" w:color="auto" w:fill="FFFFFF"/>
                <w:lang w:val="en-US"/>
              </w:rPr>
              <w:t>adoptă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proiectul</w:t>
            </w:r>
            <w:proofErr w:type="spellEnd"/>
            <w:r w:rsidRPr="0005419F">
              <w:rPr>
                <w:rFonts w:eastAsia="Arial Unicode MS"/>
                <w:color w:val="000000" w:themeColor="text1"/>
                <w:sz w:val="20"/>
                <w:szCs w:val="20"/>
                <w:shd w:val="clear" w:color="auto" w:fill="FFFFFF"/>
                <w:lang w:val="en-US"/>
              </w:rPr>
              <w:t xml:space="preserve"> de act de </w:t>
            </w:r>
            <w:proofErr w:type="spellStart"/>
            <w:r w:rsidRPr="0005419F">
              <w:rPr>
                <w:rFonts w:eastAsia="Arial Unicode MS"/>
                <w:color w:val="000000" w:themeColor="text1"/>
                <w:sz w:val="20"/>
                <w:szCs w:val="20"/>
                <w:shd w:val="clear" w:color="auto" w:fill="FFFFFF"/>
                <w:lang w:val="en-US"/>
              </w:rPr>
              <w:t>punere</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aplicare</w:t>
            </w:r>
            <w:proofErr w:type="spellEnd"/>
            <w:r w:rsidRPr="0005419F">
              <w:rPr>
                <w:rFonts w:eastAsia="Arial Unicode MS"/>
                <w:color w:val="000000" w:themeColor="text1"/>
                <w:sz w:val="20"/>
                <w:szCs w:val="20"/>
                <w:shd w:val="clear" w:color="auto" w:fill="FFFFFF"/>
                <w:lang w:val="en-US"/>
              </w:rPr>
              <w:t xml:space="preserve"> și se </w:t>
            </w:r>
            <w:proofErr w:type="spellStart"/>
            <w:r w:rsidRPr="0005419F">
              <w:rPr>
                <w:rFonts w:eastAsia="Arial Unicode MS"/>
                <w:color w:val="000000" w:themeColor="text1"/>
                <w:sz w:val="20"/>
                <w:szCs w:val="20"/>
                <w:shd w:val="clear" w:color="auto" w:fill="FFFFFF"/>
                <w:lang w:val="en-US"/>
              </w:rPr>
              <w:t>aplică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5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(4) al </w:t>
            </w:r>
            <w:proofErr w:type="spellStart"/>
            <w:r w:rsidRPr="0005419F">
              <w:rPr>
                <w:rFonts w:eastAsia="Arial Unicode MS"/>
                <w:color w:val="000000" w:themeColor="text1"/>
                <w:sz w:val="20"/>
                <w:szCs w:val="20"/>
                <w:shd w:val="clear" w:color="auto" w:fill="FFFFFF"/>
                <w:lang w:val="en-US"/>
              </w:rPr>
              <w:t>treilea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paragraf</w:t>
            </w:r>
            <w:proofErr w:type="spellEnd"/>
            <w:r w:rsidRPr="0005419F">
              <w:rPr>
                <w:rFonts w:eastAsia="Arial Unicode MS"/>
                <w:color w:val="000000" w:themeColor="text1"/>
                <w:sz w:val="20"/>
                <w:szCs w:val="20"/>
                <w:shd w:val="clear" w:color="auto" w:fill="FFFFFF"/>
                <w:lang w:val="en-US"/>
              </w:rPr>
              <w:t xml:space="preserve"> din </w:t>
            </w:r>
            <w:proofErr w:type="spellStart"/>
            <w:r w:rsidRPr="0005419F">
              <w:rPr>
                <w:rFonts w:eastAsia="Arial Unicode MS"/>
                <w:color w:val="000000" w:themeColor="text1"/>
                <w:sz w:val="20"/>
                <w:szCs w:val="20"/>
                <w:shd w:val="clear" w:color="auto" w:fill="FFFFFF"/>
                <w:lang w:val="en-US"/>
              </w:rPr>
              <w:t>Regulamentul</w:t>
            </w:r>
            <w:proofErr w:type="spellEnd"/>
            <w:r w:rsidRPr="0005419F">
              <w:rPr>
                <w:rFonts w:eastAsia="Arial Unicode MS"/>
                <w:color w:val="000000" w:themeColor="text1"/>
                <w:sz w:val="20"/>
                <w:szCs w:val="20"/>
                <w:shd w:val="clear" w:color="auto" w:fill="FFFFFF"/>
                <w:lang w:val="en-US"/>
              </w:rPr>
              <w:t xml:space="preserve"> (UE) nr. 182/2011.</w:t>
            </w:r>
          </w:p>
          <w:p w14:paraId="10FC53AF"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83" w:tooltip="32018L0410: REPLACED" w:history="1">
              <w:r>
                <w:rPr>
                  <w:rStyle w:val="af3"/>
                  <w:rFonts w:eastAsia="Arial Unicode MS"/>
                  <w:b/>
                  <w:bCs/>
                  <w:color w:val="4472C4" w:themeColor="accent1"/>
                  <w:sz w:val="20"/>
                  <w:szCs w:val="20"/>
                </w:rPr>
                <w:t>▼M9</w:t>
              </w:r>
            </w:hyperlink>
          </w:p>
        </w:tc>
        <w:tc>
          <w:tcPr>
            <w:tcW w:w="4394" w:type="dxa"/>
            <w:shd w:val="clear" w:color="auto" w:fill="auto"/>
          </w:tcPr>
          <w:p w14:paraId="3B2313FA"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F4FC3CF" w14:textId="77777777" w:rsidR="0005419F" w:rsidRDefault="0005419F" w:rsidP="0005419F">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sz w:val="20"/>
                <w:szCs w:val="20"/>
                <w:lang w:val="ro-RO"/>
              </w:rPr>
              <w:t>Prevederi UE neaplicabile</w:t>
            </w:r>
          </w:p>
          <w:p w14:paraId="72997A30" w14:textId="77777777" w:rsidR="00124364" w:rsidRDefault="00124364" w:rsidP="0005419F">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04F177A8"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E881104" w14:textId="25E11C7B" w:rsidR="00124364" w:rsidRDefault="0005419F">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2C7D3741" w14:textId="77777777" w:rsidR="00124364" w:rsidRDefault="00124364" w:rsidP="0005419F">
            <w:pPr>
              <w:autoSpaceDE w:val="0"/>
              <w:spacing w:after="0" w:line="240" w:lineRule="auto"/>
              <w:rPr>
                <w:rFonts w:ascii="Times New Roman" w:hAnsi="Times New Roman"/>
                <w:sz w:val="20"/>
                <w:szCs w:val="20"/>
                <w:lang w:val="fr-FR"/>
              </w:rPr>
            </w:pPr>
          </w:p>
        </w:tc>
      </w:tr>
      <w:tr w:rsidR="00124364" w14:paraId="4124D0B9" w14:textId="77777777">
        <w:trPr>
          <w:trHeight w:val="558"/>
        </w:trPr>
        <w:tc>
          <w:tcPr>
            <w:tcW w:w="4957" w:type="dxa"/>
            <w:shd w:val="clear" w:color="auto" w:fill="auto"/>
          </w:tcPr>
          <w:p w14:paraId="31CE4A2C" w14:textId="77777777" w:rsidR="00124364"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t>Articolul</w:t>
            </w:r>
            <w:proofErr w:type="spellEnd"/>
            <w:r>
              <w:rPr>
                <w:rFonts w:eastAsia="Arial Unicode MS"/>
                <w:i/>
                <w:iCs/>
                <w:color w:val="333333"/>
                <w:sz w:val="20"/>
                <w:szCs w:val="20"/>
                <w:shd w:val="clear" w:color="auto" w:fill="FFFFFF"/>
              </w:rPr>
              <w:t xml:space="preserve"> 23</w:t>
            </w:r>
          </w:p>
          <w:p w14:paraId="52004D74"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Exercitarea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delegării</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de</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competențe</w:t>
            </w:r>
            <w:proofErr w:type="spellEnd"/>
          </w:p>
          <w:p w14:paraId="70A84250" w14:textId="77777777" w:rsidR="00124364" w:rsidRDefault="00000000">
            <w:pPr>
              <w:pStyle w:val="ti-art"/>
              <w:numPr>
                <w:ilvl w:val="0"/>
                <w:numId w:val="104"/>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Se </w:t>
            </w:r>
            <w:proofErr w:type="spellStart"/>
            <w:r>
              <w:rPr>
                <w:rFonts w:eastAsia="Arial Unicode MS"/>
                <w:color w:val="333333"/>
                <w:sz w:val="20"/>
                <w:szCs w:val="20"/>
                <w:shd w:val="clear" w:color="auto" w:fill="FFFFFF"/>
                <w:lang w:val="en-US"/>
              </w:rPr>
              <w:t>conferă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competența</w:t>
            </w:r>
            <w:proofErr w:type="spellEnd"/>
            <w:r>
              <w:rPr>
                <w:rFonts w:eastAsia="Arial Unicode MS"/>
                <w:color w:val="333333"/>
                <w:sz w:val="20"/>
                <w:szCs w:val="20"/>
                <w:shd w:val="clear" w:color="auto" w:fill="FFFFFF"/>
                <w:lang w:val="en-US"/>
              </w:rPr>
              <w:t xml:space="preserve"> de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acte</w:t>
            </w:r>
            <w:proofErr w:type="spellEnd"/>
            <w:r>
              <w:rPr>
                <w:rFonts w:eastAsia="Arial Unicode MS"/>
                <w:color w:val="333333"/>
                <w:sz w:val="20"/>
                <w:szCs w:val="20"/>
                <w:shd w:val="clear" w:color="auto" w:fill="FFFFFF"/>
                <w:lang w:val="en-US"/>
              </w:rPr>
              <w:t xml:space="preserve"> delegate în </w:t>
            </w:r>
            <w:proofErr w:type="spellStart"/>
            <w:r>
              <w:rPr>
                <w:rFonts w:eastAsia="Arial Unicode MS"/>
                <w:color w:val="333333"/>
                <w:sz w:val="20"/>
                <w:szCs w:val="20"/>
                <w:shd w:val="clear" w:color="auto" w:fill="FFFFFF"/>
                <w:lang w:val="en-US"/>
              </w:rPr>
              <w:t>condițiile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w:t>
            </w:r>
          </w:p>
          <w:p w14:paraId="0204FBD7"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84" w:tooltip="32023L0959: REPLACED" w:history="1">
              <w:r>
                <w:rPr>
                  <w:rStyle w:val="af3"/>
                  <w:rFonts w:eastAsia="Arial Unicode MS"/>
                  <w:b/>
                  <w:bCs/>
                  <w:color w:val="4472C4" w:themeColor="accent1"/>
                  <w:sz w:val="20"/>
                  <w:szCs w:val="20"/>
                  <w:lang w:val="en-US"/>
                </w:rPr>
                <w:t>▼M15</w:t>
              </w:r>
            </w:hyperlink>
          </w:p>
          <w:p w14:paraId="143E157D" w14:textId="74C7A06D" w:rsidR="00124364" w:rsidRPr="0005419F" w:rsidRDefault="00000000" w:rsidP="0005419F">
            <w:pPr>
              <w:pStyle w:val="ti-art"/>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Se </w:t>
            </w:r>
            <w:proofErr w:type="spellStart"/>
            <w:r w:rsidRPr="0005419F">
              <w:rPr>
                <w:rFonts w:eastAsia="Arial Unicode MS"/>
                <w:color w:val="000000" w:themeColor="text1"/>
                <w:sz w:val="20"/>
                <w:szCs w:val="20"/>
                <w:shd w:val="clear" w:color="auto" w:fill="FFFFFF"/>
                <w:lang w:val="en-US"/>
              </w:rPr>
              <w:t>conferă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Comisiei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competența</w:t>
            </w:r>
            <w:proofErr w:type="spellEnd"/>
            <w:r w:rsidRPr="0005419F">
              <w:rPr>
                <w:rFonts w:eastAsia="Arial Unicode MS"/>
                <w:color w:val="000000" w:themeColor="text1"/>
                <w:sz w:val="20"/>
                <w:szCs w:val="20"/>
                <w:shd w:val="clear" w:color="auto" w:fill="FFFFFF"/>
                <w:lang w:val="en-US"/>
              </w:rPr>
              <w:t xml:space="preserve"> de a </w:t>
            </w:r>
            <w:proofErr w:type="spellStart"/>
            <w:r w:rsidRPr="0005419F">
              <w:rPr>
                <w:rFonts w:eastAsia="Arial Unicode MS"/>
                <w:color w:val="000000" w:themeColor="text1"/>
                <w:sz w:val="20"/>
                <w:szCs w:val="20"/>
                <w:shd w:val="clear" w:color="auto" w:fill="FFFFFF"/>
                <w:lang w:val="en-US"/>
              </w:rPr>
              <w:t>adopta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acte</w:t>
            </w:r>
            <w:proofErr w:type="spellEnd"/>
            <w:r w:rsidRPr="0005419F">
              <w:rPr>
                <w:rFonts w:eastAsia="Arial Unicode MS"/>
                <w:color w:val="000000" w:themeColor="text1"/>
                <w:sz w:val="20"/>
                <w:szCs w:val="20"/>
                <w:shd w:val="clear" w:color="auto" w:fill="FFFFFF"/>
                <w:lang w:val="en-US"/>
              </w:rPr>
              <w:t xml:space="preserve"> delegate </w:t>
            </w:r>
            <w:proofErr w:type="spellStart"/>
            <w:r w:rsidRPr="0005419F">
              <w:rPr>
                <w:rFonts w:eastAsia="Arial Unicode MS"/>
                <w:color w:val="000000" w:themeColor="text1"/>
                <w:sz w:val="20"/>
                <w:szCs w:val="20"/>
                <w:shd w:val="clear" w:color="auto" w:fill="FFFFFF"/>
                <w:lang w:val="en-US"/>
              </w:rPr>
              <w:t>menționată</w:t>
            </w:r>
            <w:proofErr w:type="spellEnd"/>
            <w:r w:rsidRPr="0005419F">
              <w:rPr>
                <w:rFonts w:eastAsia="Arial Unicode MS"/>
                <w:color w:val="000000" w:themeColor="text1"/>
                <w:sz w:val="20"/>
                <w:szCs w:val="20"/>
                <w:shd w:val="clear" w:color="auto" w:fill="FFFFFF"/>
                <w:lang w:val="en-US"/>
              </w:rPr>
              <w:t xml:space="preserve"> la </w:t>
            </w:r>
            <w:proofErr w:type="spellStart"/>
            <w:r w:rsidRPr="0005419F">
              <w:rPr>
                <w:rFonts w:eastAsia="Arial Unicode MS"/>
                <w:color w:val="000000" w:themeColor="text1"/>
                <w:sz w:val="20"/>
                <w:szCs w:val="20"/>
                <w:shd w:val="clear" w:color="auto" w:fill="FFFFFF"/>
                <w:lang w:val="en-US"/>
              </w:rPr>
              <w:t>articolul</w:t>
            </w:r>
            <w:proofErr w:type="spellEnd"/>
            <w:r w:rsidR="0005419F"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3c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(6), </w:t>
            </w:r>
            <w:proofErr w:type="spellStart"/>
            <w:r w:rsidRPr="0005419F">
              <w:rPr>
                <w:rFonts w:eastAsia="Arial Unicode MS"/>
                <w:color w:val="000000" w:themeColor="text1"/>
                <w:sz w:val="20"/>
                <w:szCs w:val="20"/>
                <w:shd w:val="clear" w:color="auto" w:fill="FFFFFF"/>
                <w:lang w:val="en-US"/>
              </w:rPr>
              <w:t>articolul</w:t>
            </w:r>
            <w:proofErr w:type="spellEnd"/>
            <w:r w:rsidR="0005419F"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3d </w:t>
            </w:r>
            <w:proofErr w:type="spellStart"/>
            <w:r w:rsidRPr="0005419F">
              <w:rPr>
                <w:rFonts w:eastAsia="Arial Unicode MS"/>
                <w:color w:val="000000" w:themeColor="text1"/>
                <w:sz w:val="20"/>
                <w:szCs w:val="20"/>
                <w:shd w:val="clear" w:color="auto" w:fill="FFFFFF"/>
                <w:lang w:val="en-US"/>
              </w:rPr>
              <w:t>alineatul</w:t>
            </w:r>
            <w:proofErr w:type="spellEnd"/>
            <w:r w:rsidR="0005419F"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w:t>
            </w:r>
            <w:proofErr w:type="spellStart"/>
            <w:r w:rsidRPr="0005419F">
              <w:rPr>
                <w:rFonts w:eastAsia="Arial Unicode MS"/>
                <w:color w:val="000000" w:themeColor="text1"/>
                <w:sz w:val="20"/>
                <w:szCs w:val="20"/>
                <w:shd w:val="clear" w:color="auto" w:fill="FFFFFF"/>
                <w:lang w:val="en-US"/>
              </w:rPr>
              <w:t>articolul</w:t>
            </w:r>
            <w:proofErr w:type="spellEnd"/>
            <w:r w:rsidR="0005419F"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(4),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10a </w:t>
            </w:r>
            <w:proofErr w:type="spellStart"/>
            <w:r w:rsidRPr="0005419F">
              <w:rPr>
                <w:rFonts w:eastAsia="Arial Unicode MS"/>
                <w:color w:val="000000" w:themeColor="text1"/>
                <w:sz w:val="20"/>
                <w:szCs w:val="20"/>
                <w:shd w:val="clear" w:color="auto" w:fill="FFFFFF"/>
                <w:lang w:val="en-US"/>
              </w:rPr>
              <w:t>alineatele</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(1), (8) și</w:t>
            </w:r>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(8a),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10b </w:t>
            </w:r>
            <w:proofErr w:type="spellStart"/>
            <w:r w:rsidRPr="0005419F">
              <w:rPr>
                <w:rFonts w:eastAsia="Arial Unicode MS"/>
                <w:color w:val="000000" w:themeColor="text1"/>
                <w:sz w:val="20"/>
                <w:szCs w:val="20"/>
                <w:shd w:val="clear" w:color="auto" w:fill="FFFFFF"/>
                <w:lang w:val="en-US"/>
              </w:rPr>
              <w:lastRenderedPageBreak/>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(5),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12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(3b),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19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22,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24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24a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25a</w:t>
            </w:r>
            <w:r w:rsid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28c și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30j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pe o </w:t>
            </w:r>
            <w:proofErr w:type="spellStart"/>
            <w:r w:rsidRPr="0005419F">
              <w:rPr>
                <w:rFonts w:eastAsia="Arial Unicode MS"/>
                <w:color w:val="000000" w:themeColor="text1"/>
                <w:sz w:val="20"/>
                <w:szCs w:val="20"/>
                <w:shd w:val="clear" w:color="auto" w:fill="FFFFFF"/>
                <w:lang w:val="en-US"/>
              </w:rPr>
              <w:t>perioadă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nedeterminată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începând</w:t>
            </w:r>
            <w:proofErr w:type="spellEnd"/>
            <w:r w:rsidRPr="0005419F">
              <w:rPr>
                <w:rFonts w:eastAsia="Arial Unicode MS"/>
                <w:color w:val="000000" w:themeColor="text1"/>
                <w:sz w:val="20"/>
                <w:szCs w:val="20"/>
                <w:shd w:val="clear" w:color="auto" w:fill="FFFFFF"/>
                <w:lang w:val="en-US"/>
              </w:rPr>
              <w:t xml:space="preserve"> cu 8</w:t>
            </w:r>
            <w:r w:rsid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aprilie</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2018.</w:t>
            </w:r>
          </w:p>
          <w:p w14:paraId="2CCB2099" w14:textId="0FD52ED6" w:rsidR="00124364" w:rsidRPr="0005419F" w:rsidRDefault="00000000" w:rsidP="0005419F">
            <w:pPr>
              <w:pStyle w:val="ti-art"/>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Delegarea</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competențe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menționată</w:t>
            </w:r>
            <w:proofErr w:type="spellEnd"/>
            <w:r w:rsidRPr="0005419F">
              <w:rPr>
                <w:rFonts w:eastAsia="Arial Unicode MS"/>
                <w:color w:val="000000" w:themeColor="text1"/>
                <w:sz w:val="20"/>
                <w:szCs w:val="20"/>
                <w:shd w:val="clear" w:color="auto" w:fill="FFFFFF"/>
                <w:lang w:val="en-US"/>
              </w:rPr>
              <w:t xml:space="preserve"> la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3c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(6),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3d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(3),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10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(4),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10a </w:t>
            </w:r>
            <w:proofErr w:type="spellStart"/>
            <w:r w:rsidRPr="0005419F">
              <w:rPr>
                <w:rFonts w:eastAsia="Arial Unicode MS"/>
                <w:color w:val="000000" w:themeColor="text1"/>
                <w:sz w:val="20"/>
                <w:szCs w:val="20"/>
                <w:shd w:val="clear" w:color="auto" w:fill="FFFFFF"/>
                <w:lang w:val="en-US"/>
              </w:rPr>
              <w:t>alineatele</w:t>
            </w:r>
            <w:proofErr w:type="spellEnd"/>
            <w:r w:rsidRPr="0005419F">
              <w:rPr>
                <w:rFonts w:eastAsia="Arial Unicode MS"/>
                <w:color w:val="000000" w:themeColor="text1"/>
                <w:sz w:val="20"/>
                <w:szCs w:val="20"/>
                <w:shd w:val="clear" w:color="auto" w:fill="FFFFFF"/>
                <w:lang w:val="en-US"/>
              </w:rPr>
              <w:t xml:space="preserve"> (1), (8) și (8a),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10b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(5),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12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(3b),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19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(3),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22,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24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(3),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24a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25a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28c și </w:t>
            </w:r>
            <w:proofErr w:type="spellStart"/>
            <w:r w:rsidRPr="0005419F">
              <w:rPr>
                <w:rFonts w:eastAsia="Arial Unicode MS"/>
                <w:color w:val="000000" w:themeColor="text1"/>
                <w:sz w:val="20"/>
                <w:szCs w:val="20"/>
                <w:shd w:val="clear" w:color="auto" w:fill="FFFFFF"/>
                <w:lang w:val="en-US"/>
              </w:rPr>
              <w:t>articolul</w:t>
            </w:r>
            <w:proofErr w:type="spellEnd"/>
            <w:r w:rsidRPr="0005419F">
              <w:rPr>
                <w:rFonts w:eastAsia="Arial Unicode MS"/>
                <w:color w:val="000000" w:themeColor="text1"/>
                <w:sz w:val="20"/>
                <w:szCs w:val="20"/>
                <w:shd w:val="clear" w:color="auto" w:fill="FFFFFF"/>
                <w:lang w:val="en-US"/>
              </w:rPr>
              <w:t xml:space="preserve"> 30j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w:t>
            </w:r>
            <w:proofErr w:type="spellStart"/>
            <w:r w:rsidRPr="0005419F">
              <w:rPr>
                <w:rFonts w:eastAsia="Arial Unicode MS"/>
                <w:color w:val="000000" w:themeColor="text1"/>
                <w:sz w:val="20"/>
                <w:szCs w:val="20"/>
                <w:shd w:val="clear" w:color="auto" w:fill="FFFFFF"/>
                <w:lang w:val="en-US"/>
              </w:rPr>
              <w:t>poate</w:t>
            </w:r>
            <w:proofErr w:type="spellEnd"/>
            <w:r w:rsidRPr="0005419F">
              <w:rPr>
                <w:rFonts w:eastAsia="Arial Unicode MS"/>
                <w:color w:val="000000" w:themeColor="text1"/>
                <w:sz w:val="20"/>
                <w:szCs w:val="20"/>
                <w:shd w:val="clear" w:color="auto" w:fill="FFFFFF"/>
                <w:lang w:val="en-US"/>
              </w:rPr>
              <w:t xml:space="preserve"> fi </w:t>
            </w:r>
            <w:proofErr w:type="spellStart"/>
            <w:r w:rsidRPr="0005419F">
              <w:rPr>
                <w:rFonts w:eastAsia="Arial Unicode MS"/>
                <w:color w:val="000000" w:themeColor="text1"/>
                <w:sz w:val="20"/>
                <w:szCs w:val="20"/>
                <w:shd w:val="clear" w:color="auto" w:fill="FFFFFF"/>
                <w:lang w:val="en-US"/>
              </w:rPr>
              <w:t>revocată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oricând</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Parlamentul</w:t>
            </w:r>
            <w:proofErr w:type="spellEnd"/>
            <w:r w:rsidRPr="0005419F">
              <w:rPr>
                <w:rFonts w:eastAsia="Arial Unicode MS"/>
                <w:color w:val="000000" w:themeColor="text1"/>
                <w:sz w:val="20"/>
                <w:szCs w:val="20"/>
                <w:shd w:val="clear" w:color="auto" w:fill="FFFFFF"/>
                <w:lang w:val="en-US"/>
              </w:rPr>
              <w:t xml:space="preserve"> European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Consiliu</w:t>
            </w:r>
            <w:proofErr w:type="spellEnd"/>
            <w:r w:rsidRPr="0005419F">
              <w:rPr>
                <w:rFonts w:eastAsia="Arial Unicode MS"/>
                <w:color w:val="000000" w:themeColor="text1"/>
                <w:sz w:val="20"/>
                <w:szCs w:val="20"/>
                <w:shd w:val="clear" w:color="auto" w:fill="FFFFFF"/>
                <w:lang w:val="en-US"/>
              </w:rPr>
              <w:t xml:space="preserve">. O </w:t>
            </w:r>
            <w:proofErr w:type="spellStart"/>
            <w:r w:rsidRPr="0005419F">
              <w:rPr>
                <w:rFonts w:eastAsia="Arial Unicode MS"/>
                <w:color w:val="000000" w:themeColor="text1"/>
                <w:sz w:val="20"/>
                <w:szCs w:val="20"/>
                <w:shd w:val="clear" w:color="auto" w:fill="FFFFFF"/>
                <w:lang w:val="en-US"/>
              </w:rPr>
              <w:t>decizie</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revocare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pune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capăt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delegării</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competențe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specificate</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decizia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respectivă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Decizia</w:t>
            </w:r>
            <w:proofErr w:type="spellEnd"/>
            <w:r w:rsidRPr="0005419F">
              <w:rPr>
                <w:rFonts w:eastAsia="Arial Unicode MS"/>
                <w:color w:val="000000" w:themeColor="text1"/>
                <w:sz w:val="20"/>
                <w:szCs w:val="20"/>
                <w:shd w:val="clear" w:color="auto" w:fill="FFFFFF"/>
                <w:lang w:val="en-US"/>
              </w:rPr>
              <w:t xml:space="preserve"> produce </w:t>
            </w:r>
            <w:proofErr w:type="spellStart"/>
            <w:r w:rsidRPr="0005419F">
              <w:rPr>
                <w:rFonts w:eastAsia="Arial Unicode MS"/>
                <w:color w:val="000000" w:themeColor="text1"/>
                <w:sz w:val="20"/>
                <w:szCs w:val="20"/>
                <w:shd w:val="clear" w:color="auto" w:fill="FFFFFF"/>
                <w:lang w:val="en-US"/>
              </w:rPr>
              <w:t>efecte</w:t>
            </w:r>
            <w:proofErr w:type="spellEnd"/>
            <w:r w:rsidRPr="0005419F">
              <w:rPr>
                <w:rFonts w:eastAsia="Arial Unicode MS"/>
                <w:color w:val="000000" w:themeColor="text1"/>
                <w:sz w:val="20"/>
                <w:szCs w:val="20"/>
                <w:shd w:val="clear" w:color="auto" w:fill="FFFFFF"/>
                <w:lang w:val="en-US"/>
              </w:rPr>
              <w:t xml:space="preserve"> din </w:t>
            </w:r>
            <w:proofErr w:type="spellStart"/>
            <w:r w:rsidRPr="0005419F">
              <w:rPr>
                <w:rFonts w:eastAsia="Arial Unicode MS"/>
                <w:color w:val="000000" w:themeColor="text1"/>
                <w:sz w:val="20"/>
                <w:szCs w:val="20"/>
                <w:shd w:val="clear" w:color="auto" w:fill="FFFFFF"/>
                <w:lang w:val="en-US"/>
              </w:rPr>
              <w:t>ziua</w:t>
            </w:r>
            <w:proofErr w:type="spellEnd"/>
            <w:r w:rsidRPr="0005419F">
              <w:rPr>
                <w:rFonts w:eastAsia="Arial Unicode MS"/>
                <w:color w:val="000000" w:themeColor="text1"/>
                <w:sz w:val="20"/>
                <w:szCs w:val="20"/>
                <w:shd w:val="clear" w:color="auto" w:fill="FFFFFF"/>
                <w:lang w:val="en-US"/>
              </w:rPr>
              <w:t xml:space="preserve"> care </w:t>
            </w:r>
            <w:proofErr w:type="spellStart"/>
            <w:r w:rsidRPr="0005419F">
              <w:rPr>
                <w:rFonts w:eastAsia="Arial Unicode MS"/>
                <w:color w:val="000000" w:themeColor="text1"/>
                <w:sz w:val="20"/>
                <w:szCs w:val="20"/>
                <w:shd w:val="clear" w:color="auto" w:fill="FFFFFF"/>
                <w:lang w:val="en-US"/>
              </w:rPr>
              <w:t>urmează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datei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publicării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acesteia</w:t>
            </w:r>
            <w:proofErr w:type="spellEnd"/>
            <w:r w:rsidRPr="0005419F">
              <w:rPr>
                <w:rFonts w:eastAsia="Arial Unicode MS"/>
                <w:color w:val="000000" w:themeColor="text1"/>
                <w:sz w:val="20"/>
                <w:szCs w:val="20"/>
                <w:shd w:val="clear" w:color="auto" w:fill="FFFFFF"/>
                <w:lang w:val="en-US"/>
              </w:rPr>
              <w:t xml:space="preserve"> în</w:t>
            </w:r>
            <w:r w:rsidR="0005419F" w:rsidRPr="0005419F">
              <w:rPr>
                <w:rStyle w:val="apple-converted-space"/>
                <w:rFonts w:eastAsia="Arial Unicode MS"/>
                <w:lang w:val="en-US"/>
              </w:rPr>
              <w:t xml:space="preserve"> </w:t>
            </w:r>
            <w:proofErr w:type="spellStart"/>
            <w:r w:rsidRPr="0005419F">
              <w:rPr>
                <w:rStyle w:val="italics"/>
                <w:rFonts w:eastAsia="Arial Unicode MS"/>
                <w:i/>
                <w:iCs/>
                <w:color w:val="000000" w:themeColor="text1"/>
                <w:sz w:val="20"/>
                <w:szCs w:val="20"/>
                <w:lang w:val="en-US"/>
              </w:rPr>
              <w:t>Jurnalul</w:t>
            </w:r>
            <w:proofErr w:type="spellEnd"/>
            <w:r w:rsidRPr="0005419F">
              <w:rPr>
                <w:rStyle w:val="italics"/>
                <w:rFonts w:eastAsia="Arial Unicode MS"/>
                <w:i/>
                <w:iCs/>
                <w:color w:val="000000" w:themeColor="text1"/>
                <w:sz w:val="20"/>
                <w:szCs w:val="20"/>
                <w:lang w:val="en-US"/>
              </w:rPr>
              <w:t xml:space="preserve"> </w:t>
            </w:r>
            <w:proofErr w:type="spellStart"/>
            <w:r w:rsidRPr="0005419F">
              <w:rPr>
                <w:rStyle w:val="italics"/>
                <w:rFonts w:eastAsia="Arial Unicode MS"/>
                <w:i/>
                <w:iCs/>
                <w:color w:val="000000" w:themeColor="text1"/>
                <w:sz w:val="20"/>
                <w:szCs w:val="20"/>
                <w:lang w:val="en-US"/>
              </w:rPr>
              <w:t>Oficial</w:t>
            </w:r>
            <w:proofErr w:type="spellEnd"/>
            <w:r w:rsidRPr="0005419F">
              <w:rPr>
                <w:rStyle w:val="italics"/>
                <w:rFonts w:eastAsia="Arial Unicode MS"/>
                <w:i/>
                <w:iCs/>
                <w:color w:val="000000" w:themeColor="text1"/>
                <w:sz w:val="20"/>
                <w:szCs w:val="20"/>
                <w:lang w:val="en-US"/>
              </w:rPr>
              <w:t xml:space="preserve"> al </w:t>
            </w:r>
            <w:proofErr w:type="spellStart"/>
            <w:r w:rsidRPr="0005419F">
              <w:rPr>
                <w:rStyle w:val="italics"/>
                <w:rFonts w:eastAsia="Arial Unicode MS"/>
                <w:i/>
                <w:iCs/>
                <w:color w:val="000000" w:themeColor="text1"/>
                <w:sz w:val="20"/>
                <w:szCs w:val="20"/>
                <w:lang w:val="en-US"/>
              </w:rPr>
              <w:t>Uniunii</w:t>
            </w:r>
            <w:proofErr w:type="spellEnd"/>
            <w:r w:rsidRPr="0005419F">
              <w:rPr>
                <w:rStyle w:val="italics"/>
                <w:rFonts w:eastAsia="Arial Unicode MS"/>
                <w:i/>
                <w:iCs/>
                <w:color w:val="000000" w:themeColor="text1"/>
                <w:sz w:val="20"/>
                <w:szCs w:val="20"/>
                <w:lang w:val="en-US"/>
              </w:rPr>
              <w:t xml:space="preserve"> </w:t>
            </w:r>
            <w:proofErr w:type="spellStart"/>
            <w:r w:rsidRPr="0005419F">
              <w:rPr>
                <w:rStyle w:val="italics"/>
                <w:rFonts w:eastAsia="Arial Unicode MS"/>
                <w:i/>
                <w:iCs/>
                <w:color w:val="000000" w:themeColor="text1"/>
                <w:sz w:val="20"/>
                <w:szCs w:val="20"/>
                <w:lang w:val="en-US"/>
              </w:rPr>
              <w:t>Europene</w:t>
            </w:r>
            <w:proofErr w:type="spellEnd"/>
            <w:r w:rsidR="0005419F" w:rsidRPr="0005419F">
              <w:rPr>
                <w:rStyle w:val="apple-converted-space"/>
                <w:rFonts w:eastAsia="Arial Unicode MS"/>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de la o </w:t>
            </w:r>
            <w:proofErr w:type="spellStart"/>
            <w:r w:rsidRPr="0005419F">
              <w:rPr>
                <w:rFonts w:eastAsia="Arial Unicode MS"/>
                <w:color w:val="000000" w:themeColor="text1"/>
                <w:sz w:val="20"/>
                <w:szCs w:val="20"/>
                <w:shd w:val="clear" w:color="auto" w:fill="FFFFFF"/>
                <w:lang w:val="en-US"/>
              </w:rPr>
              <w:t>dată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ulterioară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menționată</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decizie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Decizia</w:t>
            </w:r>
            <w:proofErr w:type="spellEnd"/>
            <w:r w:rsidRPr="0005419F">
              <w:rPr>
                <w:rFonts w:eastAsia="Arial Unicode MS"/>
                <w:color w:val="000000" w:themeColor="text1"/>
                <w:sz w:val="20"/>
                <w:szCs w:val="20"/>
                <w:shd w:val="clear" w:color="auto" w:fill="FFFFFF"/>
                <w:lang w:val="en-US"/>
              </w:rPr>
              <w:t xml:space="preserve"> nu </w:t>
            </w:r>
            <w:proofErr w:type="spellStart"/>
            <w:r w:rsidRPr="0005419F">
              <w:rPr>
                <w:rFonts w:eastAsia="Arial Unicode MS"/>
                <w:color w:val="000000" w:themeColor="text1"/>
                <w:sz w:val="20"/>
                <w:szCs w:val="20"/>
                <w:shd w:val="clear" w:color="auto" w:fill="FFFFFF"/>
                <w:lang w:val="en-US"/>
              </w:rPr>
              <w:t>aduce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atingere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actelor</w:t>
            </w:r>
            <w:proofErr w:type="spellEnd"/>
            <w:r w:rsidRPr="0005419F">
              <w:rPr>
                <w:rFonts w:eastAsia="Arial Unicode MS"/>
                <w:color w:val="000000" w:themeColor="text1"/>
                <w:sz w:val="20"/>
                <w:szCs w:val="20"/>
                <w:shd w:val="clear" w:color="auto" w:fill="FFFFFF"/>
                <w:lang w:val="en-US"/>
              </w:rPr>
              <w:t xml:space="preserve"> delegate care sunt </w:t>
            </w:r>
            <w:proofErr w:type="spellStart"/>
            <w:r w:rsidRPr="0005419F">
              <w:rPr>
                <w:rFonts w:eastAsia="Arial Unicode MS"/>
                <w:color w:val="000000" w:themeColor="text1"/>
                <w:sz w:val="20"/>
                <w:szCs w:val="20"/>
                <w:shd w:val="clear" w:color="auto" w:fill="FFFFFF"/>
                <w:lang w:val="en-US"/>
              </w:rPr>
              <w:t>deja</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vigoare</w:t>
            </w:r>
            <w:proofErr w:type="spellEnd"/>
            <w:r w:rsidRPr="0005419F">
              <w:rPr>
                <w:rFonts w:eastAsia="Arial Unicode MS"/>
                <w:color w:val="000000" w:themeColor="text1"/>
                <w:sz w:val="20"/>
                <w:szCs w:val="20"/>
                <w:shd w:val="clear" w:color="auto" w:fill="FFFFFF"/>
                <w:lang w:val="en-US"/>
              </w:rPr>
              <w:t>.</w:t>
            </w:r>
          </w:p>
          <w:p w14:paraId="07AE634E" w14:textId="77777777" w:rsidR="00124364" w:rsidRPr="0005419F" w:rsidRDefault="00000000" w:rsidP="0005419F">
            <w:pPr>
              <w:pStyle w:val="ti-art"/>
              <w:shd w:val="clear" w:color="auto" w:fill="FFFFFF"/>
              <w:spacing w:before="0" w:beforeAutospacing="0" w:after="0" w:afterAutospacing="0"/>
              <w:ind w:left="720"/>
              <w:jc w:val="both"/>
              <w:rPr>
                <w:rFonts w:eastAsia="Arial Unicode MS"/>
                <w:color w:val="000000" w:themeColor="text1"/>
                <w:sz w:val="20"/>
                <w:szCs w:val="20"/>
                <w:shd w:val="clear" w:color="auto" w:fill="FFFFFF"/>
                <w:lang w:val="en-US"/>
              </w:rPr>
            </w:pPr>
            <w:hyperlink r:id="rId285" w:tooltip="32018L0410: REPLACED" w:history="1">
              <w:r w:rsidRPr="0005419F">
                <w:rPr>
                  <w:rStyle w:val="af3"/>
                  <w:rFonts w:eastAsia="Arial Unicode MS"/>
                  <w:b/>
                  <w:bCs/>
                  <w:color w:val="000000" w:themeColor="text1"/>
                  <w:sz w:val="20"/>
                  <w:szCs w:val="20"/>
                </w:rPr>
                <w:t>▼M9</w:t>
              </w:r>
            </w:hyperlink>
          </w:p>
          <w:p w14:paraId="48245305" w14:textId="244FC6D7" w:rsidR="00124364" w:rsidRPr="0005419F" w:rsidRDefault="00000000" w:rsidP="0005419F">
            <w:pPr>
              <w:pStyle w:val="ti-art"/>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Înainte</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adoptarea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unui</w:t>
            </w:r>
            <w:proofErr w:type="spellEnd"/>
            <w:r w:rsidRPr="0005419F">
              <w:rPr>
                <w:rFonts w:eastAsia="Arial Unicode MS"/>
                <w:color w:val="000000" w:themeColor="text1"/>
                <w:sz w:val="20"/>
                <w:szCs w:val="20"/>
                <w:shd w:val="clear" w:color="auto" w:fill="FFFFFF"/>
                <w:lang w:val="en-US"/>
              </w:rPr>
              <w:t xml:space="preserve"> act </w:t>
            </w:r>
            <w:proofErr w:type="spellStart"/>
            <w:r w:rsidRPr="0005419F">
              <w:rPr>
                <w:rFonts w:eastAsia="Arial Unicode MS"/>
                <w:color w:val="000000" w:themeColor="text1"/>
                <w:sz w:val="20"/>
                <w:szCs w:val="20"/>
                <w:shd w:val="clear" w:color="auto" w:fill="FFFFFF"/>
                <w:lang w:val="en-US"/>
              </w:rPr>
              <w:t>delegat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consultă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experții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desemnați</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fiecare</w:t>
            </w:r>
            <w:proofErr w:type="spellEnd"/>
            <w:r w:rsidRPr="0005419F">
              <w:rPr>
                <w:rFonts w:eastAsia="Arial Unicode MS"/>
                <w:color w:val="000000" w:themeColor="text1"/>
                <w:sz w:val="20"/>
                <w:szCs w:val="20"/>
                <w:shd w:val="clear" w:color="auto" w:fill="FFFFFF"/>
                <w:lang w:val="en-US"/>
              </w:rPr>
              <w:t xml:space="preserve"> stat </w:t>
            </w:r>
            <w:proofErr w:type="spellStart"/>
            <w:r w:rsidRPr="0005419F">
              <w:rPr>
                <w:rFonts w:eastAsia="Arial Unicode MS"/>
                <w:color w:val="000000" w:themeColor="text1"/>
                <w:sz w:val="20"/>
                <w:szCs w:val="20"/>
                <w:shd w:val="clear" w:color="auto" w:fill="FFFFFF"/>
                <w:lang w:val="en-US"/>
              </w:rPr>
              <w:t>membru</w:t>
            </w:r>
            <w:proofErr w:type="spellEnd"/>
            <w:r w:rsidRPr="0005419F">
              <w:rPr>
                <w:rFonts w:eastAsia="Arial Unicode MS"/>
                <w:color w:val="000000" w:themeColor="text1"/>
                <w:sz w:val="20"/>
                <w:szCs w:val="20"/>
                <w:shd w:val="clear" w:color="auto" w:fill="FFFFFF"/>
                <w:lang w:val="en-US"/>
              </w:rPr>
              <w:t xml:space="preserve"> în conformitate cu </w:t>
            </w:r>
            <w:proofErr w:type="spellStart"/>
            <w:r w:rsidRPr="0005419F">
              <w:rPr>
                <w:rFonts w:eastAsia="Arial Unicode MS"/>
                <w:color w:val="000000" w:themeColor="text1"/>
                <w:sz w:val="20"/>
                <w:szCs w:val="20"/>
                <w:shd w:val="clear" w:color="auto" w:fill="FFFFFF"/>
                <w:lang w:val="en-US"/>
              </w:rPr>
              <w:t>principiile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prevăzute</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Acordul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interinstituțional</w:t>
            </w:r>
            <w:proofErr w:type="spellEnd"/>
            <w:r w:rsidRPr="0005419F">
              <w:rPr>
                <w:rFonts w:eastAsia="Arial Unicode MS"/>
                <w:color w:val="000000" w:themeColor="text1"/>
                <w:sz w:val="20"/>
                <w:szCs w:val="20"/>
                <w:shd w:val="clear" w:color="auto" w:fill="FFFFFF"/>
                <w:lang w:val="en-US"/>
              </w:rPr>
              <w:t xml:space="preserve"> din 13</w:t>
            </w:r>
            <w:r w:rsid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aprilie</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2016 </w:t>
            </w:r>
            <w:proofErr w:type="spellStart"/>
            <w:r w:rsidRPr="0005419F">
              <w:rPr>
                <w:rFonts w:eastAsia="Arial Unicode MS"/>
                <w:color w:val="000000" w:themeColor="text1"/>
                <w:sz w:val="20"/>
                <w:szCs w:val="20"/>
                <w:shd w:val="clear" w:color="auto" w:fill="FFFFFF"/>
                <w:lang w:val="en-US"/>
              </w:rPr>
              <w:t>privind</w:t>
            </w:r>
            <w:proofErr w:type="spellEnd"/>
            <w:r w:rsidRPr="0005419F">
              <w:rPr>
                <w:rFonts w:eastAsia="Arial Unicode MS"/>
                <w:color w:val="000000" w:themeColor="text1"/>
                <w:sz w:val="20"/>
                <w:szCs w:val="20"/>
                <w:shd w:val="clear" w:color="auto" w:fill="FFFFFF"/>
                <w:lang w:val="en-US"/>
              </w:rPr>
              <w:t xml:space="preserve"> o </w:t>
            </w:r>
            <w:proofErr w:type="spellStart"/>
            <w:r w:rsidRPr="0005419F">
              <w:rPr>
                <w:rFonts w:eastAsia="Arial Unicode MS"/>
                <w:color w:val="000000" w:themeColor="text1"/>
                <w:sz w:val="20"/>
                <w:szCs w:val="20"/>
                <w:shd w:val="clear" w:color="auto" w:fill="FFFFFF"/>
                <w:lang w:val="en-US"/>
              </w:rPr>
              <w:t>mai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bună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legiferare</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w:t>
            </w:r>
            <w:hyperlink r:id="rId286" w:anchor="E0035" w:history="1">
              <w:r w:rsidRPr="0005419F">
                <w:rPr>
                  <w:rStyle w:val="apple-converted-space"/>
                  <w:rFonts w:eastAsia="Arial Unicode MS"/>
                  <w:color w:val="000000" w:themeColor="text1"/>
                  <w:sz w:val="20"/>
                  <w:szCs w:val="20"/>
                  <w:lang w:val="en-US"/>
                </w:rPr>
                <w:t> </w:t>
              </w:r>
              <w:r w:rsidRPr="0005419F">
                <w:rPr>
                  <w:rStyle w:val="superscript"/>
                  <w:rFonts w:eastAsia="Arial Unicode MS"/>
                  <w:color w:val="000000" w:themeColor="text1"/>
                  <w:sz w:val="20"/>
                  <w:szCs w:val="20"/>
                  <w:vertAlign w:val="superscript"/>
                  <w:lang w:val="en-US"/>
                </w:rPr>
                <w:t>34</w:t>
              </w:r>
              <w:r w:rsidRPr="0005419F">
                <w:rPr>
                  <w:rStyle w:val="apple-converted-space"/>
                  <w:rFonts w:eastAsia="Arial Unicode MS"/>
                  <w:color w:val="000000" w:themeColor="text1"/>
                  <w:sz w:val="20"/>
                  <w:szCs w:val="20"/>
                  <w:lang w:val="en-US"/>
                </w:rPr>
                <w:t> </w:t>
              </w:r>
            </w:hyperlink>
            <w:r w:rsidRPr="0005419F">
              <w:rPr>
                <w:rFonts w:eastAsia="Arial Unicode MS"/>
                <w:color w:val="000000" w:themeColor="text1"/>
                <w:sz w:val="20"/>
                <w:szCs w:val="20"/>
                <w:shd w:val="clear" w:color="auto" w:fill="FFFFFF"/>
                <w:lang w:val="en-US"/>
              </w:rPr>
              <w:t>).</w:t>
            </w:r>
          </w:p>
          <w:p w14:paraId="3491BCAF" w14:textId="77777777" w:rsidR="00124364" w:rsidRPr="0005419F" w:rsidRDefault="00000000" w:rsidP="0005419F">
            <w:pPr>
              <w:pStyle w:val="ti-art"/>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De </w:t>
            </w:r>
            <w:proofErr w:type="spellStart"/>
            <w:r w:rsidRPr="0005419F">
              <w:rPr>
                <w:rFonts w:eastAsia="Arial Unicode MS"/>
                <w:color w:val="000000" w:themeColor="text1"/>
                <w:sz w:val="20"/>
                <w:szCs w:val="20"/>
                <w:shd w:val="clear" w:color="auto" w:fill="FFFFFF"/>
                <w:lang w:val="en-US"/>
              </w:rPr>
              <w:t>îndată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adoptă</w:t>
            </w:r>
            <w:proofErr w:type="spellEnd"/>
            <w:r w:rsidRPr="0005419F">
              <w:rPr>
                <w:rFonts w:eastAsia="Arial Unicode MS"/>
                <w:color w:val="000000" w:themeColor="text1"/>
                <w:sz w:val="20"/>
                <w:szCs w:val="20"/>
                <w:shd w:val="clear" w:color="auto" w:fill="FFFFFF"/>
                <w:lang w:val="en-US"/>
              </w:rPr>
              <w:t xml:space="preserve"> un act </w:t>
            </w:r>
            <w:proofErr w:type="spellStart"/>
            <w:r w:rsidRPr="0005419F">
              <w:rPr>
                <w:rFonts w:eastAsia="Arial Unicode MS"/>
                <w:color w:val="000000" w:themeColor="text1"/>
                <w:sz w:val="20"/>
                <w:szCs w:val="20"/>
                <w:shd w:val="clear" w:color="auto" w:fill="FFFFFF"/>
                <w:lang w:val="en-US"/>
              </w:rPr>
              <w:t>delegat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îl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notifică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simultan</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Parlamentului</w:t>
            </w:r>
            <w:proofErr w:type="spellEnd"/>
            <w:r w:rsidRPr="0005419F">
              <w:rPr>
                <w:rFonts w:eastAsia="Arial Unicode MS"/>
                <w:color w:val="000000" w:themeColor="text1"/>
                <w:sz w:val="20"/>
                <w:szCs w:val="20"/>
                <w:shd w:val="clear" w:color="auto" w:fill="FFFFFF"/>
                <w:lang w:val="en-US"/>
              </w:rPr>
              <w:t xml:space="preserve"> European și </w:t>
            </w:r>
            <w:proofErr w:type="spellStart"/>
            <w:r w:rsidRPr="0005419F">
              <w:rPr>
                <w:rFonts w:eastAsia="Arial Unicode MS"/>
                <w:color w:val="000000" w:themeColor="text1"/>
                <w:sz w:val="20"/>
                <w:szCs w:val="20"/>
                <w:shd w:val="clear" w:color="auto" w:fill="FFFFFF"/>
                <w:lang w:val="en-US"/>
              </w:rPr>
              <w:t>Consiliului</w:t>
            </w:r>
            <w:proofErr w:type="spellEnd"/>
            <w:r w:rsidRPr="0005419F">
              <w:rPr>
                <w:rFonts w:eastAsia="Arial Unicode MS"/>
                <w:color w:val="000000" w:themeColor="text1"/>
                <w:sz w:val="20"/>
                <w:szCs w:val="20"/>
                <w:shd w:val="clear" w:color="auto" w:fill="FFFFFF"/>
                <w:lang w:val="en-US"/>
              </w:rPr>
              <w:t>.</w:t>
            </w:r>
          </w:p>
          <w:p w14:paraId="5600658E"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87" w:tooltip="32023L0959: REPLACED" w:history="1">
              <w:r>
                <w:rPr>
                  <w:rStyle w:val="af3"/>
                  <w:rFonts w:eastAsia="Arial Unicode MS"/>
                  <w:b/>
                  <w:bCs/>
                  <w:color w:val="4472C4" w:themeColor="accent1"/>
                  <w:sz w:val="20"/>
                  <w:szCs w:val="20"/>
                </w:rPr>
                <w:t>▼M15</w:t>
              </w:r>
            </w:hyperlink>
          </w:p>
          <w:p w14:paraId="6844EC93" w14:textId="57968069" w:rsidR="00124364" w:rsidRPr="0005419F" w:rsidRDefault="00000000" w:rsidP="0005419F">
            <w:pPr>
              <w:pStyle w:val="ti-art"/>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Un act </w:t>
            </w:r>
            <w:proofErr w:type="spellStart"/>
            <w:r w:rsidRPr="0005419F">
              <w:rPr>
                <w:rFonts w:eastAsia="Arial Unicode MS"/>
                <w:color w:val="000000" w:themeColor="text1"/>
                <w:sz w:val="20"/>
                <w:szCs w:val="20"/>
                <w:shd w:val="clear" w:color="auto" w:fill="FFFFFF"/>
                <w:lang w:val="en-US"/>
              </w:rPr>
              <w:t>delegat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adoptat</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temeiul</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3c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(6),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3d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(4),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10a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(8)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(8a),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10b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(5),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12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(3b),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19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22,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24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24a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25a </w:t>
            </w:r>
            <w:proofErr w:type="spellStart"/>
            <w:r w:rsidRPr="0005419F">
              <w:rPr>
                <w:rFonts w:eastAsia="Arial Unicode MS"/>
                <w:color w:val="000000" w:themeColor="text1"/>
                <w:sz w:val="20"/>
                <w:szCs w:val="20"/>
                <w:shd w:val="clear" w:color="auto" w:fill="FFFFFF"/>
                <w:lang w:val="en-US"/>
              </w:rPr>
              <w:t>alineatul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(1),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28c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al </w:t>
            </w:r>
            <w:proofErr w:type="spellStart"/>
            <w:r w:rsidRPr="0005419F">
              <w:rPr>
                <w:rFonts w:eastAsia="Arial Unicode MS"/>
                <w:color w:val="000000" w:themeColor="text1"/>
                <w:sz w:val="20"/>
                <w:szCs w:val="20"/>
                <w:shd w:val="clear" w:color="auto" w:fill="FFFFFF"/>
                <w:lang w:val="en-US"/>
              </w:rPr>
              <w:t>articolului</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30j </w:t>
            </w:r>
            <w:proofErr w:type="spellStart"/>
            <w:r w:rsidRPr="0005419F">
              <w:rPr>
                <w:rFonts w:eastAsia="Arial Unicode MS"/>
                <w:color w:val="000000" w:themeColor="text1"/>
                <w:sz w:val="20"/>
                <w:szCs w:val="20"/>
                <w:shd w:val="clear" w:color="auto" w:fill="FFFFFF"/>
                <w:lang w:val="en-US"/>
              </w:rPr>
              <w:t>alineatul</w:t>
            </w:r>
            <w:proofErr w:type="spellEnd"/>
            <w:r w:rsidRPr="0005419F">
              <w:rPr>
                <w:rFonts w:eastAsia="Arial Unicode MS"/>
                <w:color w:val="000000" w:themeColor="text1"/>
                <w:sz w:val="20"/>
                <w:szCs w:val="20"/>
                <w:shd w:val="clear" w:color="auto" w:fill="FFFFFF"/>
                <w:lang w:val="en-US"/>
              </w:rPr>
              <w:t xml:space="preserve"> (1) </w:t>
            </w:r>
            <w:proofErr w:type="spellStart"/>
            <w:r w:rsidRPr="0005419F">
              <w:rPr>
                <w:rFonts w:eastAsia="Arial Unicode MS"/>
                <w:color w:val="000000" w:themeColor="text1"/>
                <w:sz w:val="20"/>
                <w:szCs w:val="20"/>
                <w:shd w:val="clear" w:color="auto" w:fill="FFFFFF"/>
                <w:lang w:val="en-US"/>
              </w:rPr>
              <w:t>intră</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vigoare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numai</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cazul</w:t>
            </w:r>
            <w:proofErr w:type="spellEnd"/>
            <w:r w:rsidRPr="0005419F">
              <w:rPr>
                <w:rFonts w:eastAsia="Arial Unicode MS"/>
                <w:color w:val="000000" w:themeColor="text1"/>
                <w:sz w:val="20"/>
                <w:szCs w:val="20"/>
                <w:shd w:val="clear" w:color="auto" w:fill="FFFFFF"/>
                <w:lang w:val="en-US"/>
              </w:rPr>
              <w:t xml:space="preserve"> în care </w:t>
            </w:r>
            <w:proofErr w:type="spellStart"/>
            <w:r w:rsidRPr="0005419F">
              <w:rPr>
                <w:rFonts w:eastAsia="Arial Unicode MS"/>
                <w:color w:val="000000" w:themeColor="text1"/>
                <w:sz w:val="20"/>
                <w:szCs w:val="20"/>
                <w:shd w:val="clear" w:color="auto" w:fill="FFFFFF"/>
                <w:lang w:val="en-US"/>
              </w:rPr>
              <w:t>nici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Parlamentul</w:t>
            </w:r>
            <w:proofErr w:type="spellEnd"/>
            <w:r w:rsidRPr="0005419F">
              <w:rPr>
                <w:rFonts w:eastAsia="Arial Unicode MS"/>
                <w:color w:val="000000" w:themeColor="text1"/>
                <w:sz w:val="20"/>
                <w:szCs w:val="20"/>
                <w:shd w:val="clear" w:color="auto" w:fill="FFFFFF"/>
                <w:lang w:val="en-US"/>
              </w:rPr>
              <w:t xml:space="preserve"> European și </w:t>
            </w:r>
            <w:proofErr w:type="spellStart"/>
            <w:r w:rsidRPr="0005419F">
              <w:rPr>
                <w:rFonts w:eastAsia="Arial Unicode MS"/>
                <w:color w:val="000000" w:themeColor="text1"/>
                <w:sz w:val="20"/>
                <w:szCs w:val="20"/>
                <w:shd w:val="clear" w:color="auto" w:fill="FFFFFF"/>
                <w:lang w:val="en-US"/>
              </w:rPr>
              <w:t>nici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Consiliul</w:t>
            </w:r>
            <w:proofErr w:type="spellEnd"/>
            <w:r w:rsidRPr="0005419F">
              <w:rPr>
                <w:rFonts w:eastAsia="Arial Unicode MS"/>
                <w:color w:val="000000" w:themeColor="text1"/>
                <w:sz w:val="20"/>
                <w:szCs w:val="20"/>
                <w:shd w:val="clear" w:color="auto" w:fill="FFFFFF"/>
                <w:lang w:val="en-US"/>
              </w:rPr>
              <w:t xml:space="preserve"> nu au </w:t>
            </w:r>
            <w:proofErr w:type="spellStart"/>
            <w:r w:rsidRPr="0005419F">
              <w:rPr>
                <w:rFonts w:eastAsia="Arial Unicode MS"/>
                <w:color w:val="000000" w:themeColor="text1"/>
                <w:sz w:val="20"/>
                <w:szCs w:val="20"/>
                <w:shd w:val="clear" w:color="auto" w:fill="FFFFFF"/>
                <w:lang w:val="en-US"/>
              </w:rPr>
              <w:t>formulat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obiecții</w:t>
            </w:r>
            <w:proofErr w:type="spellEnd"/>
            <w:r w:rsidRPr="0005419F">
              <w:rPr>
                <w:rFonts w:eastAsia="Arial Unicode MS"/>
                <w:color w:val="000000" w:themeColor="text1"/>
                <w:sz w:val="20"/>
                <w:szCs w:val="20"/>
                <w:shd w:val="clear" w:color="auto" w:fill="FFFFFF"/>
                <w:lang w:val="en-US"/>
              </w:rPr>
              <w:t xml:space="preserve"> în termen de </w:t>
            </w:r>
            <w:proofErr w:type="spellStart"/>
            <w:r w:rsidRPr="0005419F">
              <w:rPr>
                <w:rFonts w:eastAsia="Arial Unicode MS"/>
                <w:color w:val="000000" w:themeColor="text1"/>
                <w:sz w:val="20"/>
                <w:szCs w:val="20"/>
                <w:shd w:val="clear" w:color="auto" w:fill="FFFFFF"/>
                <w:lang w:val="en-US"/>
              </w:rPr>
              <w:t>două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luni</w:t>
            </w:r>
            <w:proofErr w:type="spellEnd"/>
            <w:r w:rsidRPr="0005419F">
              <w:rPr>
                <w:rFonts w:eastAsia="Arial Unicode MS"/>
                <w:color w:val="000000" w:themeColor="text1"/>
                <w:sz w:val="20"/>
                <w:szCs w:val="20"/>
                <w:shd w:val="clear" w:color="auto" w:fill="FFFFFF"/>
                <w:lang w:val="en-US"/>
              </w:rPr>
              <w:t xml:space="preserve"> de la </w:t>
            </w:r>
            <w:proofErr w:type="spellStart"/>
            <w:r w:rsidRPr="0005419F">
              <w:rPr>
                <w:rFonts w:eastAsia="Arial Unicode MS"/>
                <w:color w:val="000000" w:themeColor="text1"/>
                <w:sz w:val="20"/>
                <w:szCs w:val="20"/>
                <w:shd w:val="clear" w:color="auto" w:fill="FFFFFF"/>
                <w:lang w:val="en-US"/>
              </w:rPr>
              <w:t>notificarea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acestuia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către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Parlamentul</w:t>
            </w:r>
            <w:proofErr w:type="spellEnd"/>
            <w:r w:rsidRPr="0005419F">
              <w:rPr>
                <w:rFonts w:eastAsia="Arial Unicode MS"/>
                <w:color w:val="000000" w:themeColor="text1"/>
                <w:sz w:val="20"/>
                <w:szCs w:val="20"/>
                <w:shd w:val="clear" w:color="auto" w:fill="FFFFFF"/>
                <w:lang w:val="en-US"/>
              </w:rPr>
              <w:t xml:space="preserve"> European și </w:t>
            </w:r>
            <w:proofErr w:type="spellStart"/>
            <w:r w:rsidRPr="0005419F">
              <w:rPr>
                <w:rFonts w:eastAsia="Arial Unicode MS"/>
                <w:color w:val="000000" w:themeColor="text1"/>
                <w:sz w:val="20"/>
                <w:szCs w:val="20"/>
                <w:shd w:val="clear" w:color="auto" w:fill="FFFFFF"/>
                <w:lang w:val="en-US"/>
              </w:rPr>
              <w:t>Consiliu</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dacă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înainte</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expirarea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termenului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respectiv</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atât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Parlamentul</w:t>
            </w:r>
            <w:proofErr w:type="spellEnd"/>
            <w:r w:rsidRPr="0005419F">
              <w:rPr>
                <w:rFonts w:eastAsia="Arial Unicode MS"/>
                <w:color w:val="000000" w:themeColor="text1"/>
                <w:sz w:val="20"/>
                <w:szCs w:val="20"/>
                <w:shd w:val="clear" w:color="auto" w:fill="FFFFFF"/>
                <w:lang w:val="en-US"/>
              </w:rPr>
              <w:t xml:space="preserve"> European, </w:t>
            </w:r>
            <w:proofErr w:type="spellStart"/>
            <w:r w:rsidRPr="0005419F">
              <w:rPr>
                <w:rFonts w:eastAsia="Arial Unicode MS"/>
                <w:color w:val="000000" w:themeColor="text1"/>
                <w:sz w:val="20"/>
                <w:szCs w:val="20"/>
                <w:shd w:val="clear" w:color="auto" w:fill="FFFFFF"/>
                <w:lang w:val="en-US"/>
              </w:rPr>
              <w:t>cât</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Consiliul</w:t>
            </w:r>
            <w:proofErr w:type="spellEnd"/>
            <w:r w:rsidRPr="0005419F">
              <w:rPr>
                <w:rFonts w:eastAsia="Arial Unicode MS"/>
                <w:color w:val="000000" w:themeColor="text1"/>
                <w:sz w:val="20"/>
                <w:szCs w:val="20"/>
                <w:shd w:val="clear" w:color="auto" w:fill="FFFFFF"/>
                <w:lang w:val="en-US"/>
              </w:rPr>
              <w:t xml:space="preserve"> au </w:t>
            </w:r>
            <w:proofErr w:type="spellStart"/>
            <w:r w:rsidRPr="0005419F">
              <w:rPr>
                <w:rFonts w:eastAsia="Arial Unicode MS"/>
                <w:color w:val="000000" w:themeColor="text1"/>
                <w:sz w:val="20"/>
                <w:szCs w:val="20"/>
                <w:shd w:val="clear" w:color="auto" w:fill="FFFFFF"/>
                <w:lang w:val="en-US"/>
              </w:rPr>
              <w:t>informat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că</w:t>
            </w:r>
            <w:proofErr w:type="spellEnd"/>
            <w:r w:rsidRPr="0005419F">
              <w:rPr>
                <w:rFonts w:eastAsia="Arial Unicode MS"/>
                <w:color w:val="000000" w:themeColor="text1"/>
                <w:sz w:val="20"/>
                <w:szCs w:val="20"/>
                <w:shd w:val="clear" w:color="auto" w:fill="FFFFFF"/>
                <w:lang w:val="en-US"/>
              </w:rPr>
              <w:t xml:space="preserve"> nu </w:t>
            </w:r>
            <w:proofErr w:type="spellStart"/>
            <w:r w:rsidRPr="0005419F">
              <w:rPr>
                <w:rFonts w:eastAsia="Arial Unicode MS"/>
                <w:color w:val="000000" w:themeColor="text1"/>
                <w:sz w:val="20"/>
                <w:szCs w:val="20"/>
                <w:shd w:val="clear" w:color="auto" w:fill="FFFFFF"/>
                <w:lang w:val="en-US"/>
              </w:rPr>
              <w:t>vor</w:t>
            </w:r>
            <w:proofErr w:type="spellEnd"/>
            <w:r w:rsidRPr="0005419F">
              <w:rPr>
                <w:rFonts w:eastAsia="Arial Unicode MS"/>
                <w:color w:val="000000" w:themeColor="text1"/>
                <w:sz w:val="20"/>
                <w:szCs w:val="20"/>
                <w:shd w:val="clear" w:color="auto" w:fill="FFFFFF"/>
                <w:lang w:val="en-US"/>
              </w:rPr>
              <w:t xml:space="preserve"> formula </w:t>
            </w:r>
            <w:proofErr w:type="spellStart"/>
            <w:r w:rsidRPr="0005419F">
              <w:rPr>
                <w:rFonts w:eastAsia="Arial Unicode MS"/>
                <w:color w:val="000000" w:themeColor="text1"/>
                <w:sz w:val="20"/>
                <w:szCs w:val="20"/>
                <w:shd w:val="clear" w:color="auto" w:fill="FFFFFF"/>
                <w:lang w:val="en-US"/>
              </w:rPr>
              <w:t>obiecții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Respectivul</w:t>
            </w:r>
            <w:proofErr w:type="spellEnd"/>
            <w:r w:rsidRPr="0005419F">
              <w:rPr>
                <w:rFonts w:eastAsia="Arial Unicode MS"/>
                <w:color w:val="000000" w:themeColor="text1"/>
                <w:sz w:val="20"/>
                <w:szCs w:val="20"/>
                <w:shd w:val="clear" w:color="auto" w:fill="FFFFFF"/>
                <w:lang w:val="en-US"/>
              </w:rPr>
              <w:t xml:space="preserve"> termen se </w:t>
            </w:r>
            <w:proofErr w:type="spellStart"/>
            <w:r w:rsidRPr="0005419F">
              <w:rPr>
                <w:rFonts w:eastAsia="Arial Unicode MS"/>
                <w:color w:val="000000" w:themeColor="text1"/>
                <w:sz w:val="20"/>
                <w:szCs w:val="20"/>
                <w:shd w:val="clear" w:color="auto" w:fill="FFFFFF"/>
                <w:lang w:val="en-US"/>
              </w:rPr>
              <w:t>prelungește</w:t>
            </w:r>
            <w:proofErr w:type="spellEnd"/>
            <w:r w:rsidRP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lastRenderedPageBreak/>
              <w:t xml:space="preserve">cu </w:t>
            </w:r>
            <w:proofErr w:type="spellStart"/>
            <w:r w:rsidRPr="0005419F">
              <w:rPr>
                <w:rFonts w:eastAsia="Arial Unicode MS"/>
                <w:color w:val="000000" w:themeColor="text1"/>
                <w:sz w:val="20"/>
                <w:szCs w:val="20"/>
                <w:shd w:val="clear" w:color="auto" w:fill="FFFFFF"/>
                <w:lang w:val="en-US"/>
              </w:rPr>
              <w:t>două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luni</w:t>
            </w:r>
            <w:proofErr w:type="spellEnd"/>
            <w:r w:rsidRPr="0005419F">
              <w:rPr>
                <w:rFonts w:eastAsia="Arial Unicode MS"/>
                <w:color w:val="000000" w:themeColor="text1"/>
                <w:sz w:val="20"/>
                <w:szCs w:val="20"/>
                <w:shd w:val="clear" w:color="auto" w:fill="FFFFFF"/>
                <w:lang w:val="en-US"/>
              </w:rPr>
              <w:t xml:space="preserve"> la </w:t>
            </w:r>
            <w:proofErr w:type="spellStart"/>
            <w:r w:rsidRPr="0005419F">
              <w:rPr>
                <w:rFonts w:eastAsia="Arial Unicode MS"/>
                <w:color w:val="000000" w:themeColor="text1"/>
                <w:sz w:val="20"/>
                <w:szCs w:val="20"/>
                <w:shd w:val="clear" w:color="auto" w:fill="FFFFFF"/>
                <w:lang w:val="en-US"/>
              </w:rPr>
              <w:t>inițiativa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Parlamentului</w:t>
            </w:r>
            <w:proofErr w:type="spellEnd"/>
            <w:r w:rsidRPr="0005419F">
              <w:rPr>
                <w:rFonts w:eastAsia="Arial Unicode MS"/>
                <w:color w:val="000000" w:themeColor="text1"/>
                <w:sz w:val="20"/>
                <w:szCs w:val="20"/>
                <w:shd w:val="clear" w:color="auto" w:fill="FFFFFF"/>
                <w:lang w:val="en-US"/>
              </w:rPr>
              <w:t xml:space="preserve"> European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a </w:t>
            </w:r>
            <w:proofErr w:type="spellStart"/>
            <w:r w:rsidRPr="0005419F">
              <w:rPr>
                <w:rFonts w:eastAsia="Arial Unicode MS"/>
                <w:color w:val="000000" w:themeColor="text1"/>
                <w:sz w:val="20"/>
                <w:szCs w:val="20"/>
                <w:shd w:val="clear" w:color="auto" w:fill="FFFFFF"/>
                <w:lang w:val="en-US"/>
              </w:rPr>
              <w:t>Consiliului</w:t>
            </w:r>
            <w:proofErr w:type="spellEnd"/>
            <w:r w:rsidRPr="0005419F">
              <w:rPr>
                <w:rFonts w:eastAsia="Arial Unicode MS"/>
                <w:color w:val="000000" w:themeColor="text1"/>
                <w:sz w:val="20"/>
                <w:szCs w:val="20"/>
                <w:shd w:val="clear" w:color="auto" w:fill="FFFFFF"/>
                <w:lang w:val="en-US"/>
              </w:rPr>
              <w:t>.</w:t>
            </w:r>
          </w:p>
          <w:p w14:paraId="3734A423"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88"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7989994B"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DC54569" w14:textId="77777777" w:rsidR="0005419F" w:rsidRDefault="0005419F" w:rsidP="0005419F">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sz w:val="20"/>
                <w:szCs w:val="20"/>
                <w:lang w:val="ro-RO"/>
              </w:rPr>
              <w:t>Prevederi UE neaplicabile</w:t>
            </w:r>
          </w:p>
          <w:p w14:paraId="3693908B" w14:textId="77777777" w:rsidR="00124364" w:rsidRDefault="00124364" w:rsidP="0005419F">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561CE622"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DB584B0" w14:textId="1BE6C560" w:rsidR="00124364" w:rsidRDefault="0005419F">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2B0A31CA" w14:textId="77777777" w:rsidR="00124364" w:rsidRDefault="00124364" w:rsidP="0005419F">
            <w:pPr>
              <w:autoSpaceDE w:val="0"/>
              <w:spacing w:after="0" w:line="240" w:lineRule="auto"/>
              <w:rPr>
                <w:rFonts w:ascii="Times New Roman" w:hAnsi="Times New Roman"/>
                <w:sz w:val="20"/>
                <w:szCs w:val="20"/>
                <w:lang w:val="fr-FR"/>
              </w:rPr>
            </w:pPr>
          </w:p>
        </w:tc>
      </w:tr>
      <w:tr w:rsidR="00124364" w14:paraId="0AFBD91A" w14:textId="77777777">
        <w:trPr>
          <w:trHeight w:val="558"/>
        </w:trPr>
        <w:tc>
          <w:tcPr>
            <w:tcW w:w="4957" w:type="dxa"/>
            <w:shd w:val="clear" w:color="auto" w:fill="auto"/>
          </w:tcPr>
          <w:p w14:paraId="3C6827D8"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24</w:t>
            </w:r>
          </w:p>
          <w:p w14:paraId="02CD4CC2"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Proceduri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pentru</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includerea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unilaterală</w:t>
            </w:r>
            <w:proofErr w:type="spellEnd"/>
            <w:r>
              <w:rPr>
                <w:rFonts w:eastAsia="Arial Unicode MS"/>
                <w:b/>
                <w:bCs/>
                <w:color w:val="333333"/>
                <w:sz w:val="20"/>
                <w:szCs w:val="20"/>
                <w:shd w:val="clear" w:color="auto" w:fill="FFFFFF"/>
                <w:lang w:val="en-US"/>
              </w:rPr>
              <w:t xml:space="preserve"> a </w:t>
            </w:r>
            <w:proofErr w:type="spellStart"/>
            <w:r>
              <w:rPr>
                <w:rFonts w:eastAsia="Arial Unicode MS"/>
                <w:b/>
                <w:bCs/>
                <w:color w:val="333333"/>
                <w:sz w:val="20"/>
                <w:szCs w:val="20"/>
                <w:shd w:val="clear" w:color="auto" w:fill="FFFFFF"/>
                <w:lang w:val="en-US"/>
              </w:rPr>
              <w:t>unor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tipuri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suplimentare</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activități</w:t>
            </w:r>
            <w:proofErr w:type="spellEnd"/>
            <w:r>
              <w:rPr>
                <w:rFonts w:eastAsia="Arial Unicode MS"/>
                <w:b/>
                <w:bCs/>
                <w:color w:val="333333"/>
                <w:sz w:val="20"/>
                <w:szCs w:val="20"/>
                <w:shd w:val="clear" w:color="auto" w:fill="FFFFFF"/>
                <w:lang w:val="en-US"/>
              </w:rPr>
              <w:t xml:space="preserve"> și gaze</w:t>
            </w:r>
          </w:p>
          <w:p w14:paraId="1906664D" w14:textId="77777777" w:rsidR="00124364" w:rsidRDefault="00000000">
            <w:pPr>
              <w:pStyle w:val="ti-art"/>
              <w:shd w:val="clear" w:color="auto" w:fill="FFFFFF"/>
              <w:spacing w:before="0" w:beforeAutospacing="0" w:after="0" w:afterAutospacing="0"/>
              <w:rPr>
                <w:color w:val="4472C4" w:themeColor="accent1"/>
                <w:sz w:val="20"/>
                <w:szCs w:val="20"/>
              </w:rPr>
            </w:pPr>
            <w:hyperlink r:id="rId289" w:tooltip="32018L0410: REPLACED" w:history="1">
              <w:r>
                <w:rPr>
                  <w:rStyle w:val="af3"/>
                  <w:rFonts w:eastAsia="Arial Unicode MS"/>
                  <w:b/>
                  <w:bCs/>
                  <w:color w:val="4472C4" w:themeColor="accent1"/>
                  <w:sz w:val="20"/>
                  <w:szCs w:val="20"/>
                </w:rPr>
                <w:t>▼M9</w:t>
              </w:r>
            </w:hyperlink>
          </w:p>
          <w:p w14:paraId="258F57D1" w14:textId="0C10159A" w:rsidR="00124364" w:rsidRPr="0005419F" w:rsidRDefault="00000000" w:rsidP="0005419F">
            <w:pPr>
              <w:pStyle w:val="ti-art"/>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Începând</w:t>
            </w:r>
            <w:proofErr w:type="spellEnd"/>
            <w:r w:rsidRPr="0005419F">
              <w:rPr>
                <w:rFonts w:eastAsia="Arial Unicode MS"/>
                <w:color w:val="000000" w:themeColor="text1"/>
                <w:sz w:val="20"/>
                <w:szCs w:val="20"/>
                <w:shd w:val="clear" w:color="auto" w:fill="FFFFFF"/>
                <w:lang w:val="en-US"/>
              </w:rPr>
              <w:t xml:space="preserve"> cu 2008, </w:t>
            </w:r>
            <w:proofErr w:type="spellStart"/>
            <w:r w:rsidRPr="0005419F">
              <w:rPr>
                <w:rFonts w:eastAsia="Arial Unicode MS"/>
                <w:color w:val="000000" w:themeColor="text1"/>
                <w:sz w:val="20"/>
                <w:szCs w:val="20"/>
                <w:shd w:val="clear" w:color="auto" w:fill="FFFFFF"/>
                <w:lang w:val="en-US"/>
              </w:rPr>
              <w:t>statele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membre</w:t>
            </w:r>
            <w:proofErr w:type="spellEnd"/>
            <w:r w:rsidRPr="0005419F">
              <w:rPr>
                <w:rFonts w:eastAsia="Arial Unicode MS"/>
                <w:color w:val="000000" w:themeColor="text1"/>
                <w:sz w:val="20"/>
                <w:szCs w:val="20"/>
                <w:shd w:val="clear" w:color="auto" w:fill="FFFFFF"/>
                <w:lang w:val="en-US"/>
              </w:rPr>
              <w:t xml:space="preserve"> pot </w:t>
            </w:r>
            <w:proofErr w:type="spellStart"/>
            <w:r w:rsidRPr="0005419F">
              <w:rPr>
                <w:rFonts w:eastAsia="Arial Unicode MS"/>
                <w:color w:val="000000" w:themeColor="text1"/>
                <w:sz w:val="20"/>
                <w:szCs w:val="20"/>
                <w:shd w:val="clear" w:color="auto" w:fill="FFFFFF"/>
                <w:lang w:val="en-US"/>
              </w:rPr>
              <w:t>pune</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aplicare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comercializarea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certificatelor</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emisii</w:t>
            </w:r>
            <w:proofErr w:type="spellEnd"/>
            <w:r w:rsidRPr="0005419F">
              <w:rPr>
                <w:rFonts w:eastAsia="Arial Unicode MS"/>
                <w:color w:val="000000" w:themeColor="text1"/>
                <w:sz w:val="20"/>
                <w:szCs w:val="20"/>
                <w:shd w:val="clear" w:color="auto" w:fill="FFFFFF"/>
                <w:lang w:val="en-US"/>
              </w:rPr>
              <w:t xml:space="preserve"> în conformitate cu prezenta </w:t>
            </w:r>
            <w:proofErr w:type="spellStart"/>
            <w:r w:rsidRPr="0005419F">
              <w:rPr>
                <w:rFonts w:eastAsia="Arial Unicode MS"/>
                <w:color w:val="000000" w:themeColor="text1"/>
                <w:sz w:val="20"/>
                <w:szCs w:val="20"/>
                <w:shd w:val="clear" w:color="auto" w:fill="FFFFFF"/>
                <w:lang w:val="en-US"/>
              </w:rPr>
              <w:t>directivă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pentru</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activitățile</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gazele</w:t>
            </w:r>
            <w:proofErr w:type="spellEnd"/>
            <w:r w:rsidRPr="0005419F">
              <w:rPr>
                <w:rFonts w:eastAsia="Arial Unicode MS"/>
                <w:color w:val="000000" w:themeColor="text1"/>
                <w:sz w:val="20"/>
                <w:szCs w:val="20"/>
                <w:shd w:val="clear" w:color="auto" w:fill="FFFFFF"/>
                <w:lang w:val="en-US"/>
              </w:rPr>
              <w:t xml:space="preserve"> cu </w:t>
            </w:r>
            <w:proofErr w:type="spellStart"/>
            <w:r w:rsidRPr="0005419F">
              <w:rPr>
                <w:rFonts w:eastAsia="Arial Unicode MS"/>
                <w:color w:val="000000" w:themeColor="text1"/>
                <w:sz w:val="20"/>
                <w:szCs w:val="20"/>
                <w:shd w:val="clear" w:color="auto" w:fill="FFFFFF"/>
                <w:lang w:val="en-US"/>
              </w:rPr>
              <w:t>efect</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seră</w:t>
            </w:r>
            <w:proofErr w:type="spellEnd"/>
            <w:r w:rsidRPr="0005419F">
              <w:rPr>
                <w:rFonts w:eastAsia="Arial Unicode MS"/>
                <w:color w:val="000000" w:themeColor="text1"/>
                <w:sz w:val="20"/>
                <w:szCs w:val="20"/>
                <w:shd w:val="clear" w:color="auto" w:fill="FFFFFF"/>
                <w:lang w:val="en-US"/>
              </w:rPr>
              <w:t xml:space="preserve"> care nu sunt enumerate în </w:t>
            </w:r>
            <w:proofErr w:type="spellStart"/>
            <w:r w:rsidRPr="0005419F">
              <w:rPr>
                <w:rFonts w:eastAsia="Arial Unicode MS"/>
                <w:color w:val="000000" w:themeColor="text1"/>
                <w:sz w:val="20"/>
                <w:szCs w:val="20"/>
                <w:shd w:val="clear" w:color="auto" w:fill="FFFFFF"/>
                <w:lang w:val="en-US"/>
              </w:rPr>
              <w:t>anexa</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I, </w:t>
            </w:r>
            <w:proofErr w:type="spellStart"/>
            <w:r w:rsidRPr="0005419F">
              <w:rPr>
                <w:rFonts w:eastAsia="Arial Unicode MS"/>
                <w:color w:val="000000" w:themeColor="text1"/>
                <w:sz w:val="20"/>
                <w:szCs w:val="20"/>
                <w:shd w:val="clear" w:color="auto" w:fill="FFFFFF"/>
                <w:lang w:val="en-US"/>
              </w:rPr>
              <w:t>ținând</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seama</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toate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criteriile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relevante</w:t>
            </w:r>
            <w:proofErr w:type="spellEnd"/>
            <w:r w:rsidRPr="0005419F">
              <w:rPr>
                <w:rFonts w:eastAsia="Arial Unicode MS"/>
                <w:color w:val="000000" w:themeColor="text1"/>
                <w:sz w:val="20"/>
                <w:szCs w:val="20"/>
                <w:shd w:val="clear" w:color="auto" w:fill="FFFFFF"/>
                <w:lang w:val="en-US"/>
              </w:rPr>
              <w:t xml:space="preserve">, în special de efectele </w:t>
            </w:r>
            <w:proofErr w:type="spellStart"/>
            <w:r w:rsidRPr="0005419F">
              <w:rPr>
                <w:rFonts w:eastAsia="Arial Unicode MS"/>
                <w:color w:val="000000" w:themeColor="text1"/>
                <w:sz w:val="20"/>
                <w:szCs w:val="20"/>
                <w:shd w:val="clear" w:color="auto" w:fill="FFFFFF"/>
                <w:lang w:val="en-US"/>
              </w:rPr>
              <w:t>asupra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pieței</w:t>
            </w:r>
            <w:proofErr w:type="spellEnd"/>
            <w:r w:rsidRPr="0005419F">
              <w:rPr>
                <w:rFonts w:eastAsia="Arial Unicode MS"/>
                <w:color w:val="000000" w:themeColor="text1"/>
                <w:sz w:val="20"/>
                <w:szCs w:val="20"/>
                <w:shd w:val="clear" w:color="auto" w:fill="FFFFFF"/>
                <w:lang w:val="en-US"/>
              </w:rPr>
              <w:t xml:space="preserve"> interne, de </w:t>
            </w:r>
            <w:proofErr w:type="spellStart"/>
            <w:r w:rsidRPr="0005419F">
              <w:rPr>
                <w:rFonts w:eastAsia="Arial Unicode MS"/>
                <w:color w:val="000000" w:themeColor="text1"/>
                <w:sz w:val="20"/>
                <w:szCs w:val="20"/>
                <w:shd w:val="clear" w:color="auto" w:fill="FFFFFF"/>
                <w:lang w:val="en-US"/>
              </w:rPr>
              <w:t>denaturările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potențiale</w:t>
            </w:r>
            <w:proofErr w:type="spellEnd"/>
            <w:r w:rsidRPr="0005419F">
              <w:rPr>
                <w:rFonts w:eastAsia="Arial Unicode MS"/>
                <w:color w:val="000000" w:themeColor="text1"/>
                <w:sz w:val="20"/>
                <w:szCs w:val="20"/>
                <w:shd w:val="clear" w:color="auto" w:fill="FFFFFF"/>
                <w:lang w:val="en-US"/>
              </w:rPr>
              <w:t xml:space="preserve"> ale </w:t>
            </w:r>
            <w:proofErr w:type="spellStart"/>
            <w:r w:rsidRPr="0005419F">
              <w:rPr>
                <w:rFonts w:eastAsia="Arial Unicode MS"/>
                <w:color w:val="000000" w:themeColor="text1"/>
                <w:sz w:val="20"/>
                <w:szCs w:val="20"/>
                <w:shd w:val="clear" w:color="auto" w:fill="FFFFFF"/>
                <w:lang w:val="en-US"/>
              </w:rPr>
              <w:t>concurenței</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integritatea</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mediu</w:t>
            </w:r>
            <w:proofErr w:type="spellEnd"/>
            <w:r w:rsidRPr="0005419F">
              <w:rPr>
                <w:rFonts w:eastAsia="Arial Unicode MS"/>
                <w:color w:val="000000" w:themeColor="text1"/>
                <w:sz w:val="20"/>
                <w:szCs w:val="20"/>
                <w:shd w:val="clear" w:color="auto" w:fill="FFFFFF"/>
                <w:lang w:val="en-US"/>
              </w:rPr>
              <w:t xml:space="preserve"> a EU ETS și de </w:t>
            </w:r>
            <w:proofErr w:type="spellStart"/>
            <w:r w:rsidRPr="0005419F">
              <w:rPr>
                <w:rFonts w:eastAsia="Arial Unicode MS"/>
                <w:color w:val="000000" w:themeColor="text1"/>
                <w:sz w:val="20"/>
                <w:szCs w:val="20"/>
                <w:shd w:val="clear" w:color="auto" w:fill="FFFFFF"/>
                <w:lang w:val="en-US"/>
              </w:rPr>
              <w:t>fiabilitatea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sistemului</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monitorizare</w:t>
            </w:r>
            <w:proofErr w:type="spellEnd"/>
            <w:r w:rsidRPr="0005419F">
              <w:rPr>
                <w:rFonts w:eastAsia="Arial Unicode MS"/>
                <w:color w:val="000000" w:themeColor="text1"/>
                <w:sz w:val="20"/>
                <w:szCs w:val="20"/>
                <w:shd w:val="clear" w:color="auto" w:fill="FFFFFF"/>
                <w:lang w:val="en-US"/>
              </w:rPr>
              <w:t xml:space="preserve"> și de </w:t>
            </w:r>
            <w:proofErr w:type="spellStart"/>
            <w:r w:rsidRPr="0005419F">
              <w:rPr>
                <w:rFonts w:eastAsia="Arial Unicode MS"/>
                <w:color w:val="000000" w:themeColor="text1"/>
                <w:sz w:val="20"/>
                <w:szCs w:val="20"/>
                <w:shd w:val="clear" w:color="auto" w:fill="FFFFFF"/>
                <w:lang w:val="en-US"/>
              </w:rPr>
              <w:t>raportare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planificat</w:t>
            </w:r>
            <w:proofErr w:type="spellEnd"/>
            <w:r w:rsidRPr="0005419F">
              <w:rPr>
                <w:rFonts w:eastAsia="Arial Unicode MS"/>
                <w:color w:val="000000" w:themeColor="text1"/>
                <w:sz w:val="20"/>
                <w:szCs w:val="20"/>
                <w:shd w:val="clear" w:color="auto" w:fill="FFFFFF"/>
                <w:lang w:val="en-US"/>
              </w:rPr>
              <w:t xml:space="preserve">, cu </w:t>
            </w:r>
            <w:proofErr w:type="spellStart"/>
            <w:r w:rsidRPr="0005419F">
              <w:rPr>
                <w:rFonts w:eastAsia="Arial Unicode MS"/>
                <w:color w:val="000000" w:themeColor="text1"/>
                <w:sz w:val="20"/>
                <w:szCs w:val="20"/>
                <w:shd w:val="clear" w:color="auto" w:fill="FFFFFF"/>
                <w:lang w:val="en-US"/>
              </w:rPr>
              <w:t>condiția</w:t>
            </w:r>
            <w:proofErr w:type="spellEnd"/>
            <w:r w:rsidRPr="0005419F">
              <w:rPr>
                <w:rFonts w:eastAsia="Arial Unicode MS"/>
                <w:color w:val="000000" w:themeColor="text1"/>
                <w:sz w:val="20"/>
                <w:szCs w:val="20"/>
                <w:shd w:val="clear" w:color="auto" w:fill="FFFFFF"/>
                <w:lang w:val="en-US"/>
              </w:rPr>
              <w:t xml:space="preserve"> ca </w:t>
            </w:r>
            <w:proofErr w:type="spellStart"/>
            <w:r w:rsidRPr="0005419F">
              <w:rPr>
                <w:rFonts w:eastAsia="Arial Unicode MS"/>
                <w:color w:val="000000" w:themeColor="text1"/>
                <w:sz w:val="20"/>
                <w:szCs w:val="20"/>
                <w:shd w:val="clear" w:color="auto" w:fill="FFFFFF"/>
                <w:lang w:val="en-US"/>
              </w:rPr>
              <w:t>includerea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acestor</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activități</w:t>
            </w:r>
            <w:proofErr w:type="spellEnd"/>
            <w:r w:rsidRPr="0005419F">
              <w:rPr>
                <w:rFonts w:eastAsia="Arial Unicode MS"/>
                <w:color w:val="000000" w:themeColor="text1"/>
                <w:sz w:val="20"/>
                <w:szCs w:val="20"/>
                <w:shd w:val="clear" w:color="auto" w:fill="FFFFFF"/>
                <w:lang w:val="en-US"/>
              </w:rPr>
              <w:t xml:space="preserve"> și gaze cu </w:t>
            </w:r>
            <w:proofErr w:type="spellStart"/>
            <w:r w:rsidRPr="0005419F">
              <w:rPr>
                <w:rFonts w:eastAsia="Arial Unicode MS"/>
                <w:color w:val="000000" w:themeColor="text1"/>
                <w:sz w:val="20"/>
                <w:szCs w:val="20"/>
                <w:shd w:val="clear" w:color="auto" w:fill="FFFFFF"/>
                <w:lang w:val="en-US"/>
              </w:rPr>
              <w:t>efect</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seră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să</w:t>
            </w:r>
            <w:proofErr w:type="spellEnd"/>
            <w:r w:rsidRPr="0005419F">
              <w:rPr>
                <w:rFonts w:eastAsia="Arial Unicode MS"/>
                <w:color w:val="000000" w:themeColor="text1"/>
                <w:sz w:val="20"/>
                <w:szCs w:val="20"/>
                <w:shd w:val="clear" w:color="auto" w:fill="FFFFFF"/>
                <w:lang w:val="en-US"/>
              </w:rPr>
              <w:t xml:space="preserve"> fie </w:t>
            </w:r>
            <w:proofErr w:type="spellStart"/>
            <w:r w:rsidRPr="0005419F">
              <w:rPr>
                <w:rFonts w:eastAsia="Arial Unicode MS"/>
                <w:color w:val="000000" w:themeColor="text1"/>
                <w:sz w:val="20"/>
                <w:szCs w:val="20"/>
                <w:shd w:val="clear" w:color="auto" w:fill="FFFFFF"/>
                <w:lang w:val="en-US"/>
              </w:rPr>
              <w:t>aprobată</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Comisie</w:t>
            </w:r>
            <w:proofErr w:type="spellEnd"/>
            <w:r w:rsidRPr="0005419F">
              <w:rPr>
                <w:rFonts w:eastAsia="Arial Unicode MS"/>
                <w:color w:val="000000" w:themeColor="text1"/>
                <w:sz w:val="20"/>
                <w:szCs w:val="20"/>
                <w:shd w:val="clear" w:color="auto" w:fill="FFFFFF"/>
                <w:lang w:val="en-US"/>
              </w:rPr>
              <w:t xml:space="preserve">, în conformitate cu </w:t>
            </w:r>
            <w:proofErr w:type="spellStart"/>
            <w:r w:rsidRPr="0005419F">
              <w:rPr>
                <w:rFonts w:eastAsia="Arial Unicode MS"/>
                <w:color w:val="000000" w:themeColor="text1"/>
                <w:sz w:val="20"/>
                <w:szCs w:val="20"/>
                <w:shd w:val="clear" w:color="auto" w:fill="FFFFFF"/>
                <w:lang w:val="en-US"/>
              </w:rPr>
              <w:t>actele</w:t>
            </w:r>
            <w:proofErr w:type="spellEnd"/>
            <w:r w:rsidRPr="0005419F">
              <w:rPr>
                <w:rFonts w:eastAsia="Arial Unicode MS"/>
                <w:color w:val="000000" w:themeColor="text1"/>
                <w:sz w:val="20"/>
                <w:szCs w:val="20"/>
                <w:shd w:val="clear" w:color="auto" w:fill="FFFFFF"/>
                <w:lang w:val="en-US"/>
              </w:rPr>
              <w:t xml:space="preserve"> delegate pe care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este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împuternicită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să</w:t>
            </w:r>
            <w:proofErr w:type="spellEnd"/>
            <w:r w:rsidRPr="0005419F">
              <w:rPr>
                <w:rFonts w:eastAsia="Arial Unicode MS"/>
                <w:color w:val="000000" w:themeColor="text1"/>
                <w:sz w:val="20"/>
                <w:szCs w:val="20"/>
                <w:shd w:val="clear" w:color="auto" w:fill="FFFFFF"/>
                <w:lang w:val="en-US"/>
              </w:rPr>
              <w:t xml:space="preserve"> le </w:t>
            </w:r>
            <w:proofErr w:type="spellStart"/>
            <w:r w:rsidRPr="0005419F">
              <w:rPr>
                <w:rFonts w:eastAsia="Arial Unicode MS"/>
                <w:color w:val="000000" w:themeColor="text1"/>
                <w:sz w:val="20"/>
                <w:szCs w:val="20"/>
                <w:shd w:val="clear" w:color="auto" w:fill="FFFFFF"/>
                <w:lang w:val="en-US"/>
              </w:rPr>
              <w:t>adopte</w:t>
            </w:r>
            <w:proofErr w:type="spellEnd"/>
            <w:r w:rsidRPr="0005419F">
              <w:rPr>
                <w:rFonts w:eastAsia="Arial Unicode MS"/>
                <w:color w:val="000000" w:themeColor="text1"/>
                <w:sz w:val="20"/>
                <w:szCs w:val="20"/>
                <w:shd w:val="clear" w:color="auto" w:fill="FFFFFF"/>
                <w:lang w:val="en-US"/>
              </w:rPr>
              <w:t xml:space="preserve"> în conformitate cu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23.</w:t>
            </w:r>
          </w:p>
          <w:p w14:paraId="0728AE1E"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90" w:tooltip="32009L0029R(04): REPLACED" w:history="1">
              <w:r>
                <w:rPr>
                  <w:rStyle w:val="af3"/>
                  <w:rFonts w:ascii="Arial Unicode MS" w:eastAsia="Arial Unicode MS" w:hAnsi="Arial Unicode MS" w:cs="Arial Unicode MS" w:hint="eastAsia"/>
                  <w:b/>
                  <w:bCs/>
                  <w:color w:val="4472C4" w:themeColor="accent1"/>
                  <w:sz w:val="20"/>
                  <w:szCs w:val="20"/>
                </w:rPr>
                <w:t>▼C5</w:t>
              </w:r>
            </w:hyperlink>
          </w:p>
          <w:p w14:paraId="3EAC696C" w14:textId="77777777" w:rsidR="00124364" w:rsidRPr="0005419F" w:rsidRDefault="00000000" w:rsidP="0005419F">
            <w:pPr>
              <w:pStyle w:val="ti-art"/>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Atunci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când</w:t>
            </w:r>
            <w:proofErr w:type="spellEnd"/>
            <w:r w:rsidRPr="0005419F">
              <w:rPr>
                <w:rFonts w:eastAsia="Arial Unicode MS"/>
                <w:color w:val="000000" w:themeColor="text1"/>
                <w:sz w:val="20"/>
                <w:szCs w:val="20"/>
                <w:shd w:val="clear" w:color="auto" w:fill="FFFFFF"/>
                <w:lang w:val="en-US"/>
              </w:rPr>
              <w:t xml:space="preserve"> se </w:t>
            </w:r>
            <w:proofErr w:type="spellStart"/>
            <w:r w:rsidRPr="0005419F">
              <w:rPr>
                <w:rFonts w:eastAsia="Arial Unicode MS"/>
                <w:color w:val="000000" w:themeColor="text1"/>
                <w:sz w:val="20"/>
                <w:szCs w:val="20"/>
                <w:shd w:val="clear" w:color="auto" w:fill="FFFFFF"/>
                <w:lang w:val="en-US"/>
              </w:rPr>
              <w:t>aprobă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includerea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suplimentară</w:t>
            </w:r>
            <w:proofErr w:type="spellEnd"/>
            <w:r w:rsidRPr="0005419F">
              <w:rPr>
                <w:rFonts w:eastAsia="Arial Unicode MS"/>
                <w:color w:val="000000" w:themeColor="text1"/>
                <w:sz w:val="20"/>
                <w:szCs w:val="20"/>
                <w:shd w:val="clear" w:color="auto" w:fill="FFFFFF"/>
                <w:lang w:val="en-US"/>
              </w:rPr>
              <w:t xml:space="preserve"> a </w:t>
            </w:r>
            <w:proofErr w:type="spellStart"/>
            <w:r w:rsidRPr="0005419F">
              <w:rPr>
                <w:rFonts w:eastAsia="Arial Unicode MS"/>
                <w:color w:val="000000" w:themeColor="text1"/>
                <w:sz w:val="20"/>
                <w:szCs w:val="20"/>
                <w:shd w:val="clear" w:color="auto" w:fill="FFFFFF"/>
                <w:lang w:val="en-US"/>
              </w:rPr>
              <w:t>unor</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activități</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tipuri</w:t>
            </w:r>
            <w:proofErr w:type="spellEnd"/>
            <w:r w:rsidRPr="0005419F">
              <w:rPr>
                <w:rFonts w:eastAsia="Arial Unicode MS"/>
                <w:color w:val="000000" w:themeColor="text1"/>
                <w:sz w:val="20"/>
                <w:szCs w:val="20"/>
                <w:shd w:val="clear" w:color="auto" w:fill="FFFFFF"/>
                <w:lang w:val="en-US"/>
              </w:rPr>
              <w:t xml:space="preserve"> de gaze, </w:t>
            </w: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poate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autoriza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simultan</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emiterea</w:t>
            </w:r>
            <w:proofErr w:type="spellEnd"/>
            <w:r w:rsidRPr="0005419F">
              <w:rPr>
                <w:rFonts w:eastAsia="Arial Unicode MS"/>
                <w:color w:val="000000" w:themeColor="text1"/>
                <w:sz w:val="20"/>
                <w:szCs w:val="20"/>
                <w:shd w:val="clear" w:color="auto" w:fill="FFFFFF"/>
                <w:lang w:val="en-US"/>
              </w:rPr>
              <w:t xml:space="preserve"> de certificate </w:t>
            </w:r>
            <w:proofErr w:type="spellStart"/>
            <w:r w:rsidRPr="0005419F">
              <w:rPr>
                <w:rFonts w:eastAsia="Arial Unicode MS"/>
                <w:color w:val="000000" w:themeColor="text1"/>
                <w:sz w:val="20"/>
                <w:szCs w:val="20"/>
                <w:shd w:val="clear" w:color="auto" w:fill="FFFFFF"/>
                <w:lang w:val="en-US"/>
              </w:rPr>
              <w:t>suplimentare</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poate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autoriza</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alte</w:t>
            </w:r>
            <w:proofErr w:type="spellEnd"/>
            <w:r w:rsidRPr="0005419F">
              <w:rPr>
                <w:rFonts w:eastAsia="Arial Unicode MS"/>
                <w:color w:val="000000" w:themeColor="text1"/>
                <w:sz w:val="20"/>
                <w:szCs w:val="20"/>
                <w:shd w:val="clear" w:color="auto" w:fill="FFFFFF"/>
                <w:lang w:val="en-US"/>
              </w:rPr>
              <w:t xml:space="preserve"> state </w:t>
            </w:r>
            <w:proofErr w:type="spellStart"/>
            <w:r w:rsidRPr="0005419F">
              <w:rPr>
                <w:rFonts w:eastAsia="Arial Unicode MS"/>
                <w:color w:val="000000" w:themeColor="text1"/>
                <w:sz w:val="20"/>
                <w:szCs w:val="20"/>
                <w:shd w:val="clear" w:color="auto" w:fill="FFFFFF"/>
                <w:lang w:val="en-US"/>
              </w:rPr>
              <w:t>membre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includă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respectivele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activități</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tipuri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suplimentare</w:t>
            </w:r>
            <w:proofErr w:type="spellEnd"/>
            <w:r w:rsidRPr="0005419F">
              <w:rPr>
                <w:rFonts w:eastAsia="Arial Unicode MS"/>
                <w:color w:val="000000" w:themeColor="text1"/>
                <w:sz w:val="20"/>
                <w:szCs w:val="20"/>
                <w:shd w:val="clear" w:color="auto" w:fill="FFFFFF"/>
                <w:lang w:val="en-US"/>
              </w:rPr>
              <w:t xml:space="preserve"> de gaze.</w:t>
            </w:r>
          </w:p>
          <w:p w14:paraId="77553ABC"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291" w:tooltip="32009L0029: REPLACED" w:history="1">
              <w:r>
                <w:rPr>
                  <w:rStyle w:val="af3"/>
                  <w:rFonts w:eastAsia="Arial Unicode MS"/>
                  <w:b/>
                  <w:bCs/>
                  <w:color w:val="4472C4" w:themeColor="accent1"/>
                  <w:sz w:val="20"/>
                  <w:szCs w:val="20"/>
                </w:rPr>
                <w:t>▼M4</w:t>
              </w:r>
            </w:hyperlink>
          </w:p>
          <w:p w14:paraId="1BBB2AB8" w14:textId="35D8F38A" w:rsidR="00124364" w:rsidRPr="0005419F" w:rsidRDefault="00000000" w:rsidP="0005419F">
            <w:pPr>
              <w:pStyle w:val="ti-art"/>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5419F">
              <w:rPr>
                <w:rFonts w:eastAsia="Arial Unicode MS"/>
                <w:color w:val="000000" w:themeColor="text1"/>
                <w:sz w:val="20"/>
                <w:szCs w:val="20"/>
                <w:shd w:val="clear" w:color="auto" w:fill="FFFFFF"/>
                <w:lang w:val="en-US"/>
              </w:rPr>
              <w:t xml:space="preserve">La </w:t>
            </w:r>
            <w:proofErr w:type="spellStart"/>
            <w:r w:rsidRPr="0005419F">
              <w:rPr>
                <w:rFonts w:eastAsia="Arial Unicode MS"/>
                <w:color w:val="000000" w:themeColor="text1"/>
                <w:sz w:val="20"/>
                <w:szCs w:val="20"/>
                <w:shd w:val="clear" w:color="auto" w:fill="FFFFFF"/>
                <w:lang w:val="en-US"/>
              </w:rPr>
              <w:t>inițiativa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Comisiei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sau</w:t>
            </w:r>
            <w:proofErr w:type="spellEnd"/>
            <w:r w:rsidRPr="0005419F">
              <w:rPr>
                <w:rFonts w:eastAsia="Arial Unicode MS"/>
                <w:color w:val="000000" w:themeColor="text1"/>
                <w:sz w:val="20"/>
                <w:szCs w:val="20"/>
                <w:shd w:val="clear" w:color="auto" w:fill="FFFFFF"/>
                <w:lang w:val="en-US"/>
              </w:rPr>
              <w:t xml:space="preserve"> la </w:t>
            </w:r>
            <w:proofErr w:type="spellStart"/>
            <w:r w:rsidRPr="0005419F">
              <w:rPr>
                <w:rFonts w:eastAsia="Arial Unicode MS"/>
                <w:color w:val="000000" w:themeColor="text1"/>
                <w:sz w:val="20"/>
                <w:szCs w:val="20"/>
                <w:shd w:val="clear" w:color="auto" w:fill="FFFFFF"/>
                <w:lang w:val="en-US"/>
              </w:rPr>
              <w:t>cererea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unui</w:t>
            </w:r>
            <w:proofErr w:type="spellEnd"/>
            <w:r w:rsidRPr="0005419F">
              <w:rPr>
                <w:rFonts w:eastAsia="Arial Unicode MS"/>
                <w:color w:val="000000" w:themeColor="text1"/>
                <w:sz w:val="20"/>
                <w:szCs w:val="20"/>
                <w:shd w:val="clear" w:color="auto" w:fill="FFFFFF"/>
                <w:lang w:val="en-US"/>
              </w:rPr>
              <w:t xml:space="preserve"> stat </w:t>
            </w:r>
            <w:proofErr w:type="spellStart"/>
            <w:r w:rsidRPr="0005419F">
              <w:rPr>
                <w:rFonts w:eastAsia="Arial Unicode MS"/>
                <w:color w:val="000000" w:themeColor="text1"/>
                <w:sz w:val="20"/>
                <w:szCs w:val="20"/>
                <w:shd w:val="clear" w:color="auto" w:fill="FFFFFF"/>
                <w:lang w:val="en-US"/>
              </w:rPr>
              <w:t>membru</w:t>
            </w:r>
            <w:proofErr w:type="spellEnd"/>
            <w:r w:rsidRPr="0005419F">
              <w:rPr>
                <w:rFonts w:eastAsia="Arial Unicode MS"/>
                <w:color w:val="000000" w:themeColor="text1"/>
                <w:sz w:val="20"/>
                <w:szCs w:val="20"/>
                <w:shd w:val="clear" w:color="auto" w:fill="FFFFFF"/>
                <w:lang w:val="en-US"/>
              </w:rPr>
              <w:t xml:space="preserve">, pot fi </w:t>
            </w:r>
            <w:proofErr w:type="spellStart"/>
            <w:r w:rsidRPr="0005419F">
              <w:rPr>
                <w:rFonts w:eastAsia="Arial Unicode MS"/>
                <w:color w:val="000000" w:themeColor="text1"/>
                <w:sz w:val="20"/>
                <w:szCs w:val="20"/>
                <w:shd w:val="clear" w:color="auto" w:fill="FFFFFF"/>
                <w:lang w:val="en-US"/>
              </w:rPr>
              <w:t>adoptate</w:t>
            </w:r>
            <w:proofErr w:type="spellEnd"/>
            <w:r w:rsidR="0005419F" w:rsidRPr="0005419F">
              <w:rPr>
                <w:rStyle w:val="apple-converted-space"/>
                <w:rFonts w:eastAsia="Arial Unicode MS"/>
                <w:lang w:val="en-US"/>
              </w:rPr>
              <w:t xml:space="preserve"> </w:t>
            </w:r>
            <w:hyperlink r:id="rId292" w:tooltip="32018L0410: REPLACED" w:history="1">
              <w:r w:rsidRPr="0005419F">
                <w:rPr>
                  <w:rStyle w:val="boldface"/>
                  <w:rFonts w:eastAsia="Arial Unicode MS"/>
                  <w:b/>
                  <w:bCs/>
                  <w:color w:val="000000" w:themeColor="text1"/>
                  <w:sz w:val="20"/>
                  <w:szCs w:val="20"/>
                  <w:lang w:val="en-US"/>
                </w:rPr>
                <w:t>►M9</w:t>
              </w:r>
            </w:hyperlink>
            <w:r w:rsidR="00277CF1">
              <w:rPr>
                <w:rStyle w:val="apple-converted-space"/>
                <w:rFonts w:eastAsia="Arial Unicode MS"/>
                <w:color w:val="000000" w:themeColor="text1"/>
                <w:sz w:val="20"/>
                <w:szCs w:val="20"/>
                <w:lang w:val="en-US"/>
              </w:rPr>
              <w:t xml:space="preserve"> </w:t>
            </w:r>
            <w:proofErr w:type="spellStart"/>
            <w:r w:rsidRPr="0005419F">
              <w:rPr>
                <w:rFonts w:eastAsia="Arial Unicode MS"/>
                <w:color w:val="000000" w:themeColor="text1"/>
                <w:sz w:val="20"/>
                <w:szCs w:val="20"/>
                <w:shd w:val="clear" w:color="auto" w:fill="FFFFFF"/>
                <w:lang w:val="en-US"/>
              </w:rPr>
              <w:t>acte</w:t>
            </w:r>
            <w:r w:rsidRPr="0005419F">
              <w:rPr>
                <w:rStyle w:val="boldface"/>
                <w:rFonts w:eastAsia="Arial Unicode MS"/>
                <w:b/>
                <w:bCs/>
                <w:color w:val="000000" w:themeColor="text1"/>
                <w:sz w:val="20"/>
                <w:szCs w:val="20"/>
                <w:lang w:val="en-US"/>
              </w:rPr>
              <w:t>◄</w:t>
            </w:r>
            <w:r w:rsidRPr="0005419F">
              <w:rPr>
                <w:rFonts w:eastAsia="Arial Unicode MS"/>
                <w:color w:val="000000" w:themeColor="text1"/>
                <w:sz w:val="20"/>
                <w:szCs w:val="20"/>
                <w:shd w:val="clear" w:color="auto" w:fill="FFFFFF"/>
                <w:lang w:val="en-US"/>
              </w:rPr>
              <w:t>privind</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monitorizarea</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raportarea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emisiilor</w:t>
            </w:r>
            <w:proofErr w:type="spellEnd"/>
            <w:r w:rsidRPr="0005419F">
              <w:rPr>
                <w:rFonts w:eastAsia="Arial Unicode MS"/>
                <w:color w:val="000000" w:themeColor="text1"/>
                <w:sz w:val="20"/>
                <w:szCs w:val="20"/>
                <w:shd w:val="clear" w:color="auto" w:fill="FFFFFF"/>
                <w:lang w:val="en-US"/>
              </w:rPr>
              <w:t xml:space="preserve"> legate de </w:t>
            </w:r>
            <w:proofErr w:type="spellStart"/>
            <w:r w:rsidRPr="0005419F">
              <w:rPr>
                <w:rFonts w:eastAsia="Arial Unicode MS"/>
                <w:color w:val="000000" w:themeColor="text1"/>
                <w:sz w:val="20"/>
                <w:szCs w:val="20"/>
                <w:shd w:val="clear" w:color="auto" w:fill="FFFFFF"/>
                <w:lang w:val="en-US"/>
              </w:rPr>
              <w:t>activități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instalații</w:t>
            </w:r>
            <w:proofErr w:type="spellEnd"/>
            <w:r w:rsidRPr="0005419F">
              <w:rPr>
                <w:rFonts w:eastAsia="Arial Unicode MS"/>
                <w:color w:val="000000" w:themeColor="text1"/>
                <w:sz w:val="20"/>
                <w:szCs w:val="20"/>
                <w:shd w:val="clear" w:color="auto" w:fill="FFFFFF"/>
                <w:lang w:val="en-US"/>
              </w:rPr>
              <w:t xml:space="preserve"> și gaze cu </w:t>
            </w:r>
            <w:proofErr w:type="spellStart"/>
            <w:r w:rsidRPr="0005419F">
              <w:rPr>
                <w:rFonts w:eastAsia="Arial Unicode MS"/>
                <w:color w:val="000000" w:themeColor="text1"/>
                <w:sz w:val="20"/>
                <w:szCs w:val="20"/>
                <w:shd w:val="clear" w:color="auto" w:fill="FFFFFF"/>
                <w:lang w:val="en-US"/>
              </w:rPr>
              <w:t>efect</w:t>
            </w:r>
            <w:proofErr w:type="spellEnd"/>
            <w:r w:rsidRPr="0005419F">
              <w:rPr>
                <w:rFonts w:eastAsia="Arial Unicode MS"/>
                <w:color w:val="000000" w:themeColor="text1"/>
                <w:sz w:val="20"/>
                <w:szCs w:val="20"/>
                <w:shd w:val="clear" w:color="auto" w:fill="FFFFFF"/>
                <w:lang w:val="en-US"/>
              </w:rPr>
              <w:t xml:space="preserve"> de </w:t>
            </w:r>
            <w:proofErr w:type="spellStart"/>
            <w:r w:rsidRPr="0005419F">
              <w:rPr>
                <w:rFonts w:eastAsia="Arial Unicode MS"/>
                <w:color w:val="000000" w:themeColor="text1"/>
                <w:sz w:val="20"/>
                <w:szCs w:val="20"/>
                <w:shd w:val="clear" w:color="auto" w:fill="FFFFFF"/>
                <w:lang w:val="en-US"/>
              </w:rPr>
              <w:t>seră</w:t>
            </w:r>
            <w:proofErr w:type="spellEnd"/>
            <w:r w:rsidRPr="0005419F">
              <w:rPr>
                <w:rFonts w:eastAsia="Arial Unicode MS"/>
                <w:color w:val="000000" w:themeColor="text1"/>
                <w:sz w:val="20"/>
                <w:szCs w:val="20"/>
                <w:shd w:val="clear" w:color="auto" w:fill="FFFFFF"/>
                <w:lang w:val="en-US"/>
              </w:rPr>
              <w:t xml:space="preserve"> care nu sunt enumerate sub forma </w:t>
            </w:r>
            <w:proofErr w:type="spellStart"/>
            <w:r w:rsidRPr="0005419F">
              <w:rPr>
                <w:rFonts w:eastAsia="Arial Unicode MS"/>
                <w:color w:val="000000" w:themeColor="text1"/>
                <w:sz w:val="20"/>
                <w:szCs w:val="20"/>
                <w:shd w:val="clear" w:color="auto" w:fill="FFFFFF"/>
                <w:lang w:val="en-US"/>
              </w:rPr>
              <w:t>unei</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combinații</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anexa</w:t>
            </w:r>
            <w:proofErr w:type="spellEnd"/>
            <w:r w:rsidRPr="0005419F">
              <w:rPr>
                <w:rFonts w:eastAsia="Arial Unicode MS"/>
                <w:color w:val="000000" w:themeColor="text1"/>
                <w:sz w:val="20"/>
                <w:szCs w:val="20"/>
                <w:shd w:val="clear" w:color="auto" w:fill="FFFFFF"/>
                <w:lang w:val="en-US"/>
              </w:rPr>
              <w:t xml:space="preserve"> I, în </w:t>
            </w:r>
            <w:proofErr w:type="spellStart"/>
            <w:r w:rsidRPr="0005419F">
              <w:rPr>
                <w:rFonts w:eastAsia="Arial Unicode MS"/>
                <w:color w:val="000000" w:themeColor="text1"/>
                <w:sz w:val="20"/>
                <w:szCs w:val="20"/>
                <w:shd w:val="clear" w:color="auto" w:fill="FFFFFF"/>
                <w:lang w:val="en-US"/>
              </w:rPr>
              <w:t>cazul</w:t>
            </w:r>
            <w:proofErr w:type="spellEnd"/>
            <w:r w:rsidRPr="0005419F">
              <w:rPr>
                <w:rFonts w:eastAsia="Arial Unicode MS"/>
                <w:color w:val="000000" w:themeColor="text1"/>
                <w:sz w:val="20"/>
                <w:szCs w:val="20"/>
                <w:shd w:val="clear" w:color="auto" w:fill="FFFFFF"/>
                <w:lang w:val="en-US"/>
              </w:rPr>
              <w:t xml:space="preserve"> în care </w:t>
            </w:r>
            <w:proofErr w:type="spellStart"/>
            <w:r w:rsidRPr="0005419F">
              <w:rPr>
                <w:rFonts w:eastAsia="Arial Unicode MS"/>
                <w:color w:val="000000" w:themeColor="text1"/>
                <w:sz w:val="20"/>
                <w:szCs w:val="20"/>
                <w:shd w:val="clear" w:color="auto" w:fill="FFFFFF"/>
                <w:lang w:val="en-US"/>
              </w:rPr>
              <w:t>monitorizarea</w:t>
            </w:r>
            <w:proofErr w:type="spellEnd"/>
            <w:r w:rsidRPr="0005419F">
              <w:rPr>
                <w:rFonts w:eastAsia="Arial Unicode MS"/>
                <w:color w:val="000000" w:themeColor="text1"/>
                <w:sz w:val="20"/>
                <w:szCs w:val="20"/>
                <w:shd w:val="clear" w:color="auto" w:fill="FFFFFF"/>
                <w:lang w:val="en-US"/>
              </w:rPr>
              <w:t xml:space="preserve"> și </w:t>
            </w:r>
            <w:proofErr w:type="spellStart"/>
            <w:r w:rsidRPr="0005419F">
              <w:rPr>
                <w:rFonts w:eastAsia="Arial Unicode MS"/>
                <w:color w:val="000000" w:themeColor="text1"/>
                <w:sz w:val="20"/>
                <w:szCs w:val="20"/>
                <w:shd w:val="clear" w:color="auto" w:fill="FFFFFF"/>
                <w:lang w:val="en-US"/>
              </w:rPr>
              <w:t>raportarea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acestor</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emisii</w:t>
            </w:r>
            <w:proofErr w:type="spellEnd"/>
            <w:r w:rsidRPr="0005419F">
              <w:rPr>
                <w:rFonts w:eastAsia="Arial Unicode MS"/>
                <w:color w:val="000000" w:themeColor="text1"/>
                <w:sz w:val="20"/>
                <w:szCs w:val="20"/>
                <w:shd w:val="clear" w:color="auto" w:fill="FFFFFF"/>
                <w:lang w:val="en-US"/>
              </w:rPr>
              <w:t xml:space="preserve"> pot fi </w:t>
            </w:r>
            <w:proofErr w:type="spellStart"/>
            <w:r w:rsidRPr="0005419F">
              <w:rPr>
                <w:rFonts w:eastAsia="Arial Unicode MS"/>
                <w:color w:val="000000" w:themeColor="text1"/>
                <w:sz w:val="20"/>
                <w:szCs w:val="20"/>
                <w:shd w:val="clear" w:color="auto" w:fill="FFFFFF"/>
                <w:lang w:val="en-US"/>
              </w:rPr>
              <w:t>realizate</w:t>
            </w:r>
            <w:proofErr w:type="spellEnd"/>
            <w:r w:rsidRPr="0005419F">
              <w:rPr>
                <w:rFonts w:eastAsia="Arial Unicode MS"/>
                <w:color w:val="000000" w:themeColor="text1"/>
                <w:sz w:val="20"/>
                <w:szCs w:val="20"/>
                <w:shd w:val="clear" w:color="auto" w:fill="FFFFFF"/>
                <w:lang w:val="en-US"/>
              </w:rPr>
              <w:t xml:space="preserve"> cu </w:t>
            </w:r>
            <w:proofErr w:type="spellStart"/>
            <w:r w:rsidRPr="0005419F">
              <w:rPr>
                <w:rFonts w:eastAsia="Arial Unicode MS"/>
                <w:color w:val="000000" w:themeColor="text1"/>
                <w:sz w:val="20"/>
                <w:szCs w:val="20"/>
                <w:shd w:val="clear" w:color="auto" w:fill="FFFFFF"/>
                <w:lang w:val="en-US"/>
              </w:rPr>
              <w:t>suficientă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acuratețe</w:t>
            </w:r>
            <w:proofErr w:type="spellEnd"/>
            <w:r w:rsidRPr="0005419F">
              <w:rPr>
                <w:rFonts w:eastAsia="Arial Unicode MS"/>
                <w:color w:val="000000" w:themeColor="text1"/>
                <w:sz w:val="20"/>
                <w:szCs w:val="20"/>
                <w:shd w:val="clear" w:color="auto" w:fill="FFFFFF"/>
                <w:lang w:val="en-US"/>
              </w:rPr>
              <w:t>.</w:t>
            </w:r>
          </w:p>
          <w:p w14:paraId="7662A863"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93" w:tooltip="32018L0410: REPLACED" w:history="1">
              <w:r w:rsidRPr="00E34C2B">
                <w:rPr>
                  <w:rStyle w:val="af3"/>
                  <w:rFonts w:eastAsia="Arial Unicode MS"/>
                  <w:b/>
                  <w:bCs/>
                  <w:color w:val="4472C4" w:themeColor="accent1"/>
                  <w:sz w:val="20"/>
                  <w:szCs w:val="20"/>
                  <w:lang w:val="en-US"/>
                </w:rPr>
                <w:t>▼M9</w:t>
              </w:r>
            </w:hyperlink>
          </w:p>
          <w:p w14:paraId="41E2CC1C" w14:textId="4AF2BB75" w:rsidR="00124364" w:rsidRPr="0005419F" w:rsidRDefault="00000000" w:rsidP="0005419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05419F">
              <w:rPr>
                <w:rFonts w:eastAsia="Arial Unicode MS"/>
                <w:color w:val="000000" w:themeColor="text1"/>
                <w:sz w:val="20"/>
                <w:szCs w:val="20"/>
                <w:shd w:val="clear" w:color="auto" w:fill="FFFFFF"/>
                <w:lang w:val="en-US"/>
              </w:rPr>
              <w:t>Comisia</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este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împuternicită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să</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adopte</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acte</w:t>
            </w:r>
            <w:proofErr w:type="spellEnd"/>
            <w:r w:rsidRPr="0005419F">
              <w:rPr>
                <w:rFonts w:eastAsia="Arial Unicode MS"/>
                <w:color w:val="000000" w:themeColor="text1"/>
                <w:sz w:val="20"/>
                <w:szCs w:val="20"/>
                <w:shd w:val="clear" w:color="auto" w:fill="FFFFFF"/>
                <w:lang w:val="en-US"/>
              </w:rPr>
              <w:t xml:space="preserve"> delegate în conformitate cu </w:t>
            </w:r>
            <w:proofErr w:type="spellStart"/>
            <w:r w:rsidRPr="0005419F">
              <w:rPr>
                <w:rFonts w:eastAsia="Arial Unicode MS"/>
                <w:color w:val="000000" w:themeColor="text1"/>
                <w:sz w:val="20"/>
                <w:szCs w:val="20"/>
                <w:shd w:val="clear" w:color="auto" w:fill="FFFFFF"/>
                <w:lang w:val="en-US"/>
              </w:rPr>
              <w:t>articolul</w:t>
            </w:r>
            <w:proofErr w:type="spellEnd"/>
            <w:r w:rsidR="0005419F">
              <w:rPr>
                <w:rFonts w:eastAsia="Arial Unicode MS"/>
                <w:color w:val="000000" w:themeColor="text1"/>
                <w:sz w:val="20"/>
                <w:szCs w:val="20"/>
                <w:shd w:val="clear" w:color="auto" w:fill="FFFFFF"/>
                <w:lang w:val="en-US"/>
              </w:rPr>
              <w:t xml:space="preserve"> </w:t>
            </w:r>
            <w:r w:rsidRPr="0005419F">
              <w:rPr>
                <w:rFonts w:eastAsia="Arial Unicode MS"/>
                <w:color w:val="000000" w:themeColor="text1"/>
                <w:sz w:val="20"/>
                <w:szCs w:val="20"/>
                <w:shd w:val="clear" w:color="auto" w:fill="FFFFFF"/>
                <w:lang w:val="en-US"/>
              </w:rPr>
              <w:t xml:space="preserve">23 </w:t>
            </w:r>
            <w:proofErr w:type="spellStart"/>
            <w:r w:rsidRPr="0005419F">
              <w:rPr>
                <w:rFonts w:eastAsia="Arial Unicode MS"/>
                <w:color w:val="000000" w:themeColor="text1"/>
                <w:sz w:val="20"/>
                <w:szCs w:val="20"/>
                <w:shd w:val="clear" w:color="auto" w:fill="FFFFFF"/>
                <w:lang w:val="en-US"/>
              </w:rPr>
              <w:t>pentru</w:t>
            </w:r>
            <w:proofErr w:type="spellEnd"/>
            <w:r w:rsidRPr="0005419F">
              <w:rPr>
                <w:rFonts w:eastAsia="Arial Unicode MS"/>
                <w:color w:val="000000" w:themeColor="text1"/>
                <w:sz w:val="20"/>
                <w:szCs w:val="20"/>
                <w:shd w:val="clear" w:color="auto" w:fill="FFFFFF"/>
                <w:lang w:val="en-US"/>
              </w:rPr>
              <w:t xml:space="preserve"> a </w:t>
            </w:r>
            <w:proofErr w:type="spellStart"/>
            <w:r w:rsidRPr="0005419F">
              <w:rPr>
                <w:rFonts w:eastAsia="Arial Unicode MS"/>
                <w:color w:val="000000" w:themeColor="text1"/>
                <w:sz w:val="20"/>
                <w:szCs w:val="20"/>
                <w:shd w:val="clear" w:color="auto" w:fill="FFFFFF"/>
                <w:lang w:val="en-US"/>
              </w:rPr>
              <w:t>completa</w:t>
            </w:r>
            <w:proofErr w:type="spellEnd"/>
            <w:r w:rsidRPr="0005419F">
              <w:rPr>
                <w:rFonts w:eastAsia="Arial Unicode MS"/>
                <w:color w:val="000000" w:themeColor="text1"/>
                <w:sz w:val="20"/>
                <w:szCs w:val="20"/>
                <w:shd w:val="clear" w:color="auto" w:fill="FFFFFF"/>
                <w:lang w:val="en-US"/>
              </w:rPr>
              <w:t xml:space="preserve"> prezenta </w:t>
            </w:r>
            <w:proofErr w:type="spellStart"/>
            <w:r w:rsidRPr="0005419F">
              <w:rPr>
                <w:rFonts w:eastAsia="Arial Unicode MS"/>
                <w:color w:val="000000" w:themeColor="text1"/>
                <w:sz w:val="20"/>
                <w:szCs w:val="20"/>
                <w:shd w:val="clear" w:color="auto" w:fill="FFFFFF"/>
                <w:lang w:val="en-US"/>
              </w:rPr>
              <w:t>directivă</w:t>
            </w:r>
            <w:proofErr w:type="spellEnd"/>
            <w:r w:rsidRPr="0005419F">
              <w:rPr>
                <w:rFonts w:eastAsia="Arial Unicode MS"/>
                <w:color w:val="000000" w:themeColor="text1"/>
                <w:sz w:val="20"/>
                <w:szCs w:val="20"/>
                <w:shd w:val="clear" w:color="auto" w:fill="FFFFFF"/>
                <w:lang w:val="en-US"/>
              </w:rPr>
              <w:t xml:space="preserve"> în </w:t>
            </w:r>
            <w:proofErr w:type="spellStart"/>
            <w:r w:rsidRPr="0005419F">
              <w:rPr>
                <w:rFonts w:eastAsia="Arial Unicode MS"/>
                <w:color w:val="000000" w:themeColor="text1"/>
                <w:sz w:val="20"/>
                <w:szCs w:val="20"/>
                <w:shd w:val="clear" w:color="auto" w:fill="FFFFFF"/>
                <w:lang w:val="en-US"/>
              </w:rPr>
              <w:t>acest</w:t>
            </w:r>
            <w:proofErr w:type="spellEnd"/>
            <w:r w:rsidRPr="0005419F">
              <w:rPr>
                <w:rFonts w:eastAsia="Arial Unicode MS"/>
                <w:color w:val="000000" w:themeColor="text1"/>
                <w:sz w:val="20"/>
                <w:szCs w:val="20"/>
                <w:shd w:val="clear" w:color="auto" w:fill="FFFFFF"/>
                <w:lang w:val="en-US"/>
              </w:rPr>
              <w:t xml:space="preserve"> </w:t>
            </w:r>
            <w:proofErr w:type="spellStart"/>
            <w:r w:rsidRPr="0005419F">
              <w:rPr>
                <w:rFonts w:eastAsia="Arial Unicode MS"/>
                <w:color w:val="000000" w:themeColor="text1"/>
                <w:sz w:val="20"/>
                <w:szCs w:val="20"/>
                <w:shd w:val="clear" w:color="auto" w:fill="FFFFFF"/>
                <w:lang w:val="en-US"/>
              </w:rPr>
              <w:t>sens.</w:t>
            </w:r>
            <w:proofErr w:type="spellEnd"/>
          </w:p>
          <w:p w14:paraId="34BD2876"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294" w:tooltip="32009L0029: INSERTED" w:history="1">
              <w:r>
                <w:rPr>
                  <w:rStyle w:val="af3"/>
                  <w:rFonts w:eastAsia="Arial Unicode MS"/>
                  <w:b/>
                  <w:bCs/>
                  <w:color w:val="4472C4" w:themeColor="accent1"/>
                  <w:sz w:val="20"/>
                  <w:szCs w:val="20"/>
                </w:rPr>
                <w:t>▼M4</w:t>
              </w:r>
            </w:hyperlink>
          </w:p>
        </w:tc>
        <w:tc>
          <w:tcPr>
            <w:tcW w:w="4394" w:type="dxa"/>
            <w:shd w:val="clear" w:color="auto" w:fill="auto"/>
          </w:tcPr>
          <w:p w14:paraId="57C60BFC"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7643CE0" w14:textId="63ACE35C" w:rsidR="00124364" w:rsidRDefault="0005419F" w:rsidP="0005419F">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3B803A5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14BC539" w14:textId="76EC4F6F" w:rsidR="00124364" w:rsidRDefault="0005419F">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4BAB7031" w14:textId="77777777" w:rsidR="00124364" w:rsidRDefault="00124364" w:rsidP="0005419F">
            <w:pPr>
              <w:autoSpaceDE w:val="0"/>
              <w:spacing w:after="0" w:line="240" w:lineRule="auto"/>
              <w:rPr>
                <w:rFonts w:ascii="Times New Roman" w:hAnsi="Times New Roman"/>
                <w:sz w:val="20"/>
                <w:szCs w:val="20"/>
                <w:lang w:val="fr-FR"/>
              </w:rPr>
            </w:pPr>
          </w:p>
        </w:tc>
      </w:tr>
      <w:tr w:rsidR="00124364" w14:paraId="302B796E" w14:textId="77777777">
        <w:trPr>
          <w:trHeight w:val="558"/>
        </w:trPr>
        <w:tc>
          <w:tcPr>
            <w:tcW w:w="4957" w:type="dxa"/>
            <w:shd w:val="clear" w:color="auto" w:fill="auto"/>
          </w:tcPr>
          <w:p w14:paraId="7AC470FD"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24a</w:t>
            </w:r>
          </w:p>
          <w:p w14:paraId="5D2FA31A"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Norme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armonizate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privind</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proiectele</w:t>
            </w:r>
            <w:proofErr w:type="spellEnd"/>
            <w:r>
              <w:rPr>
                <w:rFonts w:eastAsia="Arial Unicode MS"/>
                <w:b/>
                <w:bCs/>
                <w:color w:val="333333"/>
                <w:sz w:val="20"/>
                <w:szCs w:val="20"/>
                <w:shd w:val="clear" w:color="auto" w:fill="FFFFFF"/>
                <w:lang w:val="en-US"/>
              </w:rPr>
              <w:t xml:space="preserve"> care </w:t>
            </w:r>
            <w:proofErr w:type="spellStart"/>
            <w:r>
              <w:rPr>
                <w:rFonts w:eastAsia="Arial Unicode MS"/>
                <w:b/>
                <w:bCs/>
                <w:color w:val="333333"/>
                <w:sz w:val="20"/>
                <w:szCs w:val="20"/>
                <w:shd w:val="clear" w:color="auto" w:fill="FFFFFF"/>
                <w:lang w:val="en-US"/>
              </w:rPr>
              <w:t>generează</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reduceri</w:t>
            </w:r>
            <w:proofErr w:type="spellEnd"/>
            <w:r>
              <w:rPr>
                <w:rFonts w:eastAsia="Arial Unicode MS"/>
                <w:b/>
                <w:bCs/>
                <w:color w:val="333333"/>
                <w:sz w:val="20"/>
                <w:szCs w:val="20"/>
                <w:shd w:val="clear" w:color="auto" w:fill="FFFFFF"/>
                <w:lang w:val="en-US"/>
              </w:rPr>
              <w:t xml:space="preserve"> ale </w:t>
            </w:r>
            <w:proofErr w:type="spellStart"/>
            <w:r>
              <w:rPr>
                <w:rFonts w:eastAsia="Arial Unicode MS"/>
                <w:b/>
                <w:bCs/>
                <w:color w:val="333333"/>
                <w:sz w:val="20"/>
                <w:szCs w:val="20"/>
                <w:shd w:val="clear" w:color="auto" w:fill="FFFFFF"/>
                <w:lang w:val="en-US"/>
              </w:rPr>
              <w:t>emisiilor</w:t>
            </w:r>
            <w:proofErr w:type="spellEnd"/>
          </w:p>
          <w:p w14:paraId="07910CC4" w14:textId="77777777" w:rsidR="00124364" w:rsidRDefault="00000000">
            <w:pPr>
              <w:pStyle w:val="ti-art"/>
              <w:shd w:val="clear" w:color="auto" w:fill="FFFFFF"/>
              <w:spacing w:before="0" w:beforeAutospacing="0" w:after="0" w:afterAutospacing="0"/>
              <w:rPr>
                <w:color w:val="4472C4" w:themeColor="accent1"/>
                <w:sz w:val="20"/>
                <w:szCs w:val="20"/>
              </w:rPr>
            </w:pPr>
            <w:hyperlink r:id="rId295" w:tooltip="32018L0410: REPLACED" w:history="1">
              <w:r>
                <w:rPr>
                  <w:rStyle w:val="af3"/>
                  <w:rFonts w:eastAsia="Arial Unicode MS"/>
                  <w:b/>
                  <w:bCs/>
                  <w:color w:val="4472C4" w:themeColor="accent1"/>
                  <w:sz w:val="20"/>
                  <w:szCs w:val="20"/>
                </w:rPr>
                <w:t>▼M9</w:t>
              </w:r>
            </w:hyperlink>
          </w:p>
          <w:p w14:paraId="62A37964" w14:textId="7751222E" w:rsidR="00124364" w:rsidRPr="00277CF1" w:rsidRDefault="00000000" w:rsidP="00277CF1">
            <w:pPr>
              <w:pStyle w:val="ti-art"/>
              <w:numPr>
                <w:ilvl w:val="0"/>
                <w:numId w:val="10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77CF1">
              <w:rPr>
                <w:rFonts w:eastAsia="Arial Unicode MS"/>
                <w:color w:val="000000" w:themeColor="text1"/>
                <w:sz w:val="20"/>
                <w:szCs w:val="20"/>
                <w:shd w:val="clear" w:color="auto" w:fill="FFFFFF"/>
                <w:lang w:val="en-US"/>
              </w:rPr>
              <w:lastRenderedPageBreak/>
              <w:t xml:space="preserve">Pe </w:t>
            </w:r>
            <w:proofErr w:type="spellStart"/>
            <w:r w:rsidRPr="00277CF1">
              <w:rPr>
                <w:rFonts w:eastAsia="Arial Unicode MS"/>
                <w:color w:val="000000" w:themeColor="text1"/>
                <w:sz w:val="20"/>
                <w:szCs w:val="20"/>
                <w:shd w:val="clear" w:color="auto" w:fill="FFFFFF"/>
                <w:lang w:val="en-US"/>
              </w:rPr>
              <w:t>lângă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includerile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prevăzute</w:t>
            </w:r>
            <w:proofErr w:type="spellEnd"/>
            <w:r w:rsidRPr="00277CF1">
              <w:rPr>
                <w:rFonts w:eastAsia="Arial Unicode MS"/>
                <w:color w:val="000000" w:themeColor="text1"/>
                <w:sz w:val="20"/>
                <w:szCs w:val="20"/>
                <w:shd w:val="clear" w:color="auto" w:fill="FFFFFF"/>
                <w:lang w:val="en-US"/>
              </w:rPr>
              <w:t xml:space="preserve"> la </w:t>
            </w:r>
            <w:proofErr w:type="spellStart"/>
            <w:r w:rsidRPr="00277CF1">
              <w:rPr>
                <w:rFonts w:eastAsia="Arial Unicode MS"/>
                <w:color w:val="000000" w:themeColor="text1"/>
                <w:sz w:val="20"/>
                <w:szCs w:val="20"/>
                <w:shd w:val="clear" w:color="auto" w:fill="FFFFFF"/>
                <w:lang w:val="en-US"/>
              </w:rPr>
              <w:t>articolul</w:t>
            </w:r>
            <w:proofErr w:type="spellEnd"/>
            <w:r w:rsidRPr="00277CF1">
              <w:rPr>
                <w:rFonts w:eastAsia="Arial Unicode MS"/>
                <w:color w:val="000000" w:themeColor="text1"/>
                <w:sz w:val="20"/>
                <w:szCs w:val="20"/>
                <w:shd w:val="clear" w:color="auto" w:fill="FFFFFF"/>
                <w:lang w:val="en-US"/>
              </w:rPr>
              <w:t xml:space="preserve"> 24, </w:t>
            </w:r>
            <w:proofErr w:type="spellStart"/>
            <w:r w:rsidRPr="00277CF1">
              <w:rPr>
                <w:rFonts w:eastAsia="Arial Unicode MS"/>
                <w:color w:val="000000" w:themeColor="text1"/>
                <w:sz w:val="20"/>
                <w:szCs w:val="20"/>
                <w:shd w:val="clear" w:color="auto" w:fill="FFFFFF"/>
                <w:lang w:val="en-US"/>
              </w:rPr>
              <w:t>Comisia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poate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adopta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măsuri</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emitere</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certificatelor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sau</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creditelor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pentru</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proiecte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gestionate</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statele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membre</w:t>
            </w:r>
            <w:proofErr w:type="spellEnd"/>
            <w:r w:rsidRPr="00277CF1">
              <w:rPr>
                <w:rFonts w:eastAsia="Arial Unicode MS"/>
                <w:color w:val="000000" w:themeColor="text1"/>
                <w:sz w:val="20"/>
                <w:szCs w:val="20"/>
                <w:shd w:val="clear" w:color="auto" w:fill="FFFFFF"/>
                <w:lang w:val="en-US"/>
              </w:rPr>
              <w:t xml:space="preserve"> care </w:t>
            </w:r>
            <w:proofErr w:type="spellStart"/>
            <w:r w:rsidRPr="00277CF1">
              <w:rPr>
                <w:rFonts w:eastAsia="Arial Unicode MS"/>
                <w:color w:val="000000" w:themeColor="text1"/>
                <w:sz w:val="20"/>
                <w:szCs w:val="20"/>
                <w:shd w:val="clear" w:color="auto" w:fill="FFFFFF"/>
                <w:lang w:val="en-US"/>
              </w:rPr>
              <w:t>reduc</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emisiile</w:t>
            </w:r>
            <w:proofErr w:type="spellEnd"/>
            <w:r w:rsidRPr="00277CF1">
              <w:rPr>
                <w:rFonts w:eastAsia="Arial Unicode MS"/>
                <w:color w:val="000000" w:themeColor="text1"/>
                <w:sz w:val="20"/>
                <w:szCs w:val="20"/>
                <w:shd w:val="clear" w:color="auto" w:fill="FFFFFF"/>
                <w:lang w:val="en-US"/>
              </w:rPr>
              <w:t xml:space="preserve"> de gaze cu </w:t>
            </w:r>
            <w:proofErr w:type="spellStart"/>
            <w:r w:rsidRPr="00277CF1">
              <w:rPr>
                <w:rFonts w:eastAsia="Arial Unicode MS"/>
                <w:color w:val="000000" w:themeColor="text1"/>
                <w:sz w:val="20"/>
                <w:szCs w:val="20"/>
                <w:shd w:val="clear" w:color="auto" w:fill="FFFFFF"/>
                <w:lang w:val="en-US"/>
              </w:rPr>
              <w:t>efect</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seră</w:t>
            </w:r>
            <w:proofErr w:type="spellEnd"/>
            <w:r w:rsidRPr="00277CF1">
              <w:rPr>
                <w:rFonts w:eastAsia="Arial Unicode MS"/>
                <w:color w:val="000000" w:themeColor="text1"/>
                <w:sz w:val="20"/>
                <w:szCs w:val="20"/>
                <w:shd w:val="clear" w:color="auto" w:fill="FFFFFF"/>
                <w:lang w:val="en-US"/>
              </w:rPr>
              <w:t xml:space="preserve"> care nu </w:t>
            </w:r>
            <w:proofErr w:type="spellStart"/>
            <w:r w:rsidRPr="00277CF1">
              <w:rPr>
                <w:rFonts w:eastAsia="Arial Unicode MS"/>
                <w:color w:val="000000" w:themeColor="text1"/>
                <w:sz w:val="20"/>
                <w:szCs w:val="20"/>
                <w:shd w:val="clear" w:color="auto" w:fill="FFFFFF"/>
                <w:lang w:val="en-US"/>
              </w:rPr>
              <w:t>intră</w:t>
            </w:r>
            <w:proofErr w:type="spellEnd"/>
            <w:r w:rsidRPr="00277CF1">
              <w:rPr>
                <w:rFonts w:eastAsia="Arial Unicode MS"/>
                <w:color w:val="000000" w:themeColor="text1"/>
                <w:sz w:val="20"/>
                <w:szCs w:val="20"/>
                <w:shd w:val="clear" w:color="auto" w:fill="FFFFFF"/>
                <w:lang w:val="en-US"/>
              </w:rPr>
              <w:t xml:space="preserve"> sub </w:t>
            </w:r>
            <w:proofErr w:type="spellStart"/>
            <w:r w:rsidRPr="00277CF1">
              <w:rPr>
                <w:rFonts w:eastAsia="Arial Unicode MS"/>
                <w:color w:val="000000" w:themeColor="text1"/>
                <w:sz w:val="20"/>
                <w:szCs w:val="20"/>
                <w:shd w:val="clear" w:color="auto" w:fill="FFFFFF"/>
                <w:lang w:val="en-US"/>
              </w:rPr>
              <w:t>incidența</w:t>
            </w:r>
            <w:proofErr w:type="spellEnd"/>
            <w:r w:rsidR="00277CF1" w:rsidRPr="00277CF1">
              <w:rPr>
                <w:rFonts w:eastAsia="Arial Unicode MS"/>
                <w:color w:val="000000" w:themeColor="text1"/>
                <w:sz w:val="20"/>
                <w:szCs w:val="20"/>
                <w:shd w:val="clear" w:color="auto" w:fill="FFFFFF"/>
                <w:lang w:val="en-US"/>
              </w:rPr>
              <w:t xml:space="preserve"> </w:t>
            </w:r>
            <w:r w:rsidRPr="00277CF1">
              <w:rPr>
                <w:rFonts w:eastAsia="Arial Unicode MS"/>
                <w:color w:val="000000" w:themeColor="text1"/>
                <w:sz w:val="20"/>
                <w:szCs w:val="20"/>
                <w:shd w:val="clear" w:color="auto" w:fill="FFFFFF"/>
                <w:lang w:val="en-US"/>
              </w:rPr>
              <w:t>EU ETS.</w:t>
            </w:r>
          </w:p>
          <w:p w14:paraId="3474E864" w14:textId="436E10B5" w:rsidR="00124364" w:rsidRPr="00277CF1" w:rsidRDefault="00000000" w:rsidP="00277CF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77CF1">
              <w:rPr>
                <w:rFonts w:eastAsia="Arial Unicode MS"/>
                <w:color w:val="000000" w:themeColor="text1"/>
                <w:sz w:val="20"/>
                <w:szCs w:val="20"/>
                <w:shd w:val="clear" w:color="auto" w:fill="FFFFFF"/>
                <w:lang w:val="en-US"/>
              </w:rPr>
              <w:t>Astfel</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măsuri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trebuie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fie </w:t>
            </w:r>
            <w:proofErr w:type="spellStart"/>
            <w:r w:rsidRPr="00277CF1">
              <w:rPr>
                <w:rFonts w:eastAsia="Arial Unicode MS"/>
                <w:color w:val="000000" w:themeColor="text1"/>
                <w:sz w:val="20"/>
                <w:szCs w:val="20"/>
                <w:shd w:val="clear" w:color="auto" w:fill="FFFFFF"/>
                <w:lang w:val="en-US"/>
              </w:rPr>
              <w:t>conforme</w:t>
            </w:r>
            <w:proofErr w:type="spellEnd"/>
            <w:r w:rsidRPr="00277CF1">
              <w:rPr>
                <w:rFonts w:eastAsia="Arial Unicode MS"/>
                <w:color w:val="000000" w:themeColor="text1"/>
                <w:sz w:val="20"/>
                <w:szCs w:val="20"/>
                <w:shd w:val="clear" w:color="auto" w:fill="FFFFFF"/>
                <w:lang w:val="en-US"/>
              </w:rPr>
              <w:t xml:space="preserve"> cu </w:t>
            </w:r>
            <w:proofErr w:type="spellStart"/>
            <w:r w:rsidRPr="00277CF1">
              <w:rPr>
                <w:rFonts w:eastAsia="Arial Unicode MS"/>
                <w:color w:val="000000" w:themeColor="text1"/>
                <w:sz w:val="20"/>
                <w:szCs w:val="20"/>
                <w:shd w:val="clear" w:color="auto" w:fill="FFFFFF"/>
                <w:lang w:val="en-US"/>
              </w:rPr>
              <w:t>actele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adoptate</w:t>
            </w:r>
            <w:proofErr w:type="spellEnd"/>
            <w:r w:rsidRPr="00277CF1">
              <w:rPr>
                <w:rFonts w:eastAsia="Arial Unicode MS"/>
                <w:color w:val="000000" w:themeColor="text1"/>
                <w:sz w:val="20"/>
                <w:szCs w:val="20"/>
                <w:shd w:val="clear" w:color="auto" w:fill="FFFFFF"/>
                <w:lang w:val="en-US"/>
              </w:rPr>
              <w:t xml:space="preserve"> în </w:t>
            </w:r>
            <w:proofErr w:type="spellStart"/>
            <w:r w:rsidRPr="00277CF1">
              <w:rPr>
                <w:rFonts w:eastAsia="Arial Unicode MS"/>
                <w:color w:val="000000" w:themeColor="text1"/>
                <w:sz w:val="20"/>
                <w:szCs w:val="20"/>
                <w:shd w:val="clear" w:color="auto" w:fill="FFFFFF"/>
                <w:lang w:val="en-US"/>
              </w:rPr>
              <w:t>temeiul</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fostului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articol</w:t>
            </w:r>
            <w:proofErr w:type="spellEnd"/>
            <w:r w:rsidRPr="00277CF1">
              <w:rPr>
                <w:rFonts w:eastAsia="Arial Unicode MS"/>
                <w:color w:val="000000" w:themeColor="text1"/>
                <w:sz w:val="20"/>
                <w:szCs w:val="20"/>
                <w:shd w:val="clear" w:color="auto" w:fill="FFFFFF"/>
                <w:lang w:val="en-US"/>
              </w:rPr>
              <w:t xml:space="preserve"> 11b </w:t>
            </w:r>
            <w:proofErr w:type="spellStart"/>
            <w:r w:rsidRPr="00277CF1">
              <w:rPr>
                <w:rFonts w:eastAsia="Arial Unicode MS"/>
                <w:color w:val="000000" w:themeColor="text1"/>
                <w:sz w:val="20"/>
                <w:szCs w:val="20"/>
                <w:shd w:val="clear" w:color="auto" w:fill="FFFFFF"/>
                <w:lang w:val="en-US"/>
              </w:rPr>
              <w:t>alineatul</w:t>
            </w:r>
            <w:proofErr w:type="spellEnd"/>
            <w:r w:rsidRPr="00277CF1">
              <w:rPr>
                <w:rFonts w:eastAsia="Arial Unicode MS"/>
                <w:color w:val="000000" w:themeColor="text1"/>
                <w:sz w:val="20"/>
                <w:szCs w:val="20"/>
                <w:shd w:val="clear" w:color="auto" w:fill="FFFFFF"/>
                <w:lang w:val="en-US"/>
              </w:rPr>
              <w:t xml:space="preserve"> (7) </w:t>
            </w:r>
            <w:proofErr w:type="spellStart"/>
            <w:r w:rsidRPr="00277CF1">
              <w:rPr>
                <w:rFonts w:eastAsia="Arial Unicode MS"/>
                <w:color w:val="000000" w:themeColor="text1"/>
                <w:sz w:val="20"/>
                <w:szCs w:val="20"/>
                <w:shd w:val="clear" w:color="auto" w:fill="FFFFFF"/>
                <w:lang w:val="en-US"/>
              </w:rPr>
              <w:t>astfel</w:t>
            </w:r>
            <w:proofErr w:type="spellEnd"/>
            <w:r w:rsidRPr="00277CF1">
              <w:rPr>
                <w:rFonts w:eastAsia="Arial Unicode MS"/>
                <w:color w:val="000000" w:themeColor="text1"/>
                <w:sz w:val="20"/>
                <w:szCs w:val="20"/>
                <w:shd w:val="clear" w:color="auto" w:fill="FFFFFF"/>
                <w:lang w:val="en-US"/>
              </w:rPr>
              <w:t xml:space="preserve"> cum sunt în </w:t>
            </w:r>
            <w:proofErr w:type="spellStart"/>
            <w:r w:rsidRPr="00277CF1">
              <w:rPr>
                <w:rFonts w:eastAsia="Arial Unicode MS"/>
                <w:color w:val="000000" w:themeColor="text1"/>
                <w:sz w:val="20"/>
                <w:szCs w:val="20"/>
                <w:shd w:val="clear" w:color="auto" w:fill="FFFFFF"/>
                <w:lang w:val="en-US"/>
              </w:rPr>
              <w:t>vigoare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înainte</w:t>
            </w:r>
            <w:proofErr w:type="spellEnd"/>
            <w:r w:rsidRPr="00277CF1">
              <w:rPr>
                <w:rFonts w:eastAsia="Arial Unicode MS"/>
                <w:color w:val="000000" w:themeColor="text1"/>
                <w:sz w:val="20"/>
                <w:szCs w:val="20"/>
                <w:shd w:val="clear" w:color="auto" w:fill="FFFFFF"/>
                <w:lang w:val="en-US"/>
              </w:rPr>
              <w:t xml:space="preserve"> de 8</w:t>
            </w:r>
            <w:r w:rsid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aprilie</w:t>
            </w:r>
            <w:proofErr w:type="spellEnd"/>
            <w:r w:rsidRPr="00277CF1">
              <w:rPr>
                <w:rFonts w:eastAsia="Arial Unicode MS"/>
                <w:color w:val="000000" w:themeColor="text1"/>
                <w:sz w:val="20"/>
                <w:szCs w:val="20"/>
                <w:shd w:val="clear" w:color="auto" w:fill="FFFFFF"/>
                <w:lang w:val="en-US"/>
              </w:rPr>
              <w:t xml:space="preserve"> 2018. </w:t>
            </w:r>
            <w:proofErr w:type="spellStart"/>
            <w:r w:rsidRPr="00277CF1">
              <w:rPr>
                <w:rFonts w:eastAsia="Arial Unicode MS"/>
                <w:color w:val="000000" w:themeColor="text1"/>
                <w:sz w:val="20"/>
                <w:szCs w:val="20"/>
                <w:shd w:val="clear" w:color="auto" w:fill="FFFFFF"/>
                <w:lang w:val="en-US"/>
              </w:rPr>
              <w:t>Comisia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este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împuternicită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adopte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acte</w:t>
            </w:r>
            <w:proofErr w:type="spellEnd"/>
            <w:r w:rsidRPr="00277CF1">
              <w:rPr>
                <w:rFonts w:eastAsia="Arial Unicode MS"/>
                <w:color w:val="000000" w:themeColor="text1"/>
                <w:sz w:val="20"/>
                <w:szCs w:val="20"/>
                <w:shd w:val="clear" w:color="auto" w:fill="FFFFFF"/>
                <w:lang w:val="en-US"/>
              </w:rPr>
              <w:t xml:space="preserve"> delegate în conformitate cu </w:t>
            </w:r>
            <w:proofErr w:type="spellStart"/>
            <w:r w:rsidRPr="00277CF1">
              <w:rPr>
                <w:rFonts w:eastAsia="Arial Unicode MS"/>
                <w:color w:val="000000" w:themeColor="text1"/>
                <w:sz w:val="20"/>
                <w:szCs w:val="20"/>
                <w:shd w:val="clear" w:color="auto" w:fill="FFFFFF"/>
                <w:lang w:val="en-US"/>
              </w:rPr>
              <w:t>articolul</w:t>
            </w:r>
            <w:proofErr w:type="spellEnd"/>
            <w:r w:rsidR="00277CF1">
              <w:rPr>
                <w:rFonts w:eastAsia="Arial Unicode MS"/>
                <w:color w:val="000000" w:themeColor="text1"/>
                <w:sz w:val="20"/>
                <w:szCs w:val="20"/>
                <w:shd w:val="clear" w:color="auto" w:fill="FFFFFF"/>
                <w:lang w:val="en-US"/>
              </w:rPr>
              <w:t xml:space="preserve"> </w:t>
            </w:r>
            <w:r w:rsidRPr="00277CF1">
              <w:rPr>
                <w:rFonts w:eastAsia="Arial Unicode MS"/>
                <w:color w:val="000000" w:themeColor="text1"/>
                <w:sz w:val="20"/>
                <w:szCs w:val="20"/>
                <w:shd w:val="clear" w:color="auto" w:fill="FFFFFF"/>
                <w:lang w:val="en-US"/>
              </w:rPr>
              <w:t xml:space="preserve">23 </w:t>
            </w:r>
            <w:proofErr w:type="spellStart"/>
            <w:r w:rsidRPr="00277CF1">
              <w:rPr>
                <w:rFonts w:eastAsia="Arial Unicode MS"/>
                <w:color w:val="000000" w:themeColor="text1"/>
                <w:sz w:val="20"/>
                <w:szCs w:val="20"/>
                <w:shd w:val="clear" w:color="auto" w:fill="FFFFFF"/>
                <w:lang w:val="en-US"/>
              </w:rPr>
              <w:t>pentru</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completa</w:t>
            </w:r>
            <w:proofErr w:type="spellEnd"/>
            <w:r w:rsidRPr="00277CF1">
              <w:rPr>
                <w:rFonts w:eastAsia="Arial Unicode MS"/>
                <w:color w:val="000000" w:themeColor="text1"/>
                <w:sz w:val="20"/>
                <w:szCs w:val="20"/>
                <w:shd w:val="clear" w:color="auto" w:fill="FFFFFF"/>
                <w:lang w:val="en-US"/>
              </w:rPr>
              <w:t xml:space="preserve"> prezenta </w:t>
            </w:r>
            <w:proofErr w:type="spellStart"/>
            <w:r w:rsidRPr="00277CF1">
              <w:rPr>
                <w:rFonts w:eastAsia="Arial Unicode MS"/>
                <w:color w:val="000000" w:themeColor="text1"/>
                <w:sz w:val="20"/>
                <w:szCs w:val="20"/>
                <w:shd w:val="clear" w:color="auto" w:fill="FFFFFF"/>
                <w:lang w:val="en-US"/>
              </w:rPr>
              <w:t>directivă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prin</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stabilirea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procedurii</w:t>
            </w:r>
            <w:proofErr w:type="spellEnd"/>
            <w:r w:rsidRPr="00277CF1">
              <w:rPr>
                <w:rFonts w:eastAsia="Arial Unicode MS"/>
                <w:color w:val="000000" w:themeColor="text1"/>
                <w:sz w:val="20"/>
                <w:szCs w:val="20"/>
                <w:shd w:val="clear" w:color="auto" w:fill="FFFFFF"/>
                <w:lang w:val="en-US"/>
              </w:rPr>
              <w:t xml:space="preserve"> care </w:t>
            </w:r>
            <w:proofErr w:type="spellStart"/>
            <w:r w:rsidRPr="00277CF1">
              <w:rPr>
                <w:rFonts w:eastAsia="Arial Unicode MS"/>
                <w:color w:val="000000" w:themeColor="text1"/>
                <w:sz w:val="20"/>
                <w:szCs w:val="20"/>
                <w:shd w:val="clear" w:color="auto" w:fill="FFFFFF"/>
                <w:lang w:val="en-US"/>
              </w:rPr>
              <w:t>trebuie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urmată</w:t>
            </w:r>
            <w:proofErr w:type="spellEnd"/>
            <w:r w:rsidRPr="00277CF1">
              <w:rPr>
                <w:rFonts w:eastAsia="Arial Unicode MS"/>
                <w:color w:val="000000" w:themeColor="text1"/>
                <w:sz w:val="20"/>
                <w:szCs w:val="20"/>
                <w:shd w:val="clear" w:color="auto" w:fill="FFFFFF"/>
                <w:lang w:val="en-US"/>
              </w:rPr>
              <w:t>.</w:t>
            </w:r>
          </w:p>
          <w:p w14:paraId="04040FDC"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296" w:tooltip="32009L0029: INSERTED" w:history="1">
              <w:r w:rsidRPr="00E34C2B">
                <w:rPr>
                  <w:rStyle w:val="af3"/>
                  <w:rFonts w:eastAsia="Arial Unicode MS"/>
                  <w:b/>
                  <w:bCs/>
                  <w:color w:val="4472C4" w:themeColor="accent1"/>
                  <w:sz w:val="20"/>
                  <w:szCs w:val="20"/>
                  <w:lang w:val="en-US"/>
                </w:rPr>
                <w:t>▼M4</w:t>
              </w:r>
            </w:hyperlink>
          </w:p>
          <w:p w14:paraId="2AE121FF" w14:textId="37D846E5" w:rsidR="00124364" w:rsidRPr="00277CF1" w:rsidRDefault="00000000" w:rsidP="00277CF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77CF1">
              <w:rPr>
                <w:rFonts w:eastAsia="Arial Unicode MS"/>
                <w:color w:val="000000" w:themeColor="text1"/>
                <w:sz w:val="20"/>
                <w:szCs w:val="20"/>
                <w:shd w:val="clear" w:color="auto" w:fill="FFFFFF"/>
                <w:lang w:val="en-US"/>
              </w:rPr>
              <w:t>Măsurile</w:t>
            </w:r>
            <w:proofErr w:type="spellEnd"/>
            <w:r w:rsidRPr="00277CF1">
              <w:rPr>
                <w:rFonts w:eastAsia="Arial Unicode MS"/>
                <w:color w:val="000000" w:themeColor="text1"/>
                <w:sz w:val="20"/>
                <w:szCs w:val="20"/>
                <w:shd w:val="clear" w:color="auto" w:fill="FFFFFF"/>
                <w:lang w:val="en-US"/>
              </w:rPr>
              <w:t xml:space="preserve"> respective nu </w:t>
            </w:r>
            <w:proofErr w:type="spellStart"/>
            <w:r w:rsidRPr="00277CF1">
              <w:rPr>
                <w:rFonts w:eastAsia="Arial Unicode MS"/>
                <w:color w:val="000000" w:themeColor="text1"/>
                <w:sz w:val="20"/>
                <w:szCs w:val="20"/>
                <w:shd w:val="clear" w:color="auto" w:fill="FFFFFF"/>
                <w:lang w:val="en-US"/>
              </w:rPr>
              <w:t>trebuie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antreneze</w:t>
            </w:r>
            <w:proofErr w:type="spellEnd"/>
            <w:r w:rsidRPr="00277CF1">
              <w:rPr>
                <w:rFonts w:eastAsia="Arial Unicode MS"/>
                <w:color w:val="000000" w:themeColor="text1"/>
                <w:sz w:val="20"/>
                <w:szCs w:val="20"/>
                <w:shd w:val="clear" w:color="auto" w:fill="FFFFFF"/>
                <w:lang w:val="en-US"/>
              </w:rPr>
              <w:t xml:space="preserve"> o </w:t>
            </w:r>
            <w:proofErr w:type="spellStart"/>
            <w:r w:rsidRPr="00277CF1">
              <w:rPr>
                <w:rFonts w:eastAsia="Arial Unicode MS"/>
                <w:color w:val="000000" w:themeColor="text1"/>
                <w:sz w:val="20"/>
                <w:szCs w:val="20"/>
                <w:shd w:val="clear" w:color="auto" w:fill="FFFFFF"/>
                <w:lang w:val="en-US"/>
              </w:rPr>
              <w:t>dublă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contabilizare</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reducerilor</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emisii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sau</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afecteze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adoptarea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altor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măsuri</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politică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vizând</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reducerea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emisiilor</w:t>
            </w:r>
            <w:proofErr w:type="spellEnd"/>
            <w:r w:rsidRPr="00277CF1">
              <w:rPr>
                <w:rFonts w:eastAsia="Arial Unicode MS"/>
                <w:color w:val="000000" w:themeColor="text1"/>
                <w:sz w:val="20"/>
                <w:szCs w:val="20"/>
                <w:shd w:val="clear" w:color="auto" w:fill="FFFFFF"/>
                <w:lang w:val="en-US"/>
              </w:rPr>
              <w:t xml:space="preserve"> care nu </w:t>
            </w:r>
            <w:proofErr w:type="spellStart"/>
            <w:r w:rsidRPr="00277CF1">
              <w:rPr>
                <w:rFonts w:eastAsia="Arial Unicode MS"/>
                <w:color w:val="000000" w:themeColor="text1"/>
                <w:sz w:val="20"/>
                <w:szCs w:val="20"/>
                <w:shd w:val="clear" w:color="auto" w:fill="FFFFFF"/>
                <w:lang w:val="en-US"/>
              </w:rPr>
              <w:t>intră</w:t>
            </w:r>
            <w:proofErr w:type="spellEnd"/>
            <w:r w:rsidRPr="00277CF1">
              <w:rPr>
                <w:rFonts w:eastAsia="Arial Unicode MS"/>
                <w:color w:val="000000" w:themeColor="text1"/>
                <w:sz w:val="20"/>
                <w:szCs w:val="20"/>
                <w:shd w:val="clear" w:color="auto" w:fill="FFFFFF"/>
                <w:lang w:val="en-US"/>
              </w:rPr>
              <w:t xml:space="preserve"> sub incidența</w:t>
            </w:r>
            <w:hyperlink r:id="rId297" w:tooltip="32018L0410: REPLACED" w:history="1">
              <w:r w:rsidRPr="00277CF1">
                <w:rPr>
                  <w:rStyle w:val="boldface"/>
                  <w:rFonts w:eastAsia="Arial Unicode MS"/>
                  <w:b/>
                  <w:bCs/>
                  <w:color w:val="000000" w:themeColor="text1"/>
                  <w:sz w:val="20"/>
                  <w:szCs w:val="20"/>
                  <w:lang w:val="en-US"/>
                </w:rPr>
                <w:t>►M9</w:t>
              </w:r>
            </w:hyperlink>
            <w:r w:rsidR="00277CF1">
              <w:rPr>
                <w:rStyle w:val="apple-converted-space"/>
                <w:rFonts w:eastAsia="Arial Unicode MS"/>
                <w:color w:val="000000" w:themeColor="text1"/>
                <w:sz w:val="20"/>
                <w:szCs w:val="20"/>
                <w:lang w:val="en-US"/>
              </w:rPr>
              <w:t xml:space="preserve"> </w:t>
            </w:r>
            <w:r w:rsidRPr="00277CF1">
              <w:rPr>
                <w:rFonts w:eastAsia="Arial Unicode MS"/>
                <w:color w:val="000000" w:themeColor="text1"/>
                <w:sz w:val="20"/>
                <w:szCs w:val="20"/>
                <w:shd w:val="clear" w:color="auto" w:fill="FFFFFF"/>
                <w:lang w:val="en-US"/>
              </w:rPr>
              <w:t>EU ETS</w:t>
            </w:r>
            <w:r w:rsidRPr="00277CF1">
              <w:rPr>
                <w:rStyle w:val="boldface"/>
                <w:rFonts w:eastAsia="Arial Unicode MS"/>
                <w:b/>
                <w:bCs/>
                <w:color w:val="000000" w:themeColor="text1"/>
                <w:sz w:val="20"/>
                <w:szCs w:val="20"/>
                <w:lang w:val="en-US"/>
              </w:rPr>
              <w:t>◄</w:t>
            </w:r>
            <w:r w:rsidRPr="00277CF1">
              <w:rPr>
                <w:rFonts w:eastAsia="Arial Unicode MS"/>
                <w:color w:val="000000" w:themeColor="text1"/>
                <w:sz w:val="20"/>
                <w:szCs w:val="20"/>
                <w:shd w:val="clear" w:color="auto" w:fill="FFFFFF"/>
                <w:lang w:val="en-US"/>
              </w:rPr>
              <w:t xml:space="preserve">. Se </w:t>
            </w:r>
            <w:proofErr w:type="spellStart"/>
            <w:r w:rsidRPr="00277CF1">
              <w:rPr>
                <w:rFonts w:eastAsia="Arial Unicode MS"/>
                <w:color w:val="000000" w:themeColor="text1"/>
                <w:sz w:val="20"/>
                <w:szCs w:val="20"/>
                <w:shd w:val="clear" w:color="auto" w:fill="FFFFFF"/>
                <w:lang w:val="en-US"/>
              </w:rPr>
              <w:t>adoptă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măsuri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numai</w:t>
            </w:r>
            <w:proofErr w:type="spellEnd"/>
            <w:r w:rsidRPr="00277CF1">
              <w:rPr>
                <w:rFonts w:eastAsia="Arial Unicode MS"/>
                <w:color w:val="000000" w:themeColor="text1"/>
                <w:sz w:val="20"/>
                <w:szCs w:val="20"/>
                <w:shd w:val="clear" w:color="auto" w:fill="FFFFFF"/>
                <w:lang w:val="en-US"/>
              </w:rPr>
              <w:t xml:space="preserve"> în </w:t>
            </w:r>
            <w:proofErr w:type="spellStart"/>
            <w:r w:rsidRPr="00277CF1">
              <w:rPr>
                <w:rFonts w:eastAsia="Arial Unicode MS"/>
                <w:color w:val="000000" w:themeColor="text1"/>
                <w:sz w:val="20"/>
                <w:szCs w:val="20"/>
                <w:shd w:val="clear" w:color="auto" w:fill="FFFFFF"/>
                <w:lang w:val="en-US"/>
              </w:rPr>
              <w:t>cazul</w:t>
            </w:r>
            <w:proofErr w:type="spellEnd"/>
            <w:r w:rsidRPr="00277CF1">
              <w:rPr>
                <w:rFonts w:eastAsia="Arial Unicode MS"/>
                <w:color w:val="000000" w:themeColor="text1"/>
                <w:sz w:val="20"/>
                <w:szCs w:val="20"/>
                <w:shd w:val="clear" w:color="auto" w:fill="FFFFFF"/>
                <w:lang w:val="en-US"/>
              </w:rPr>
              <w:t xml:space="preserve"> în care nu </w:t>
            </w:r>
            <w:proofErr w:type="spellStart"/>
            <w:r w:rsidRPr="00277CF1">
              <w:rPr>
                <w:rFonts w:eastAsia="Arial Unicode MS"/>
                <w:color w:val="000000" w:themeColor="text1"/>
                <w:sz w:val="20"/>
                <w:szCs w:val="20"/>
                <w:shd w:val="clear" w:color="auto" w:fill="FFFFFF"/>
                <w:lang w:val="en-US"/>
              </w:rPr>
              <w:t>este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posibilă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includerea</w:t>
            </w:r>
            <w:proofErr w:type="spellEnd"/>
            <w:r w:rsidRPr="00277CF1">
              <w:rPr>
                <w:rFonts w:eastAsia="Arial Unicode MS"/>
                <w:color w:val="000000" w:themeColor="text1"/>
                <w:sz w:val="20"/>
                <w:szCs w:val="20"/>
                <w:shd w:val="clear" w:color="auto" w:fill="FFFFFF"/>
                <w:lang w:val="en-US"/>
              </w:rPr>
              <w:t xml:space="preserve"> în conformitate cu </w:t>
            </w:r>
            <w:proofErr w:type="spellStart"/>
            <w:r w:rsidRPr="00277CF1">
              <w:rPr>
                <w:rFonts w:eastAsia="Arial Unicode MS"/>
                <w:color w:val="000000" w:themeColor="text1"/>
                <w:sz w:val="20"/>
                <w:szCs w:val="20"/>
                <w:shd w:val="clear" w:color="auto" w:fill="FFFFFF"/>
                <w:lang w:val="en-US"/>
              </w:rPr>
              <w:t>articolul</w:t>
            </w:r>
            <w:proofErr w:type="spellEnd"/>
            <w:r w:rsidRPr="00277CF1">
              <w:rPr>
                <w:rFonts w:eastAsia="Arial Unicode MS"/>
                <w:color w:val="000000" w:themeColor="text1"/>
                <w:sz w:val="20"/>
                <w:szCs w:val="20"/>
                <w:shd w:val="clear" w:color="auto" w:fill="FFFFFF"/>
                <w:lang w:val="en-US"/>
              </w:rPr>
              <w:t xml:space="preserve"> 24, </w:t>
            </w:r>
            <w:proofErr w:type="spellStart"/>
            <w:r w:rsidRPr="00277CF1">
              <w:rPr>
                <w:rFonts w:eastAsia="Arial Unicode MS"/>
                <w:color w:val="000000" w:themeColor="text1"/>
                <w:sz w:val="20"/>
                <w:szCs w:val="20"/>
                <w:shd w:val="clear" w:color="auto" w:fill="FFFFFF"/>
                <w:lang w:val="en-US"/>
              </w:rPr>
              <w:t>iar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următoarea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revizuire</w:t>
            </w:r>
            <w:proofErr w:type="spellEnd"/>
            <w:r w:rsidRPr="00277CF1">
              <w:rPr>
                <w:rFonts w:eastAsia="Arial Unicode MS"/>
                <w:color w:val="000000" w:themeColor="text1"/>
                <w:sz w:val="20"/>
                <w:szCs w:val="20"/>
                <w:shd w:val="clear" w:color="auto" w:fill="FFFFFF"/>
                <w:lang w:val="en-US"/>
              </w:rPr>
              <w:t xml:space="preserve"> a</w:t>
            </w:r>
            <w:r w:rsidR="00277CF1">
              <w:rPr>
                <w:rStyle w:val="apple-converted-space"/>
                <w:rFonts w:eastAsia="Arial Unicode MS"/>
                <w:color w:val="000000" w:themeColor="text1"/>
                <w:sz w:val="20"/>
                <w:szCs w:val="20"/>
                <w:shd w:val="clear" w:color="auto" w:fill="FFFFFF"/>
                <w:lang w:val="en-US"/>
              </w:rPr>
              <w:t xml:space="preserve"> </w:t>
            </w:r>
            <w:hyperlink r:id="rId298" w:tooltip="32018L0410: REPLACED" w:history="1">
              <w:r w:rsidRPr="00277CF1">
                <w:rPr>
                  <w:rStyle w:val="boldface"/>
                  <w:rFonts w:eastAsia="Arial Unicode MS"/>
                  <w:b/>
                  <w:bCs/>
                  <w:color w:val="000000" w:themeColor="text1"/>
                  <w:sz w:val="20"/>
                  <w:szCs w:val="20"/>
                  <w:lang w:val="en-US"/>
                </w:rPr>
                <w:t>►M9</w:t>
              </w:r>
            </w:hyperlink>
            <w:r w:rsidR="00277CF1">
              <w:rPr>
                <w:rStyle w:val="apple-converted-space"/>
                <w:rFonts w:eastAsia="Arial Unicode MS"/>
                <w:color w:val="000000" w:themeColor="text1"/>
                <w:sz w:val="20"/>
                <w:szCs w:val="20"/>
                <w:lang w:val="en-US"/>
              </w:rPr>
              <w:t xml:space="preserve"> </w:t>
            </w:r>
            <w:r w:rsidRPr="00277CF1">
              <w:rPr>
                <w:rFonts w:eastAsia="Arial Unicode MS"/>
                <w:color w:val="000000" w:themeColor="text1"/>
                <w:sz w:val="20"/>
                <w:szCs w:val="20"/>
                <w:shd w:val="clear" w:color="auto" w:fill="FFFFFF"/>
                <w:lang w:val="en-US"/>
              </w:rPr>
              <w:t>EU ETS</w:t>
            </w:r>
            <w:r w:rsidR="00277CF1">
              <w:rPr>
                <w:rStyle w:val="boldface"/>
                <w:rFonts w:eastAsia="Arial Unicode MS"/>
                <w:b/>
                <w:bCs/>
                <w:color w:val="000000" w:themeColor="text1"/>
                <w:sz w:val="20"/>
                <w:szCs w:val="20"/>
                <w:lang w:val="en-US"/>
              </w:rPr>
              <w:t xml:space="preserve"> </w:t>
            </w:r>
            <w:r w:rsidRPr="00277CF1">
              <w:rPr>
                <w:rStyle w:val="boldface"/>
                <w:rFonts w:eastAsia="Arial Unicode MS"/>
                <w:b/>
                <w:bCs/>
                <w:color w:val="000000" w:themeColor="text1"/>
                <w:sz w:val="20"/>
                <w:szCs w:val="20"/>
                <w:lang w:val="en-US"/>
              </w:rPr>
              <w:t>◄</w:t>
            </w:r>
            <w:r w:rsidR="00277CF1">
              <w:rPr>
                <w:rStyle w:val="apple-converted-space"/>
                <w:rFonts w:eastAsia="Arial Unicode MS"/>
                <w:b/>
                <w:bCs/>
                <w:color w:val="000000" w:themeColor="text1"/>
                <w:sz w:val="20"/>
                <w:szCs w:val="20"/>
                <w:lang w:val="en-US"/>
              </w:rPr>
              <w:t xml:space="preserve"> </w:t>
            </w:r>
            <w:proofErr w:type="spellStart"/>
            <w:r w:rsidRPr="00277CF1">
              <w:rPr>
                <w:rFonts w:eastAsia="Arial Unicode MS"/>
                <w:color w:val="000000" w:themeColor="text1"/>
                <w:sz w:val="20"/>
                <w:szCs w:val="20"/>
                <w:shd w:val="clear" w:color="auto" w:fill="FFFFFF"/>
                <w:lang w:val="en-US"/>
              </w:rPr>
              <w:t>ia</w:t>
            </w:r>
            <w:proofErr w:type="spellEnd"/>
            <w:r w:rsidRPr="00277CF1">
              <w:rPr>
                <w:rFonts w:eastAsia="Arial Unicode MS"/>
                <w:color w:val="000000" w:themeColor="text1"/>
                <w:sz w:val="20"/>
                <w:szCs w:val="20"/>
                <w:shd w:val="clear" w:color="auto" w:fill="FFFFFF"/>
                <w:lang w:val="en-US"/>
              </w:rPr>
              <w:t xml:space="preserve"> în </w:t>
            </w:r>
            <w:proofErr w:type="spellStart"/>
            <w:r w:rsidRPr="00277CF1">
              <w:rPr>
                <w:rFonts w:eastAsia="Arial Unicode MS"/>
                <w:color w:val="000000" w:themeColor="text1"/>
                <w:sz w:val="20"/>
                <w:szCs w:val="20"/>
                <w:shd w:val="clear" w:color="auto" w:fill="FFFFFF"/>
                <w:lang w:val="en-US"/>
              </w:rPr>
              <w:t>considerare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armonizarea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includerii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acestor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emisii</w:t>
            </w:r>
            <w:proofErr w:type="spellEnd"/>
            <w:r w:rsidRPr="00277CF1">
              <w:rPr>
                <w:rFonts w:eastAsia="Arial Unicode MS"/>
                <w:color w:val="000000" w:themeColor="text1"/>
                <w:sz w:val="20"/>
                <w:szCs w:val="20"/>
                <w:shd w:val="clear" w:color="auto" w:fill="FFFFFF"/>
                <w:lang w:val="en-US"/>
              </w:rPr>
              <w:t xml:space="preserve"> pe </w:t>
            </w:r>
            <w:proofErr w:type="spellStart"/>
            <w:r w:rsidRPr="00277CF1">
              <w:rPr>
                <w:rFonts w:eastAsia="Arial Unicode MS"/>
                <w:color w:val="000000" w:themeColor="text1"/>
                <w:sz w:val="20"/>
                <w:szCs w:val="20"/>
                <w:shd w:val="clear" w:color="auto" w:fill="FFFFFF"/>
                <w:lang w:val="en-US"/>
              </w:rPr>
              <w:t>întreg</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teritoriul</w:t>
            </w:r>
            <w:proofErr w:type="spellEnd"/>
            <w:r w:rsidR="00277CF1">
              <w:rPr>
                <w:rStyle w:val="apple-converted-space"/>
                <w:rFonts w:eastAsia="Arial Unicode MS"/>
                <w:color w:val="000000" w:themeColor="text1"/>
                <w:sz w:val="20"/>
                <w:szCs w:val="20"/>
                <w:shd w:val="clear" w:color="auto" w:fill="FFFFFF"/>
                <w:lang w:val="en-US"/>
              </w:rPr>
              <w:t xml:space="preserve"> </w:t>
            </w:r>
            <w:hyperlink r:id="rId299" w:tooltip="32018L0410: REPLACED" w:history="1">
              <w:r w:rsidRPr="00277CF1">
                <w:rPr>
                  <w:rStyle w:val="boldface"/>
                  <w:rFonts w:eastAsia="Arial Unicode MS"/>
                  <w:b/>
                  <w:bCs/>
                  <w:color w:val="000000" w:themeColor="text1"/>
                  <w:sz w:val="20"/>
                  <w:szCs w:val="20"/>
                  <w:lang w:val="en-US"/>
                </w:rPr>
                <w:t>►M9</w:t>
              </w:r>
              <w:r w:rsidRPr="00277CF1">
                <w:rPr>
                  <w:rStyle w:val="apple-converted-space"/>
                  <w:rFonts w:eastAsia="Arial Unicode MS"/>
                  <w:color w:val="000000" w:themeColor="text1"/>
                  <w:sz w:val="20"/>
                  <w:szCs w:val="20"/>
                  <w:lang w:val="en-US"/>
                </w:rPr>
                <w:t> </w:t>
              </w:r>
              <w:proofErr w:type="spellStart"/>
            </w:hyperlink>
            <w:r w:rsidRPr="00277CF1">
              <w:rPr>
                <w:rFonts w:eastAsia="Arial Unicode MS"/>
                <w:color w:val="000000" w:themeColor="text1"/>
                <w:sz w:val="20"/>
                <w:szCs w:val="20"/>
                <w:shd w:val="clear" w:color="auto" w:fill="FFFFFF"/>
                <w:lang w:val="en-US"/>
              </w:rPr>
              <w:t>Uniunii</w:t>
            </w:r>
            <w:proofErr w:type="spellEnd"/>
            <w:r w:rsidRPr="00277CF1">
              <w:rPr>
                <w:rStyle w:val="boldface"/>
                <w:rFonts w:eastAsia="Arial Unicode MS"/>
                <w:b/>
                <w:bCs/>
                <w:color w:val="000000" w:themeColor="text1"/>
                <w:sz w:val="20"/>
                <w:szCs w:val="20"/>
                <w:lang w:val="en-US"/>
              </w:rPr>
              <w:t>◄</w:t>
            </w:r>
            <w:r w:rsidRPr="00277CF1">
              <w:rPr>
                <w:rFonts w:eastAsia="Arial Unicode MS"/>
                <w:color w:val="000000" w:themeColor="text1"/>
                <w:sz w:val="20"/>
                <w:szCs w:val="20"/>
                <w:shd w:val="clear" w:color="auto" w:fill="FFFFFF"/>
                <w:lang w:val="en-US"/>
              </w:rPr>
              <w:t>.</w:t>
            </w:r>
          </w:p>
          <w:p w14:paraId="19E1FA86" w14:textId="2B26EC2F" w:rsidR="00124364" w:rsidRDefault="00000000">
            <w:pPr>
              <w:pStyle w:val="ti-art"/>
              <w:shd w:val="clear" w:color="auto" w:fill="FFFFFF"/>
              <w:spacing w:before="0" w:beforeAutospacing="0" w:after="0" w:afterAutospacing="0"/>
              <w:rPr>
                <w:rFonts w:eastAsia="Arial Unicode MS"/>
                <w:b/>
                <w:bCs/>
                <w:color w:val="333333"/>
                <w:sz w:val="20"/>
                <w:szCs w:val="20"/>
                <w:shd w:val="clear" w:color="auto" w:fill="FFFFFF"/>
              </w:rPr>
            </w:pPr>
            <w:hyperlink r:id="rId300" w:tooltip="32018L0410: DELETED" w:history="1">
              <w:r>
                <w:rPr>
                  <w:rStyle w:val="af3"/>
                  <w:rFonts w:eastAsia="Arial Unicode MS"/>
                  <w:b/>
                  <w:bCs/>
                  <w:color w:val="4472C4" w:themeColor="accent1"/>
                  <w:sz w:val="20"/>
                  <w:szCs w:val="20"/>
                </w:rPr>
                <w:t>▼M9</w:t>
              </w:r>
            </w:hyperlink>
            <w:r>
              <w:rPr>
                <w:rFonts w:eastAsia="Arial Unicode MS"/>
                <w:b/>
                <w:bCs/>
                <w:color w:val="333333"/>
                <w:sz w:val="20"/>
                <w:szCs w:val="20"/>
                <w:shd w:val="clear" w:color="auto" w:fill="FFFFFF"/>
              </w:rPr>
              <w:t>—————</w:t>
            </w:r>
          </w:p>
          <w:p w14:paraId="0D5493B7" w14:textId="77777777" w:rsidR="00124364" w:rsidRDefault="00000000">
            <w:pPr>
              <w:pStyle w:val="ti-art"/>
              <w:shd w:val="clear" w:color="auto" w:fill="FFFFFF"/>
              <w:spacing w:before="0" w:beforeAutospacing="0" w:after="0" w:afterAutospacing="0"/>
              <w:rPr>
                <w:color w:val="4472C4" w:themeColor="accent1"/>
                <w:sz w:val="20"/>
                <w:szCs w:val="20"/>
              </w:rPr>
            </w:pPr>
            <w:hyperlink r:id="rId301" w:tooltip="32009L0029R(04): REPLACED" w:history="1">
              <w:r>
                <w:rPr>
                  <w:rStyle w:val="af3"/>
                  <w:rFonts w:eastAsia="Arial Unicode MS"/>
                  <w:b/>
                  <w:bCs/>
                  <w:color w:val="4472C4" w:themeColor="accent1"/>
                  <w:sz w:val="20"/>
                  <w:szCs w:val="20"/>
                </w:rPr>
                <w:t>▼C5</w:t>
              </w:r>
            </w:hyperlink>
          </w:p>
          <w:p w14:paraId="00B38D54" w14:textId="77777777" w:rsidR="00124364" w:rsidRPr="00277CF1" w:rsidRDefault="00000000" w:rsidP="00277CF1">
            <w:pPr>
              <w:pStyle w:val="ti-art"/>
              <w:numPr>
                <w:ilvl w:val="0"/>
                <w:numId w:val="10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77CF1">
              <w:rPr>
                <w:rFonts w:eastAsia="Arial Unicode MS"/>
                <w:color w:val="000000" w:themeColor="text1"/>
                <w:sz w:val="20"/>
                <w:szCs w:val="20"/>
                <w:shd w:val="clear" w:color="auto" w:fill="FFFFFF"/>
                <w:lang w:val="en-US"/>
              </w:rPr>
              <w:t xml:space="preserve">Un stat </w:t>
            </w:r>
            <w:proofErr w:type="spellStart"/>
            <w:r w:rsidRPr="00277CF1">
              <w:rPr>
                <w:rFonts w:eastAsia="Arial Unicode MS"/>
                <w:color w:val="000000" w:themeColor="text1"/>
                <w:sz w:val="20"/>
                <w:szCs w:val="20"/>
                <w:shd w:val="clear" w:color="auto" w:fill="FFFFFF"/>
                <w:lang w:val="en-US"/>
              </w:rPr>
              <w:t>membru</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poate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refuza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emită</w:t>
            </w:r>
            <w:proofErr w:type="spellEnd"/>
            <w:r w:rsidRPr="00277CF1">
              <w:rPr>
                <w:rFonts w:eastAsia="Arial Unicode MS"/>
                <w:color w:val="000000" w:themeColor="text1"/>
                <w:sz w:val="20"/>
                <w:szCs w:val="20"/>
                <w:shd w:val="clear" w:color="auto" w:fill="FFFFFF"/>
                <w:lang w:val="en-US"/>
              </w:rPr>
              <w:t xml:space="preserve"> certificate </w:t>
            </w:r>
            <w:proofErr w:type="spellStart"/>
            <w:r w:rsidRPr="00277CF1">
              <w:rPr>
                <w:rFonts w:eastAsia="Arial Unicode MS"/>
                <w:color w:val="000000" w:themeColor="text1"/>
                <w:sz w:val="20"/>
                <w:szCs w:val="20"/>
                <w:shd w:val="clear" w:color="auto" w:fill="FFFFFF"/>
                <w:lang w:val="en-US"/>
              </w:rPr>
              <w:t>sau</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credite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pentru</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anumite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tipuri</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proiecte</w:t>
            </w:r>
            <w:proofErr w:type="spellEnd"/>
            <w:r w:rsidRPr="00277CF1">
              <w:rPr>
                <w:rFonts w:eastAsia="Arial Unicode MS"/>
                <w:color w:val="000000" w:themeColor="text1"/>
                <w:sz w:val="20"/>
                <w:szCs w:val="20"/>
                <w:shd w:val="clear" w:color="auto" w:fill="FFFFFF"/>
                <w:lang w:val="en-US"/>
              </w:rPr>
              <w:t xml:space="preserve"> care </w:t>
            </w:r>
            <w:proofErr w:type="spellStart"/>
            <w:r w:rsidRPr="00277CF1">
              <w:rPr>
                <w:rFonts w:eastAsia="Arial Unicode MS"/>
                <w:color w:val="000000" w:themeColor="text1"/>
                <w:sz w:val="20"/>
                <w:szCs w:val="20"/>
                <w:shd w:val="clear" w:color="auto" w:fill="FFFFFF"/>
                <w:lang w:val="en-US"/>
              </w:rPr>
              <w:t>reduc</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emisiile</w:t>
            </w:r>
            <w:proofErr w:type="spellEnd"/>
            <w:r w:rsidRPr="00277CF1">
              <w:rPr>
                <w:rFonts w:eastAsia="Arial Unicode MS"/>
                <w:color w:val="000000" w:themeColor="text1"/>
                <w:sz w:val="20"/>
                <w:szCs w:val="20"/>
                <w:shd w:val="clear" w:color="auto" w:fill="FFFFFF"/>
                <w:lang w:val="en-US"/>
              </w:rPr>
              <w:t xml:space="preserve"> de gaze cu </w:t>
            </w:r>
            <w:proofErr w:type="spellStart"/>
            <w:r w:rsidRPr="00277CF1">
              <w:rPr>
                <w:rFonts w:eastAsia="Arial Unicode MS"/>
                <w:color w:val="000000" w:themeColor="text1"/>
                <w:sz w:val="20"/>
                <w:szCs w:val="20"/>
                <w:shd w:val="clear" w:color="auto" w:fill="FFFFFF"/>
                <w:lang w:val="en-US"/>
              </w:rPr>
              <w:t>efect</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seră</w:t>
            </w:r>
            <w:proofErr w:type="spellEnd"/>
            <w:r w:rsidRPr="00277CF1">
              <w:rPr>
                <w:rFonts w:eastAsia="Arial Unicode MS"/>
                <w:color w:val="000000" w:themeColor="text1"/>
                <w:sz w:val="20"/>
                <w:szCs w:val="20"/>
                <w:shd w:val="clear" w:color="auto" w:fill="FFFFFF"/>
                <w:lang w:val="en-US"/>
              </w:rPr>
              <w:t xml:space="preserve"> pe </w:t>
            </w:r>
            <w:proofErr w:type="spellStart"/>
            <w:r w:rsidRPr="00277CF1">
              <w:rPr>
                <w:rFonts w:eastAsia="Arial Unicode MS"/>
                <w:color w:val="000000" w:themeColor="text1"/>
                <w:sz w:val="20"/>
                <w:szCs w:val="20"/>
                <w:shd w:val="clear" w:color="auto" w:fill="FFFFFF"/>
                <w:lang w:val="en-US"/>
              </w:rPr>
              <w:t>teritoriul</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său</w:t>
            </w:r>
            <w:proofErr w:type="spellEnd"/>
            <w:r w:rsidRPr="00277CF1">
              <w:rPr>
                <w:rFonts w:eastAsia="Arial Unicode MS"/>
                <w:color w:val="000000" w:themeColor="text1"/>
                <w:sz w:val="20"/>
                <w:szCs w:val="20"/>
                <w:shd w:val="clear" w:color="auto" w:fill="FFFFFF"/>
                <w:lang w:val="en-US"/>
              </w:rPr>
              <w:t>.</w:t>
            </w:r>
          </w:p>
          <w:p w14:paraId="03418BB0" w14:textId="77777777" w:rsidR="00124364" w:rsidRPr="00277CF1" w:rsidRDefault="00000000" w:rsidP="00277CF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77CF1">
              <w:rPr>
                <w:rFonts w:eastAsia="Arial Unicode MS"/>
                <w:color w:val="000000" w:themeColor="text1"/>
                <w:sz w:val="20"/>
                <w:szCs w:val="20"/>
                <w:shd w:val="clear" w:color="auto" w:fill="FFFFFF"/>
                <w:lang w:val="en-US"/>
              </w:rPr>
              <w:t>Astfel</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proiecte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vor</w:t>
            </w:r>
            <w:proofErr w:type="spellEnd"/>
            <w:r w:rsidRPr="00277CF1">
              <w:rPr>
                <w:rFonts w:eastAsia="Arial Unicode MS"/>
                <w:color w:val="000000" w:themeColor="text1"/>
                <w:sz w:val="20"/>
                <w:szCs w:val="20"/>
                <w:shd w:val="clear" w:color="auto" w:fill="FFFFFF"/>
                <w:lang w:val="en-US"/>
              </w:rPr>
              <w:t xml:space="preserve"> fi </w:t>
            </w:r>
            <w:proofErr w:type="spellStart"/>
            <w:r w:rsidRPr="00277CF1">
              <w:rPr>
                <w:rFonts w:eastAsia="Arial Unicode MS"/>
                <w:color w:val="000000" w:themeColor="text1"/>
                <w:sz w:val="20"/>
                <w:szCs w:val="20"/>
                <w:shd w:val="clear" w:color="auto" w:fill="FFFFFF"/>
                <w:lang w:val="en-US"/>
              </w:rPr>
              <w:t>executate</w:t>
            </w:r>
            <w:proofErr w:type="spellEnd"/>
            <w:r w:rsidRPr="00277CF1">
              <w:rPr>
                <w:rFonts w:eastAsia="Arial Unicode MS"/>
                <w:color w:val="000000" w:themeColor="text1"/>
                <w:sz w:val="20"/>
                <w:szCs w:val="20"/>
                <w:shd w:val="clear" w:color="auto" w:fill="FFFFFF"/>
                <w:lang w:val="en-US"/>
              </w:rPr>
              <w:t xml:space="preserve"> pe </w:t>
            </w:r>
            <w:proofErr w:type="spellStart"/>
            <w:r w:rsidRPr="00277CF1">
              <w:rPr>
                <w:rFonts w:eastAsia="Arial Unicode MS"/>
                <w:color w:val="000000" w:themeColor="text1"/>
                <w:sz w:val="20"/>
                <w:szCs w:val="20"/>
                <w:shd w:val="clear" w:color="auto" w:fill="FFFFFF"/>
                <w:lang w:val="en-US"/>
              </w:rPr>
              <w:t>baza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acordului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statului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membru</w:t>
            </w:r>
            <w:proofErr w:type="spellEnd"/>
            <w:r w:rsidRPr="00277CF1">
              <w:rPr>
                <w:rFonts w:eastAsia="Arial Unicode MS"/>
                <w:color w:val="000000" w:themeColor="text1"/>
                <w:sz w:val="20"/>
                <w:szCs w:val="20"/>
                <w:shd w:val="clear" w:color="auto" w:fill="FFFFFF"/>
                <w:lang w:val="en-US"/>
              </w:rPr>
              <w:t xml:space="preserve"> în care se </w:t>
            </w:r>
            <w:proofErr w:type="spellStart"/>
            <w:r w:rsidRPr="00277CF1">
              <w:rPr>
                <w:rFonts w:eastAsia="Arial Unicode MS"/>
                <w:color w:val="000000" w:themeColor="text1"/>
                <w:sz w:val="20"/>
                <w:szCs w:val="20"/>
                <w:shd w:val="clear" w:color="auto" w:fill="FFFFFF"/>
                <w:lang w:val="en-US"/>
              </w:rPr>
              <w:t>desfășoară</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proiectul</w:t>
            </w:r>
            <w:proofErr w:type="spellEnd"/>
            <w:r w:rsidRPr="00277CF1">
              <w:rPr>
                <w:rFonts w:eastAsia="Arial Unicode MS"/>
                <w:color w:val="000000" w:themeColor="text1"/>
                <w:sz w:val="20"/>
                <w:szCs w:val="20"/>
                <w:shd w:val="clear" w:color="auto" w:fill="FFFFFF"/>
                <w:lang w:val="en-US"/>
              </w:rPr>
              <w:t>.</w:t>
            </w:r>
          </w:p>
          <w:p w14:paraId="04988CF3"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02" w:tooltip="32003L0087R(06): REPLACED" w:history="1">
              <w:r>
                <w:rPr>
                  <w:rStyle w:val="af3"/>
                  <w:rFonts w:eastAsia="Arial Unicode MS"/>
                  <w:b/>
                  <w:bCs/>
                  <w:color w:val="4472C4" w:themeColor="accent1"/>
                  <w:sz w:val="20"/>
                  <w:szCs w:val="20"/>
                </w:rPr>
                <w:t>▼C2</w:t>
              </w:r>
            </w:hyperlink>
          </w:p>
        </w:tc>
        <w:tc>
          <w:tcPr>
            <w:tcW w:w="4394" w:type="dxa"/>
            <w:shd w:val="clear" w:color="auto" w:fill="auto"/>
          </w:tcPr>
          <w:p w14:paraId="6B63F31E"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472B73C" w14:textId="4D7D1C22" w:rsidR="00124364" w:rsidRDefault="00277CF1">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6FEC6AC3"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BC89F5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A94D698" w14:textId="1539EC65" w:rsidR="00124364" w:rsidRDefault="00277CF1">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w:t>
            </w:r>
            <w:r w:rsidRPr="00DF1AB5">
              <w:rPr>
                <w:rFonts w:ascii="Times New Roman" w:eastAsiaTheme="minorHAnsi" w:hAnsi="Times New Roman"/>
                <w:color w:val="000000" w:themeColor="text1"/>
                <w:sz w:val="20"/>
                <w:szCs w:val="20"/>
                <w:lang w:val="ro-RO"/>
              </w:rPr>
              <w:lastRenderedPageBreak/>
              <w:t xml:space="preserve">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4B44F9AF" w14:textId="77777777" w:rsidR="00124364" w:rsidRDefault="00124364" w:rsidP="00277CF1">
            <w:pPr>
              <w:autoSpaceDE w:val="0"/>
              <w:spacing w:after="0" w:line="240" w:lineRule="auto"/>
              <w:rPr>
                <w:rFonts w:ascii="Times New Roman" w:hAnsi="Times New Roman"/>
                <w:sz w:val="20"/>
                <w:szCs w:val="20"/>
                <w:lang w:val="fr-FR"/>
              </w:rPr>
            </w:pPr>
          </w:p>
        </w:tc>
      </w:tr>
      <w:tr w:rsidR="00124364" w14:paraId="0CA8B1F9" w14:textId="77777777">
        <w:trPr>
          <w:trHeight w:val="558"/>
        </w:trPr>
        <w:tc>
          <w:tcPr>
            <w:tcW w:w="4957" w:type="dxa"/>
            <w:shd w:val="clear" w:color="auto" w:fill="auto"/>
          </w:tcPr>
          <w:p w14:paraId="0EDE360C" w14:textId="77777777" w:rsidR="00124364" w:rsidRPr="00277CF1" w:rsidRDefault="00000000" w:rsidP="00277CF1">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77CF1">
              <w:rPr>
                <w:rFonts w:eastAsia="Arial Unicode MS"/>
                <w:i/>
                <w:iCs/>
                <w:color w:val="000000" w:themeColor="text1"/>
                <w:sz w:val="20"/>
                <w:szCs w:val="20"/>
                <w:shd w:val="clear" w:color="auto" w:fill="FFFFFF"/>
                <w:lang w:val="en-US"/>
              </w:rPr>
              <w:t>Articolul</w:t>
            </w:r>
            <w:proofErr w:type="spellEnd"/>
            <w:r w:rsidRPr="00277CF1">
              <w:rPr>
                <w:rFonts w:eastAsia="Arial Unicode MS"/>
                <w:i/>
                <w:iCs/>
                <w:color w:val="000000" w:themeColor="text1"/>
                <w:sz w:val="20"/>
                <w:szCs w:val="20"/>
                <w:shd w:val="clear" w:color="auto" w:fill="FFFFFF"/>
                <w:lang w:val="en-US"/>
              </w:rPr>
              <w:t xml:space="preserve"> 25</w:t>
            </w:r>
          </w:p>
          <w:p w14:paraId="7DCC2FF7" w14:textId="77777777" w:rsidR="00124364" w:rsidRPr="00277CF1" w:rsidRDefault="00000000" w:rsidP="00277CF1">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77CF1">
              <w:rPr>
                <w:rFonts w:eastAsia="Arial Unicode MS"/>
                <w:b/>
                <w:bCs/>
                <w:color w:val="000000" w:themeColor="text1"/>
                <w:sz w:val="20"/>
                <w:szCs w:val="20"/>
                <w:shd w:val="clear" w:color="auto" w:fill="FFFFFF"/>
                <w:lang w:val="en-US"/>
              </w:rPr>
              <w:t>Legătura</w:t>
            </w:r>
            <w:proofErr w:type="spellEnd"/>
            <w:r w:rsidRPr="00277CF1">
              <w:rPr>
                <w:rFonts w:eastAsia="Arial Unicode MS"/>
                <w:b/>
                <w:bCs/>
                <w:color w:val="000000" w:themeColor="text1"/>
                <w:sz w:val="20"/>
                <w:szCs w:val="20"/>
                <w:shd w:val="clear" w:color="auto" w:fill="FFFFFF"/>
                <w:lang w:val="en-US"/>
              </w:rPr>
              <w:t xml:space="preserve"> cu </w:t>
            </w:r>
            <w:proofErr w:type="spellStart"/>
            <w:r w:rsidRPr="00277CF1">
              <w:rPr>
                <w:rFonts w:eastAsia="Arial Unicode MS"/>
                <w:b/>
                <w:bCs/>
                <w:color w:val="000000" w:themeColor="text1"/>
                <w:sz w:val="20"/>
                <w:szCs w:val="20"/>
                <w:shd w:val="clear" w:color="auto" w:fill="FFFFFF"/>
                <w:lang w:val="en-US"/>
              </w:rPr>
              <w:t>alte</w:t>
            </w:r>
            <w:proofErr w:type="spellEnd"/>
            <w:r w:rsidRPr="00277CF1">
              <w:rPr>
                <w:rFonts w:eastAsia="Arial Unicode MS"/>
                <w:b/>
                <w:bCs/>
                <w:color w:val="000000" w:themeColor="text1"/>
                <w:sz w:val="20"/>
                <w:szCs w:val="20"/>
                <w:shd w:val="clear" w:color="auto" w:fill="FFFFFF"/>
                <w:lang w:val="en-US"/>
              </w:rPr>
              <w:t xml:space="preserve"> scheme de </w:t>
            </w:r>
            <w:proofErr w:type="spellStart"/>
            <w:r w:rsidRPr="00277CF1">
              <w:rPr>
                <w:rFonts w:eastAsia="Arial Unicode MS"/>
                <w:b/>
                <w:bCs/>
                <w:color w:val="000000" w:themeColor="text1"/>
                <w:sz w:val="20"/>
                <w:szCs w:val="20"/>
                <w:shd w:val="clear" w:color="auto" w:fill="FFFFFF"/>
                <w:lang w:val="en-US"/>
              </w:rPr>
              <w:t>comercializare</w:t>
            </w:r>
            <w:proofErr w:type="spellEnd"/>
            <w:r w:rsidRPr="00277CF1">
              <w:rPr>
                <w:rFonts w:eastAsia="Arial Unicode MS"/>
                <w:b/>
                <w:bCs/>
                <w:color w:val="000000" w:themeColor="text1"/>
                <w:sz w:val="20"/>
                <w:szCs w:val="20"/>
                <w:shd w:val="clear" w:color="auto" w:fill="FFFFFF"/>
                <w:lang w:val="en-US"/>
              </w:rPr>
              <w:t xml:space="preserve"> a </w:t>
            </w:r>
            <w:proofErr w:type="spellStart"/>
            <w:r w:rsidRPr="00277CF1">
              <w:rPr>
                <w:rFonts w:eastAsia="Arial Unicode MS"/>
                <w:b/>
                <w:bCs/>
                <w:color w:val="000000" w:themeColor="text1"/>
                <w:sz w:val="20"/>
                <w:szCs w:val="20"/>
                <w:shd w:val="clear" w:color="auto" w:fill="FFFFFF"/>
                <w:lang w:val="en-US"/>
              </w:rPr>
              <w:t>certificatelor</w:t>
            </w:r>
            <w:proofErr w:type="spellEnd"/>
            <w:r w:rsidRPr="00277CF1">
              <w:rPr>
                <w:rFonts w:eastAsia="Arial Unicode MS"/>
                <w:b/>
                <w:bCs/>
                <w:color w:val="000000" w:themeColor="text1"/>
                <w:sz w:val="20"/>
                <w:szCs w:val="20"/>
                <w:shd w:val="clear" w:color="auto" w:fill="FFFFFF"/>
                <w:lang w:val="en-US"/>
              </w:rPr>
              <w:t xml:space="preserve"> de </w:t>
            </w:r>
            <w:proofErr w:type="spellStart"/>
            <w:r w:rsidRPr="00277CF1">
              <w:rPr>
                <w:rFonts w:eastAsia="Arial Unicode MS"/>
                <w:b/>
                <w:bCs/>
                <w:color w:val="000000" w:themeColor="text1"/>
                <w:sz w:val="20"/>
                <w:szCs w:val="20"/>
                <w:shd w:val="clear" w:color="auto" w:fill="FFFFFF"/>
                <w:lang w:val="en-US"/>
              </w:rPr>
              <w:t>emisii</w:t>
            </w:r>
            <w:proofErr w:type="spellEnd"/>
            <w:r w:rsidRPr="00277CF1">
              <w:rPr>
                <w:rFonts w:eastAsia="Arial Unicode MS"/>
                <w:b/>
                <w:bCs/>
                <w:color w:val="000000" w:themeColor="text1"/>
                <w:sz w:val="20"/>
                <w:szCs w:val="20"/>
                <w:shd w:val="clear" w:color="auto" w:fill="FFFFFF"/>
                <w:lang w:val="en-US"/>
              </w:rPr>
              <w:t xml:space="preserve"> de gaze cu </w:t>
            </w:r>
            <w:proofErr w:type="spellStart"/>
            <w:r w:rsidRPr="00277CF1">
              <w:rPr>
                <w:rFonts w:eastAsia="Arial Unicode MS"/>
                <w:b/>
                <w:bCs/>
                <w:color w:val="000000" w:themeColor="text1"/>
                <w:sz w:val="20"/>
                <w:szCs w:val="20"/>
                <w:shd w:val="clear" w:color="auto" w:fill="FFFFFF"/>
                <w:lang w:val="en-US"/>
              </w:rPr>
              <w:t>efect</w:t>
            </w:r>
            <w:proofErr w:type="spellEnd"/>
            <w:r w:rsidRPr="00277CF1">
              <w:rPr>
                <w:rFonts w:eastAsia="Arial Unicode MS"/>
                <w:b/>
                <w:bCs/>
                <w:color w:val="000000" w:themeColor="text1"/>
                <w:sz w:val="20"/>
                <w:szCs w:val="20"/>
                <w:shd w:val="clear" w:color="auto" w:fill="FFFFFF"/>
                <w:lang w:val="en-US"/>
              </w:rPr>
              <w:t xml:space="preserve"> de </w:t>
            </w:r>
            <w:proofErr w:type="spellStart"/>
            <w:r w:rsidRPr="00277CF1">
              <w:rPr>
                <w:rFonts w:eastAsia="Arial Unicode MS"/>
                <w:b/>
                <w:bCs/>
                <w:color w:val="000000" w:themeColor="text1"/>
                <w:sz w:val="20"/>
                <w:szCs w:val="20"/>
                <w:shd w:val="clear" w:color="auto" w:fill="FFFFFF"/>
                <w:lang w:val="en-US"/>
              </w:rPr>
              <w:t>seră</w:t>
            </w:r>
            <w:proofErr w:type="spellEnd"/>
          </w:p>
          <w:p w14:paraId="1D590D1F" w14:textId="1F649466" w:rsidR="00124364" w:rsidRPr="00277CF1" w:rsidRDefault="00000000" w:rsidP="00277CF1">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77CF1">
              <w:rPr>
                <w:rFonts w:eastAsia="Arial Unicode MS"/>
                <w:color w:val="000000" w:themeColor="text1"/>
                <w:sz w:val="20"/>
                <w:szCs w:val="20"/>
                <w:shd w:val="clear" w:color="auto" w:fill="FFFFFF"/>
                <w:lang w:val="en-US"/>
              </w:rPr>
              <w:t>Ar</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trebui</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să</w:t>
            </w:r>
            <w:proofErr w:type="spellEnd"/>
            <w:r w:rsidRPr="00277CF1">
              <w:rPr>
                <w:rFonts w:eastAsia="Arial Unicode MS"/>
                <w:color w:val="000000" w:themeColor="text1"/>
                <w:sz w:val="20"/>
                <w:szCs w:val="20"/>
                <w:shd w:val="clear" w:color="auto" w:fill="FFFFFF"/>
                <w:lang w:val="en-US"/>
              </w:rPr>
              <w:t xml:space="preserve"> fie </w:t>
            </w:r>
            <w:proofErr w:type="spellStart"/>
            <w:r w:rsidRPr="00277CF1">
              <w:rPr>
                <w:rFonts w:eastAsia="Arial Unicode MS"/>
                <w:color w:val="000000" w:themeColor="text1"/>
                <w:sz w:val="20"/>
                <w:szCs w:val="20"/>
                <w:shd w:val="clear" w:color="auto" w:fill="FFFFFF"/>
                <w:lang w:val="en-US"/>
              </w:rPr>
              <w:t>încheiate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acorduri</w:t>
            </w:r>
            <w:proofErr w:type="spellEnd"/>
            <w:r w:rsidRPr="00277CF1">
              <w:rPr>
                <w:rFonts w:eastAsia="Arial Unicode MS"/>
                <w:color w:val="000000" w:themeColor="text1"/>
                <w:sz w:val="20"/>
                <w:szCs w:val="20"/>
                <w:shd w:val="clear" w:color="auto" w:fill="FFFFFF"/>
                <w:lang w:val="en-US"/>
              </w:rPr>
              <w:t xml:space="preserve"> cu </w:t>
            </w:r>
            <w:proofErr w:type="spellStart"/>
            <w:r w:rsidRPr="00277CF1">
              <w:rPr>
                <w:rFonts w:eastAsia="Arial Unicode MS"/>
                <w:color w:val="000000" w:themeColor="text1"/>
                <w:sz w:val="20"/>
                <w:szCs w:val="20"/>
                <w:shd w:val="clear" w:color="auto" w:fill="FFFFFF"/>
                <w:lang w:val="en-US"/>
              </w:rPr>
              <w:t>țările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terțe</w:t>
            </w:r>
            <w:proofErr w:type="spellEnd"/>
            <w:r w:rsidRPr="00277CF1">
              <w:rPr>
                <w:rFonts w:eastAsia="Arial Unicode MS"/>
                <w:color w:val="000000" w:themeColor="text1"/>
                <w:sz w:val="20"/>
                <w:szCs w:val="20"/>
                <w:shd w:val="clear" w:color="auto" w:fill="FFFFFF"/>
                <w:lang w:val="en-US"/>
              </w:rPr>
              <w:t xml:space="preserve"> enumerate în </w:t>
            </w:r>
            <w:proofErr w:type="spellStart"/>
            <w:r w:rsidRPr="00277CF1">
              <w:rPr>
                <w:rFonts w:eastAsia="Arial Unicode MS"/>
                <w:color w:val="000000" w:themeColor="text1"/>
                <w:sz w:val="20"/>
                <w:szCs w:val="20"/>
                <w:shd w:val="clear" w:color="auto" w:fill="FFFFFF"/>
                <w:lang w:val="en-US"/>
              </w:rPr>
              <w:t>anexa</w:t>
            </w:r>
            <w:proofErr w:type="spellEnd"/>
            <w:r w:rsidRPr="00277CF1">
              <w:rPr>
                <w:rFonts w:eastAsia="Arial Unicode MS"/>
                <w:color w:val="000000" w:themeColor="text1"/>
                <w:sz w:val="20"/>
                <w:szCs w:val="20"/>
                <w:shd w:val="clear" w:color="auto" w:fill="FFFFFF"/>
                <w:lang w:val="en-US"/>
              </w:rPr>
              <w:t xml:space="preserve"> B la </w:t>
            </w:r>
            <w:proofErr w:type="spellStart"/>
            <w:r w:rsidRPr="00277CF1">
              <w:rPr>
                <w:rFonts w:eastAsia="Arial Unicode MS"/>
                <w:color w:val="000000" w:themeColor="text1"/>
                <w:sz w:val="20"/>
                <w:szCs w:val="20"/>
                <w:shd w:val="clear" w:color="auto" w:fill="FFFFFF"/>
                <w:lang w:val="en-US"/>
              </w:rPr>
              <w:t>Protocolul</w:t>
            </w:r>
            <w:proofErr w:type="spellEnd"/>
            <w:r w:rsidRPr="00277CF1">
              <w:rPr>
                <w:rFonts w:eastAsia="Arial Unicode MS"/>
                <w:color w:val="000000" w:themeColor="text1"/>
                <w:sz w:val="20"/>
                <w:szCs w:val="20"/>
                <w:shd w:val="clear" w:color="auto" w:fill="FFFFFF"/>
                <w:lang w:val="en-US"/>
              </w:rPr>
              <w:t xml:space="preserve"> de la Kyoto care au </w:t>
            </w:r>
            <w:proofErr w:type="spellStart"/>
            <w:r w:rsidRPr="00277CF1">
              <w:rPr>
                <w:rFonts w:eastAsia="Arial Unicode MS"/>
                <w:color w:val="000000" w:themeColor="text1"/>
                <w:sz w:val="20"/>
                <w:szCs w:val="20"/>
                <w:shd w:val="clear" w:color="auto" w:fill="FFFFFF"/>
                <w:lang w:val="en-US"/>
              </w:rPr>
              <w:t>ratificat</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protocolul</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pentru</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asigura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recunoașterea</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reciprocă</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certificatelor</w:t>
            </w:r>
            <w:proofErr w:type="spellEnd"/>
            <w:r w:rsidRPr="00277CF1">
              <w:rPr>
                <w:rFonts w:eastAsia="Arial Unicode MS"/>
                <w:color w:val="000000" w:themeColor="text1"/>
                <w:sz w:val="20"/>
                <w:szCs w:val="20"/>
                <w:shd w:val="clear" w:color="auto" w:fill="FFFFFF"/>
                <w:lang w:val="en-US"/>
              </w:rPr>
              <w:t xml:space="preserve"> în</w:t>
            </w:r>
            <w:hyperlink r:id="rId303" w:tooltip="32018L0410: REPLACED" w:history="1">
              <w:r w:rsidRPr="00277CF1">
                <w:rPr>
                  <w:rStyle w:val="boldface"/>
                  <w:rFonts w:eastAsia="Arial Unicode MS"/>
                  <w:b/>
                  <w:bCs/>
                  <w:color w:val="000000" w:themeColor="text1"/>
                  <w:sz w:val="20"/>
                  <w:szCs w:val="20"/>
                  <w:lang w:val="en-US"/>
                </w:rPr>
                <w:t>►M9</w:t>
              </w:r>
            </w:hyperlink>
            <w:r w:rsidR="00277CF1">
              <w:rPr>
                <w:rStyle w:val="apple-converted-space"/>
                <w:rFonts w:eastAsia="Arial Unicode MS"/>
                <w:color w:val="000000" w:themeColor="text1"/>
                <w:sz w:val="20"/>
                <w:szCs w:val="20"/>
                <w:lang w:val="en-US"/>
              </w:rPr>
              <w:t xml:space="preserve"> </w:t>
            </w:r>
            <w:r w:rsidRPr="00277CF1">
              <w:rPr>
                <w:rFonts w:eastAsia="Arial Unicode MS"/>
                <w:color w:val="000000" w:themeColor="text1"/>
                <w:sz w:val="20"/>
                <w:szCs w:val="20"/>
                <w:shd w:val="clear" w:color="auto" w:fill="FFFFFF"/>
                <w:lang w:val="en-US"/>
              </w:rPr>
              <w:t>EU ETS</w:t>
            </w:r>
            <w:r w:rsidRPr="00277CF1">
              <w:rPr>
                <w:rStyle w:val="boldface"/>
                <w:rFonts w:eastAsia="Arial Unicode MS"/>
                <w:b/>
                <w:bCs/>
                <w:color w:val="000000" w:themeColor="text1"/>
                <w:sz w:val="20"/>
                <w:szCs w:val="20"/>
                <w:lang w:val="en-US"/>
              </w:rPr>
              <w:t>◄</w:t>
            </w:r>
            <w:r w:rsidR="00277CF1">
              <w:rPr>
                <w:rStyle w:val="apple-converted-space"/>
                <w:rFonts w:eastAsia="Arial Unicode MS"/>
                <w:b/>
                <w:bCs/>
                <w:color w:val="000000" w:themeColor="text1"/>
                <w:sz w:val="20"/>
                <w:szCs w:val="20"/>
                <w:lang w:val="en-US"/>
              </w:rPr>
              <w:t xml:space="preserve"> </w:t>
            </w:r>
            <w:r w:rsidRPr="00277CF1">
              <w:rPr>
                <w:rFonts w:eastAsia="Arial Unicode MS"/>
                <w:color w:val="000000" w:themeColor="text1"/>
                <w:sz w:val="20"/>
                <w:szCs w:val="20"/>
                <w:shd w:val="clear" w:color="auto" w:fill="FFFFFF"/>
                <w:lang w:val="en-US"/>
              </w:rPr>
              <w:t xml:space="preserve">și în </w:t>
            </w:r>
            <w:proofErr w:type="spellStart"/>
            <w:r w:rsidRPr="00277CF1">
              <w:rPr>
                <w:rFonts w:eastAsia="Arial Unicode MS"/>
                <w:color w:val="000000" w:themeColor="text1"/>
                <w:sz w:val="20"/>
                <w:szCs w:val="20"/>
                <w:shd w:val="clear" w:color="auto" w:fill="FFFFFF"/>
                <w:lang w:val="en-US"/>
              </w:rPr>
              <w:t>alte</w:t>
            </w:r>
            <w:proofErr w:type="spellEnd"/>
            <w:r w:rsidRPr="00277CF1">
              <w:rPr>
                <w:rFonts w:eastAsia="Arial Unicode MS"/>
                <w:color w:val="000000" w:themeColor="text1"/>
                <w:sz w:val="20"/>
                <w:szCs w:val="20"/>
                <w:shd w:val="clear" w:color="auto" w:fill="FFFFFF"/>
                <w:lang w:val="en-US"/>
              </w:rPr>
              <w:t xml:space="preserve"> scheme de </w:t>
            </w:r>
            <w:proofErr w:type="spellStart"/>
            <w:r w:rsidRPr="00277CF1">
              <w:rPr>
                <w:rFonts w:eastAsia="Arial Unicode MS"/>
                <w:color w:val="000000" w:themeColor="text1"/>
                <w:sz w:val="20"/>
                <w:szCs w:val="20"/>
                <w:shd w:val="clear" w:color="auto" w:fill="FFFFFF"/>
                <w:lang w:val="en-US"/>
              </w:rPr>
              <w:t>comercializare</w:t>
            </w:r>
            <w:proofErr w:type="spellEnd"/>
            <w:r w:rsidRPr="00277CF1">
              <w:rPr>
                <w:rFonts w:eastAsia="Arial Unicode MS"/>
                <w:color w:val="000000" w:themeColor="text1"/>
                <w:sz w:val="20"/>
                <w:szCs w:val="20"/>
                <w:shd w:val="clear" w:color="auto" w:fill="FFFFFF"/>
                <w:lang w:val="en-US"/>
              </w:rPr>
              <w:t xml:space="preserve"> a </w:t>
            </w:r>
            <w:proofErr w:type="spellStart"/>
            <w:r w:rsidRPr="00277CF1">
              <w:rPr>
                <w:rFonts w:eastAsia="Arial Unicode MS"/>
                <w:color w:val="000000" w:themeColor="text1"/>
                <w:sz w:val="20"/>
                <w:szCs w:val="20"/>
                <w:shd w:val="clear" w:color="auto" w:fill="FFFFFF"/>
                <w:lang w:val="en-US"/>
              </w:rPr>
              <w:t>certificatelor</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emisii</w:t>
            </w:r>
            <w:proofErr w:type="spellEnd"/>
            <w:r w:rsidRPr="00277CF1">
              <w:rPr>
                <w:rFonts w:eastAsia="Arial Unicode MS"/>
                <w:color w:val="000000" w:themeColor="text1"/>
                <w:sz w:val="20"/>
                <w:szCs w:val="20"/>
                <w:shd w:val="clear" w:color="auto" w:fill="FFFFFF"/>
                <w:lang w:val="en-US"/>
              </w:rPr>
              <w:t xml:space="preserve"> de gaze cu </w:t>
            </w:r>
            <w:proofErr w:type="spellStart"/>
            <w:r w:rsidRPr="00277CF1">
              <w:rPr>
                <w:rFonts w:eastAsia="Arial Unicode MS"/>
                <w:color w:val="000000" w:themeColor="text1"/>
                <w:sz w:val="20"/>
                <w:szCs w:val="20"/>
                <w:shd w:val="clear" w:color="auto" w:fill="FFFFFF"/>
                <w:lang w:val="en-US"/>
              </w:rPr>
              <w:t>efect</w:t>
            </w:r>
            <w:proofErr w:type="spellEnd"/>
            <w:r w:rsidRPr="00277CF1">
              <w:rPr>
                <w:rFonts w:eastAsia="Arial Unicode MS"/>
                <w:color w:val="000000" w:themeColor="text1"/>
                <w:sz w:val="20"/>
                <w:szCs w:val="20"/>
                <w:shd w:val="clear" w:color="auto" w:fill="FFFFFF"/>
                <w:lang w:val="en-US"/>
              </w:rPr>
              <w:t xml:space="preserve"> de </w:t>
            </w:r>
            <w:proofErr w:type="spellStart"/>
            <w:r w:rsidRPr="00277CF1">
              <w:rPr>
                <w:rFonts w:eastAsia="Arial Unicode MS"/>
                <w:color w:val="000000" w:themeColor="text1"/>
                <w:sz w:val="20"/>
                <w:szCs w:val="20"/>
                <w:shd w:val="clear" w:color="auto" w:fill="FFFFFF"/>
                <w:lang w:val="en-US"/>
              </w:rPr>
              <w:t>seră</w:t>
            </w:r>
            <w:proofErr w:type="spellEnd"/>
            <w:r w:rsidRPr="00277CF1">
              <w:rPr>
                <w:rFonts w:eastAsia="Arial Unicode MS"/>
                <w:color w:val="000000" w:themeColor="text1"/>
                <w:sz w:val="20"/>
                <w:szCs w:val="20"/>
                <w:shd w:val="clear" w:color="auto" w:fill="FFFFFF"/>
                <w:lang w:val="en-US"/>
              </w:rPr>
              <w:t xml:space="preserve"> în conformitate cu </w:t>
            </w:r>
            <w:proofErr w:type="spellStart"/>
            <w:r w:rsidRPr="00277CF1">
              <w:rPr>
                <w:rFonts w:eastAsia="Arial Unicode MS"/>
                <w:color w:val="000000" w:themeColor="text1"/>
                <w:sz w:val="20"/>
                <w:szCs w:val="20"/>
                <w:shd w:val="clear" w:color="auto" w:fill="FFFFFF"/>
                <w:lang w:val="en-US"/>
              </w:rPr>
              <w:t>normele</w:t>
            </w:r>
            <w:proofErr w:type="spellEnd"/>
            <w:r w:rsidRPr="00277CF1">
              <w:rPr>
                <w:rFonts w:eastAsia="Arial Unicode MS"/>
                <w:color w:val="000000" w:themeColor="text1"/>
                <w:sz w:val="20"/>
                <w:szCs w:val="20"/>
                <w:shd w:val="clear" w:color="auto" w:fill="FFFFFF"/>
                <w:lang w:val="en-US"/>
              </w:rPr>
              <w:t xml:space="preserve"> </w:t>
            </w:r>
            <w:proofErr w:type="spellStart"/>
            <w:r w:rsidRPr="00277CF1">
              <w:rPr>
                <w:rFonts w:eastAsia="Arial Unicode MS"/>
                <w:color w:val="000000" w:themeColor="text1"/>
                <w:sz w:val="20"/>
                <w:szCs w:val="20"/>
                <w:shd w:val="clear" w:color="auto" w:fill="FFFFFF"/>
                <w:lang w:val="en-US"/>
              </w:rPr>
              <w:t>prevăzute</w:t>
            </w:r>
            <w:proofErr w:type="spellEnd"/>
            <w:r w:rsidRPr="00277CF1">
              <w:rPr>
                <w:rFonts w:eastAsia="Arial Unicode MS"/>
                <w:color w:val="000000" w:themeColor="text1"/>
                <w:sz w:val="20"/>
                <w:szCs w:val="20"/>
                <w:shd w:val="clear" w:color="auto" w:fill="FFFFFF"/>
                <w:lang w:val="en-US"/>
              </w:rPr>
              <w:t xml:space="preserve"> la </w:t>
            </w:r>
            <w:proofErr w:type="spellStart"/>
            <w:r w:rsidRPr="00277CF1">
              <w:rPr>
                <w:rFonts w:eastAsia="Arial Unicode MS"/>
                <w:color w:val="000000" w:themeColor="text1"/>
                <w:sz w:val="20"/>
                <w:szCs w:val="20"/>
                <w:shd w:val="clear" w:color="auto" w:fill="FFFFFF"/>
                <w:lang w:val="en-US"/>
              </w:rPr>
              <w:t>articolul</w:t>
            </w:r>
            <w:proofErr w:type="spellEnd"/>
            <w:r w:rsidR="00277CF1">
              <w:rPr>
                <w:rFonts w:eastAsia="Arial Unicode MS"/>
                <w:color w:val="000000" w:themeColor="text1"/>
                <w:sz w:val="20"/>
                <w:szCs w:val="20"/>
                <w:shd w:val="clear" w:color="auto" w:fill="FFFFFF"/>
                <w:lang w:val="en-US"/>
              </w:rPr>
              <w:t xml:space="preserve"> </w:t>
            </w:r>
            <w:r w:rsidRPr="00277CF1">
              <w:rPr>
                <w:rFonts w:eastAsia="Arial Unicode MS"/>
                <w:color w:val="000000" w:themeColor="text1"/>
                <w:sz w:val="20"/>
                <w:szCs w:val="20"/>
                <w:shd w:val="clear" w:color="auto" w:fill="FFFFFF"/>
                <w:lang w:val="en-US"/>
              </w:rPr>
              <w:t xml:space="preserve">300 din </w:t>
            </w:r>
            <w:proofErr w:type="spellStart"/>
            <w:r w:rsidRPr="00277CF1">
              <w:rPr>
                <w:rFonts w:eastAsia="Arial Unicode MS"/>
                <w:color w:val="000000" w:themeColor="text1"/>
                <w:sz w:val="20"/>
                <w:szCs w:val="20"/>
                <w:shd w:val="clear" w:color="auto" w:fill="FFFFFF"/>
                <w:lang w:val="en-US"/>
              </w:rPr>
              <w:t>tratat</w:t>
            </w:r>
            <w:proofErr w:type="spellEnd"/>
            <w:r w:rsidRPr="00277CF1">
              <w:rPr>
                <w:rFonts w:eastAsia="Arial Unicode MS"/>
                <w:color w:val="000000" w:themeColor="text1"/>
                <w:sz w:val="20"/>
                <w:szCs w:val="20"/>
                <w:shd w:val="clear" w:color="auto" w:fill="FFFFFF"/>
                <w:lang w:val="en-US"/>
              </w:rPr>
              <w:t>.</w:t>
            </w:r>
          </w:p>
          <w:p w14:paraId="7C59116F" w14:textId="77777777" w:rsidR="00124364"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304" w:tooltip="32009L0029: INSERTED" w:history="1">
              <w:r>
                <w:rPr>
                  <w:rStyle w:val="af3"/>
                  <w:rFonts w:eastAsia="Arial Unicode MS"/>
                  <w:b/>
                  <w:bCs/>
                  <w:color w:val="4472C4" w:themeColor="accent1"/>
                  <w:sz w:val="20"/>
                  <w:szCs w:val="20"/>
                  <w:lang w:val="en-US"/>
                </w:rPr>
                <w:t>▼M4</w:t>
              </w:r>
            </w:hyperlink>
          </w:p>
          <w:p w14:paraId="7FFED1D9" w14:textId="357ED9D3" w:rsidR="00124364" w:rsidRPr="00277CF1" w:rsidRDefault="00000000" w:rsidP="00277CF1">
            <w:pPr>
              <w:pStyle w:val="af8"/>
              <w:numPr>
                <w:ilvl w:val="0"/>
                <w:numId w:val="109"/>
              </w:numPr>
              <w:jc w:val="both"/>
              <w:rPr>
                <w:rFonts w:ascii="Times New Roman" w:eastAsia="Times New Roman" w:hAnsi="Times New Roman"/>
                <w:color w:val="000000" w:themeColor="text1"/>
                <w:sz w:val="20"/>
                <w:szCs w:val="20"/>
              </w:rPr>
            </w:pPr>
            <w:r w:rsidRPr="00277CF1">
              <w:rPr>
                <w:rFonts w:ascii="Times New Roman" w:eastAsia="Arial Unicode MS" w:hAnsi="Times New Roman"/>
                <w:color w:val="000000" w:themeColor="text1"/>
                <w:sz w:val="20"/>
                <w:szCs w:val="20"/>
                <w:shd w:val="clear" w:color="auto" w:fill="FFFFFF"/>
              </w:rPr>
              <w:t xml:space="preserve">Se pot </w:t>
            </w:r>
            <w:proofErr w:type="spellStart"/>
            <w:r w:rsidRPr="00277CF1">
              <w:rPr>
                <w:rFonts w:ascii="Times New Roman" w:eastAsia="Arial Unicode MS" w:hAnsi="Times New Roman"/>
                <w:color w:val="000000" w:themeColor="text1"/>
                <w:sz w:val="20"/>
                <w:szCs w:val="20"/>
                <w:shd w:val="clear" w:color="auto" w:fill="FFFFFF"/>
              </w:rPr>
              <w:t>încheia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acorduri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pentru</w:t>
            </w:r>
            <w:proofErr w:type="spellEnd"/>
            <w:r w:rsidRPr="00277CF1">
              <w:rPr>
                <w:rFonts w:ascii="Times New Roman" w:eastAsia="Arial Unicode MS" w:hAnsi="Times New Roman"/>
                <w:color w:val="000000" w:themeColor="text1"/>
                <w:sz w:val="20"/>
                <w:szCs w:val="20"/>
                <w:shd w:val="clear" w:color="auto" w:fill="FFFFFF"/>
              </w:rPr>
              <w:t xml:space="preserve"> a </w:t>
            </w:r>
            <w:proofErr w:type="spellStart"/>
            <w:r w:rsidRPr="00277CF1">
              <w:rPr>
                <w:rFonts w:ascii="Times New Roman" w:eastAsia="Arial Unicode MS" w:hAnsi="Times New Roman"/>
                <w:color w:val="000000" w:themeColor="text1"/>
                <w:sz w:val="20"/>
                <w:szCs w:val="20"/>
                <w:shd w:val="clear" w:color="auto" w:fill="FFFFFF"/>
              </w:rPr>
              <w:t>permite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recunoașterea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reciprocă</w:t>
            </w:r>
            <w:proofErr w:type="spellEnd"/>
            <w:r w:rsidRPr="00277CF1">
              <w:rPr>
                <w:rFonts w:ascii="Times New Roman" w:eastAsia="Arial Unicode MS" w:hAnsi="Times New Roman"/>
                <w:color w:val="000000" w:themeColor="text1"/>
                <w:sz w:val="20"/>
                <w:szCs w:val="20"/>
                <w:shd w:val="clear" w:color="auto" w:fill="FFFFFF"/>
              </w:rPr>
              <w:t xml:space="preserve"> a </w:t>
            </w:r>
            <w:proofErr w:type="spellStart"/>
            <w:r w:rsidRPr="00277CF1">
              <w:rPr>
                <w:rFonts w:ascii="Times New Roman" w:eastAsia="Arial Unicode MS" w:hAnsi="Times New Roman"/>
                <w:color w:val="000000" w:themeColor="text1"/>
                <w:sz w:val="20"/>
                <w:szCs w:val="20"/>
                <w:shd w:val="clear" w:color="auto" w:fill="FFFFFF"/>
              </w:rPr>
              <w:t>certificatelor</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între</w:t>
            </w:r>
            <w:proofErr w:type="spellEnd"/>
            <w:r w:rsidR="00277CF1" w:rsidRPr="00277CF1">
              <w:rPr>
                <w:rStyle w:val="apple-converted-space"/>
                <w:rFonts w:ascii="Times New Roman" w:eastAsia="Arial Unicode MS" w:hAnsi="Times New Roman"/>
                <w:color w:val="000000" w:themeColor="text1"/>
                <w:sz w:val="20"/>
                <w:szCs w:val="20"/>
                <w:shd w:val="clear" w:color="auto" w:fill="FFFFFF"/>
              </w:rPr>
              <w:t xml:space="preserve"> </w:t>
            </w:r>
            <w:hyperlink r:id="rId305" w:tooltip="32018L0410: REPLACED" w:history="1">
              <w:r w:rsidRPr="00277CF1">
                <w:rPr>
                  <w:rStyle w:val="boldface"/>
                  <w:rFonts w:ascii="Times New Roman" w:eastAsia="Arial Unicode MS" w:hAnsi="Times New Roman"/>
                  <w:b/>
                  <w:bCs/>
                  <w:color w:val="000000" w:themeColor="text1"/>
                  <w:sz w:val="20"/>
                  <w:szCs w:val="20"/>
                </w:rPr>
                <w:t>►M9</w:t>
              </w:r>
              <w:r w:rsidRPr="00277CF1">
                <w:rPr>
                  <w:rStyle w:val="apple-converted-space"/>
                  <w:rFonts w:ascii="Times New Roman" w:eastAsia="Arial Unicode MS" w:hAnsi="Times New Roman"/>
                  <w:color w:val="000000" w:themeColor="text1"/>
                  <w:sz w:val="20"/>
                  <w:szCs w:val="20"/>
                </w:rPr>
                <w:t> </w:t>
              </w:r>
            </w:hyperlink>
            <w:r w:rsidRPr="00277CF1">
              <w:rPr>
                <w:rFonts w:ascii="Times New Roman" w:eastAsia="Arial Unicode MS" w:hAnsi="Times New Roman"/>
                <w:color w:val="000000" w:themeColor="text1"/>
                <w:sz w:val="20"/>
                <w:szCs w:val="20"/>
                <w:shd w:val="clear" w:color="auto" w:fill="FFFFFF"/>
              </w:rPr>
              <w:t>EU ETS</w:t>
            </w:r>
            <w:r w:rsidR="00277CF1" w:rsidRPr="00277CF1">
              <w:rPr>
                <w:rStyle w:val="boldface"/>
                <w:rFonts w:ascii="Times New Roman" w:eastAsia="Arial Unicode MS" w:hAnsi="Times New Roman"/>
                <w:b/>
                <w:bCs/>
                <w:color w:val="000000" w:themeColor="text1"/>
                <w:sz w:val="20"/>
                <w:szCs w:val="20"/>
              </w:rPr>
              <w:t xml:space="preserve"> </w:t>
            </w:r>
            <w:r w:rsidRPr="00277CF1">
              <w:rPr>
                <w:rStyle w:val="boldface"/>
                <w:rFonts w:ascii="Times New Roman" w:eastAsia="Arial Unicode MS" w:hAnsi="Times New Roman"/>
                <w:b/>
                <w:bCs/>
                <w:color w:val="000000" w:themeColor="text1"/>
                <w:sz w:val="20"/>
                <w:szCs w:val="20"/>
              </w:rPr>
              <w:t>◄</w:t>
            </w:r>
            <w:r w:rsidRPr="00277CF1">
              <w:rPr>
                <w:rFonts w:ascii="Times New Roman" w:eastAsia="Arial Unicode MS" w:hAnsi="Times New Roman"/>
                <w:color w:val="000000" w:themeColor="text1"/>
                <w:sz w:val="20"/>
                <w:szCs w:val="20"/>
                <w:shd w:val="clear" w:color="auto" w:fill="FFFFFF"/>
              </w:rPr>
              <w:t xml:space="preserve">și </w:t>
            </w:r>
            <w:proofErr w:type="spellStart"/>
            <w:r w:rsidRPr="00277CF1">
              <w:rPr>
                <w:rFonts w:ascii="Times New Roman" w:eastAsia="Arial Unicode MS" w:hAnsi="Times New Roman"/>
                <w:color w:val="000000" w:themeColor="text1"/>
                <w:sz w:val="20"/>
                <w:szCs w:val="20"/>
                <w:shd w:val="clear" w:color="auto" w:fill="FFFFFF"/>
              </w:rPr>
              <w:t>alte</w:t>
            </w:r>
            <w:proofErr w:type="spellEnd"/>
            <w:r w:rsidRPr="00277CF1">
              <w:rPr>
                <w:rFonts w:ascii="Times New Roman" w:eastAsia="Arial Unicode MS" w:hAnsi="Times New Roman"/>
                <w:color w:val="000000" w:themeColor="text1"/>
                <w:sz w:val="20"/>
                <w:szCs w:val="20"/>
                <w:shd w:val="clear" w:color="auto" w:fill="FFFFFF"/>
              </w:rPr>
              <w:t xml:space="preserve"> scheme </w:t>
            </w:r>
            <w:proofErr w:type="spellStart"/>
            <w:r w:rsidRPr="00277CF1">
              <w:rPr>
                <w:rFonts w:ascii="Times New Roman" w:eastAsia="Arial Unicode MS" w:hAnsi="Times New Roman"/>
                <w:color w:val="000000" w:themeColor="text1"/>
                <w:sz w:val="20"/>
                <w:szCs w:val="20"/>
                <w:shd w:val="clear" w:color="auto" w:fill="FFFFFF"/>
              </w:rPr>
              <w:t>obligatorii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compatibile</w:t>
            </w:r>
            <w:proofErr w:type="spellEnd"/>
            <w:r w:rsidRPr="00277CF1">
              <w:rPr>
                <w:rFonts w:ascii="Times New Roman" w:eastAsia="Arial Unicode MS" w:hAnsi="Times New Roman"/>
                <w:color w:val="000000" w:themeColor="text1"/>
                <w:sz w:val="20"/>
                <w:szCs w:val="20"/>
                <w:shd w:val="clear" w:color="auto" w:fill="FFFFFF"/>
              </w:rPr>
              <w:t xml:space="preserve"> de </w:t>
            </w:r>
            <w:proofErr w:type="spellStart"/>
            <w:r w:rsidRPr="00277CF1">
              <w:rPr>
                <w:rFonts w:ascii="Times New Roman" w:eastAsia="Arial Unicode MS" w:hAnsi="Times New Roman"/>
                <w:color w:val="000000" w:themeColor="text1"/>
                <w:sz w:val="20"/>
                <w:szCs w:val="20"/>
                <w:shd w:val="clear" w:color="auto" w:fill="FFFFFF"/>
              </w:rPr>
              <w:t>comercializare</w:t>
            </w:r>
            <w:proofErr w:type="spellEnd"/>
            <w:r w:rsidRPr="00277CF1">
              <w:rPr>
                <w:rFonts w:ascii="Times New Roman" w:eastAsia="Arial Unicode MS" w:hAnsi="Times New Roman"/>
                <w:color w:val="000000" w:themeColor="text1"/>
                <w:sz w:val="20"/>
                <w:szCs w:val="20"/>
                <w:shd w:val="clear" w:color="auto" w:fill="FFFFFF"/>
              </w:rPr>
              <w:t xml:space="preserve"> a </w:t>
            </w:r>
            <w:proofErr w:type="spellStart"/>
            <w:r w:rsidRPr="00277CF1">
              <w:rPr>
                <w:rFonts w:ascii="Times New Roman" w:eastAsia="Arial Unicode MS" w:hAnsi="Times New Roman"/>
                <w:color w:val="000000" w:themeColor="text1"/>
                <w:sz w:val="20"/>
                <w:szCs w:val="20"/>
                <w:shd w:val="clear" w:color="auto" w:fill="FFFFFF"/>
              </w:rPr>
              <w:t>certificatelor</w:t>
            </w:r>
            <w:proofErr w:type="spellEnd"/>
            <w:r w:rsidRPr="00277CF1">
              <w:rPr>
                <w:rFonts w:ascii="Times New Roman" w:eastAsia="Arial Unicode MS" w:hAnsi="Times New Roman"/>
                <w:color w:val="000000" w:themeColor="text1"/>
                <w:sz w:val="20"/>
                <w:szCs w:val="20"/>
                <w:shd w:val="clear" w:color="auto" w:fill="FFFFFF"/>
              </w:rPr>
              <w:t xml:space="preserve"> de gaze cu </w:t>
            </w:r>
            <w:proofErr w:type="spellStart"/>
            <w:r w:rsidRPr="00277CF1">
              <w:rPr>
                <w:rFonts w:ascii="Times New Roman" w:eastAsia="Arial Unicode MS" w:hAnsi="Times New Roman"/>
                <w:color w:val="000000" w:themeColor="text1"/>
                <w:sz w:val="20"/>
                <w:szCs w:val="20"/>
                <w:shd w:val="clear" w:color="auto" w:fill="FFFFFF"/>
              </w:rPr>
              <w:t>efect</w:t>
            </w:r>
            <w:proofErr w:type="spellEnd"/>
            <w:r w:rsidRPr="00277CF1">
              <w:rPr>
                <w:rFonts w:ascii="Times New Roman" w:eastAsia="Arial Unicode MS" w:hAnsi="Times New Roman"/>
                <w:color w:val="000000" w:themeColor="text1"/>
                <w:sz w:val="20"/>
                <w:szCs w:val="20"/>
                <w:shd w:val="clear" w:color="auto" w:fill="FFFFFF"/>
              </w:rPr>
              <w:t xml:space="preserve"> de </w:t>
            </w:r>
            <w:proofErr w:type="spellStart"/>
            <w:r w:rsidRPr="00277CF1">
              <w:rPr>
                <w:rFonts w:ascii="Times New Roman" w:eastAsia="Arial Unicode MS" w:hAnsi="Times New Roman"/>
                <w:color w:val="000000" w:themeColor="text1"/>
                <w:sz w:val="20"/>
                <w:szCs w:val="20"/>
                <w:shd w:val="clear" w:color="auto" w:fill="FFFFFF"/>
              </w:rPr>
              <w:t>seră</w:t>
            </w:r>
            <w:proofErr w:type="spellEnd"/>
            <w:r w:rsidRPr="00277CF1">
              <w:rPr>
                <w:rFonts w:ascii="Times New Roman" w:eastAsia="Arial Unicode MS" w:hAnsi="Times New Roman"/>
                <w:color w:val="000000" w:themeColor="text1"/>
                <w:sz w:val="20"/>
                <w:szCs w:val="20"/>
                <w:shd w:val="clear" w:color="auto" w:fill="FFFFFF"/>
              </w:rPr>
              <w:t xml:space="preserve"> care </w:t>
            </w:r>
            <w:proofErr w:type="spellStart"/>
            <w:r w:rsidRPr="00277CF1">
              <w:rPr>
                <w:rFonts w:ascii="Times New Roman" w:eastAsia="Arial Unicode MS" w:hAnsi="Times New Roman"/>
                <w:color w:val="000000" w:themeColor="text1"/>
                <w:sz w:val="20"/>
                <w:szCs w:val="20"/>
                <w:shd w:val="clear" w:color="auto" w:fill="FFFFFF"/>
              </w:rPr>
              <w:t>stabilesc</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plafoane</w:t>
            </w:r>
            <w:proofErr w:type="spellEnd"/>
            <w:r w:rsidRPr="00277CF1">
              <w:rPr>
                <w:rFonts w:ascii="Times New Roman" w:eastAsia="Arial Unicode MS" w:hAnsi="Times New Roman"/>
                <w:color w:val="000000" w:themeColor="text1"/>
                <w:sz w:val="20"/>
                <w:szCs w:val="20"/>
                <w:shd w:val="clear" w:color="auto" w:fill="FFFFFF"/>
              </w:rPr>
              <w:t xml:space="preserve"> </w:t>
            </w:r>
            <w:r w:rsidRPr="00277CF1">
              <w:rPr>
                <w:rFonts w:ascii="Times New Roman" w:eastAsia="Arial Unicode MS" w:hAnsi="Times New Roman"/>
                <w:color w:val="000000" w:themeColor="text1"/>
                <w:sz w:val="20"/>
                <w:szCs w:val="20"/>
                <w:shd w:val="clear" w:color="auto" w:fill="FFFFFF"/>
              </w:rPr>
              <w:lastRenderedPageBreak/>
              <w:t xml:space="preserve">absolute </w:t>
            </w:r>
            <w:proofErr w:type="spellStart"/>
            <w:r w:rsidRPr="00277CF1">
              <w:rPr>
                <w:rFonts w:ascii="Times New Roman" w:eastAsia="Arial Unicode MS" w:hAnsi="Times New Roman"/>
                <w:color w:val="000000" w:themeColor="text1"/>
                <w:sz w:val="20"/>
                <w:szCs w:val="20"/>
                <w:shd w:val="clear" w:color="auto" w:fill="FFFFFF"/>
              </w:rPr>
              <w:t>pentru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emisii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existente</w:t>
            </w:r>
            <w:proofErr w:type="spellEnd"/>
            <w:r w:rsidRPr="00277CF1">
              <w:rPr>
                <w:rFonts w:ascii="Times New Roman" w:eastAsia="Arial Unicode MS" w:hAnsi="Times New Roman"/>
                <w:color w:val="000000" w:themeColor="text1"/>
                <w:sz w:val="20"/>
                <w:szCs w:val="20"/>
                <w:shd w:val="clear" w:color="auto" w:fill="FFFFFF"/>
              </w:rPr>
              <w:t xml:space="preserve"> în </w:t>
            </w:r>
            <w:proofErr w:type="spellStart"/>
            <w:r w:rsidRPr="00277CF1">
              <w:rPr>
                <w:rFonts w:ascii="Times New Roman" w:eastAsia="Arial Unicode MS" w:hAnsi="Times New Roman"/>
                <w:color w:val="000000" w:themeColor="text1"/>
                <w:sz w:val="20"/>
                <w:szCs w:val="20"/>
                <w:shd w:val="clear" w:color="auto" w:fill="FFFFFF"/>
              </w:rPr>
              <w:t>alte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țări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sau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unități</w:t>
            </w:r>
            <w:proofErr w:type="spellEnd"/>
            <w:r w:rsidRPr="00277CF1">
              <w:rPr>
                <w:rFonts w:ascii="Times New Roman" w:eastAsia="Arial Unicode MS" w:hAnsi="Times New Roman"/>
                <w:color w:val="000000" w:themeColor="text1"/>
                <w:sz w:val="20"/>
                <w:szCs w:val="20"/>
                <w:shd w:val="clear" w:color="auto" w:fill="FFFFFF"/>
              </w:rPr>
              <w:t xml:space="preserve"> administrative </w:t>
            </w:r>
            <w:proofErr w:type="spellStart"/>
            <w:r w:rsidRPr="00277CF1">
              <w:rPr>
                <w:rFonts w:ascii="Times New Roman" w:eastAsia="Arial Unicode MS" w:hAnsi="Times New Roman"/>
                <w:color w:val="000000" w:themeColor="text1"/>
                <w:sz w:val="20"/>
                <w:szCs w:val="20"/>
                <w:shd w:val="clear" w:color="auto" w:fill="FFFFFF"/>
              </w:rPr>
              <w:t>subfederale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sau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regionale</w:t>
            </w:r>
            <w:proofErr w:type="spellEnd"/>
            <w:r w:rsidRPr="00277CF1">
              <w:rPr>
                <w:rFonts w:ascii="Times New Roman" w:eastAsia="Arial Unicode MS" w:hAnsi="Times New Roman"/>
                <w:color w:val="000000" w:themeColor="text1"/>
                <w:sz w:val="20"/>
                <w:szCs w:val="20"/>
                <w:shd w:val="clear" w:color="auto" w:fill="FFFFFF"/>
              </w:rPr>
              <w:t>.</w:t>
            </w:r>
          </w:p>
          <w:p w14:paraId="6DC55BB4" w14:textId="7C9CCA1D" w:rsidR="00124364" w:rsidRPr="00277CF1" w:rsidRDefault="00000000" w:rsidP="00277CF1">
            <w:pPr>
              <w:pStyle w:val="af8"/>
              <w:numPr>
                <w:ilvl w:val="0"/>
                <w:numId w:val="110"/>
              </w:numPr>
              <w:jc w:val="both"/>
              <w:rPr>
                <w:rFonts w:ascii="Times New Roman" w:eastAsia="Times New Roman" w:hAnsi="Times New Roman"/>
                <w:color w:val="000000" w:themeColor="text1"/>
                <w:sz w:val="20"/>
                <w:szCs w:val="20"/>
              </w:rPr>
            </w:pPr>
            <w:r w:rsidRPr="00277CF1">
              <w:rPr>
                <w:rFonts w:ascii="Times New Roman" w:eastAsia="Arial Unicode MS" w:hAnsi="Times New Roman"/>
                <w:color w:val="000000" w:themeColor="text1"/>
                <w:sz w:val="20"/>
                <w:szCs w:val="20"/>
                <w:shd w:val="clear" w:color="auto" w:fill="FFFFFF"/>
              </w:rPr>
              <w:t xml:space="preserve">Se pot </w:t>
            </w:r>
            <w:proofErr w:type="spellStart"/>
            <w:r w:rsidRPr="00277CF1">
              <w:rPr>
                <w:rFonts w:ascii="Times New Roman" w:eastAsia="Arial Unicode MS" w:hAnsi="Times New Roman"/>
                <w:color w:val="000000" w:themeColor="text1"/>
                <w:sz w:val="20"/>
                <w:szCs w:val="20"/>
                <w:shd w:val="clear" w:color="auto" w:fill="FFFFFF"/>
              </w:rPr>
              <w:t>încheia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înțelegeri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fără</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caracter</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obligatoriu</w:t>
            </w:r>
            <w:proofErr w:type="spellEnd"/>
            <w:r w:rsidRPr="00277CF1">
              <w:rPr>
                <w:rFonts w:ascii="Times New Roman" w:eastAsia="Arial Unicode MS" w:hAnsi="Times New Roman"/>
                <w:color w:val="000000" w:themeColor="text1"/>
                <w:sz w:val="20"/>
                <w:szCs w:val="20"/>
                <w:shd w:val="clear" w:color="auto" w:fill="FFFFFF"/>
              </w:rPr>
              <w:t xml:space="preserve"> cu </w:t>
            </w:r>
            <w:proofErr w:type="spellStart"/>
            <w:r w:rsidRPr="00277CF1">
              <w:rPr>
                <w:rFonts w:ascii="Times New Roman" w:eastAsia="Arial Unicode MS" w:hAnsi="Times New Roman"/>
                <w:color w:val="000000" w:themeColor="text1"/>
                <w:sz w:val="20"/>
                <w:szCs w:val="20"/>
                <w:shd w:val="clear" w:color="auto" w:fill="FFFFFF"/>
              </w:rPr>
              <w:t>terțe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țări</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sau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unități</w:t>
            </w:r>
            <w:proofErr w:type="spellEnd"/>
            <w:r w:rsidRPr="00277CF1">
              <w:rPr>
                <w:rFonts w:ascii="Times New Roman" w:eastAsia="Arial Unicode MS" w:hAnsi="Times New Roman"/>
                <w:color w:val="000000" w:themeColor="text1"/>
                <w:sz w:val="20"/>
                <w:szCs w:val="20"/>
                <w:shd w:val="clear" w:color="auto" w:fill="FFFFFF"/>
              </w:rPr>
              <w:t xml:space="preserve"> administrative </w:t>
            </w:r>
            <w:proofErr w:type="spellStart"/>
            <w:r w:rsidRPr="00277CF1">
              <w:rPr>
                <w:rFonts w:ascii="Times New Roman" w:eastAsia="Arial Unicode MS" w:hAnsi="Times New Roman"/>
                <w:color w:val="000000" w:themeColor="text1"/>
                <w:sz w:val="20"/>
                <w:szCs w:val="20"/>
                <w:shd w:val="clear" w:color="auto" w:fill="FFFFFF"/>
              </w:rPr>
              <w:t>subfederale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sau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regionale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pentru</w:t>
            </w:r>
            <w:proofErr w:type="spellEnd"/>
            <w:r w:rsidRPr="00277CF1">
              <w:rPr>
                <w:rFonts w:ascii="Times New Roman" w:eastAsia="Arial Unicode MS" w:hAnsi="Times New Roman"/>
                <w:color w:val="000000" w:themeColor="text1"/>
                <w:sz w:val="20"/>
                <w:szCs w:val="20"/>
                <w:shd w:val="clear" w:color="auto" w:fill="FFFFFF"/>
              </w:rPr>
              <w:t xml:space="preserve"> a </w:t>
            </w:r>
            <w:proofErr w:type="spellStart"/>
            <w:r w:rsidRPr="00277CF1">
              <w:rPr>
                <w:rFonts w:ascii="Times New Roman" w:eastAsia="Arial Unicode MS" w:hAnsi="Times New Roman"/>
                <w:color w:val="000000" w:themeColor="text1"/>
                <w:sz w:val="20"/>
                <w:szCs w:val="20"/>
                <w:shd w:val="clear" w:color="auto" w:fill="FFFFFF"/>
              </w:rPr>
              <w:t>asigura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coordonarea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administrativă</w:t>
            </w:r>
            <w:proofErr w:type="spellEnd"/>
            <w:r w:rsidRPr="00277CF1">
              <w:rPr>
                <w:rFonts w:ascii="Times New Roman" w:eastAsia="Arial Unicode MS" w:hAnsi="Times New Roman"/>
                <w:color w:val="000000" w:themeColor="text1"/>
                <w:sz w:val="20"/>
                <w:szCs w:val="20"/>
                <w:shd w:val="clear" w:color="auto" w:fill="FFFFFF"/>
              </w:rPr>
              <w:t xml:space="preserve"> și </w:t>
            </w:r>
            <w:proofErr w:type="spellStart"/>
            <w:r w:rsidRPr="00277CF1">
              <w:rPr>
                <w:rFonts w:ascii="Times New Roman" w:eastAsia="Arial Unicode MS" w:hAnsi="Times New Roman"/>
                <w:color w:val="000000" w:themeColor="text1"/>
                <w:sz w:val="20"/>
                <w:szCs w:val="20"/>
                <w:shd w:val="clear" w:color="auto" w:fill="FFFFFF"/>
              </w:rPr>
              <w:t>tehnică</w:t>
            </w:r>
            <w:proofErr w:type="spellEnd"/>
            <w:r w:rsidRPr="00277CF1">
              <w:rPr>
                <w:rFonts w:ascii="Times New Roman" w:eastAsia="Arial Unicode MS" w:hAnsi="Times New Roman"/>
                <w:color w:val="000000" w:themeColor="text1"/>
                <w:sz w:val="20"/>
                <w:szCs w:val="20"/>
                <w:shd w:val="clear" w:color="auto" w:fill="FFFFFF"/>
              </w:rPr>
              <w:t xml:space="preserve"> în </w:t>
            </w:r>
            <w:proofErr w:type="spellStart"/>
            <w:r w:rsidRPr="00277CF1">
              <w:rPr>
                <w:rFonts w:ascii="Times New Roman" w:eastAsia="Arial Unicode MS" w:hAnsi="Times New Roman"/>
                <w:color w:val="000000" w:themeColor="text1"/>
                <w:sz w:val="20"/>
                <w:szCs w:val="20"/>
                <w:shd w:val="clear" w:color="auto" w:fill="FFFFFF"/>
              </w:rPr>
              <w:t>ceea</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ce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privește</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certificatele</w:t>
            </w:r>
            <w:proofErr w:type="spellEnd"/>
            <w:r w:rsidRPr="00277CF1">
              <w:rPr>
                <w:rFonts w:ascii="Times New Roman" w:eastAsia="Arial Unicode MS" w:hAnsi="Times New Roman"/>
                <w:color w:val="000000" w:themeColor="text1"/>
                <w:sz w:val="20"/>
                <w:szCs w:val="20"/>
                <w:shd w:val="clear" w:color="auto" w:fill="FFFFFF"/>
              </w:rPr>
              <w:t xml:space="preserve"> din cadrul</w:t>
            </w:r>
            <w:hyperlink r:id="rId306" w:tooltip="32018L0410: REPLACED" w:history="1">
              <w:r w:rsidRPr="00277CF1">
                <w:rPr>
                  <w:rStyle w:val="boldface"/>
                  <w:rFonts w:ascii="Times New Roman" w:eastAsia="Arial Unicode MS" w:hAnsi="Times New Roman"/>
                  <w:b/>
                  <w:bCs/>
                  <w:color w:val="000000" w:themeColor="text1"/>
                  <w:sz w:val="20"/>
                  <w:szCs w:val="20"/>
                </w:rPr>
                <w:t>►M9</w:t>
              </w:r>
            </w:hyperlink>
            <w:r w:rsidR="0097259F">
              <w:rPr>
                <w:rStyle w:val="apple-converted-space"/>
                <w:rFonts w:ascii="Times New Roman" w:eastAsia="Arial Unicode MS" w:hAnsi="Times New Roman"/>
                <w:color w:val="000000" w:themeColor="text1"/>
                <w:sz w:val="20"/>
                <w:szCs w:val="20"/>
              </w:rPr>
              <w:t xml:space="preserve"> </w:t>
            </w:r>
            <w:r w:rsidRPr="00277CF1">
              <w:rPr>
                <w:rFonts w:ascii="Times New Roman" w:eastAsia="Arial Unicode MS" w:hAnsi="Times New Roman"/>
                <w:color w:val="000000" w:themeColor="text1"/>
                <w:sz w:val="20"/>
                <w:szCs w:val="20"/>
                <w:shd w:val="clear" w:color="auto" w:fill="FFFFFF"/>
              </w:rPr>
              <w:t xml:space="preserve">EU </w:t>
            </w:r>
            <w:proofErr w:type="spellStart"/>
            <w:r w:rsidRPr="00277CF1">
              <w:rPr>
                <w:rFonts w:ascii="Times New Roman" w:eastAsia="Arial Unicode MS" w:hAnsi="Times New Roman"/>
                <w:color w:val="000000" w:themeColor="text1"/>
                <w:sz w:val="20"/>
                <w:szCs w:val="20"/>
                <w:shd w:val="clear" w:color="auto" w:fill="FFFFFF"/>
              </w:rPr>
              <w:t>ETS</w:t>
            </w:r>
            <w:r w:rsidRPr="00277CF1">
              <w:rPr>
                <w:rStyle w:val="boldface"/>
                <w:rFonts w:ascii="Times New Roman" w:eastAsia="Arial Unicode MS" w:hAnsi="Times New Roman"/>
                <w:b/>
                <w:bCs/>
                <w:color w:val="000000" w:themeColor="text1"/>
                <w:sz w:val="20"/>
                <w:szCs w:val="20"/>
              </w:rPr>
              <w:t>◄</w:t>
            </w:r>
            <w:r w:rsidRPr="00277CF1">
              <w:rPr>
                <w:rFonts w:ascii="Times New Roman" w:eastAsia="Arial Unicode MS" w:hAnsi="Times New Roman"/>
                <w:color w:val="000000" w:themeColor="text1"/>
                <w:sz w:val="20"/>
                <w:szCs w:val="20"/>
                <w:shd w:val="clear" w:color="auto" w:fill="FFFFFF"/>
              </w:rPr>
              <w:t>sau</w:t>
            </w:r>
            <w:proofErr w:type="spellEnd"/>
            <w:r w:rsidRPr="00277CF1">
              <w:rPr>
                <w:rFonts w:ascii="Times New Roman" w:eastAsia="Arial Unicode MS" w:hAnsi="Times New Roman"/>
                <w:color w:val="000000" w:themeColor="text1"/>
                <w:sz w:val="20"/>
                <w:szCs w:val="20"/>
                <w:shd w:val="clear" w:color="auto" w:fill="FFFFFF"/>
              </w:rPr>
              <w:t xml:space="preserve"> din </w:t>
            </w:r>
            <w:proofErr w:type="spellStart"/>
            <w:r w:rsidRPr="00277CF1">
              <w:rPr>
                <w:rFonts w:ascii="Times New Roman" w:eastAsia="Arial Unicode MS" w:hAnsi="Times New Roman"/>
                <w:color w:val="000000" w:themeColor="text1"/>
                <w:sz w:val="20"/>
                <w:szCs w:val="20"/>
                <w:shd w:val="clear" w:color="auto" w:fill="FFFFFF"/>
              </w:rPr>
              <w:t>cadrul</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altor</w:t>
            </w:r>
            <w:proofErr w:type="spellEnd"/>
            <w:r w:rsidRPr="00277CF1">
              <w:rPr>
                <w:rFonts w:ascii="Times New Roman" w:eastAsia="Arial Unicode MS" w:hAnsi="Times New Roman"/>
                <w:color w:val="000000" w:themeColor="text1"/>
                <w:sz w:val="20"/>
                <w:szCs w:val="20"/>
                <w:shd w:val="clear" w:color="auto" w:fill="FFFFFF"/>
              </w:rPr>
              <w:t xml:space="preserve"> scheme </w:t>
            </w:r>
            <w:proofErr w:type="spellStart"/>
            <w:r w:rsidRPr="00277CF1">
              <w:rPr>
                <w:rFonts w:ascii="Times New Roman" w:eastAsia="Arial Unicode MS" w:hAnsi="Times New Roman"/>
                <w:color w:val="000000" w:themeColor="text1"/>
                <w:sz w:val="20"/>
                <w:szCs w:val="20"/>
                <w:shd w:val="clear" w:color="auto" w:fill="FFFFFF"/>
              </w:rPr>
              <w:t>obligatorii</w:t>
            </w:r>
            <w:proofErr w:type="spellEnd"/>
            <w:r w:rsidRPr="00277CF1">
              <w:rPr>
                <w:rFonts w:ascii="Times New Roman" w:eastAsia="Arial Unicode MS" w:hAnsi="Times New Roman"/>
                <w:color w:val="000000" w:themeColor="text1"/>
                <w:sz w:val="20"/>
                <w:szCs w:val="20"/>
                <w:shd w:val="clear" w:color="auto" w:fill="FFFFFF"/>
              </w:rPr>
              <w:t xml:space="preserve"> de </w:t>
            </w:r>
            <w:proofErr w:type="spellStart"/>
            <w:r w:rsidRPr="00277CF1">
              <w:rPr>
                <w:rFonts w:ascii="Times New Roman" w:eastAsia="Arial Unicode MS" w:hAnsi="Times New Roman"/>
                <w:color w:val="000000" w:themeColor="text1"/>
                <w:sz w:val="20"/>
                <w:szCs w:val="20"/>
                <w:shd w:val="clear" w:color="auto" w:fill="FFFFFF"/>
              </w:rPr>
              <w:t>comercializare</w:t>
            </w:r>
            <w:proofErr w:type="spellEnd"/>
            <w:r w:rsidRPr="00277CF1">
              <w:rPr>
                <w:rFonts w:ascii="Times New Roman" w:eastAsia="Arial Unicode MS" w:hAnsi="Times New Roman"/>
                <w:color w:val="000000" w:themeColor="text1"/>
                <w:sz w:val="20"/>
                <w:szCs w:val="20"/>
                <w:shd w:val="clear" w:color="auto" w:fill="FFFFFF"/>
              </w:rPr>
              <w:t xml:space="preserve"> a </w:t>
            </w:r>
            <w:proofErr w:type="spellStart"/>
            <w:r w:rsidRPr="00277CF1">
              <w:rPr>
                <w:rFonts w:ascii="Times New Roman" w:eastAsia="Arial Unicode MS" w:hAnsi="Times New Roman"/>
                <w:color w:val="000000" w:themeColor="text1"/>
                <w:sz w:val="20"/>
                <w:szCs w:val="20"/>
                <w:shd w:val="clear" w:color="auto" w:fill="FFFFFF"/>
              </w:rPr>
              <w:t>certificatelor</w:t>
            </w:r>
            <w:proofErr w:type="spellEnd"/>
            <w:r w:rsidRPr="00277CF1">
              <w:rPr>
                <w:rFonts w:ascii="Times New Roman" w:eastAsia="Arial Unicode MS" w:hAnsi="Times New Roman"/>
                <w:color w:val="000000" w:themeColor="text1"/>
                <w:sz w:val="20"/>
                <w:szCs w:val="20"/>
                <w:shd w:val="clear" w:color="auto" w:fill="FFFFFF"/>
              </w:rPr>
              <w:t xml:space="preserve"> care </w:t>
            </w:r>
            <w:proofErr w:type="spellStart"/>
            <w:r w:rsidRPr="00277CF1">
              <w:rPr>
                <w:rFonts w:ascii="Times New Roman" w:eastAsia="Arial Unicode MS" w:hAnsi="Times New Roman"/>
                <w:color w:val="000000" w:themeColor="text1"/>
                <w:sz w:val="20"/>
                <w:szCs w:val="20"/>
                <w:shd w:val="clear" w:color="auto" w:fill="FFFFFF"/>
              </w:rPr>
              <w:t>stabilesc</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plafoane</w:t>
            </w:r>
            <w:proofErr w:type="spellEnd"/>
            <w:r w:rsidRPr="00277CF1">
              <w:rPr>
                <w:rFonts w:ascii="Times New Roman" w:eastAsia="Arial Unicode MS" w:hAnsi="Times New Roman"/>
                <w:color w:val="000000" w:themeColor="text1"/>
                <w:sz w:val="20"/>
                <w:szCs w:val="20"/>
                <w:shd w:val="clear" w:color="auto" w:fill="FFFFFF"/>
              </w:rPr>
              <w:t xml:space="preserve"> absolute </w:t>
            </w:r>
            <w:proofErr w:type="spellStart"/>
            <w:r w:rsidRPr="00277CF1">
              <w:rPr>
                <w:rFonts w:ascii="Times New Roman" w:eastAsia="Arial Unicode MS" w:hAnsi="Times New Roman"/>
                <w:color w:val="000000" w:themeColor="text1"/>
                <w:sz w:val="20"/>
                <w:szCs w:val="20"/>
                <w:shd w:val="clear" w:color="auto" w:fill="FFFFFF"/>
              </w:rPr>
              <w:t>pentru</w:t>
            </w:r>
            <w:proofErr w:type="spellEnd"/>
            <w:r w:rsidRPr="00277CF1">
              <w:rPr>
                <w:rFonts w:ascii="Times New Roman" w:eastAsia="Arial Unicode MS" w:hAnsi="Times New Roman"/>
                <w:color w:val="000000" w:themeColor="text1"/>
                <w:sz w:val="20"/>
                <w:szCs w:val="20"/>
                <w:shd w:val="clear" w:color="auto" w:fill="FFFFFF"/>
              </w:rPr>
              <w:t xml:space="preserve"> </w:t>
            </w:r>
            <w:proofErr w:type="spellStart"/>
            <w:r w:rsidRPr="00277CF1">
              <w:rPr>
                <w:rFonts w:ascii="Times New Roman" w:eastAsia="Arial Unicode MS" w:hAnsi="Times New Roman"/>
                <w:color w:val="000000" w:themeColor="text1"/>
                <w:sz w:val="20"/>
                <w:szCs w:val="20"/>
                <w:shd w:val="clear" w:color="auto" w:fill="FFFFFF"/>
              </w:rPr>
              <w:t>emisii</w:t>
            </w:r>
            <w:proofErr w:type="spellEnd"/>
            <w:r w:rsidRPr="00277CF1">
              <w:rPr>
                <w:rFonts w:ascii="Times New Roman" w:eastAsia="Arial Unicode MS" w:hAnsi="Times New Roman"/>
                <w:color w:val="000000" w:themeColor="text1"/>
                <w:sz w:val="20"/>
                <w:szCs w:val="20"/>
                <w:shd w:val="clear" w:color="auto" w:fill="FFFFFF"/>
              </w:rPr>
              <w:t>.</w:t>
            </w:r>
          </w:p>
          <w:p w14:paraId="475BFB8E" w14:textId="211593C7" w:rsidR="00124364" w:rsidRDefault="00000000">
            <w:pPr>
              <w:pStyle w:val="af8"/>
              <w:rPr>
                <w:rFonts w:ascii="Arial Unicode MS" w:eastAsia="Arial Unicode MS" w:hAnsi="Arial Unicode MS" w:cs="Arial Unicode MS"/>
                <w:b/>
                <w:bCs/>
                <w:color w:val="333333"/>
                <w:sz w:val="21"/>
                <w:szCs w:val="21"/>
                <w:shd w:val="clear" w:color="auto" w:fill="FFFFFF"/>
              </w:rPr>
            </w:pPr>
            <w:hyperlink r:id="rId307" w:tooltip="32018L0410: DELETED" w:history="1">
              <w:r>
                <w:rPr>
                  <w:rStyle w:val="af3"/>
                  <w:rFonts w:ascii="Times New Roman" w:eastAsia="Arial Unicode MS" w:hAnsi="Times New Roman"/>
                  <w:b/>
                  <w:bCs/>
                  <w:color w:val="4472C4" w:themeColor="accent1"/>
                  <w:sz w:val="20"/>
                  <w:szCs w:val="20"/>
                </w:rPr>
                <w:t>▼M9</w:t>
              </w:r>
            </w:hyperlink>
            <w:r>
              <w:rPr>
                <w:rFonts w:ascii="Arial Unicode MS" w:eastAsia="Arial Unicode MS" w:hAnsi="Arial Unicode MS" w:cs="Arial Unicode MS" w:hint="eastAsia"/>
                <w:b/>
                <w:bCs/>
                <w:color w:val="333333"/>
                <w:sz w:val="21"/>
                <w:szCs w:val="21"/>
                <w:shd w:val="clear" w:color="auto" w:fill="FFFFFF"/>
              </w:rPr>
              <w:t>—————</w:t>
            </w:r>
          </w:p>
          <w:p w14:paraId="2ECE5778" w14:textId="77777777" w:rsidR="00124364" w:rsidRDefault="00000000">
            <w:pPr>
              <w:pStyle w:val="af8"/>
              <w:rPr>
                <w:rFonts w:ascii="Times New Roman" w:eastAsia="Times New Roman" w:hAnsi="Times New Roman"/>
                <w:color w:val="4472C4" w:themeColor="accent1"/>
                <w:sz w:val="20"/>
                <w:szCs w:val="20"/>
              </w:rPr>
            </w:pPr>
            <w:hyperlink r:id="rId308" w:tooltip="32008L0101: INSERTED" w:history="1">
              <w:r>
                <w:rPr>
                  <w:rStyle w:val="af3"/>
                  <w:rFonts w:ascii="Times New Roman" w:eastAsia="Arial Unicode MS" w:hAnsi="Times New Roman"/>
                  <w:b/>
                  <w:bCs/>
                  <w:color w:val="4472C4" w:themeColor="accent1"/>
                  <w:sz w:val="20"/>
                  <w:szCs w:val="20"/>
                </w:rPr>
                <w:t>▼M2</w:t>
              </w:r>
            </w:hyperlink>
          </w:p>
        </w:tc>
        <w:tc>
          <w:tcPr>
            <w:tcW w:w="4394" w:type="dxa"/>
            <w:shd w:val="clear" w:color="auto" w:fill="auto"/>
          </w:tcPr>
          <w:p w14:paraId="3CFE6B1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AE668CB" w14:textId="7E99C3DD" w:rsidR="00124364" w:rsidRDefault="00277CF1" w:rsidP="00277CF1">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444EE75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20F071F" w14:textId="709DCD31" w:rsidR="00124364" w:rsidRDefault="00277CF1">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w:t>
            </w:r>
            <w:r w:rsidRPr="0066519A">
              <w:rPr>
                <w:rFonts w:ascii="Times New Roman" w:eastAsiaTheme="minorHAnsi" w:hAnsi="Times New Roman"/>
                <w:color w:val="000000" w:themeColor="text1"/>
                <w:sz w:val="20"/>
                <w:szCs w:val="20"/>
                <w:lang w:val="ro-RO"/>
              </w:rPr>
              <w:t>de gaze cu efect de seră, dar intenționează să le transpună și să instituie un sistem regional de comercializare a cotelor, care va fi instituit de către Comunitatea Energetică.</w:t>
            </w:r>
          </w:p>
        </w:tc>
        <w:tc>
          <w:tcPr>
            <w:tcW w:w="1464" w:type="dxa"/>
            <w:shd w:val="clear" w:color="auto" w:fill="auto"/>
          </w:tcPr>
          <w:p w14:paraId="16EFE81F" w14:textId="77777777" w:rsidR="00124364" w:rsidRDefault="00124364" w:rsidP="00277CF1">
            <w:pPr>
              <w:autoSpaceDE w:val="0"/>
              <w:spacing w:after="0" w:line="240" w:lineRule="auto"/>
              <w:rPr>
                <w:rFonts w:ascii="Times New Roman" w:hAnsi="Times New Roman"/>
                <w:sz w:val="20"/>
                <w:szCs w:val="20"/>
                <w:lang w:val="fr-FR"/>
              </w:rPr>
            </w:pPr>
          </w:p>
        </w:tc>
      </w:tr>
      <w:tr w:rsidR="00124364" w14:paraId="1A82555F" w14:textId="77777777">
        <w:trPr>
          <w:trHeight w:val="558"/>
        </w:trPr>
        <w:tc>
          <w:tcPr>
            <w:tcW w:w="4957" w:type="dxa"/>
            <w:shd w:val="clear" w:color="auto" w:fill="auto"/>
          </w:tcPr>
          <w:p w14:paraId="3EC06696"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25a</w:t>
            </w:r>
          </w:p>
          <w:p w14:paraId="762C6D1E"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Măsuri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adoptate</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țările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terțe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pentru</w:t>
            </w:r>
            <w:proofErr w:type="spellEnd"/>
            <w:r>
              <w:rPr>
                <w:rFonts w:eastAsia="Arial Unicode MS"/>
                <w:b/>
                <w:bCs/>
                <w:color w:val="333333"/>
                <w:sz w:val="20"/>
                <w:szCs w:val="20"/>
                <w:shd w:val="clear" w:color="auto" w:fill="FFFFFF"/>
                <w:lang w:val="en-US"/>
              </w:rPr>
              <w:t xml:space="preserve"> a reduce </w:t>
            </w:r>
            <w:proofErr w:type="spellStart"/>
            <w:r>
              <w:rPr>
                <w:rFonts w:eastAsia="Arial Unicode MS"/>
                <w:b/>
                <w:bCs/>
                <w:color w:val="333333"/>
                <w:sz w:val="20"/>
                <w:szCs w:val="20"/>
                <w:shd w:val="clear" w:color="auto" w:fill="FFFFFF"/>
                <w:lang w:val="en-US"/>
              </w:rPr>
              <w:t>impactul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aviației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asupra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schimbărilor</w:t>
            </w:r>
            <w:proofErr w:type="spellEnd"/>
            <w:r>
              <w:rPr>
                <w:rFonts w:eastAsia="Arial Unicode MS"/>
                <w:b/>
                <w:bCs/>
                <w:color w:val="333333"/>
                <w:sz w:val="20"/>
                <w:szCs w:val="20"/>
                <w:shd w:val="clear" w:color="auto" w:fill="FFFFFF"/>
                <w:lang w:val="en-US"/>
              </w:rPr>
              <w:t xml:space="preserve"> climatice</w:t>
            </w:r>
          </w:p>
          <w:p w14:paraId="216315EE" w14:textId="2BBB6BBE" w:rsidR="00124364" w:rsidRDefault="00000000" w:rsidP="00417AE6">
            <w:pPr>
              <w:pStyle w:val="ti-art"/>
              <w:numPr>
                <w:ilvl w:val="0"/>
                <w:numId w:val="111"/>
              </w:numPr>
              <w:shd w:val="clear" w:color="auto" w:fill="FFFFFF"/>
              <w:spacing w:before="0" w:beforeAutospacing="0" w:after="0" w:afterAutospacing="0"/>
              <w:jc w:val="both"/>
              <w:rPr>
                <w:rFonts w:eastAsia="Arial Unicode MS"/>
                <w:color w:val="333333"/>
                <w:sz w:val="20"/>
                <w:szCs w:val="20"/>
                <w:shd w:val="clear" w:color="auto" w:fill="FFFFFF"/>
                <w:lang w:val="en-US"/>
              </w:rPr>
            </w:pPr>
            <w:hyperlink r:id="rId309" w:tooltip="32018L0410: REPLACED" w:history="1">
              <w:r>
                <w:rPr>
                  <w:rStyle w:val="boldface"/>
                  <w:rFonts w:eastAsia="Arial Unicode MS"/>
                  <w:b/>
                  <w:bCs/>
                  <w:color w:val="800080"/>
                  <w:sz w:val="20"/>
                  <w:szCs w:val="20"/>
                  <w:lang w:val="en-US"/>
                </w:rPr>
                <w:t>►M9</w:t>
              </w:r>
            </w:hyperlink>
            <w:r w:rsidR="00417AE6">
              <w:rPr>
                <w:rStyle w:val="apple-converted-space"/>
                <w:rFonts w:eastAsia="Arial Unicode MS"/>
                <w:color w:val="800080"/>
                <w:sz w:val="20"/>
                <w:szCs w:val="20"/>
                <w:lang w:val="en-US"/>
              </w:rPr>
              <w:t xml:space="preserve"> </w:t>
            </w:r>
            <w:r w:rsidR="00417AE6">
              <w:rPr>
                <w:rStyle w:val="apple-converted-space"/>
                <w:rFonts w:eastAsia="Arial Unicode MS"/>
                <w:color w:val="333333"/>
                <w:sz w:val="20"/>
                <w:szCs w:val="20"/>
                <w:lang w:val="en-US"/>
              </w:rPr>
              <w:t xml:space="preserve"> </w:t>
            </w: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o </w:t>
            </w:r>
            <w:proofErr w:type="spellStart"/>
            <w:r w:rsidRPr="00417AE6">
              <w:rPr>
                <w:rFonts w:eastAsia="Arial Unicode MS"/>
                <w:color w:val="000000" w:themeColor="text1"/>
                <w:sz w:val="20"/>
                <w:szCs w:val="20"/>
                <w:shd w:val="clear" w:color="auto" w:fill="FFFFFF"/>
                <w:lang w:val="en-US"/>
              </w:rPr>
              <w:t>țară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reducere</w:t>
            </w:r>
            <w:proofErr w:type="spellEnd"/>
            <w:r w:rsidRPr="00417AE6">
              <w:rPr>
                <w:rFonts w:eastAsia="Arial Unicode MS"/>
                <w:color w:val="000000" w:themeColor="text1"/>
                <w:sz w:val="20"/>
                <w:szCs w:val="20"/>
                <w:shd w:val="clear" w:color="auto" w:fill="FFFFFF"/>
                <w:lang w:val="en-US"/>
              </w:rPr>
              <w:t xml:space="preserve"> </w:t>
            </w:r>
            <w:proofErr w:type="gramStart"/>
            <w:r w:rsidRPr="00417AE6">
              <w:rPr>
                <w:rFonts w:eastAsia="Arial Unicode MS"/>
                <w:color w:val="000000" w:themeColor="text1"/>
                <w:sz w:val="20"/>
                <w:szCs w:val="20"/>
                <w:shd w:val="clear" w:color="auto" w:fill="FFFFFF"/>
                <w:lang w:val="en-US"/>
              </w:rPr>
              <w:t>a</w:t>
            </w:r>
            <w:proofErr w:type="gram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impactului</w:t>
            </w:r>
            <w:proofErr w:type="spellEnd"/>
            <w:r w:rsidRPr="00417AE6">
              <w:rPr>
                <w:rFonts w:eastAsia="Arial Unicode MS"/>
                <w:color w:val="000000" w:themeColor="text1"/>
                <w:sz w:val="20"/>
                <w:szCs w:val="20"/>
                <w:shd w:val="clear" w:color="auto" w:fill="FFFFFF"/>
                <w:lang w:val="en-US"/>
              </w:rPr>
              <w:t xml:space="preserve"> pe care </w:t>
            </w:r>
            <w:proofErr w:type="spellStart"/>
            <w:r w:rsidRPr="00417AE6">
              <w:rPr>
                <w:rFonts w:eastAsia="Arial Unicode MS"/>
                <w:color w:val="000000" w:themeColor="text1"/>
                <w:sz w:val="20"/>
                <w:szCs w:val="20"/>
                <w:shd w:val="clear" w:color="auto" w:fill="FFFFFF"/>
                <w:lang w:val="en-US"/>
              </w:rPr>
              <w:t>îl</w:t>
            </w:r>
            <w:proofErr w:type="spellEnd"/>
            <w:r w:rsidRPr="00417AE6">
              <w:rPr>
                <w:rFonts w:eastAsia="Arial Unicode MS"/>
                <w:color w:val="000000" w:themeColor="text1"/>
                <w:sz w:val="20"/>
                <w:szCs w:val="20"/>
                <w:shd w:val="clear" w:color="auto" w:fill="FFFFFF"/>
                <w:lang w:val="en-US"/>
              </w:rPr>
              <w:t xml:space="preserve"> au </w:t>
            </w:r>
            <w:proofErr w:type="spellStart"/>
            <w:r w:rsidRPr="00417AE6">
              <w:rPr>
                <w:rFonts w:eastAsia="Arial Unicode MS"/>
                <w:color w:val="000000" w:themeColor="text1"/>
                <w:sz w:val="20"/>
                <w:szCs w:val="20"/>
                <w:shd w:val="clear" w:color="auto" w:fill="FFFFFF"/>
                <w:lang w:val="en-US"/>
              </w:rPr>
              <w:t>asupra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schimbărilor</w:t>
            </w:r>
            <w:proofErr w:type="spellEnd"/>
            <w:r w:rsidRPr="00417AE6">
              <w:rPr>
                <w:rFonts w:eastAsia="Arial Unicode MS"/>
                <w:color w:val="000000" w:themeColor="text1"/>
                <w:sz w:val="20"/>
                <w:szCs w:val="20"/>
                <w:shd w:val="clear" w:color="auto" w:fill="FFFFFF"/>
                <w:lang w:val="en-US"/>
              </w:rPr>
              <w:t xml:space="preserve"> climatice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decolează</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țara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aterizează</w:t>
            </w:r>
            <w:proofErr w:type="spellEnd"/>
            <w:r w:rsidRPr="00417AE6">
              <w:rPr>
                <w:rFonts w:eastAsia="Arial Unicode MS"/>
                <w:color w:val="000000" w:themeColor="text1"/>
                <w:sz w:val="20"/>
                <w:szCs w:val="20"/>
                <w:shd w:val="clear" w:color="auto" w:fill="FFFFFF"/>
                <w:lang w:val="en-US"/>
              </w:rPr>
              <w:t xml:space="preserve"> pe </w:t>
            </w:r>
            <w:proofErr w:type="spellStart"/>
            <w:r w:rsidRPr="00417AE6">
              <w:rPr>
                <w:rFonts w:eastAsia="Arial Unicode MS"/>
                <w:color w:val="000000" w:themeColor="text1"/>
                <w:sz w:val="20"/>
                <w:szCs w:val="20"/>
                <w:shd w:val="clear" w:color="auto" w:fill="FFFFFF"/>
                <w:lang w:val="en-US"/>
              </w:rPr>
              <w:t>teritoriul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Uniunii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după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consultarea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țării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terțe</w:t>
            </w:r>
            <w:proofErr w:type="spellEnd"/>
            <w:r w:rsidRPr="00417AE6">
              <w:rPr>
                <w:rFonts w:eastAsia="Arial Unicode MS"/>
                <w:color w:val="000000" w:themeColor="text1"/>
                <w:sz w:val="20"/>
                <w:szCs w:val="20"/>
                <w:shd w:val="clear" w:color="auto" w:fill="FFFFFF"/>
                <w:lang w:val="en-US"/>
              </w:rPr>
              <w:t xml:space="preserve"> respective, precum și a </w:t>
            </w:r>
            <w:proofErr w:type="spellStart"/>
            <w:r w:rsidRPr="00417AE6">
              <w:rPr>
                <w:rFonts w:eastAsia="Arial Unicode MS"/>
                <w:color w:val="000000" w:themeColor="text1"/>
                <w:sz w:val="20"/>
                <w:szCs w:val="20"/>
                <w:shd w:val="clear" w:color="auto" w:fill="FFFFFF"/>
                <w:lang w:val="en-US"/>
              </w:rPr>
              <w:t>statelor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cadrul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comitetului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Pr="00417AE6">
              <w:rPr>
                <w:rFonts w:eastAsia="Arial Unicode MS"/>
                <w:color w:val="000000" w:themeColor="text1"/>
                <w:sz w:val="20"/>
                <w:szCs w:val="20"/>
                <w:shd w:val="clear" w:color="auto" w:fill="FFFFFF"/>
                <w:lang w:val="en-US"/>
              </w:rPr>
              <w:t xml:space="preserve"> 22a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w:t>
            </w:r>
            <w:proofErr w:type="spellStart"/>
            <w:r w:rsidRPr="00417AE6">
              <w:rPr>
                <w:rFonts w:eastAsia="Arial Unicode MS"/>
                <w:color w:val="000000" w:themeColor="text1"/>
                <w:sz w:val="20"/>
                <w:szCs w:val="20"/>
                <w:shd w:val="clear" w:color="auto" w:fill="FFFFFF"/>
                <w:lang w:val="en-US"/>
              </w:rPr>
              <w:t>analizează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opțiunile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disponibile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asigura</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interacțiune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optimă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între</w:t>
            </w:r>
            <w:proofErr w:type="spellEnd"/>
            <w:r w:rsidRPr="00417AE6">
              <w:rPr>
                <w:rFonts w:eastAsia="Arial Unicode MS"/>
                <w:color w:val="000000" w:themeColor="text1"/>
                <w:sz w:val="20"/>
                <w:szCs w:val="20"/>
                <w:shd w:val="clear" w:color="auto" w:fill="FFFFFF"/>
                <w:lang w:val="en-US"/>
              </w:rPr>
              <w:t xml:space="preserve"> EU ETS și </w:t>
            </w:r>
            <w:proofErr w:type="spellStart"/>
            <w:r w:rsidRPr="00417AE6">
              <w:rPr>
                <w:rFonts w:eastAsia="Arial Unicode MS"/>
                <w:color w:val="000000" w:themeColor="text1"/>
                <w:sz w:val="20"/>
                <w:szCs w:val="20"/>
                <w:shd w:val="clear" w:color="auto" w:fill="FFFFFF"/>
                <w:lang w:val="en-US"/>
              </w:rPr>
              <w:t>măsurile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dispuse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țara</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w:t>
            </w:r>
          </w:p>
          <w:p w14:paraId="714D12DD" w14:textId="716D6832" w:rsidR="00124364" w:rsidRPr="00417AE6" w:rsidRDefault="00000000" w:rsidP="00417AE6">
            <w:pPr>
              <w:pStyle w:val="ti-art"/>
              <w:shd w:val="clear" w:color="auto" w:fill="FFFFFF"/>
              <w:spacing w:before="0" w:beforeAutospacing="0" w:after="0" w:afterAutospacing="0"/>
              <w:jc w:val="both"/>
              <w:rPr>
                <w:rStyle w:val="boldface"/>
                <w:rFonts w:eastAsia="Arial Unicode MS"/>
                <w:b/>
                <w:bCs/>
                <w:color w:val="000000" w:themeColor="text1"/>
                <w:sz w:val="20"/>
                <w:szCs w:val="20"/>
                <w:lang w:val="en-US"/>
              </w:rPr>
            </w:pP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împuternicită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acte</w:t>
            </w:r>
            <w:proofErr w:type="spellEnd"/>
            <w:r w:rsidRPr="00417AE6">
              <w:rPr>
                <w:rFonts w:eastAsia="Arial Unicode MS"/>
                <w:color w:val="000000" w:themeColor="text1"/>
                <w:sz w:val="20"/>
                <w:szCs w:val="20"/>
                <w:shd w:val="clear" w:color="auto" w:fill="FFFFFF"/>
                <w:lang w:val="en-US"/>
              </w:rPr>
              <w:t xml:space="preserve"> delegate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23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modifica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anexa</w:t>
            </w:r>
            <w:proofErr w:type="spellEnd"/>
            <w:r w:rsidRPr="00417AE6">
              <w:rPr>
                <w:rFonts w:eastAsia="Arial Unicode MS"/>
                <w:color w:val="000000" w:themeColor="text1"/>
                <w:sz w:val="20"/>
                <w:szCs w:val="20"/>
                <w:shd w:val="clear" w:color="auto" w:fill="FFFFFF"/>
                <w:lang w:val="en-US"/>
              </w:rPr>
              <w:t xml:space="preserve"> I la prezenta </w:t>
            </w:r>
            <w:proofErr w:type="spellStart"/>
            <w:r w:rsidRPr="00417AE6">
              <w:rPr>
                <w:rFonts w:eastAsia="Arial Unicode MS"/>
                <w:color w:val="000000" w:themeColor="text1"/>
                <w:sz w:val="20"/>
                <w:szCs w:val="20"/>
                <w:shd w:val="clear" w:color="auto" w:fill="FFFFFF"/>
                <w:lang w:val="en-US"/>
              </w:rPr>
              <w:t>directivă</w:t>
            </w:r>
            <w:proofErr w:type="spellEnd"/>
            <w:r w:rsidRPr="00417AE6">
              <w:rPr>
                <w:rFonts w:eastAsia="Arial Unicode MS"/>
                <w:color w:val="000000" w:themeColor="text1"/>
                <w:sz w:val="20"/>
                <w:szCs w:val="20"/>
                <w:shd w:val="clear" w:color="auto" w:fill="FFFFFF"/>
                <w:lang w:val="en-US"/>
              </w:rPr>
              <w:t xml:space="preserve"> cu </w:t>
            </w:r>
            <w:proofErr w:type="spellStart"/>
            <w:r w:rsidRPr="00417AE6">
              <w:rPr>
                <w:rFonts w:eastAsia="Arial Unicode MS"/>
                <w:color w:val="000000" w:themeColor="text1"/>
                <w:sz w:val="20"/>
                <w:szCs w:val="20"/>
                <w:shd w:val="clear" w:color="auto" w:fill="FFFFFF"/>
                <w:lang w:val="en-US"/>
              </w:rPr>
              <w:t>scopul</w:t>
            </w:r>
            <w:proofErr w:type="spellEnd"/>
            <w:r w:rsidRPr="00417AE6">
              <w:rPr>
                <w:rFonts w:eastAsia="Arial Unicode MS"/>
                <w:color w:val="000000" w:themeColor="text1"/>
                <w:sz w:val="20"/>
                <w:szCs w:val="20"/>
                <w:shd w:val="clear" w:color="auto" w:fill="FFFFFF"/>
                <w:lang w:val="en-US"/>
              </w:rPr>
              <w:t xml:space="preserve"> de a exclude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sosesc</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țara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activitățile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aviație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anexa</w:t>
            </w:r>
            <w:proofErr w:type="spellEnd"/>
            <w:r w:rsidRPr="00417AE6">
              <w:rPr>
                <w:rFonts w:eastAsia="Arial Unicode MS"/>
                <w:color w:val="000000" w:themeColor="text1"/>
                <w:sz w:val="20"/>
                <w:szCs w:val="20"/>
                <w:shd w:val="clear" w:color="auto" w:fill="FFFFFF"/>
                <w:lang w:val="en-US"/>
              </w:rPr>
              <w:t xml:space="preserve"> I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de a </w:t>
            </w:r>
            <w:proofErr w:type="spellStart"/>
            <w:r w:rsidRPr="00417AE6">
              <w:rPr>
                <w:rFonts w:eastAsia="Arial Unicode MS"/>
                <w:color w:val="000000" w:themeColor="text1"/>
                <w:sz w:val="20"/>
                <w:szCs w:val="20"/>
                <w:shd w:val="clear" w:color="auto" w:fill="FFFFFF"/>
                <w:lang w:val="en-US"/>
              </w:rPr>
              <w:t>efectua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modificare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activităților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aviație</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anexa</w:t>
            </w:r>
            <w:proofErr w:type="spellEnd"/>
            <w:r w:rsidRPr="00417AE6">
              <w:rPr>
                <w:rFonts w:eastAsia="Arial Unicode MS"/>
                <w:color w:val="000000" w:themeColor="text1"/>
                <w:sz w:val="20"/>
                <w:szCs w:val="20"/>
                <w:shd w:val="clear" w:color="auto" w:fill="FFFFFF"/>
                <w:lang w:val="en-US"/>
              </w:rPr>
              <w:t xml:space="preserve"> I, cu </w:t>
            </w:r>
            <w:proofErr w:type="spellStart"/>
            <w:r w:rsidRPr="00417AE6">
              <w:rPr>
                <w:rFonts w:eastAsia="Arial Unicode MS"/>
                <w:color w:val="000000" w:themeColor="text1"/>
                <w:sz w:val="20"/>
                <w:szCs w:val="20"/>
                <w:shd w:val="clear" w:color="auto" w:fill="FFFFFF"/>
                <w:lang w:val="en-US"/>
              </w:rPr>
              <w:t>excepția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modificărilor</w:t>
            </w:r>
            <w:proofErr w:type="spellEnd"/>
            <w:r w:rsidRPr="00417AE6">
              <w:rPr>
                <w:rFonts w:eastAsia="Arial Unicode MS"/>
                <w:color w:val="000000" w:themeColor="text1"/>
                <w:sz w:val="20"/>
                <w:szCs w:val="20"/>
                <w:shd w:val="clear" w:color="auto" w:fill="FFFFFF"/>
                <w:lang w:val="en-US"/>
              </w:rPr>
              <w:t xml:space="preserve"> legate de </w:t>
            </w:r>
            <w:proofErr w:type="spellStart"/>
            <w:r w:rsidRPr="00417AE6">
              <w:rPr>
                <w:rFonts w:eastAsia="Arial Unicode MS"/>
                <w:color w:val="000000" w:themeColor="text1"/>
                <w:sz w:val="20"/>
                <w:szCs w:val="20"/>
                <w:shd w:val="clear" w:color="auto" w:fill="FFFFFF"/>
                <w:lang w:val="en-US"/>
              </w:rPr>
              <w:t>domeniul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care sunt </w:t>
            </w:r>
            <w:proofErr w:type="spellStart"/>
            <w:r w:rsidRPr="00417AE6">
              <w:rPr>
                <w:rFonts w:eastAsia="Arial Unicode MS"/>
                <w:color w:val="000000" w:themeColor="text1"/>
                <w:sz w:val="20"/>
                <w:szCs w:val="20"/>
                <w:shd w:val="clear" w:color="auto" w:fill="FFFFFF"/>
                <w:lang w:val="en-US"/>
              </w:rPr>
              <w:t>impuse</w:t>
            </w:r>
            <w:proofErr w:type="spellEnd"/>
            <w:r w:rsidRPr="00417AE6">
              <w:rPr>
                <w:rFonts w:eastAsia="Arial Unicode MS"/>
                <w:color w:val="000000" w:themeColor="text1"/>
                <w:sz w:val="20"/>
                <w:szCs w:val="20"/>
                <w:shd w:val="clear" w:color="auto" w:fill="FFFFFF"/>
                <w:lang w:val="en-US"/>
              </w:rPr>
              <w:t xml:space="preserve"> de un </w:t>
            </w:r>
            <w:proofErr w:type="spellStart"/>
            <w:r w:rsidRPr="00417AE6">
              <w:rPr>
                <w:rFonts w:eastAsia="Arial Unicode MS"/>
                <w:color w:val="000000" w:themeColor="text1"/>
                <w:sz w:val="20"/>
                <w:szCs w:val="20"/>
                <w:shd w:val="clear" w:color="auto" w:fill="FFFFFF"/>
                <w:lang w:val="en-US"/>
              </w:rPr>
              <w:t>acord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încheiat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Pr="00417AE6">
              <w:rPr>
                <w:rFonts w:eastAsia="Arial Unicode MS"/>
                <w:color w:val="000000" w:themeColor="text1"/>
                <w:sz w:val="20"/>
                <w:szCs w:val="20"/>
                <w:shd w:val="clear" w:color="auto" w:fill="FFFFFF"/>
                <w:lang w:val="en-US"/>
              </w:rPr>
              <w:t xml:space="preserve"> 218 din </w:t>
            </w:r>
            <w:proofErr w:type="spellStart"/>
            <w:r w:rsidRPr="00417AE6">
              <w:rPr>
                <w:rFonts w:eastAsia="Arial Unicode MS"/>
                <w:color w:val="000000" w:themeColor="text1"/>
                <w:sz w:val="20"/>
                <w:szCs w:val="20"/>
                <w:shd w:val="clear" w:color="auto" w:fill="FFFFFF"/>
                <w:lang w:val="en-US"/>
              </w:rPr>
              <w:t>Tratatul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privind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funcționarea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Uniunii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Europene</w:t>
            </w:r>
            <w:proofErr w:type="spellEnd"/>
            <w:r w:rsidRPr="00417AE6">
              <w:rPr>
                <w:rFonts w:eastAsia="Arial Unicode MS"/>
                <w:color w:val="000000" w:themeColor="text1"/>
                <w:sz w:val="20"/>
                <w:szCs w:val="20"/>
                <w:shd w:val="clear" w:color="auto" w:fill="FFFFFF"/>
                <w:lang w:val="en-US"/>
              </w:rPr>
              <w:t>.</w:t>
            </w:r>
            <w:r w:rsidR="00417AE6" w:rsidRPr="00417AE6">
              <w:rPr>
                <w:rStyle w:val="boldface"/>
                <w:rFonts w:eastAsia="Arial Unicode MS"/>
                <w:b/>
                <w:bCs/>
                <w:color w:val="000000" w:themeColor="text1"/>
                <w:sz w:val="20"/>
                <w:szCs w:val="20"/>
                <w:lang w:val="en-US"/>
              </w:rPr>
              <w:t xml:space="preserve"> </w:t>
            </w:r>
            <w:r w:rsidRPr="00417AE6">
              <w:rPr>
                <w:rStyle w:val="boldface"/>
                <w:rFonts w:eastAsia="Arial Unicode MS"/>
                <w:b/>
                <w:bCs/>
                <w:color w:val="000000" w:themeColor="text1"/>
                <w:sz w:val="20"/>
                <w:szCs w:val="20"/>
                <w:lang w:val="en-US"/>
              </w:rPr>
              <w:t>◄</w:t>
            </w:r>
          </w:p>
          <w:p w14:paraId="34D9AC76" w14:textId="77777777"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poate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propune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Parlamentului</w:t>
            </w:r>
            <w:proofErr w:type="spellEnd"/>
            <w:r w:rsidRPr="00417AE6">
              <w:rPr>
                <w:rFonts w:eastAsia="Arial Unicode MS"/>
                <w:color w:val="000000" w:themeColor="text1"/>
                <w:sz w:val="20"/>
                <w:szCs w:val="20"/>
                <w:shd w:val="clear" w:color="auto" w:fill="FFFFFF"/>
                <w:lang w:val="en-US"/>
              </w:rPr>
              <w:t xml:space="preserve"> European și </w:t>
            </w:r>
            <w:proofErr w:type="spellStart"/>
            <w:r w:rsidRPr="00417AE6">
              <w:rPr>
                <w:rFonts w:eastAsia="Arial Unicode MS"/>
                <w:color w:val="000000" w:themeColor="text1"/>
                <w:sz w:val="20"/>
                <w:szCs w:val="20"/>
                <w:shd w:val="clear" w:color="auto" w:fill="FFFFFF"/>
                <w:lang w:val="en-US"/>
              </w:rPr>
              <w:t>Consiliului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oricare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modificări</w:t>
            </w:r>
            <w:proofErr w:type="spellEnd"/>
            <w:r w:rsidRPr="00417AE6">
              <w:rPr>
                <w:rFonts w:eastAsia="Arial Unicode MS"/>
                <w:color w:val="000000" w:themeColor="text1"/>
                <w:sz w:val="20"/>
                <w:szCs w:val="20"/>
                <w:shd w:val="clear" w:color="auto" w:fill="FFFFFF"/>
                <w:lang w:val="en-US"/>
              </w:rPr>
              <w:t xml:space="preserve"> la prezenta </w:t>
            </w:r>
            <w:proofErr w:type="spellStart"/>
            <w:r w:rsidRPr="00417AE6">
              <w:rPr>
                <w:rFonts w:eastAsia="Arial Unicode MS"/>
                <w:color w:val="000000" w:themeColor="text1"/>
                <w:sz w:val="20"/>
                <w:szCs w:val="20"/>
                <w:shd w:val="clear" w:color="auto" w:fill="FFFFFF"/>
                <w:lang w:val="en-US"/>
              </w:rPr>
              <w:t>directivă</w:t>
            </w:r>
            <w:proofErr w:type="spellEnd"/>
            <w:r w:rsidRPr="00417AE6">
              <w:rPr>
                <w:rFonts w:eastAsia="Arial Unicode MS"/>
                <w:color w:val="000000" w:themeColor="text1"/>
                <w:sz w:val="20"/>
                <w:szCs w:val="20"/>
                <w:shd w:val="clear" w:color="auto" w:fill="FFFFFF"/>
                <w:lang w:val="en-US"/>
              </w:rPr>
              <w:t>.</w:t>
            </w:r>
          </w:p>
          <w:p w14:paraId="1DB9EE3B" w14:textId="77777777"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După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caz</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poate</w:t>
            </w:r>
            <w:proofErr w:type="spellEnd"/>
            <w:r w:rsidRPr="00417AE6">
              <w:rPr>
                <w:rFonts w:eastAsia="Arial Unicode MS"/>
                <w:color w:val="000000" w:themeColor="text1"/>
                <w:sz w:val="20"/>
                <w:szCs w:val="20"/>
                <w:shd w:val="clear" w:color="auto" w:fill="FFFFFF"/>
                <w:lang w:val="en-US"/>
              </w:rPr>
              <w:t xml:space="preserve"> face </w:t>
            </w:r>
            <w:proofErr w:type="spellStart"/>
            <w:r w:rsidRPr="00417AE6">
              <w:rPr>
                <w:rFonts w:eastAsia="Arial Unicode MS"/>
                <w:color w:val="000000" w:themeColor="text1"/>
                <w:sz w:val="20"/>
                <w:szCs w:val="20"/>
                <w:shd w:val="clear" w:color="auto" w:fill="FFFFFF"/>
                <w:lang w:val="en-US"/>
              </w:rPr>
              <w:t>recomandări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Consiliului</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Pr="00417AE6">
              <w:rPr>
                <w:rFonts w:eastAsia="Arial Unicode MS"/>
                <w:color w:val="000000" w:themeColor="text1"/>
                <w:sz w:val="20"/>
                <w:szCs w:val="20"/>
                <w:shd w:val="clear" w:color="auto" w:fill="FFFFFF"/>
                <w:lang w:val="en-US"/>
              </w:rPr>
              <w:t xml:space="preserve"> 300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din </w:t>
            </w:r>
            <w:proofErr w:type="spellStart"/>
            <w:r w:rsidRPr="00417AE6">
              <w:rPr>
                <w:rFonts w:eastAsia="Arial Unicode MS"/>
                <w:color w:val="000000" w:themeColor="text1"/>
                <w:sz w:val="20"/>
                <w:szCs w:val="20"/>
                <w:shd w:val="clear" w:color="auto" w:fill="FFFFFF"/>
                <w:lang w:val="en-US"/>
              </w:rPr>
              <w:t>tratat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privind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începerea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negocierilor</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vederea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încheierii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acord</w:t>
            </w:r>
            <w:proofErr w:type="spellEnd"/>
            <w:r w:rsidRPr="00417AE6">
              <w:rPr>
                <w:rFonts w:eastAsia="Arial Unicode MS"/>
                <w:color w:val="000000" w:themeColor="text1"/>
                <w:sz w:val="20"/>
                <w:szCs w:val="20"/>
                <w:shd w:val="clear" w:color="auto" w:fill="FFFFFF"/>
                <w:lang w:val="en-US"/>
              </w:rPr>
              <w:t xml:space="preserve"> cu </w:t>
            </w:r>
            <w:proofErr w:type="spellStart"/>
            <w:r w:rsidRPr="00417AE6">
              <w:rPr>
                <w:rFonts w:eastAsia="Arial Unicode MS"/>
                <w:color w:val="000000" w:themeColor="text1"/>
                <w:sz w:val="20"/>
                <w:szCs w:val="20"/>
                <w:shd w:val="clear" w:color="auto" w:fill="FFFFFF"/>
                <w:lang w:val="en-US"/>
              </w:rPr>
              <w:t>țara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w:t>
            </w:r>
          </w:p>
          <w:p w14:paraId="00F50C3A" w14:textId="77777777" w:rsidR="00124364" w:rsidRDefault="00000000">
            <w:pPr>
              <w:pStyle w:val="ti-art"/>
              <w:shd w:val="clear" w:color="auto" w:fill="FFFFFF"/>
              <w:spacing w:before="0" w:beforeAutospacing="0" w:after="0" w:afterAutospacing="0"/>
              <w:rPr>
                <w:color w:val="4472C4" w:themeColor="accent1"/>
                <w:sz w:val="20"/>
                <w:szCs w:val="20"/>
              </w:rPr>
            </w:pPr>
            <w:hyperlink r:id="rId310" w:tooltip="32023L0958: REPLACED" w:history="1">
              <w:r>
                <w:rPr>
                  <w:rStyle w:val="af3"/>
                  <w:rFonts w:eastAsia="Arial Unicode MS"/>
                  <w:b/>
                  <w:bCs/>
                  <w:color w:val="4472C4" w:themeColor="accent1"/>
                  <w:sz w:val="20"/>
                  <w:szCs w:val="20"/>
                </w:rPr>
                <w:t>▼M14</w:t>
              </w:r>
            </w:hyperlink>
          </w:p>
          <w:p w14:paraId="53E2C8CA" w14:textId="333F1239"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Uniunea</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sale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continuă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depună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eforturi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se </w:t>
            </w:r>
            <w:proofErr w:type="spellStart"/>
            <w:r w:rsidRPr="00417AE6">
              <w:rPr>
                <w:rFonts w:eastAsia="Arial Unicode MS"/>
                <w:color w:val="000000" w:themeColor="text1"/>
                <w:sz w:val="20"/>
                <w:szCs w:val="20"/>
                <w:shd w:val="clear" w:color="auto" w:fill="FFFFFF"/>
                <w:lang w:val="en-US"/>
              </w:rPr>
              <w:t>ajunge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acorduri</w:t>
            </w:r>
            <w:proofErr w:type="spellEnd"/>
            <w:r w:rsidRPr="00417AE6">
              <w:rPr>
                <w:rFonts w:eastAsia="Arial Unicode MS"/>
                <w:color w:val="000000" w:themeColor="text1"/>
                <w:sz w:val="20"/>
                <w:szCs w:val="20"/>
                <w:shd w:val="clear" w:color="auto" w:fill="FFFFFF"/>
                <w:lang w:val="en-US"/>
              </w:rPr>
              <w:t xml:space="preserve"> cu </w:t>
            </w:r>
            <w:proofErr w:type="spellStart"/>
            <w:r w:rsidRPr="00417AE6">
              <w:rPr>
                <w:rFonts w:eastAsia="Arial Unicode MS"/>
                <w:color w:val="000000" w:themeColor="text1"/>
                <w:sz w:val="20"/>
                <w:szCs w:val="20"/>
                <w:shd w:val="clear" w:color="auto" w:fill="FFFFFF"/>
                <w:lang w:val="en-US"/>
              </w:rPr>
              <w:t>privire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adoptarea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globale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reducere</w:t>
            </w:r>
            <w:proofErr w:type="spellEnd"/>
            <w:r w:rsidRPr="00417AE6">
              <w:rPr>
                <w:rFonts w:eastAsia="Arial Unicode MS"/>
                <w:color w:val="000000" w:themeColor="text1"/>
                <w:sz w:val="20"/>
                <w:szCs w:val="20"/>
                <w:shd w:val="clear" w:color="auto" w:fill="FFFFFF"/>
                <w:lang w:val="en-US"/>
              </w:rPr>
              <w:t xml:space="preserve"> </w:t>
            </w:r>
            <w:proofErr w:type="gramStart"/>
            <w:r w:rsidRPr="00417AE6">
              <w:rPr>
                <w:rFonts w:eastAsia="Arial Unicode MS"/>
                <w:color w:val="000000" w:themeColor="text1"/>
                <w:sz w:val="20"/>
                <w:szCs w:val="20"/>
                <w:shd w:val="clear" w:color="auto" w:fill="FFFFFF"/>
                <w:lang w:val="en-US"/>
              </w:rPr>
              <w:t>a</w:t>
            </w:r>
            <w:proofErr w:type="gram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emisiilor</w:t>
            </w:r>
            <w:proofErr w:type="spellEnd"/>
            <w:r w:rsidRPr="00417AE6">
              <w:rPr>
                <w:rFonts w:eastAsia="Arial Unicode MS"/>
                <w:color w:val="000000" w:themeColor="text1"/>
                <w:sz w:val="20"/>
                <w:szCs w:val="20"/>
                <w:shd w:val="clear" w:color="auto" w:fill="FFFFFF"/>
                <w:lang w:val="en-US"/>
              </w:rPr>
              <w:t xml:space="preserve"> de gaze cu </w:t>
            </w:r>
            <w:proofErr w:type="spellStart"/>
            <w:r w:rsidRPr="00417AE6">
              <w:rPr>
                <w:rFonts w:eastAsia="Arial Unicode MS"/>
                <w:color w:val="000000" w:themeColor="text1"/>
                <w:sz w:val="20"/>
                <w:szCs w:val="20"/>
                <w:shd w:val="clear" w:color="auto" w:fill="FFFFFF"/>
                <w:lang w:val="en-US"/>
              </w:rPr>
              <w:t>efect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seră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aviație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corespundă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obiectivelor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Regulamentului</w:t>
            </w:r>
            <w:proofErr w:type="spellEnd"/>
            <w:r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lastRenderedPageBreak/>
              <w:t>(UE)</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2021/1119 și ale </w:t>
            </w:r>
            <w:proofErr w:type="spellStart"/>
            <w:r w:rsidRPr="00417AE6">
              <w:rPr>
                <w:rFonts w:eastAsia="Arial Unicode MS"/>
                <w:color w:val="000000" w:themeColor="text1"/>
                <w:sz w:val="20"/>
                <w:szCs w:val="20"/>
                <w:shd w:val="clear" w:color="auto" w:fill="FFFFFF"/>
                <w:lang w:val="en-US"/>
              </w:rPr>
              <w:t>Acordului</w:t>
            </w:r>
            <w:proofErr w:type="spellEnd"/>
            <w:r w:rsidRPr="00417AE6">
              <w:rPr>
                <w:rFonts w:eastAsia="Arial Unicode MS"/>
                <w:color w:val="000000" w:themeColor="text1"/>
                <w:sz w:val="20"/>
                <w:szCs w:val="20"/>
                <w:shd w:val="clear" w:color="auto" w:fill="FFFFFF"/>
                <w:lang w:val="en-US"/>
              </w:rPr>
              <w:t xml:space="preserve"> de la Paris. Din </w:t>
            </w:r>
            <w:proofErr w:type="spellStart"/>
            <w:r w:rsidRPr="00417AE6">
              <w:rPr>
                <w:rFonts w:eastAsia="Arial Unicode MS"/>
                <w:color w:val="000000" w:themeColor="text1"/>
                <w:sz w:val="20"/>
                <w:szCs w:val="20"/>
                <w:shd w:val="clear" w:color="auto" w:fill="FFFFFF"/>
                <w:lang w:val="en-US"/>
              </w:rPr>
              <w:t>perspectiva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acorduri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analizează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dacă</w:t>
            </w:r>
            <w:proofErr w:type="spellEnd"/>
            <w:r w:rsidRPr="00417AE6">
              <w:rPr>
                <w:rFonts w:eastAsia="Arial Unicode MS"/>
                <w:color w:val="000000" w:themeColor="text1"/>
                <w:sz w:val="20"/>
                <w:szCs w:val="20"/>
                <w:shd w:val="clear" w:color="auto" w:fill="FFFFFF"/>
                <w:lang w:val="en-US"/>
              </w:rPr>
              <w:t xml:space="preserve"> sunt </w:t>
            </w:r>
            <w:proofErr w:type="spellStart"/>
            <w:r w:rsidRPr="00417AE6">
              <w:rPr>
                <w:rFonts w:eastAsia="Arial Unicode MS"/>
                <w:color w:val="000000" w:themeColor="text1"/>
                <w:sz w:val="20"/>
                <w:szCs w:val="20"/>
                <w:shd w:val="clear" w:color="auto" w:fill="FFFFFF"/>
                <w:lang w:val="en-US"/>
              </w:rPr>
              <w:t>necesare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modificări</w:t>
            </w:r>
            <w:proofErr w:type="spellEnd"/>
            <w:r w:rsidRPr="00417AE6">
              <w:rPr>
                <w:rFonts w:eastAsia="Arial Unicode MS"/>
                <w:color w:val="000000" w:themeColor="text1"/>
                <w:sz w:val="20"/>
                <w:szCs w:val="20"/>
                <w:shd w:val="clear" w:color="auto" w:fill="FFFFFF"/>
                <w:lang w:val="en-US"/>
              </w:rPr>
              <w:t xml:space="preserve"> la prezenta </w:t>
            </w:r>
            <w:proofErr w:type="spellStart"/>
            <w:r w:rsidRPr="00417AE6">
              <w:rPr>
                <w:rFonts w:eastAsia="Arial Unicode MS"/>
                <w:color w:val="000000" w:themeColor="text1"/>
                <w:sz w:val="20"/>
                <w:szCs w:val="20"/>
                <w:shd w:val="clear" w:color="auto" w:fill="FFFFFF"/>
                <w:lang w:val="en-US"/>
              </w:rPr>
              <w:t>directivă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luând</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considerare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aceasta</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w:t>
            </w:r>
          </w:p>
          <w:p w14:paraId="3E3DBE4F"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11" w:tooltip="32023L0958: INSERTED" w:history="1">
              <w:r>
                <w:rPr>
                  <w:rStyle w:val="af3"/>
                  <w:rFonts w:eastAsia="Arial Unicode MS"/>
                  <w:b/>
                  <w:bCs/>
                  <w:color w:val="4472C4" w:themeColor="accent1"/>
                  <w:sz w:val="20"/>
                  <w:szCs w:val="20"/>
                </w:rPr>
                <w:t>▼M14</w:t>
              </w:r>
            </w:hyperlink>
          </w:p>
          <w:p w14:paraId="61BAA23B" w14:textId="79F918A3"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un act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prin</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enumeră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decât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țările</w:t>
            </w:r>
            <w:proofErr w:type="spellEnd"/>
            <w:r w:rsidRPr="00417AE6">
              <w:rPr>
                <w:rFonts w:eastAsia="Arial Unicode MS"/>
                <w:color w:val="000000" w:themeColor="text1"/>
                <w:sz w:val="20"/>
                <w:szCs w:val="20"/>
                <w:shd w:val="clear" w:color="auto" w:fill="FFFFFF"/>
                <w:lang w:val="en-US"/>
              </w:rPr>
              <w:t xml:space="preserve"> SEE, </w:t>
            </w:r>
            <w:proofErr w:type="spellStart"/>
            <w:r w:rsidRPr="00417AE6">
              <w:rPr>
                <w:rFonts w:eastAsia="Arial Unicode MS"/>
                <w:color w:val="000000" w:themeColor="text1"/>
                <w:sz w:val="20"/>
                <w:szCs w:val="20"/>
                <w:shd w:val="clear" w:color="auto" w:fill="FFFFFF"/>
                <w:lang w:val="en-US"/>
              </w:rPr>
              <w:t>Elveția</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Regatul</w:t>
            </w:r>
            <w:proofErr w:type="spellEnd"/>
            <w:r w:rsidRPr="00417AE6">
              <w:rPr>
                <w:rFonts w:eastAsia="Arial Unicode MS"/>
                <w:color w:val="000000" w:themeColor="text1"/>
                <w:sz w:val="20"/>
                <w:szCs w:val="20"/>
                <w:shd w:val="clear" w:color="auto" w:fill="FFFFFF"/>
                <w:lang w:val="en-US"/>
              </w:rPr>
              <w:t xml:space="preserve"> Unit, </w:t>
            </w:r>
            <w:proofErr w:type="spellStart"/>
            <w:r w:rsidRPr="00417AE6">
              <w:rPr>
                <w:rFonts w:eastAsia="Arial Unicode MS"/>
                <w:color w:val="000000" w:themeColor="text1"/>
                <w:sz w:val="20"/>
                <w:szCs w:val="20"/>
                <w:shd w:val="clear" w:color="auto" w:fill="FFFFFF"/>
                <w:lang w:val="en-US"/>
              </w:rPr>
              <w:t>despre</w:t>
            </w:r>
            <w:proofErr w:type="spellEnd"/>
            <w:r w:rsidRPr="00417AE6">
              <w:rPr>
                <w:rFonts w:eastAsia="Arial Unicode MS"/>
                <w:color w:val="000000" w:themeColor="text1"/>
                <w:sz w:val="20"/>
                <w:szCs w:val="20"/>
                <w:shd w:val="clear" w:color="auto" w:fill="FFFFFF"/>
                <w:lang w:val="en-US"/>
              </w:rPr>
              <w:t xml:space="preserve"> care se </w:t>
            </w:r>
            <w:proofErr w:type="spellStart"/>
            <w:r w:rsidRPr="00417AE6">
              <w:rPr>
                <w:rFonts w:eastAsia="Arial Unicode MS"/>
                <w:color w:val="000000" w:themeColor="text1"/>
                <w:sz w:val="20"/>
                <w:szCs w:val="20"/>
                <w:shd w:val="clear" w:color="auto" w:fill="FFFFFF"/>
                <w:lang w:val="en-US"/>
              </w:rPr>
              <w:t>consideră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CORSIA în </w:t>
            </w:r>
            <w:proofErr w:type="spellStart"/>
            <w:r w:rsidRPr="00417AE6">
              <w:rPr>
                <w:rFonts w:eastAsia="Arial Unicode MS"/>
                <w:color w:val="000000" w:themeColor="text1"/>
                <w:sz w:val="20"/>
                <w:szCs w:val="20"/>
                <w:shd w:val="clear" w:color="auto" w:fill="FFFFFF"/>
                <w:lang w:val="en-US"/>
              </w:rPr>
              <w:t>sensul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prezentei</w:t>
            </w:r>
            <w:proofErr w:type="spellEnd"/>
            <w:r w:rsidRPr="00417AE6">
              <w:rPr>
                <w:rFonts w:eastAsia="Arial Unicode MS"/>
                <w:color w:val="000000" w:themeColor="text1"/>
                <w:sz w:val="20"/>
                <w:szCs w:val="20"/>
                <w:shd w:val="clear" w:color="auto" w:fill="FFFFFF"/>
                <w:lang w:val="en-US"/>
              </w:rPr>
              <w:t xml:space="preserve"> directive, cu o </w:t>
            </w:r>
            <w:proofErr w:type="spellStart"/>
            <w:r w:rsidRPr="00417AE6">
              <w:rPr>
                <w:rFonts w:eastAsia="Arial Unicode MS"/>
                <w:color w:val="000000" w:themeColor="text1"/>
                <w:sz w:val="20"/>
                <w:szCs w:val="20"/>
                <w:shd w:val="clear" w:color="auto" w:fill="FFFFFF"/>
                <w:lang w:val="en-US"/>
              </w:rPr>
              <w:t>valoare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referință</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corespunde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celei</w:t>
            </w:r>
            <w:proofErr w:type="spellEnd"/>
            <w:r w:rsidRPr="00417AE6">
              <w:rPr>
                <w:rFonts w:eastAsia="Arial Unicode MS"/>
                <w:color w:val="000000" w:themeColor="text1"/>
                <w:sz w:val="20"/>
                <w:szCs w:val="20"/>
                <w:shd w:val="clear" w:color="auto" w:fill="FFFFFF"/>
                <w:lang w:val="en-US"/>
              </w:rPr>
              <w:t xml:space="preserve"> din 2019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perioada 2021-2023 și o </w:t>
            </w:r>
            <w:proofErr w:type="spellStart"/>
            <w:r w:rsidRPr="00417AE6">
              <w:rPr>
                <w:rFonts w:eastAsia="Arial Unicode MS"/>
                <w:color w:val="000000" w:themeColor="text1"/>
                <w:sz w:val="20"/>
                <w:szCs w:val="20"/>
                <w:shd w:val="clear" w:color="auto" w:fill="FFFFFF"/>
                <w:lang w:val="en-US"/>
              </w:rPr>
              <w:t>valoare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referință</w:t>
            </w:r>
            <w:proofErr w:type="spellEnd"/>
            <w:r w:rsidRPr="00417AE6">
              <w:rPr>
                <w:rFonts w:eastAsia="Arial Unicode MS"/>
                <w:color w:val="000000" w:themeColor="text1"/>
                <w:sz w:val="20"/>
                <w:szCs w:val="20"/>
                <w:shd w:val="clear" w:color="auto" w:fill="FFFFFF"/>
                <w:lang w:val="en-US"/>
              </w:rPr>
              <w:t xml:space="preserve"> de 85</w:t>
            </w:r>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din 2019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an </w:t>
            </w:r>
            <w:proofErr w:type="spellStart"/>
            <w:r w:rsidRPr="00417AE6">
              <w:rPr>
                <w:rFonts w:eastAsia="Arial Unicode MS"/>
                <w:color w:val="000000" w:themeColor="text1"/>
                <w:sz w:val="20"/>
                <w:szCs w:val="20"/>
                <w:shd w:val="clear" w:color="auto" w:fill="FFFFFF"/>
                <w:lang w:val="en-US"/>
              </w:rPr>
              <w:t>începând</w:t>
            </w:r>
            <w:proofErr w:type="spellEnd"/>
            <w:r w:rsidRPr="00417AE6">
              <w:rPr>
                <w:rFonts w:eastAsia="Arial Unicode MS"/>
                <w:color w:val="000000" w:themeColor="text1"/>
                <w:sz w:val="20"/>
                <w:szCs w:val="20"/>
                <w:shd w:val="clear" w:color="auto" w:fill="FFFFFF"/>
                <w:lang w:val="en-US"/>
              </w:rPr>
              <w:t xml:space="preserve"> din 2024. </w:t>
            </w:r>
            <w:proofErr w:type="spellStart"/>
            <w:r w:rsidRPr="00417AE6">
              <w:rPr>
                <w:rFonts w:eastAsia="Arial Unicode MS"/>
                <w:color w:val="000000" w:themeColor="text1"/>
                <w:sz w:val="20"/>
                <w:szCs w:val="20"/>
                <w:shd w:val="clear" w:color="auto" w:fill="FFFFFF"/>
                <w:lang w:val="en-US"/>
              </w:rPr>
              <w:t>Respectivul</w:t>
            </w:r>
            <w:proofErr w:type="spellEnd"/>
            <w:r w:rsidRPr="00417AE6">
              <w:rPr>
                <w:rFonts w:eastAsia="Arial Unicode MS"/>
                <w:color w:val="000000" w:themeColor="text1"/>
                <w:sz w:val="20"/>
                <w:szCs w:val="20"/>
                <w:shd w:val="clear" w:color="auto" w:fill="FFFFFF"/>
                <w:lang w:val="en-US"/>
              </w:rPr>
              <w:t xml:space="preserve"> act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procedura</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examinare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22a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(2).</w:t>
            </w:r>
          </w:p>
          <w:p w14:paraId="4FEEA0DA" w14:textId="16EAA5BF"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generate </w:t>
            </w:r>
            <w:proofErr w:type="spellStart"/>
            <w:r w:rsidRPr="00417AE6">
              <w:rPr>
                <w:rFonts w:eastAsia="Arial Unicode MS"/>
                <w:color w:val="000000" w:themeColor="text1"/>
                <w:sz w:val="20"/>
                <w:szCs w:val="20"/>
                <w:shd w:val="clear" w:color="auto" w:fill="FFFFFF"/>
                <w:lang w:val="en-US"/>
              </w:rPr>
              <w:t>până</w:t>
            </w:r>
            <w:proofErr w:type="spellEnd"/>
            <w:r w:rsidRPr="00417AE6">
              <w:rPr>
                <w:rFonts w:eastAsia="Arial Unicode MS"/>
                <w:color w:val="000000" w:themeColor="text1"/>
                <w:sz w:val="20"/>
                <w:szCs w:val="20"/>
                <w:shd w:val="clear" w:color="auto" w:fill="FFFFFF"/>
                <w:lang w:val="en-US"/>
              </w:rPr>
              <w:t xml:space="preserve"> la 31</w:t>
            </w:r>
            <w:r w:rsidR="00417AE6"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decembrie</w:t>
            </w:r>
            <w:proofErr w:type="spellEnd"/>
            <w:r w:rsidRPr="00417AE6">
              <w:rPr>
                <w:rFonts w:eastAsia="Arial Unicode MS"/>
                <w:color w:val="000000" w:themeColor="text1"/>
                <w:sz w:val="20"/>
                <w:szCs w:val="20"/>
                <w:shd w:val="clear" w:color="auto" w:fill="FFFFFF"/>
                <w:lang w:val="en-US"/>
              </w:rPr>
              <w:t xml:space="preserve"> 2026 de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înspre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dinspre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actul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alineatului</w:t>
            </w:r>
            <w:proofErr w:type="spellEnd"/>
            <w:r w:rsidRPr="00417AE6">
              <w:rPr>
                <w:rFonts w:eastAsia="Arial Unicode MS"/>
                <w:color w:val="000000" w:themeColor="text1"/>
                <w:sz w:val="20"/>
                <w:szCs w:val="20"/>
                <w:shd w:val="clear" w:color="auto" w:fill="FFFFFF"/>
                <w:lang w:val="en-US"/>
              </w:rPr>
              <w:t xml:space="preserve"> (3) de la </w:t>
            </w:r>
            <w:proofErr w:type="spellStart"/>
            <w:r w:rsidRPr="00417AE6">
              <w:rPr>
                <w:rFonts w:eastAsia="Arial Unicode MS"/>
                <w:color w:val="000000" w:themeColor="text1"/>
                <w:sz w:val="20"/>
                <w:szCs w:val="20"/>
                <w:shd w:val="clear" w:color="auto" w:fill="FFFFFF"/>
                <w:lang w:val="en-US"/>
              </w:rPr>
              <w:t>prezentul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nu sunt </w:t>
            </w:r>
            <w:proofErr w:type="spellStart"/>
            <w:r w:rsidRPr="00417AE6">
              <w:rPr>
                <w:rFonts w:eastAsia="Arial Unicode MS"/>
                <w:color w:val="000000" w:themeColor="text1"/>
                <w:sz w:val="20"/>
                <w:szCs w:val="20"/>
                <w:shd w:val="clear" w:color="auto" w:fill="FFFFFF"/>
                <w:lang w:val="en-US"/>
              </w:rPr>
              <w:t>obligați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restituie</w:t>
            </w:r>
            <w:proofErr w:type="spellEnd"/>
            <w:r w:rsidRPr="00417AE6">
              <w:rPr>
                <w:rFonts w:eastAsia="Arial Unicode MS"/>
                <w:color w:val="000000" w:themeColor="text1"/>
                <w:sz w:val="20"/>
                <w:szCs w:val="20"/>
                <w:shd w:val="clear" w:color="auto" w:fill="FFFFFF"/>
                <w:lang w:val="en-US"/>
              </w:rPr>
              <w:t xml:space="preserve"> certificate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Pr="00417AE6">
              <w:rPr>
                <w:rFonts w:eastAsia="Arial Unicode MS"/>
                <w:color w:val="000000" w:themeColor="text1"/>
                <w:sz w:val="20"/>
                <w:szCs w:val="20"/>
                <w:shd w:val="clear" w:color="auto" w:fill="FFFFFF"/>
                <w:lang w:val="en-US"/>
              </w:rPr>
              <w:t xml:space="preserve"> 12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(3) 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respective.</w:t>
            </w:r>
          </w:p>
          <w:p w14:paraId="109DA8DC" w14:textId="2FDA3955"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generate </w:t>
            </w:r>
            <w:proofErr w:type="spellStart"/>
            <w:r w:rsidRPr="00417AE6">
              <w:rPr>
                <w:rFonts w:eastAsia="Arial Unicode MS"/>
                <w:color w:val="000000" w:themeColor="text1"/>
                <w:sz w:val="20"/>
                <w:szCs w:val="20"/>
                <w:shd w:val="clear" w:color="auto" w:fill="FFFFFF"/>
                <w:lang w:val="en-US"/>
              </w:rPr>
              <w:t>până</w:t>
            </w:r>
            <w:proofErr w:type="spellEnd"/>
            <w:r w:rsidRPr="00417AE6">
              <w:rPr>
                <w:rFonts w:eastAsia="Arial Unicode MS"/>
                <w:color w:val="000000" w:themeColor="text1"/>
                <w:sz w:val="20"/>
                <w:szCs w:val="20"/>
                <w:shd w:val="clear" w:color="auto" w:fill="FFFFFF"/>
                <w:lang w:val="en-US"/>
              </w:rPr>
              <w:t xml:space="preserve"> la 31</w:t>
            </w:r>
            <w:r w:rsidR="00417AE6"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decembrie</w:t>
            </w:r>
            <w:proofErr w:type="spellEnd"/>
            <w:r w:rsidRPr="00417AE6">
              <w:rPr>
                <w:rFonts w:eastAsia="Arial Unicode MS"/>
                <w:color w:val="000000" w:themeColor="text1"/>
                <w:sz w:val="20"/>
                <w:szCs w:val="20"/>
                <w:shd w:val="clear" w:color="auto" w:fill="FFFFFF"/>
                <w:lang w:val="en-US"/>
              </w:rPr>
              <w:t xml:space="preserve"> 2026 de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SEE și state care nu sunt enumerate în </w:t>
            </w:r>
            <w:proofErr w:type="spellStart"/>
            <w:r w:rsidRPr="00417AE6">
              <w:rPr>
                <w:rFonts w:eastAsia="Arial Unicode MS"/>
                <w:color w:val="000000" w:themeColor="text1"/>
                <w:sz w:val="20"/>
                <w:szCs w:val="20"/>
                <w:shd w:val="clear" w:color="auto" w:fill="FFFFFF"/>
                <w:lang w:val="en-US"/>
              </w:rPr>
              <w:t>actul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alineatului</w:t>
            </w:r>
            <w:proofErr w:type="spellEnd"/>
            <w:r w:rsidRPr="00417AE6">
              <w:rPr>
                <w:rFonts w:eastAsia="Arial Unicode MS"/>
                <w:color w:val="000000" w:themeColor="text1"/>
                <w:sz w:val="20"/>
                <w:szCs w:val="20"/>
                <w:shd w:val="clear" w:color="auto" w:fill="FFFFFF"/>
                <w:lang w:val="en-US"/>
              </w:rPr>
              <w:t xml:space="preserve"> (3) de la </w:t>
            </w:r>
            <w:proofErr w:type="spellStart"/>
            <w:r w:rsidRPr="00417AE6">
              <w:rPr>
                <w:rFonts w:eastAsia="Arial Unicode MS"/>
                <w:color w:val="000000" w:themeColor="text1"/>
                <w:sz w:val="20"/>
                <w:szCs w:val="20"/>
                <w:shd w:val="clear" w:color="auto" w:fill="FFFFFF"/>
                <w:lang w:val="en-US"/>
              </w:rPr>
              <w:t>prezentul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decât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înspre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Elveția</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Regatul</w:t>
            </w:r>
            <w:proofErr w:type="spellEnd"/>
            <w:r w:rsidRPr="00417AE6">
              <w:rPr>
                <w:rFonts w:eastAsia="Arial Unicode MS"/>
                <w:color w:val="000000" w:themeColor="text1"/>
                <w:sz w:val="20"/>
                <w:szCs w:val="20"/>
                <w:shd w:val="clear" w:color="auto" w:fill="FFFFFF"/>
                <w:lang w:val="en-US"/>
              </w:rPr>
              <w:t xml:space="preserve"> Unit, </w:t>
            </w:r>
            <w:proofErr w:type="spellStart"/>
            <w:r w:rsidRPr="00417AE6">
              <w:rPr>
                <w:rFonts w:eastAsia="Arial Unicode MS"/>
                <w:color w:val="000000" w:themeColor="text1"/>
                <w:sz w:val="20"/>
                <w:szCs w:val="20"/>
                <w:shd w:val="clear" w:color="auto" w:fill="FFFFFF"/>
                <w:lang w:val="en-US"/>
              </w:rPr>
              <w:t>operatorii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nu sunt </w:t>
            </w:r>
            <w:proofErr w:type="spellStart"/>
            <w:r w:rsidRPr="00417AE6">
              <w:rPr>
                <w:rFonts w:eastAsia="Arial Unicode MS"/>
                <w:color w:val="000000" w:themeColor="text1"/>
                <w:sz w:val="20"/>
                <w:szCs w:val="20"/>
                <w:shd w:val="clear" w:color="auto" w:fill="FFFFFF"/>
                <w:lang w:val="en-US"/>
              </w:rPr>
              <w:t>obligați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restituie</w:t>
            </w:r>
            <w:proofErr w:type="spellEnd"/>
            <w:r w:rsidRPr="00417AE6">
              <w:rPr>
                <w:rFonts w:eastAsia="Arial Unicode MS"/>
                <w:color w:val="000000" w:themeColor="text1"/>
                <w:sz w:val="20"/>
                <w:szCs w:val="20"/>
                <w:shd w:val="clear" w:color="auto" w:fill="FFFFFF"/>
                <w:lang w:val="en-US"/>
              </w:rPr>
              <w:t xml:space="preserve"> certificate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12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(3) 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respective.</w:t>
            </w:r>
          </w:p>
          <w:p w14:paraId="0B63B559" w14:textId="73E491DE"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generate de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înspre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dinspre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țările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puțin</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dezvoltate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insulare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mici</w:t>
            </w:r>
            <w:proofErr w:type="spellEnd"/>
            <w:r w:rsidRPr="00417AE6">
              <w:rPr>
                <w:rFonts w:eastAsia="Arial Unicode MS"/>
                <w:color w:val="000000" w:themeColor="text1"/>
                <w:sz w:val="20"/>
                <w:szCs w:val="20"/>
                <w:shd w:val="clear" w:color="auto" w:fill="FFFFFF"/>
                <w:lang w:val="en-US"/>
              </w:rPr>
              <w:t xml:space="preserve"> în curs de </w:t>
            </w:r>
            <w:proofErr w:type="spellStart"/>
            <w:r w:rsidRPr="00417AE6">
              <w:rPr>
                <w:rFonts w:eastAsia="Arial Unicode MS"/>
                <w:color w:val="000000" w:themeColor="text1"/>
                <w:sz w:val="20"/>
                <w:szCs w:val="20"/>
                <w:shd w:val="clear" w:color="auto" w:fill="FFFFFF"/>
                <w:lang w:val="en-US"/>
              </w:rPr>
              <w:t>dezvoltare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cum sunt definite de </w:t>
            </w:r>
            <w:proofErr w:type="spellStart"/>
            <w:r w:rsidRPr="00417AE6">
              <w:rPr>
                <w:rFonts w:eastAsia="Arial Unicode MS"/>
                <w:color w:val="000000" w:themeColor="text1"/>
                <w:sz w:val="20"/>
                <w:szCs w:val="20"/>
                <w:shd w:val="clear" w:color="auto" w:fill="FFFFFF"/>
                <w:lang w:val="en-US"/>
              </w:rPr>
              <w:t>Organizația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Națiunilor</w:t>
            </w:r>
            <w:proofErr w:type="spellEnd"/>
            <w:r w:rsidRPr="00417AE6">
              <w:rPr>
                <w:rFonts w:eastAsia="Arial Unicode MS"/>
                <w:color w:val="000000" w:themeColor="text1"/>
                <w:sz w:val="20"/>
                <w:szCs w:val="20"/>
                <w:shd w:val="clear" w:color="auto" w:fill="FFFFFF"/>
                <w:lang w:val="en-US"/>
              </w:rPr>
              <w:t xml:space="preserve"> Unite, </w:t>
            </w:r>
            <w:proofErr w:type="spellStart"/>
            <w:r w:rsidRPr="00417AE6">
              <w:rPr>
                <w:rFonts w:eastAsia="Arial Unicode MS"/>
                <w:color w:val="000000" w:themeColor="text1"/>
                <w:sz w:val="20"/>
                <w:szCs w:val="20"/>
                <w:shd w:val="clear" w:color="auto" w:fill="FFFFFF"/>
                <w:lang w:val="en-US"/>
              </w:rPr>
              <w:t>altele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decât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actul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alineatului</w:t>
            </w:r>
            <w:proofErr w:type="spellEnd"/>
            <w:r w:rsidRPr="00417AE6">
              <w:rPr>
                <w:rFonts w:eastAsia="Arial Unicode MS"/>
                <w:color w:val="000000" w:themeColor="text1"/>
                <w:sz w:val="20"/>
                <w:szCs w:val="20"/>
                <w:shd w:val="clear" w:color="auto" w:fill="FFFFFF"/>
                <w:lang w:val="en-US"/>
              </w:rPr>
              <w:t xml:space="preserve"> (3) și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al </w:t>
            </w:r>
            <w:proofErr w:type="spellStart"/>
            <w:r w:rsidRPr="00417AE6">
              <w:rPr>
                <w:rFonts w:eastAsia="Arial Unicode MS"/>
                <w:color w:val="000000" w:themeColor="text1"/>
                <w:sz w:val="20"/>
                <w:szCs w:val="20"/>
                <w:shd w:val="clear" w:color="auto" w:fill="FFFFFF"/>
                <w:lang w:val="en-US"/>
              </w:rPr>
              <w:t>căror</w:t>
            </w:r>
            <w:proofErr w:type="spellEnd"/>
            <w:r w:rsidRPr="00417AE6">
              <w:rPr>
                <w:rFonts w:eastAsia="Arial Unicode MS"/>
                <w:color w:val="000000" w:themeColor="text1"/>
                <w:sz w:val="20"/>
                <w:szCs w:val="20"/>
                <w:shd w:val="clear" w:color="auto" w:fill="FFFFFF"/>
                <w:lang w:val="en-US"/>
              </w:rPr>
              <w:t xml:space="preserve"> PIB pe cap de </w:t>
            </w:r>
            <w:proofErr w:type="spellStart"/>
            <w:r w:rsidRPr="00417AE6">
              <w:rPr>
                <w:rFonts w:eastAsia="Arial Unicode MS"/>
                <w:color w:val="000000" w:themeColor="text1"/>
                <w:sz w:val="20"/>
                <w:szCs w:val="20"/>
                <w:shd w:val="clear" w:color="auto" w:fill="FFFFFF"/>
                <w:lang w:val="en-US"/>
              </w:rPr>
              <w:t>locuitor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egal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mare </w:t>
            </w:r>
            <w:proofErr w:type="spellStart"/>
            <w:r w:rsidRPr="00417AE6">
              <w:rPr>
                <w:rFonts w:eastAsia="Arial Unicode MS"/>
                <w:color w:val="000000" w:themeColor="text1"/>
                <w:sz w:val="20"/>
                <w:szCs w:val="20"/>
                <w:shd w:val="clear" w:color="auto" w:fill="FFFFFF"/>
                <w:lang w:val="en-US"/>
              </w:rPr>
              <w:t>decât</w:t>
            </w:r>
            <w:proofErr w:type="spellEnd"/>
            <w:r w:rsidRPr="00417AE6">
              <w:rPr>
                <w:rFonts w:eastAsia="Arial Unicode MS"/>
                <w:color w:val="000000" w:themeColor="text1"/>
                <w:sz w:val="20"/>
                <w:szCs w:val="20"/>
                <w:shd w:val="clear" w:color="auto" w:fill="FFFFFF"/>
                <w:lang w:val="en-US"/>
              </w:rPr>
              <w:t xml:space="preserve"> media </w:t>
            </w:r>
            <w:proofErr w:type="spellStart"/>
            <w:r w:rsidRPr="00417AE6">
              <w:rPr>
                <w:rFonts w:eastAsia="Arial Unicode MS"/>
                <w:color w:val="000000" w:themeColor="text1"/>
                <w:sz w:val="20"/>
                <w:szCs w:val="20"/>
                <w:shd w:val="clear" w:color="auto" w:fill="FFFFFF"/>
                <w:lang w:val="en-US"/>
              </w:rPr>
              <w:t>Uniunii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nu sunt </w:t>
            </w:r>
            <w:proofErr w:type="spellStart"/>
            <w:r w:rsidRPr="00417AE6">
              <w:rPr>
                <w:rFonts w:eastAsia="Arial Unicode MS"/>
                <w:color w:val="000000" w:themeColor="text1"/>
                <w:sz w:val="20"/>
                <w:szCs w:val="20"/>
                <w:shd w:val="clear" w:color="auto" w:fill="FFFFFF"/>
                <w:lang w:val="en-US"/>
              </w:rPr>
              <w:t>obligați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restituie</w:t>
            </w:r>
            <w:proofErr w:type="spellEnd"/>
            <w:r w:rsidRPr="00417AE6">
              <w:rPr>
                <w:rFonts w:eastAsia="Arial Unicode MS"/>
                <w:color w:val="000000" w:themeColor="text1"/>
                <w:sz w:val="20"/>
                <w:szCs w:val="20"/>
                <w:shd w:val="clear" w:color="auto" w:fill="FFFFFF"/>
                <w:lang w:val="en-US"/>
              </w:rPr>
              <w:t xml:space="preserve"> certificate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12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(3) 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respective.</w:t>
            </w:r>
          </w:p>
          <w:p w14:paraId="0B30DE5E" w14:textId="1B142BBC"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stabilește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există o </w:t>
            </w:r>
            <w:proofErr w:type="spellStart"/>
            <w:r w:rsidRPr="00417AE6">
              <w:rPr>
                <w:rFonts w:eastAsia="Arial Unicode MS"/>
                <w:color w:val="000000" w:themeColor="text1"/>
                <w:sz w:val="20"/>
                <w:szCs w:val="20"/>
                <w:shd w:val="clear" w:color="auto" w:fill="FFFFFF"/>
                <w:lang w:val="en-US"/>
              </w:rPr>
              <w:t>denaturare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semnificativă</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concurenței</w:t>
            </w:r>
            <w:proofErr w:type="spellEnd"/>
            <w:r w:rsidRPr="00417AE6">
              <w:rPr>
                <w:rFonts w:eastAsia="Arial Unicode MS"/>
                <w:color w:val="000000" w:themeColor="text1"/>
                <w:sz w:val="20"/>
                <w:szCs w:val="20"/>
                <w:shd w:val="clear" w:color="auto" w:fill="FFFFFF"/>
                <w:lang w:val="en-US"/>
              </w:rPr>
              <w:t xml:space="preserve">, cum </w:t>
            </w:r>
            <w:proofErr w:type="spellStart"/>
            <w:r w:rsidRPr="00417AE6">
              <w:rPr>
                <w:rFonts w:eastAsia="Arial Unicode MS"/>
                <w:color w:val="000000" w:themeColor="text1"/>
                <w:sz w:val="20"/>
                <w:szCs w:val="20"/>
                <w:shd w:val="clear" w:color="auto" w:fill="FFFFFF"/>
                <w:lang w:val="en-US"/>
              </w:rPr>
              <w:t>ar</w:t>
            </w:r>
            <w:proofErr w:type="spellEnd"/>
            <w:r w:rsidRPr="00417AE6">
              <w:rPr>
                <w:rFonts w:eastAsia="Arial Unicode MS"/>
                <w:color w:val="000000" w:themeColor="text1"/>
                <w:sz w:val="20"/>
                <w:szCs w:val="20"/>
                <w:shd w:val="clear" w:color="auto" w:fill="FFFFFF"/>
                <w:lang w:val="en-US"/>
              </w:rPr>
              <w:t xml:space="preserve"> fi o </w:t>
            </w:r>
            <w:proofErr w:type="spellStart"/>
            <w:r w:rsidRPr="00417AE6">
              <w:rPr>
                <w:rFonts w:eastAsia="Arial Unicode MS"/>
                <w:color w:val="000000" w:themeColor="text1"/>
                <w:sz w:val="20"/>
                <w:szCs w:val="20"/>
                <w:shd w:val="clear" w:color="auto" w:fill="FFFFFF"/>
                <w:lang w:val="en-US"/>
              </w:rPr>
              <w:t>denaturare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cauzată</w:t>
            </w:r>
            <w:proofErr w:type="spellEnd"/>
            <w:r w:rsidRPr="00417AE6">
              <w:rPr>
                <w:rFonts w:eastAsia="Arial Unicode MS"/>
                <w:color w:val="000000" w:themeColor="text1"/>
                <w:sz w:val="20"/>
                <w:szCs w:val="20"/>
                <w:shd w:val="clear" w:color="auto" w:fill="FFFFFF"/>
                <w:lang w:val="en-US"/>
              </w:rPr>
              <w:t xml:space="preserve"> de o </w:t>
            </w:r>
            <w:proofErr w:type="spellStart"/>
            <w:r w:rsidRPr="00417AE6">
              <w:rPr>
                <w:rFonts w:eastAsia="Arial Unicode MS"/>
                <w:color w:val="000000" w:themeColor="text1"/>
                <w:sz w:val="20"/>
                <w:szCs w:val="20"/>
                <w:shd w:val="clear" w:color="auto" w:fill="FFFFFF"/>
                <w:lang w:val="en-US"/>
              </w:rPr>
              <w:t>țară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terță</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CORSIA </w:t>
            </w:r>
            <w:proofErr w:type="spellStart"/>
            <w:r w:rsidRPr="00417AE6">
              <w:rPr>
                <w:rFonts w:eastAsia="Arial Unicode MS"/>
                <w:color w:val="000000" w:themeColor="text1"/>
                <w:sz w:val="20"/>
                <w:szCs w:val="20"/>
                <w:shd w:val="clear" w:color="auto" w:fill="FFFFFF"/>
                <w:lang w:val="en-US"/>
              </w:rPr>
              <w:t>într</w:t>
            </w:r>
            <w:proofErr w:type="spellEnd"/>
            <w:r w:rsidRPr="00417AE6">
              <w:rPr>
                <w:rFonts w:eastAsia="Arial Unicode MS"/>
                <w:color w:val="000000" w:themeColor="text1"/>
                <w:sz w:val="20"/>
                <w:szCs w:val="20"/>
                <w:shd w:val="clear" w:color="auto" w:fill="FFFFFF"/>
                <w:lang w:val="en-US"/>
              </w:rPr>
              <w:t xml:space="preserve">-un mod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puțin</w:t>
            </w:r>
            <w:proofErr w:type="spellEnd"/>
            <w:r w:rsidRPr="00417AE6">
              <w:rPr>
                <w:rFonts w:eastAsia="Arial Unicode MS"/>
                <w:color w:val="000000" w:themeColor="text1"/>
                <w:sz w:val="20"/>
                <w:szCs w:val="20"/>
                <w:shd w:val="clear" w:color="auto" w:fill="FFFFFF"/>
                <w:lang w:val="en-US"/>
              </w:rPr>
              <w:t xml:space="preserve"> strict în </w:t>
            </w:r>
            <w:proofErr w:type="spellStart"/>
            <w:r w:rsidRPr="00417AE6">
              <w:rPr>
                <w:rFonts w:eastAsia="Arial Unicode MS"/>
                <w:color w:val="000000" w:themeColor="text1"/>
                <w:sz w:val="20"/>
                <w:szCs w:val="20"/>
                <w:shd w:val="clear" w:color="auto" w:fill="FFFFFF"/>
                <w:lang w:val="en-US"/>
              </w:rPr>
              <w:t>dreptul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național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care nu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dispozițiile</w:t>
            </w:r>
            <w:proofErr w:type="spellEnd"/>
            <w:r w:rsidRPr="00417AE6">
              <w:rPr>
                <w:rFonts w:eastAsia="Arial Unicode MS"/>
                <w:color w:val="000000" w:themeColor="text1"/>
                <w:sz w:val="20"/>
                <w:szCs w:val="20"/>
                <w:shd w:val="clear" w:color="auto" w:fill="FFFFFF"/>
                <w:lang w:val="en-US"/>
              </w:rPr>
              <w:t xml:space="preserve"> CORSIA în mod </w:t>
            </w:r>
            <w:r w:rsidRPr="00417AE6">
              <w:rPr>
                <w:rFonts w:eastAsia="Arial Unicode MS"/>
                <w:color w:val="000000" w:themeColor="text1"/>
                <w:sz w:val="20"/>
                <w:szCs w:val="20"/>
                <w:shd w:val="clear" w:color="auto" w:fill="FFFFFF"/>
                <w:lang w:val="en-US"/>
              </w:rPr>
              <w:lastRenderedPageBreak/>
              <w:t xml:space="preserve">egal </w:t>
            </w:r>
            <w:proofErr w:type="spellStart"/>
            <w:r w:rsidRPr="00417AE6">
              <w:rPr>
                <w:rFonts w:eastAsia="Arial Unicode MS"/>
                <w:color w:val="000000" w:themeColor="text1"/>
                <w:sz w:val="20"/>
                <w:szCs w:val="20"/>
                <w:shd w:val="clear" w:color="auto" w:fill="FFFFFF"/>
                <w:lang w:val="en-US"/>
              </w:rPr>
              <w:t>tuturor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detrimentul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dețin</w:t>
            </w:r>
            <w:proofErr w:type="spellEnd"/>
            <w:r w:rsidRPr="00417AE6">
              <w:rPr>
                <w:rFonts w:eastAsia="Arial Unicode MS"/>
                <w:color w:val="000000" w:themeColor="text1"/>
                <w:sz w:val="20"/>
                <w:szCs w:val="20"/>
                <w:shd w:val="clear" w:color="auto" w:fill="FFFFFF"/>
                <w:lang w:val="en-US"/>
              </w:rPr>
              <w:t xml:space="preserve"> un </w:t>
            </w:r>
            <w:proofErr w:type="spellStart"/>
            <w:r w:rsidRPr="00417AE6">
              <w:rPr>
                <w:rFonts w:eastAsia="Arial Unicode MS"/>
                <w:color w:val="000000" w:themeColor="text1"/>
                <w:sz w:val="20"/>
                <w:szCs w:val="20"/>
                <w:shd w:val="clear" w:color="auto" w:fill="FFFFFF"/>
                <w:lang w:val="en-US"/>
              </w:rPr>
              <w:t>certificat</w:t>
            </w:r>
            <w:proofErr w:type="spellEnd"/>
            <w:r w:rsidRPr="00417AE6">
              <w:rPr>
                <w:rFonts w:eastAsia="Arial Unicode MS"/>
                <w:color w:val="000000" w:themeColor="text1"/>
                <w:sz w:val="20"/>
                <w:szCs w:val="20"/>
                <w:shd w:val="clear" w:color="auto" w:fill="FFFFFF"/>
                <w:lang w:val="en-US"/>
              </w:rPr>
              <w:t xml:space="preserve"> de operator </w:t>
            </w:r>
            <w:proofErr w:type="spellStart"/>
            <w:r w:rsidRPr="00417AE6">
              <w:rPr>
                <w:rFonts w:eastAsia="Arial Unicode MS"/>
                <w:color w:val="000000" w:themeColor="text1"/>
                <w:sz w:val="20"/>
                <w:szCs w:val="20"/>
                <w:shd w:val="clear" w:color="auto" w:fill="FFFFFF"/>
                <w:lang w:val="en-US"/>
              </w:rPr>
              <w:t>aerian</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eliberat</w:t>
            </w:r>
            <w:proofErr w:type="spellEnd"/>
            <w:r w:rsidRPr="00417AE6">
              <w:rPr>
                <w:rFonts w:eastAsia="Arial Unicode MS"/>
                <w:color w:val="000000" w:themeColor="text1"/>
                <w:sz w:val="20"/>
                <w:szCs w:val="20"/>
                <w:shd w:val="clear" w:color="auto" w:fill="FFFFFF"/>
                <w:lang w:val="en-US"/>
              </w:rPr>
              <w:t xml:space="preserve"> de un stat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care sunt </w:t>
            </w:r>
            <w:proofErr w:type="spellStart"/>
            <w:r w:rsidRPr="00417AE6">
              <w:rPr>
                <w:rFonts w:eastAsia="Arial Unicode MS"/>
                <w:color w:val="000000" w:themeColor="text1"/>
                <w:sz w:val="20"/>
                <w:szCs w:val="20"/>
                <w:shd w:val="clear" w:color="auto" w:fill="FFFFFF"/>
                <w:lang w:val="en-US"/>
              </w:rPr>
              <w:t>înregistrați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într</w:t>
            </w:r>
            <w:proofErr w:type="spellEnd"/>
            <w:r w:rsidRPr="00417AE6">
              <w:rPr>
                <w:rFonts w:eastAsia="Arial Unicode MS"/>
                <w:color w:val="000000" w:themeColor="text1"/>
                <w:sz w:val="20"/>
                <w:szCs w:val="20"/>
                <w:shd w:val="clear" w:color="auto" w:fill="FFFFFF"/>
                <w:lang w:val="en-US"/>
              </w:rPr>
              <w:t xml:space="preserve">-un stat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inclusiv</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regiunile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ultraperiferice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teritoriile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dependente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teritoriile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excepta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respectivi</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aplicarea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cerințelor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compensare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prevăzute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12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(9) 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generate de </w:t>
            </w:r>
            <w:proofErr w:type="spellStart"/>
            <w:r w:rsidRPr="00417AE6">
              <w:rPr>
                <w:rFonts w:eastAsia="Arial Unicode MS"/>
                <w:color w:val="000000" w:themeColor="text1"/>
                <w:sz w:val="20"/>
                <w:szCs w:val="20"/>
                <w:shd w:val="clear" w:color="auto" w:fill="FFFFFF"/>
                <w:lang w:val="en-US"/>
              </w:rPr>
              <w:t>zborurile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înspre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dinspre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state. </w:t>
            </w:r>
            <w:proofErr w:type="spellStart"/>
            <w:r w:rsidRPr="00417AE6">
              <w:rPr>
                <w:rFonts w:eastAsia="Arial Unicode MS"/>
                <w:color w:val="000000" w:themeColor="text1"/>
                <w:sz w:val="20"/>
                <w:szCs w:val="20"/>
                <w:shd w:val="clear" w:color="auto" w:fill="FFFFFF"/>
                <w:lang w:val="en-US"/>
              </w:rPr>
              <w:t>Actele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respective se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procedura</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examinare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22a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(2).</w:t>
            </w:r>
          </w:p>
          <w:p w14:paraId="6CCF771D" w14:textId="6E9AE5B7" w:rsidR="00124364" w:rsidRPr="00417AE6" w:rsidRDefault="00000000" w:rsidP="00417AE6">
            <w:pPr>
              <w:pStyle w:val="ti-art"/>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operatorii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dețin</w:t>
            </w:r>
            <w:proofErr w:type="spellEnd"/>
            <w:r w:rsidRPr="00417AE6">
              <w:rPr>
                <w:rFonts w:eastAsia="Arial Unicode MS"/>
                <w:color w:val="000000" w:themeColor="text1"/>
                <w:sz w:val="20"/>
                <w:szCs w:val="20"/>
                <w:shd w:val="clear" w:color="auto" w:fill="FFFFFF"/>
                <w:lang w:val="en-US"/>
              </w:rPr>
              <w:t xml:space="preserve"> un </w:t>
            </w:r>
            <w:proofErr w:type="spellStart"/>
            <w:r w:rsidRPr="00417AE6">
              <w:rPr>
                <w:rFonts w:eastAsia="Arial Unicode MS"/>
                <w:color w:val="000000" w:themeColor="text1"/>
                <w:sz w:val="20"/>
                <w:szCs w:val="20"/>
                <w:shd w:val="clear" w:color="auto" w:fill="FFFFFF"/>
                <w:lang w:val="en-US"/>
              </w:rPr>
              <w:t>certificat</w:t>
            </w:r>
            <w:proofErr w:type="spellEnd"/>
            <w:r w:rsidRPr="00417AE6">
              <w:rPr>
                <w:rFonts w:eastAsia="Arial Unicode MS"/>
                <w:color w:val="000000" w:themeColor="text1"/>
                <w:sz w:val="20"/>
                <w:szCs w:val="20"/>
                <w:shd w:val="clear" w:color="auto" w:fill="FFFFFF"/>
                <w:lang w:val="en-US"/>
              </w:rPr>
              <w:t xml:space="preserve"> de operator </w:t>
            </w:r>
            <w:proofErr w:type="spellStart"/>
            <w:r w:rsidRPr="00417AE6">
              <w:rPr>
                <w:rFonts w:eastAsia="Arial Unicode MS"/>
                <w:color w:val="000000" w:themeColor="text1"/>
                <w:sz w:val="20"/>
                <w:szCs w:val="20"/>
                <w:shd w:val="clear" w:color="auto" w:fill="FFFFFF"/>
                <w:lang w:val="en-US"/>
              </w:rPr>
              <w:t>aerian</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eliberat</w:t>
            </w:r>
            <w:proofErr w:type="spellEnd"/>
            <w:r w:rsidRPr="00417AE6">
              <w:rPr>
                <w:rFonts w:eastAsia="Arial Unicode MS"/>
                <w:color w:val="000000" w:themeColor="text1"/>
                <w:sz w:val="20"/>
                <w:szCs w:val="20"/>
                <w:shd w:val="clear" w:color="auto" w:fill="FFFFFF"/>
                <w:lang w:val="en-US"/>
              </w:rPr>
              <w:t xml:space="preserve"> de un stat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sunt </w:t>
            </w:r>
            <w:proofErr w:type="spellStart"/>
            <w:r w:rsidRPr="00417AE6">
              <w:rPr>
                <w:rFonts w:eastAsia="Arial Unicode MS"/>
                <w:color w:val="000000" w:themeColor="text1"/>
                <w:sz w:val="20"/>
                <w:szCs w:val="20"/>
                <w:shd w:val="clear" w:color="auto" w:fill="FFFFFF"/>
                <w:lang w:val="en-US"/>
              </w:rPr>
              <w:t>înregistrați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într</w:t>
            </w:r>
            <w:proofErr w:type="spellEnd"/>
            <w:r w:rsidRPr="00417AE6">
              <w:rPr>
                <w:rFonts w:eastAsia="Arial Unicode MS"/>
                <w:color w:val="000000" w:themeColor="text1"/>
                <w:sz w:val="20"/>
                <w:szCs w:val="20"/>
                <w:shd w:val="clear" w:color="auto" w:fill="FFFFFF"/>
                <w:lang w:val="en-US"/>
              </w:rPr>
              <w:t xml:space="preserve">-un stat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inclusiv</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regiunile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ultraperiferice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teritoriile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dependente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teritoriile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operează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zboruri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două</w:t>
            </w:r>
            <w:proofErr w:type="spellEnd"/>
            <w:r w:rsidRPr="00417AE6">
              <w:rPr>
                <w:rFonts w:eastAsia="Arial Unicode MS"/>
                <w:color w:val="000000" w:themeColor="text1"/>
                <w:sz w:val="20"/>
                <w:szCs w:val="20"/>
                <w:shd w:val="clear" w:color="auto" w:fill="FFFFFF"/>
                <w:lang w:val="en-US"/>
              </w:rPr>
              <w:t xml:space="preserve"> state </w:t>
            </w:r>
            <w:proofErr w:type="spellStart"/>
            <w:r w:rsidRPr="00417AE6">
              <w:rPr>
                <w:rFonts w:eastAsia="Arial Unicode MS"/>
                <w:color w:val="000000" w:themeColor="text1"/>
                <w:sz w:val="20"/>
                <w:szCs w:val="20"/>
                <w:shd w:val="clear" w:color="auto" w:fill="FFFFFF"/>
                <w:lang w:val="en-US"/>
              </w:rPr>
              <w:t>diferite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actul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alineatului</w:t>
            </w:r>
            <w:proofErr w:type="spellEnd"/>
            <w:r w:rsidRPr="00417AE6">
              <w:rPr>
                <w:rFonts w:eastAsia="Arial Unicode MS"/>
                <w:color w:val="000000" w:themeColor="text1"/>
                <w:sz w:val="20"/>
                <w:szCs w:val="20"/>
                <w:shd w:val="clear" w:color="auto" w:fill="FFFFFF"/>
                <w:lang w:val="en-US"/>
              </w:rPr>
              <w:t xml:space="preserve"> (3) de la </w:t>
            </w:r>
            <w:proofErr w:type="spellStart"/>
            <w:r w:rsidRPr="00417AE6">
              <w:rPr>
                <w:rFonts w:eastAsia="Arial Unicode MS"/>
                <w:color w:val="000000" w:themeColor="text1"/>
                <w:sz w:val="20"/>
                <w:szCs w:val="20"/>
                <w:shd w:val="clear" w:color="auto" w:fill="FFFFFF"/>
                <w:lang w:val="en-US"/>
              </w:rPr>
              <w:t>prezentul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inclusiv</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zboruri</w:t>
            </w:r>
            <w:proofErr w:type="spellEnd"/>
            <w:r w:rsidRPr="00417AE6">
              <w:rPr>
                <w:rFonts w:eastAsia="Arial Unicode MS"/>
                <w:color w:val="000000" w:themeColor="text1"/>
                <w:sz w:val="20"/>
                <w:szCs w:val="20"/>
                <w:shd w:val="clear" w:color="auto" w:fill="FFFFFF"/>
                <w:lang w:val="en-US"/>
              </w:rPr>
              <w:t xml:space="preserve"> care au loc </w:t>
            </w:r>
            <w:proofErr w:type="spellStart"/>
            <w:r w:rsidRPr="00417AE6">
              <w:rPr>
                <w:rFonts w:eastAsia="Arial Unicode MS"/>
                <w:color w:val="000000" w:themeColor="text1"/>
                <w:sz w:val="20"/>
                <w:szCs w:val="20"/>
                <w:shd w:val="clear" w:color="auto" w:fill="FFFFFF"/>
                <w:lang w:val="en-US"/>
              </w:rPr>
              <w:t>între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Elveția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Regatul</w:t>
            </w:r>
            <w:proofErr w:type="spellEnd"/>
            <w:r w:rsidRPr="00417AE6">
              <w:rPr>
                <w:rFonts w:eastAsia="Arial Unicode MS"/>
                <w:color w:val="000000" w:themeColor="text1"/>
                <w:sz w:val="20"/>
                <w:szCs w:val="20"/>
                <w:shd w:val="clear" w:color="auto" w:fill="FFFFFF"/>
                <w:lang w:val="en-US"/>
              </w:rPr>
              <w:t xml:space="preserve"> Unit și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actul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alineatului</w:t>
            </w:r>
            <w:proofErr w:type="spellEnd"/>
            <w:r w:rsidRPr="00417AE6">
              <w:rPr>
                <w:rFonts w:eastAsia="Arial Unicode MS"/>
                <w:color w:val="000000" w:themeColor="text1"/>
                <w:sz w:val="20"/>
                <w:szCs w:val="20"/>
                <w:shd w:val="clear" w:color="auto" w:fill="FFFFFF"/>
                <w:lang w:val="en-US"/>
              </w:rPr>
              <w:t xml:space="preserve"> (3) de la </w:t>
            </w:r>
            <w:proofErr w:type="spellStart"/>
            <w:r w:rsidRPr="00417AE6">
              <w:rPr>
                <w:rFonts w:eastAsia="Arial Unicode MS"/>
                <w:color w:val="000000" w:themeColor="text1"/>
                <w:sz w:val="20"/>
                <w:szCs w:val="20"/>
                <w:shd w:val="clear" w:color="auto" w:fill="FFFFFF"/>
                <w:lang w:val="en-US"/>
              </w:rPr>
              <w:t>prezentul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iar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respectivele</w:t>
            </w:r>
            <w:proofErr w:type="spellEnd"/>
            <w:r w:rsidRPr="00417AE6">
              <w:rPr>
                <w:rFonts w:eastAsia="Arial Unicode MS"/>
                <w:color w:val="000000" w:themeColor="text1"/>
                <w:sz w:val="20"/>
                <w:szCs w:val="20"/>
                <w:shd w:val="clear" w:color="auto" w:fill="FFFFFF"/>
                <w:lang w:val="en-US"/>
              </w:rPr>
              <w:t xml:space="preserve"> state permit </w:t>
            </w:r>
            <w:proofErr w:type="spellStart"/>
            <w:r w:rsidRPr="00417AE6">
              <w:rPr>
                <w:rFonts w:eastAsia="Arial Unicode MS"/>
                <w:color w:val="000000" w:themeColor="text1"/>
                <w:sz w:val="20"/>
                <w:szCs w:val="20"/>
                <w:shd w:val="clear" w:color="auto" w:fill="FFFFFF"/>
                <w:lang w:val="en-US"/>
              </w:rPr>
              <w:t>operatorilor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utilizeze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unități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decât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cele</w:t>
            </w:r>
            <w:proofErr w:type="spellEnd"/>
            <w:r w:rsidRPr="00417AE6">
              <w:rPr>
                <w:rFonts w:eastAsia="Arial Unicode MS"/>
                <w:color w:val="000000" w:themeColor="text1"/>
                <w:sz w:val="20"/>
                <w:szCs w:val="20"/>
                <w:shd w:val="clear" w:color="auto" w:fill="FFFFFF"/>
                <w:lang w:val="en-US"/>
              </w:rPr>
              <w:t xml:space="preserve"> de pe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suplimentară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adoptată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11a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(8),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împuternicită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prin</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permită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operatorilor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aeronave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utilizeze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tipuri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unități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suplimentare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față</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cele</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nu </w:t>
            </w:r>
            <w:proofErr w:type="spellStart"/>
            <w:r w:rsidRPr="00417AE6">
              <w:rPr>
                <w:rFonts w:eastAsia="Arial Unicode MS"/>
                <w:color w:val="000000" w:themeColor="text1"/>
                <w:sz w:val="20"/>
                <w:szCs w:val="20"/>
                <w:shd w:val="clear" w:color="auto" w:fill="FFFFFF"/>
                <w:lang w:val="en-US"/>
              </w:rPr>
              <w:t>respecte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condițiile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prevăzute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11a </w:t>
            </w:r>
            <w:proofErr w:type="spellStart"/>
            <w:r w:rsidRPr="00417AE6">
              <w:rPr>
                <w:rFonts w:eastAsia="Arial Unicode MS"/>
                <w:color w:val="000000" w:themeColor="text1"/>
                <w:sz w:val="20"/>
                <w:szCs w:val="20"/>
                <w:shd w:val="clear" w:color="auto" w:fill="FFFFFF"/>
                <w:lang w:val="en-US"/>
              </w:rPr>
              <w:t>alineatele</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(2) și</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(3) în </w:t>
            </w:r>
            <w:proofErr w:type="spellStart"/>
            <w:r w:rsidRPr="00417AE6">
              <w:rPr>
                <w:rFonts w:eastAsia="Arial Unicode MS"/>
                <w:color w:val="000000" w:themeColor="text1"/>
                <w:sz w:val="20"/>
                <w:szCs w:val="20"/>
                <w:shd w:val="clear" w:color="auto" w:fill="FFFFFF"/>
                <w:lang w:val="en-US"/>
              </w:rPr>
              <w:t>ceea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zboruri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Actele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punere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aplicare</w:t>
            </w:r>
            <w:proofErr w:type="spellEnd"/>
            <w:r w:rsidRPr="00417AE6">
              <w:rPr>
                <w:rFonts w:eastAsia="Arial Unicode MS"/>
                <w:color w:val="000000" w:themeColor="text1"/>
                <w:sz w:val="20"/>
                <w:szCs w:val="20"/>
                <w:shd w:val="clear" w:color="auto" w:fill="FFFFFF"/>
                <w:lang w:val="en-US"/>
              </w:rPr>
              <w:t xml:space="preserve"> respective se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procedura</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examinare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22a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(2).</w:t>
            </w:r>
          </w:p>
          <w:p w14:paraId="6E1991D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12" w:tooltip="32003L0087" w:history="1">
              <w:r>
                <w:rPr>
                  <w:rStyle w:val="af3"/>
                  <w:rFonts w:eastAsia="Arial Unicode MS"/>
                  <w:b/>
                  <w:bCs/>
                  <w:color w:val="4472C4" w:themeColor="accent1"/>
                  <w:sz w:val="20"/>
                  <w:szCs w:val="20"/>
                </w:rPr>
                <w:t>▼B</w:t>
              </w:r>
            </w:hyperlink>
          </w:p>
        </w:tc>
        <w:tc>
          <w:tcPr>
            <w:tcW w:w="4394" w:type="dxa"/>
            <w:shd w:val="clear" w:color="auto" w:fill="auto"/>
          </w:tcPr>
          <w:p w14:paraId="65FDAE90"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66ED118" w14:textId="32C58542" w:rsidR="00124364" w:rsidRDefault="00417AE6" w:rsidP="00417AE6">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245858AB"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C4E4E84" w14:textId="5E9535AA" w:rsidR="00124364" w:rsidRDefault="00417AE6">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5DFEFED0" w14:textId="77777777" w:rsidR="00124364" w:rsidRDefault="00124364" w:rsidP="00417AE6">
            <w:pPr>
              <w:autoSpaceDE w:val="0"/>
              <w:spacing w:after="0" w:line="240" w:lineRule="auto"/>
              <w:rPr>
                <w:rFonts w:ascii="Times New Roman" w:hAnsi="Times New Roman"/>
                <w:sz w:val="20"/>
                <w:szCs w:val="20"/>
                <w:lang w:val="fr-FR"/>
              </w:rPr>
            </w:pPr>
          </w:p>
        </w:tc>
      </w:tr>
      <w:tr w:rsidR="00124364" w14:paraId="7E3AD8EB" w14:textId="77777777">
        <w:trPr>
          <w:trHeight w:val="558"/>
        </w:trPr>
        <w:tc>
          <w:tcPr>
            <w:tcW w:w="4957" w:type="dxa"/>
            <w:shd w:val="clear" w:color="auto" w:fill="auto"/>
          </w:tcPr>
          <w:p w14:paraId="1511CEE4"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26</w:t>
            </w:r>
          </w:p>
          <w:p w14:paraId="673ACF33" w14:textId="77777777" w:rsidR="00124364" w:rsidRPr="00E34C2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E34C2B">
              <w:rPr>
                <w:rFonts w:eastAsia="Arial Unicode MS"/>
                <w:b/>
                <w:bCs/>
                <w:color w:val="333333"/>
                <w:sz w:val="20"/>
                <w:szCs w:val="20"/>
                <w:shd w:val="clear" w:color="auto" w:fill="FFFFFF"/>
                <w:lang w:val="en-US"/>
              </w:rPr>
              <w:t>Modificarea</w:t>
            </w:r>
            <w:proofErr w:type="spellEnd"/>
            <w:r w:rsidRPr="00E34C2B">
              <w:rPr>
                <w:rFonts w:eastAsia="Arial Unicode MS"/>
                <w:b/>
                <w:bCs/>
                <w:color w:val="333333"/>
                <w:sz w:val="20"/>
                <w:szCs w:val="20"/>
                <w:shd w:val="clear" w:color="auto" w:fill="FFFFFF"/>
                <w:lang w:val="en-US"/>
              </w:rPr>
              <w:t xml:space="preserve"> </w:t>
            </w:r>
            <w:proofErr w:type="spellStart"/>
            <w:r w:rsidRPr="00E34C2B">
              <w:rPr>
                <w:rFonts w:eastAsia="Arial Unicode MS"/>
                <w:b/>
                <w:bCs/>
                <w:color w:val="333333"/>
                <w:sz w:val="20"/>
                <w:szCs w:val="20"/>
                <w:shd w:val="clear" w:color="auto" w:fill="FFFFFF"/>
                <w:lang w:val="en-US"/>
              </w:rPr>
              <w:t>Directivei</w:t>
            </w:r>
            <w:proofErr w:type="spellEnd"/>
            <w:r w:rsidRPr="00E34C2B">
              <w:rPr>
                <w:rFonts w:eastAsia="Arial Unicode MS"/>
                <w:b/>
                <w:bCs/>
                <w:color w:val="333333"/>
                <w:sz w:val="20"/>
                <w:szCs w:val="20"/>
                <w:shd w:val="clear" w:color="auto" w:fill="FFFFFF"/>
                <w:lang w:val="en-US"/>
              </w:rPr>
              <w:t xml:space="preserve"> 96/61/CE</w:t>
            </w:r>
          </w:p>
          <w:p w14:paraId="562BD794"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13" w:tooltip="32003L0087R(06): REPLACED" w:history="1">
              <w:r w:rsidRPr="00E34C2B">
                <w:rPr>
                  <w:rStyle w:val="af3"/>
                  <w:rFonts w:eastAsia="Arial Unicode MS"/>
                  <w:b/>
                  <w:bCs/>
                  <w:color w:val="4472C4" w:themeColor="accent1"/>
                  <w:sz w:val="20"/>
                  <w:szCs w:val="20"/>
                  <w:lang w:val="en-US"/>
                </w:rPr>
                <w:t>▼C2</w:t>
              </w:r>
            </w:hyperlink>
          </w:p>
          <w:p w14:paraId="6AFA32DD" w14:textId="6992530D"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La </w:t>
            </w:r>
            <w:proofErr w:type="spellStart"/>
            <w:r w:rsidRPr="00417AE6">
              <w:rPr>
                <w:rFonts w:eastAsia="Arial Unicode MS"/>
                <w:color w:val="000000" w:themeColor="text1"/>
                <w:sz w:val="20"/>
                <w:szCs w:val="20"/>
                <w:shd w:val="clear" w:color="auto" w:fill="FFFFFF"/>
                <w:lang w:val="en-US"/>
              </w:rPr>
              <w:t>articolul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9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(3) din </w:t>
            </w:r>
            <w:proofErr w:type="spellStart"/>
            <w:r w:rsidRPr="00417AE6">
              <w:rPr>
                <w:rFonts w:eastAsia="Arial Unicode MS"/>
                <w:color w:val="000000" w:themeColor="text1"/>
                <w:sz w:val="20"/>
                <w:szCs w:val="20"/>
                <w:shd w:val="clear" w:color="auto" w:fill="FFFFFF"/>
                <w:lang w:val="en-US"/>
              </w:rPr>
              <w:t>Directiva</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96/91/CE se </w:t>
            </w:r>
            <w:proofErr w:type="spellStart"/>
            <w:r w:rsidRPr="00417AE6">
              <w:rPr>
                <w:rFonts w:eastAsia="Arial Unicode MS"/>
                <w:color w:val="000000" w:themeColor="text1"/>
                <w:sz w:val="20"/>
                <w:szCs w:val="20"/>
                <w:shd w:val="clear" w:color="auto" w:fill="FFFFFF"/>
                <w:lang w:val="en-US"/>
              </w:rPr>
              <w:t>adaugă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următoarele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paragrafe</w:t>
            </w:r>
            <w:proofErr w:type="spellEnd"/>
            <w:r w:rsidRPr="00417AE6">
              <w:rPr>
                <w:rFonts w:eastAsia="Arial Unicode MS"/>
                <w:color w:val="000000" w:themeColor="text1"/>
                <w:sz w:val="20"/>
                <w:szCs w:val="20"/>
                <w:shd w:val="clear" w:color="auto" w:fill="FFFFFF"/>
                <w:lang w:val="en-US"/>
              </w:rPr>
              <w:t>:</w:t>
            </w:r>
          </w:p>
          <w:p w14:paraId="1B7E29EB" w14:textId="4D6B9DC3"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gaz</w:t>
            </w:r>
            <w:proofErr w:type="spellEnd"/>
            <w:r w:rsidRPr="00417AE6">
              <w:rPr>
                <w:rFonts w:eastAsia="Arial Unicode MS"/>
                <w:color w:val="000000" w:themeColor="text1"/>
                <w:sz w:val="20"/>
                <w:szCs w:val="20"/>
                <w:shd w:val="clear" w:color="auto" w:fill="FFFFFF"/>
                <w:lang w:val="en-US"/>
              </w:rPr>
              <w:t xml:space="preserve"> cu </w:t>
            </w:r>
            <w:proofErr w:type="spellStart"/>
            <w:r w:rsidRPr="00417AE6">
              <w:rPr>
                <w:rFonts w:eastAsia="Arial Unicode MS"/>
                <w:color w:val="000000" w:themeColor="text1"/>
                <w:sz w:val="20"/>
                <w:szCs w:val="20"/>
                <w:shd w:val="clear" w:color="auto" w:fill="FFFFFF"/>
                <w:lang w:val="en-US"/>
              </w:rPr>
              <w:t>efect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seră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w:t>
            </w:r>
            <w:proofErr w:type="spellEnd"/>
            <w:r w:rsidRPr="00417AE6">
              <w:rPr>
                <w:rFonts w:eastAsia="Arial Unicode MS"/>
                <w:color w:val="000000" w:themeColor="text1"/>
                <w:sz w:val="20"/>
                <w:szCs w:val="20"/>
                <w:shd w:val="clear" w:color="auto" w:fill="FFFFFF"/>
                <w:lang w:val="en-US"/>
              </w:rPr>
              <w:t xml:space="preserve">-o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sunt </w:t>
            </w:r>
            <w:proofErr w:type="spellStart"/>
            <w:r w:rsidRPr="00417AE6">
              <w:rPr>
                <w:rFonts w:eastAsia="Arial Unicode MS"/>
                <w:color w:val="000000" w:themeColor="text1"/>
                <w:sz w:val="20"/>
                <w:szCs w:val="20"/>
                <w:shd w:val="clear" w:color="auto" w:fill="FFFFFF"/>
                <w:lang w:val="en-US"/>
              </w:rPr>
              <w:t>specificate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anexa</w:t>
            </w:r>
            <w:proofErr w:type="spellEnd"/>
            <w:r w:rsidRPr="00417AE6">
              <w:rPr>
                <w:rFonts w:eastAsia="Arial Unicode MS"/>
                <w:color w:val="000000" w:themeColor="text1"/>
                <w:sz w:val="20"/>
                <w:szCs w:val="20"/>
                <w:shd w:val="clear" w:color="auto" w:fill="FFFFFF"/>
                <w:lang w:val="en-US"/>
              </w:rPr>
              <w:t xml:space="preserve"> I la </w:t>
            </w:r>
            <w:proofErr w:type="spellStart"/>
            <w:r w:rsidRPr="00417AE6">
              <w:rPr>
                <w:rFonts w:eastAsia="Arial Unicode MS"/>
                <w:color w:val="000000" w:themeColor="text1"/>
                <w:sz w:val="20"/>
                <w:szCs w:val="20"/>
                <w:shd w:val="clear" w:color="auto" w:fill="FFFFFF"/>
                <w:lang w:val="en-US"/>
              </w:rPr>
              <w:t>Directiva</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2003/87/CE a </w:t>
            </w:r>
            <w:proofErr w:type="spellStart"/>
            <w:r w:rsidRPr="00417AE6">
              <w:rPr>
                <w:rFonts w:eastAsia="Arial Unicode MS"/>
                <w:color w:val="000000" w:themeColor="text1"/>
                <w:sz w:val="20"/>
                <w:szCs w:val="20"/>
                <w:shd w:val="clear" w:color="auto" w:fill="FFFFFF"/>
                <w:lang w:val="en-US"/>
              </w:rPr>
              <w:t>Parlamentului</w:t>
            </w:r>
            <w:proofErr w:type="spellEnd"/>
            <w:r w:rsidRPr="00417AE6">
              <w:rPr>
                <w:rFonts w:eastAsia="Arial Unicode MS"/>
                <w:color w:val="000000" w:themeColor="text1"/>
                <w:sz w:val="20"/>
                <w:szCs w:val="20"/>
                <w:shd w:val="clear" w:color="auto" w:fill="FFFFFF"/>
                <w:lang w:val="en-US"/>
              </w:rPr>
              <w:t xml:space="preserve"> European și a </w:t>
            </w:r>
            <w:proofErr w:type="spellStart"/>
            <w:r w:rsidRPr="00417AE6">
              <w:rPr>
                <w:rFonts w:eastAsia="Arial Unicode MS"/>
                <w:color w:val="000000" w:themeColor="text1"/>
                <w:sz w:val="20"/>
                <w:szCs w:val="20"/>
                <w:shd w:val="clear" w:color="auto" w:fill="FFFFFF"/>
                <w:lang w:val="en-US"/>
              </w:rPr>
              <w:t>Consiliului</w:t>
            </w:r>
            <w:proofErr w:type="spellEnd"/>
            <w:r w:rsidRPr="00417AE6">
              <w:rPr>
                <w:rFonts w:eastAsia="Arial Unicode MS"/>
                <w:color w:val="000000" w:themeColor="text1"/>
                <w:sz w:val="20"/>
                <w:szCs w:val="20"/>
                <w:shd w:val="clear" w:color="auto" w:fill="FFFFFF"/>
                <w:lang w:val="en-US"/>
              </w:rPr>
              <w:t xml:space="preserve"> din 13</w:t>
            </w:r>
            <w:r w:rsidR="00417AE6"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octombrie</w:t>
            </w:r>
            <w:proofErr w:type="spellEnd"/>
            <w:r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lastRenderedPageBreak/>
              <w:t xml:space="preserve">2003 de </w:t>
            </w:r>
            <w:proofErr w:type="spellStart"/>
            <w:r w:rsidRPr="00417AE6">
              <w:rPr>
                <w:rFonts w:eastAsia="Arial Unicode MS"/>
                <w:color w:val="000000" w:themeColor="text1"/>
                <w:sz w:val="20"/>
                <w:szCs w:val="20"/>
                <w:shd w:val="clear" w:color="auto" w:fill="FFFFFF"/>
                <w:lang w:val="en-US"/>
              </w:rPr>
              <w:t>stabilire</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unei</w:t>
            </w:r>
            <w:proofErr w:type="spellEnd"/>
            <w:r w:rsidRPr="00417AE6">
              <w:rPr>
                <w:rFonts w:eastAsia="Arial Unicode MS"/>
                <w:color w:val="000000" w:themeColor="text1"/>
                <w:sz w:val="20"/>
                <w:szCs w:val="20"/>
                <w:shd w:val="clear" w:color="auto" w:fill="FFFFFF"/>
                <w:lang w:val="en-US"/>
              </w:rPr>
              <w:t xml:space="preserve"> scheme de </w:t>
            </w:r>
            <w:proofErr w:type="spellStart"/>
            <w:r w:rsidRPr="00417AE6">
              <w:rPr>
                <w:rFonts w:eastAsia="Arial Unicode MS"/>
                <w:color w:val="000000" w:themeColor="text1"/>
                <w:sz w:val="20"/>
                <w:szCs w:val="20"/>
                <w:shd w:val="clear" w:color="auto" w:fill="FFFFFF"/>
                <w:lang w:val="en-US"/>
              </w:rPr>
              <w:t>comercializare</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certificatelor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de gaze cu </w:t>
            </w:r>
            <w:proofErr w:type="spellStart"/>
            <w:r w:rsidRPr="00417AE6">
              <w:rPr>
                <w:rFonts w:eastAsia="Arial Unicode MS"/>
                <w:color w:val="000000" w:themeColor="text1"/>
                <w:sz w:val="20"/>
                <w:szCs w:val="20"/>
                <w:shd w:val="clear" w:color="auto" w:fill="FFFFFF"/>
                <w:lang w:val="en-US"/>
              </w:rPr>
              <w:t>efect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seră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cadrul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Comunității</w:t>
            </w:r>
            <w:proofErr w:type="spellEnd"/>
            <w:r w:rsidRPr="00417AE6">
              <w:rPr>
                <w:rFonts w:eastAsia="Arial Unicode MS"/>
                <w:color w:val="000000" w:themeColor="text1"/>
                <w:sz w:val="20"/>
                <w:szCs w:val="20"/>
                <w:shd w:val="clear" w:color="auto" w:fill="FFFFFF"/>
                <w:lang w:val="en-US"/>
              </w:rPr>
              <w:t xml:space="preserve"> și de </w:t>
            </w:r>
            <w:proofErr w:type="spellStart"/>
            <w:r w:rsidRPr="00417AE6">
              <w:rPr>
                <w:rFonts w:eastAsia="Arial Unicode MS"/>
                <w:color w:val="000000" w:themeColor="text1"/>
                <w:sz w:val="20"/>
                <w:szCs w:val="20"/>
                <w:shd w:val="clear" w:color="auto" w:fill="FFFFFF"/>
                <w:lang w:val="en-US"/>
              </w:rPr>
              <w:t>modificare</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Directivei</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96/61/CE a </w:t>
            </w:r>
            <w:proofErr w:type="spellStart"/>
            <w:r w:rsidRPr="00417AE6">
              <w:rPr>
                <w:rFonts w:eastAsia="Arial Unicode MS"/>
                <w:color w:val="000000" w:themeColor="text1"/>
                <w:sz w:val="20"/>
                <w:szCs w:val="20"/>
                <w:shd w:val="clear" w:color="auto" w:fill="FFFFFF"/>
                <w:lang w:val="en-US"/>
              </w:rPr>
              <w:t>Consiliului</w:t>
            </w:r>
            <w:proofErr w:type="spellEnd"/>
            <w:r w:rsidRPr="00417AE6">
              <w:rPr>
                <w:rFonts w:eastAsia="Arial Unicode MS"/>
                <w:color w:val="000000" w:themeColor="text1"/>
                <w:sz w:val="20"/>
                <w:szCs w:val="20"/>
                <w:shd w:val="clear" w:color="auto" w:fill="FFFFFF"/>
                <w:lang w:val="en-US"/>
              </w:rPr>
              <w:t>(</w:t>
            </w:r>
            <w:hyperlink r:id="rId314" w:anchor="E0036" w:history="1">
              <w:r w:rsidRPr="00417AE6">
                <w:rPr>
                  <w:rStyle w:val="superscript"/>
                  <w:rFonts w:eastAsia="Arial Unicode MS"/>
                  <w:color w:val="000000" w:themeColor="text1"/>
                  <w:sz w:val="20"/>
                  <w:szCs w:val="20"/>
                  <w:vertAlign w:val="superscript"/>
                  <w:lang w:val="en-US"/>
                </w:rPr>
                <w:t>35</w:t>
              </w:r>
            </w:hyperlink>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legătură</w:t>
            </w:r>
            <w:proofErr w:type="spellEnd"/>
            <w:r w:rsidRPr="00417AE6">
              <w:rPr>
                <w:rFonts w:eastAsia="Arial Unicode MS"/>
                <w:color w:val="000000" w:themeColor="text1"/>
                <w:sz w:val="20"/>
                <w:szCs w:val="20"/>
                <w:shd w:val="clear" w:color="auto" w:fill="FFFFFF"/>
                <w:lang w:val="en-US"/>
              </w:rPr>
              <w:t xml:space="preserve"> cu o </w:t>
            </w:r>
            <w:proofErr w:type="spellStart"/>
            <w:r w:rsidRPr="00417AE6">
              <w:rPr>
                <w:rFonts w:eastAsia="Arial Unicode MS"/>
                <w:color w:val="000000" w:themeColor="text1"/>
                <w:sz w:val="20"/>
                <w:szCs w:val="20"/>
                <w:shd w:val="clear" w:color="auto" w:fill="FFFFFF"/>
                <w:lang w:val="en-US"/>
              </w:rPr>
              <w:t>activitate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desfășurată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instalația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autorizația</w:t>
            </w:r>
            <w:proofErr w:type="spellEnd"/>
            <w:r w:rsidRPr="00417AE6">
              <w:rPr>
                <w:rFonts w:eastAsia="Arial Unicode MS"/>
                <w:color w:val="000000" w:themeColor="text1"/>
                <w:sz w:val="20"/>
                <w:szCs w:val="20"/>
                <w:shd w:val="clear" w:color="auto" w:fill="FFFFFF"/>
                <w:lang w:val="en-US"/>
              </w:rPr>
              <w:t xml:space="preserve"> include o </w:t>
            </w:r>
            <w:proofErr w:type="spellStart"/>
            <w:r w:rsidRPr="00417AE6">
              <w:rPr>
                <w:rFonts w:eastAsia="Arial Unicode MS"/>
                <w:color w:val="000000" w:themeColor="text1"/>
                <w:sz w:val="20"/>
                <w:szCs w:val="20"/>
                <w:shd w:val="clear" w:color="auto" w:fill="FFFFFF"/>
                <w:lang w:val="en-US"/>
              </w:rPr>
              <w:t>valoare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limită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directe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gaz</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numai</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necesar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garanteze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nu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provocată</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poluare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locală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semnificativă</w:t>
            </w:r>
            <w:proofErr w:type="spellEnd"/>
            <w:r w:rsidRPr="00417AE6">
              <w:rPr>
                <w:rFonts w:eastAsia="Arial Unicode MS"/>
                <w:color w:val="000000" w:themeColor="text1"/>
                <w:sz w:val="20"/>
                <w:szCs w:val="20"/>
                <w:shd w:val="clear" w:color="auto" w:fill="FFFFFF"/>
                <w:lang w:val="en-US"/>
              </w:rPr>
              <w:t>.</w:t>
            </w:r>
          </w:p>
          <w:p w14:paraId="521AE9EC" w14:textId="1CADE7E3"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activitățile</w:t>
            </w:r>
            <w:proofErr w:type="spellEnd"/>
            <w:r w:rsidRPr="00417AE6">
              <w:rPr>
                <w:rFonts w:eastAsia="Arial Unicode MS"/>
                <w:color w:val="000000" w:themeColor="text1"/>
                <w:sz w:val="20"/>
                <w:szCs w:val="20"/>
                <w:shd w:val="clear" w:color="auto" w:fill="FFFFFF"/>
                <w:lang w:val="en-US"/>
              </w:rPr>
              <w:t xml:space="preserve"> enumerate în </w:t>
            </w:r>
            <w:proofErr w:type="spellStart"/>
            <w:r w:rsidRPr="00417AE6">
              <w:rPr>
                <w:rFonts w:eastAsia="Arial Unicode MS"/>
                <w:color w:val="000000" w:themeColor="text1"/>
                <w:sz w:val="20"/>
                <w:szCs w:val="20"/>
                <w:shd w:val="clear" w:color="auto" w:fill="FFFFFF"/>
                <w:lang w:val="en-US"/>
              </w:rPr>
              <w:t>anexa</w:t>
            </w:r>
            <w:proofErr w:type="spellEnd"/>
            <w:r w:rsidRPr="00417AE6">
              <w:rPr>
                <w:rFonts w:eastAsia="Arial Unicode MS"/>
                <w:color w:val="000000" w:themeColor="text1"/>
                <w:sz w:val="20"/>
                <w:szCs w:val="20"/>
                <w:shd w:val="clear" w:color="auto" w:fill="FFFFFF"/>
                <w:lang w:val="en-US"/>
              </w:rPr>
              <w:t xml:space="preserve"> I la </w:t>
            </w:r>
            <w:proofErr w:type="spellStart"/>
            <w:r w:rsidRPr="00417AE6">
              <w:rPr>
                <w:rFonts w:eastAsia="Arial Unicode MS"/>
                <w:color w:val="000000" w:themeColor="text1"/>
                <w:sz w:val="20"/>
                <w:szCs w:val="20"/>
                <w:shd w:val="clear" w:color="auto" w:fill="FFFFFF"/>
                <w:lang w:val="en-US"/>
              </w:rPr>
              <w:t>Directiva</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2003/87/CE,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pot </w:t>
            </w:r>
            <w:proofErr w:type="spellStart"/>
            <w:r w:rsidRPr="00417AE6">
              <w:rPr>
                <w:rFonts w:eastAsia="Arial Unicode MS"/>
                <w:color w:val="000000" w:themeColor="text1"/>
                <w:sz w:val="20"/>
                <w:szCs w:val="20"/>
                <w:shd w:val="clear" w:color="auto" w:fill="FFFFFF"/>
                <w:lang w:val="en-US"/>
              </w:rPr>
              <w:t>opta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nu </w:t>
            </w:r>
            <w:proofErr w:type="spellStart"/>
            <w:r w:rsidRPr="00417AE6">
              <w:rPr>
                <w:rFonts w:eastAsia="Arial Unicode MS"/>
                <w:color w:val="000000" w:themeColor="text1"/>
                <w:sz w:val="20"/>
                <w:szCs w:val="20"/>
                <w:shd w:val="clear" w:color="auto" w:fill="FFFFFF"/>
                <w:lang w:val="en-US"/>
              </w:rPr>
              <w:t>impună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cerințele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privind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randamentul</w:t>
            </w:r>
            <w:proofErr w:type="spellEnd"/>
            <w:r w:rsidRPr="00417AE6">
              <w:rPr>
                <w:rFonts w:eastAsia="Arial Unicode MS"/>
                <w:color w:val="000000" w:themeColor="text1"/>
                <w:sz w:val="20"/>
                <w:szCs w:val="20"/>
                <w:shd w:val="clear" w:color="auto" w:fill="FFFFFF"/>
                <w:lang w:val="en-US"/>
              </w:rPr>
              <w:t xml:space="preserve"> energetic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unitățile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ardere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unități</w:t>
            </w:r>
            <w:proofErr w:type="spellEnd"/>
            <w:r w:rsidRPr="00417AE6">
              <w:rPr>
                <w:rFonts w:eastAsia="Arial Unicode MS"/>
                <w:color w:val="000000" w:themeColor="text1"/>
                <w:sz w:val="20"/>
                <w:szCs w:val="20"/>
                <w:shd w:val="clear" w:color="auto" w:fill="FFFFFF"/>
                <w:lang w:val="en-US"/>
              </w:rPr>
              <w:t xml:space="preserve"> care emit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la </w:t>
            </w:r>
            <w:proofErr w:type="spellStart"/>
            <w:r w:rsidRPr="00417AE6">
              <w:rPr>
                <w:rFonts w:eastAsia="Arial Unicode MS"/>
                <w:color w:val="000000" w:themeColor="text1"/>
                <w:sz w:val="20"/>
                <w:szCs w:val="20"/>
                <w:shd w:val="clear" w:color="auto" w:fill="FFFFFF"/>
                <w:lang w:val="en-US"/>
              </w:rPr>
              <w:t>fața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locului</w:t>
            </w:r>
            <w:proofErr w:type="spellEnd"/>
            <w:r w:rsidRPr="00417AE6">
              <w:rPr>
                <w:rFonts w:eastAsia="Arial Unicode MS"/>
                <w:color w:val="000000" w:themeColor="text1"/>
                <w:sz w:val="20"/>
                <w:szCs w:val="20"/>
                <w:shd w:val="clear" w:color="auto" w:fill="FFFFFF"/>
                <w:lang w:val="en-US"/>
              </w:rPr>
              <w:t>.</w:t>
            </w:r>
          </w:p>
          <w:p w14:paraId="6D8CDC7F" w14:textId="77777777"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După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caz</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autoritățile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competente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modifică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autorizația</w:t>
            </w:r>
            <w:proofErr w:type="spellEnd"/>
            <w:r w:rsidRPr="00417AE6">
              <w:rPr>
                <w:rFonts w:eastAsia="Arial Unicode MS"/>
                <w:color w:val="000000" w:themeColor="text1"/>
                <w:sz w:val="20"/>
                <w:szCs w:val="20"/>
                <w:shd w:val="clear" w:color="auto" w:fill="FFFFFF"/>
                <w:lang w:val="en-US"/>
              </w:rPr>
              <w:t xml:space="preserve"> în mod </w:t>
            </w:r>
            <w:proofErr w:type="spellStart"/>
            <w:r w:rsidRPr="00417AE6">
              <w:rPr>
                <w:rFonts w:eastAsia="Arial Unicode MS"/>
                <w:color w:val="000000" w:themeColor="text1"/>
                <w:sz w:val="20"/>
                <w:szCs w:val="20"/>
                <w:shd w:val="clear" w:color="auto" w:fill="FFFFFF"/>
                <w:lang w:val="en-US"/>
              </w:rPr>
              <w:t>corespunzător</w:t>
            </w:r>
            <w:proofErr w:type="spellEnd"/>
            <w:r w:rsidRPr="00417AE6">
              <w:rPr>
                <w:rFonts w:eastAsia="Arial Unicode MS"/>
                <w:color w:val="000000" w:themeColor="text1"/>
                <w:sz w:val="20"/>
                <w:szCs w:val="20"/>
                <w:shd w:val="clear" w:color="auto" w:fill="FFFFFF"/>
                <w:lang w:val="en-US"/>
              </w:rPr>
              <w:t>.</w:t>
            </w:r>
          </w:p>
          <w:p w14:paraId="4FF3E534" w14:textId="05219943"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Cele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paragrafe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precedente</w:t>
            </w:r>
            <w:proofErr w:type="spellEnd"/>
            <w:r w:rsidRPr="00417AE6">
              <w:rPr>
                <w:rFonts w:eastAsia="Arial Unicode MS"/>
                <w:color w:val="000000" w:themeColor="text1"/>
                <w:sz w:val="20"/>
                <w:szCs w:val="20"/>
                <w:shd w:val="clear" w:color="auto" w:fill="FFFFFF"/>
                <w:lang w:val="en-US"/>
              </w:rPr>
              <w:t xml:space="preserve"> nu se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instalațiilor</w:t>
            </w:r>
            <w:proofErr w:type="spellEnd"/>
            <w:r w:rsidRPr="00417AE6">
              <w:rPr>
                <w:rFonts w:eastAsia="Arial Unicode MS"/>
                <w:color w:val="000000" w:themeColor="text1"/>
                <w:sz w:val="20"/>
                <w:szCs w:val="20"/>
                <w:shd w:val="clear" w:color="auto" w:fill="FFFFFF"/>
                <w:lang w:val="en-US"/>
              </w:rPr>
              <w:t xml:space="preserve"> care sunt </w:t>
            </w:r>
            <w:proofErr w:type="spellStart"/>
            <w:r w:rsidRPr="00417AE6">
              <w:rPr>
                <w:rFonts w:eastAsia="Arial Unicode MS"/>
                <w:color w:val="000000" w:themeColor="text1"/>
                <w:sz w:val="20"/>
                <w:szCs w:val="20"/>
                <w:shd w:val="clear" w:color="auto" w:fill="FFFFFF"/>
                <w:lang w:val="en-US"/>
              </w:rPr>
              <w:t>excluse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temporar</w:t>
            </w:r>
            <w:proofErr w:type="spellEnd"/>
            <w:r w:rsidRPr="00417AE6">
              <w:rPr>
                <w:rFonts w:eastAsia="Arial Unicode MS"/>
                <w:color w:val="000000" w:themeColor="text1"/>
                <w:sz w:val="20"/>
                <w:szCs w:val="20"/>
                <w:shd w:val="clear" w:color="auto" w:fill="FFFFFF"/>
                <w:lang w:val="en-US"/>
              </w:rPr>
              <w:t xml:space="preserve"> din schema de </w:t>
            </w:r>
            <w:proofErr w:type="spellStart"/>
            <w:r w:rsidRPr="00417AE6">
              <w:rPr>
                <w:rFonts w:eastAsia="Arial Unicode MS"/>
                <w:color w:val="000000" w:themeColor="text1"/>
                <w:sz w:val="20"/>
                <w:szCs w:val="20"/>
                <w:shd w:val="clear" w:color="auto" w:fill="FFFFFF"/>
                <w:lang w:val="en-US"/>
              </w:rPr>
              <w:t>comercializare</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certificatelor</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de gaze cu </w:t>
            </w:r>
            <w:proofErr w:type="spellStart"/>
            <w:r w:rsidRPr="00417AE6">
              <w:rPr>
                <w:rFonts w:eastAsia="Arial Unicode MS"/>
                <w:color w:val="000000" w:themeColor="text1"/>
                <w:sz w:val="20"/>
                <w:szCs w:val="20"/>
                <w:shd w:val="clear" w:color="auto" w:fill="FFFFFF"/>
                <w:lang w:val="en-US"/>
              </w:rPr>
              <w:t>efect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seră</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cadrul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Comunității</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27 din </w:t>
            </w:r>
            <w:proofErr w:type="spellStart"/>
            <w:r w:rsidRPr="00417AE6">
              <w:rPr>
                <w:rFonts w:eastAsia="Arial Unicode MS"/>
                <w:color w:val="000000" w:themeColor="text1"/>
                <w:sz w:val="20"/>
                <w:szCs w:val="20"/>
                <w:shd w:val="clear" w:color="auto" w:fill="FFFFFF"/>
                <w:lang w:val="en-US"/>
              </w:rPr>
              <w:t>Directiva</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2003/87/CE.</w:t>
            </w:r>
          </w:p>
          <w:p w14:paraId="5AACD97A"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15"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341FF22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4902A64" w14:textId="2C51F2B8" w:rsidR="00124364" w:rsidRDefault="00417AE6" w:rsidP="00417AE6">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9B719D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0663873" w14:textId="4C413685" w:rsidR="00124364" w:rsidRDefault="00417AE6">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19A230E7" w14:textId="77777777" w:rsidR="00124364" w:rsidRDefault="00124364" w:rsidP="00417AE6">
            <w:pPr>
              <w:autoSpaceDE w:val="0"/>
              <w:spacing w:after="0" w:line="240" w:lineRule="auto"/>
              <w:rPr>
                <w:rFonts w:ascii="Times New Roman" w:hAnsi="Times New Roman"/>
                <w:sz w:val="20"/>
                <w:szCs w:val="20"/>
                <w:lang w:val="fr-FR"/>
              </w:rPr>
            </w:pPr>
          </w:p>
        </w:tc>
      </w:tr>
      <w:tr w:rsidR="00124364" w14:paraId="04BD6B03" w14:textId="77777777">
        <w:trPr>
          <w:trHeight w:val="558"/>
        </w:trPr>
        <w:tc>
          <w:tcPr>
            <w:tcW w:w="4957" w:type="dxa"/>
            <w:shd w:val="clear" w:color="auto" w:fill="auto"/>
          </w:tcPr>
          <w:p w14:paraId="32A0A8C2"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27</w:t>
            </w:r>
          </w:p>
          <w:p w14:paraId="5876D7D7"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Excluderea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instalațiilor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mici</w:t>
            </w:r>
            <w:proofErr w:type="spellEnd"/>
            <w:r>
              <w:rPr>
                <w:rFonts w:eastAsia="Arial Unicode MS"/>
                <w:b/>
                <w:bCs/>
                <w:color w:val="333333"/>
                <w:sz w:val="20"/>
                <w:szCs w:val="20"/>
                <w:shd w:val="clear" w:color="auto" w:fill="FFFFFF"/>
                <w:lang w:val="en-US"/>
              </w:rPr>
              <w:t xml:space="preserve"> care fac </w:t>
            </w:r>
            <w:proofErr w:type="spellStart"/>
            <w:r>
              <w:rPr>
                <w:rFonts w:eastAsia="Arial Unicode MS"/>
                <w:b/>
                <w:bCs/>
                <w:color w:val="333333"/>
                <w:sz w:val="20"/>
                <w:szCs w:val="20"/>
                <w:shd w:val="clear" w:color="auto" w:fill="FFFFFF"/>
                <w:lang w:val="en-US"/>
              </w:rPr>
              <w:t>obiectul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unor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măsuri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echivalente</w:t>
            </w:r>
            <w:proofErr w:type="spellEnd"/>
          </w:p>
          <w:p w14:paraId="62434A3D" w14:textId="03D0CE7E" w:rsidR="00124364" w:rsidRPr="00417AE6" w:rsidRDefault="00000000" w:rsidP="00417AE6">
            <w:pPr>
              <w:pStyle w:val="ti-art"/>
              <w:numPr>
                <w:ilvl w:val="0"/>
                <w:numId w:val="1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urma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consultărilor</w:t>
            </w:r>
            <w:proofErr w:type="spellEnd"/>
            <w:r w:rsidRPr="00417AE6">
              <w:rPr>
                <w:rFonts w:eastAsia="Arial Unicode MS"/>
                <w:color w:val="000000" w:themeColor="text1"/>
                <w:sz w:val="20"/>
                <w:szCs w:val="20"/>
                <w:shd w:val="clear" w:color="auto" w:fill="FFFFFF"/>
                <w:lang w:val="en-US"/>
              </w:rPr>
              <w:t xml:space="preserve"> cu </w:t>
            </w:r>
            <w:proofErr w:type="spellStart"/>
            <w:r w:rsidRPr="00417AE6">
              <w:rPr>
                <w:rFonts w:eastAsia="Arial Unicode MS"/>
                <w:color w:val="000000" w:themeColor="text1"/>
                <w:sz w:val="20"/>
                <w:szCs w:val="20"/>
                <w:shd w:val="clear" w:color="auto" w:fill="FFFFFF"/>
                <w:lang w:val="en-US"/>
              </w:rPr>
              <w:t>operatorul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pot exclude din</w:t>
            </w:r>
            <w:r w:rsidR="00417AE6">
              <w:rPr>
                <w:rStyle w:val="apple-converted-space"/>
                <w:rFonts w:eastAsia="Arial Unicode MS"/>
                <w:color w:val="000000" w:themeColor="text1"/>
                <w:sz w:val="20"/>
                <w:szCs w:val="20"/>
                <w:shd w:val="clear" w:color="auto" w:fill="FFFFFF"/>
                <w:lang w:val="en-US"/>
              </w:rPr>
              <w:t xml:space="preserve"> </w:t>
            </w:r>
            <w:hyperlink r:id="rId316" w:tooltip="32018L0410: REPLACED" w:history="1">
              <w:r w:rsidRPr="00417AE6">
                <w:rPr>
                  <w:rStyle w:val="boldface"/>
                  <w:rFonts w:eastAsia="Arial Unicode MS"/>
                  <w:b/>
                  <w:bCs/>
                  <w:color w:val="000000" w:themeColor="text1"/>
                  <w:sz w:val="20"/>
                  <w:szCs w:val="20"/>
                  <w:lang w:val="en-US"/>
                </w:rPr>
                <w:t>►M9</w:t>
              </w:r>
            </w:hyperlink>
            <w:r w:rsidR="00417AE6">
              <w:rPr>
                <w:rStyle w:val="apple-converted-space"/>
                <w:rFonts w:eastAsia="Arial Unicode M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EU ETS</w:t>
            </w:r>
            <w:r w:rsidR="00417AE6">
              <w:rPr>
                <w:rStyle w:val="boldface"/>
                <w:rFonts w:eastAsia="Arial Unicode MS"/>
                <w:b/>
                <w:bCs/>
                <w:color w:val="000000" w:themeColor="text1"/>
                <w:sz w:val="20"/>
                <w:szCs w:val="20"/>
                <w:lang w:val="en-US"/>
              </w:rPr>
              <w:t xml:space="preserve"> </w:t>
            </w:r>
            <w:r w:rsidRPr="00417AE6">
              <w:rPr>
                <w:rStyle w:val="boldface"/>
                <w:rFonts w:eastAsia="Arial Unicode MS"/>
                <w:b/>
                <w:bCs/>
                <w:color w:val="000000" w:themeColor="text1"/>
                <w:sz w:val="20"/>
                <w:szCs w:val="20"/>
                <w:lang w:val="en-US"/>
              </w:rPr>
              <w:t>◄</w:t>
            </w:r>
            <w:r w:rsidR="00417AE6">
              <w:rPr>
                <w:rStyle w:val="apple-converted-space"/>
                <w:rFonts w:eastAsia="Arial Unicode MS"/>
                <w:b/>
                <w:bCs/>
                <w:color w:val="000000" w:themeColor="text1"/>
                <w:sz w:val="20"/>
                <w:szCs w:val="20"/>
                <w:lang w:val="en-US"/>
              </w:rPr>
              <w:t xml:space="preserve"> </w:t>
            </w:r>
            <w:proofErr w:type="spellStart"/>
            <w:r w:rsidRPr="00417AE6">
              <w:rPr>
                <w:rFonts w:eastAsia="Arial Unicode MS"/>
                <w:color w:val="000000" w:themeColor="text1"/>
                <w:sz w:val="20"/>
                <w:szCs w:val="20"/>
                <w:shd w:val="clear" w:color="auto" w:fill="FFFFFF"/>
                <w:lang w:val="en-US"/>
              </w:rPr>
              <w:t>instalațiile</w:t>
            </w:r>
            <w:proofErr w:type="spellEnd"/>
            <w:r w:rsidRPr="00417AE6">
              <w:rPr>
                <w:rFonts w:eastAsia="Arial Unicode MS"/>
                <w:color w:val="000000" w:themeColor="text1"/>
                <w:sz w:val="20"/>
                <w:szCs w:val="20"/>
                <w:shd w:val="clear" w:color="auto" w:fill="FFFFFF"/>
                <w:lang w:val="en-US"/>
              </w:rPr>
              <w:t xml:space="preserve"> ale </w:t>
            </w:r>
            <w:proofErr w:type="spellStart"/>
            <w:r w:rsidRPr="00417AE6">
              <w:rPr>
                <w:rFonts w:eastAsia="Arial Unicode MS"/>
                <w:color w:val="000000" w:themeColor="text1"/>
                <w:sz w:val="20"/>
                <w:szCs w:val="20"/>
                <w:shd w:val="clear" w:color="auto" w:fill="FFFFFF"/>
                <w:lang w:val="en-US"/>
              </w:rPr>
              <w:t>căror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raportate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autorității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competente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ultimii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ani </w:t>
            </w:r>
            <w:proofErr w:type="spellStart"/>
            <w:r w:rsidRPr="00417AE6">
              <w:rPr>
                <w:rFonts w:eastAsia="Arial Unicode MS"/>
                <w:color w:val="000000" w:themeColor="text1"/>
                <w:sz w:val="20"/>
                <w:szCs w:val="20"/>
                <w:shd w:val="clear" w:color="auto" w:fill="FFFFFF"/>
                <w:lang w:val="en-US"/>
              </w:rPr>
              <w:t>precedenți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notificării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efectuate</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litera</w:t>
            </w:r>
            <w:proofErr w:type="spellEnd"/>
            <w:r w:rsidRPr="00417AE6">
              <w:rPr>
                <w:rFonts w:eastAsia="Arial Unicode MS"/>
                <w:color w:val="000000" w:themeColor="text1"/>
                <w:sz w:val="20"/>
                <w:szCs w:val="20"/>
                <w:shd w:val="clear" w:color="auto" w:fill="FFFFFF"/>
                <w:lang w:val="en-US"/>
              </w:rPr>
              <w:t xml:space="preserve"> (a), sunt </w:t>
            </w:r>
            <w:proofErr w:type="spellStart"/>
            <w:r w:rsidRPr="00417AE6">
              <w:rPr>
                <w:rFonts w:eastAsia="Arial Unicode MS"/>
                <w:color w:val="000000" w:themeColor="text1"/>
                <w:sz w:val="20"/>
                <w:szCs w:val="20"/>
                <w:shd w:val="clear" w:color="auto" w:fill="FFFFFF"/>
                <w:lang w:val="en-US"/>
              </w:rPr>
              <w:t>inferioare</w:t>
            </w:r>
            <w:proofErr w:type="spellEnd"/>
            <w:r w:rsidRPr="00417AE6">
              <w:rPr>
                <w:rFonts w:eastAsia="Arial Unicode MS"/>
                <w:color w:val="000000" w:themeColor="text1"/>
                <w:sz w:val="20"/>
                <w:szCs w:val="20"/>
                <w:shd w:val="clear" w:color="auto" w:fill="FFFFFF"/>
                <w:lang w:val="en-US"/>
              </w:rPr>
              <w:t xml:space="preserve"> a 25</w:t>
            </w:r>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000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și, 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au loc </w:t>
            </w:r>
            <w:proofErr w:type="spellStart"/>
            <w:r w:rsidRPr="00417AE6">
              <w:rPr>
                <w:rFonts w:eastAsia="Arial Unicode MS"/>
                <w:color w:val="000000" w:themeColor="text1"/>
                <w:sz w:val="20"/>
                <w:szCs w:val="20"/>
                <w:shd w:val="clear" w:color="auto" w:fill="FFFFFF"/>
                <w:lang w:val="en-US"/>
              </w:rPr>
              <w:t>activități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ardere</w:t>
            </w:r>
            <w:proofErr w:type="spellEnd"/>
            <w:r w:rsidRPr="00417AE6">
              <w:rPr>
                <w:rFonts w:eastAsia="Arial Unicode MS"/>
                <w:color w:val="000000" w:themeColor="text1"/>
                <w:sz w:val="20"/>
                <w:szCs w:val="20"/>
                <w:shd w:val="clear" w:color="auto" w:fill="FFFFFF"/>
                <w:lang w:val="en-US"/>
              </w:rPr>
              <w:t xml:space="preserve">, au o </w:t>
            </w:r>
            <w:proofErr w:type="spellStart"/>
            <w:r w:rsidRPr="00417AE6">
              <w:rPr>
                <w:rFonts w:eastAsia="Arial Unicode MS"/>
                <w:color w:val="000000" w:themeColor="text1"/>
                <w:sz w:val="20"/>
                <w:szCs w:val="20"/>
                <w:shd w:val="clear" w:color="auto" w:fill="FFFFFF"/>
                <w:lang w:val="en-US"/>
              </w:rPr>
              <w:t>putere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termică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nominală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mică</w:t>
            </w:r>
            <w:proofErr w:type="spellEnd"/>
            <w:r w:rsidRPr="00417AE6">
              <w:rPr>
                <w:rFonts w:eastAsia="Arial Unicode MS"/>
                <w:color w:val="000000" w:themeColor="text1"/>
                <w:sz w:val="20"/>
                <w:szCs w:val="20"/>
                <w:shd w:val="clear" w:color="auto" w:fill="FFFFFF"/>
                <w:lang w:val="en-US"/>
              </w:rPr>
              <w:t xml:space="preserve"> de 35</w:t>
            </w:r>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MW, </w:t>
            </w:r>
            <w:proofErr w:type="spellStart"/>
            <w:r w:rsidRPr="00417AE6">
              <w:rPr>
                <w:rFonts w:eastAsia="Arial Unicode MS"/>
                <w:color w:val="000000" w:themeColor="text1"/>
                <w:sz w:val="20"/>
                <w:szCs w:val="20"/>
                <w:shd w:val="clear" w:color="auto" w:fill="FFFFFF"/>
                <w:lang w:val="en-US"/>
              </w:rPr>
              <w:t>excluzând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și care fac </w:t>
            </w:r>
            <w:proofErr w:type="spellStart"/>
            <w:r w:rsidRPr="00417AE6">
              <w:rPr>
                <w:rFonts w:eastAsia="Arial Unicode MS"/>
                <w:color w:val="000000" w:themeColor="text1"/>
                <w:sz w:val="20"/>
                <w:szCs w:val="20"/>
                <w:shd w:val="clear" w:color="auto" w:fill="FFFFFF"/>
                <w:lang w:val="en-US"/>
              </w:rPr>
              <w:t>obiectul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natură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permită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realizarea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contribuții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echivalente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reducerile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statul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îndeplinește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următoarele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condiții</w:t>
            </w:r>
            <w:proofErr w:type="spellEnd"/>
            <w:r w:rsidRPr="00417AE6">
              <w:rPr>
                <w:rFonts w:eastAsia="Arial Unicode MS"/>
                <w:color w:val="000000" w:themeColor="text1"/>
                <w:sz w:val="20"/>
                <w:szCs w:val="20"/>
                <w:shd w:val="clear" w:color="auto" w:fill="FFFFFF"/>
                <w:lang w:val="en-US"/>
              </w:rPr>
              <w:t>:</w:t>
            </w:r>
          </w:p>
          <w:p w14:paraId="4A83FF05" w14:textId="77777777" w:rsidR="00124364" w:rsidRPr="00417AE6" w:rsidRDefault="00000000" w:rsidP="00417AE6">
            <w:pPr>
              <w:pStyle w:val="ti-art"/>
              <w:numPr>
                <w:ilvl w:val="0"/>
                <w:numId w:val="1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notifică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acest</w:t>
            </w:r>
            <w:proofErr w:type="spellEnd"/>
            <w:r w:rsidRPr="00417AE6">
              <w:rPr>
                <w:rFonts w:eastAsia="Arial Unicode MS"/>
                <w:color w:val="000000" w:themeColor="text1"/>
                <w:sz w:val="20"/>
                <w:szCs w:val="20"/>
                <w:shd w:val="clear" w:color="auto" w:fill="FFFFFF"/>
                <w:lang w:val="en-US"/>
              </w:rPr>
              <w:t xml:space="preserve"> tip </w:t>
            </w:r>
            <w:proofErr w:type="spellStart"/>
            <w:r w:rsidRPr="00417AE6">
              <w:rPr>
                <w:rFonts w:eastAsia="Arial Unicode MS"/>
                <w:color w:val="000000" w:themeColor="text1"/>
                <w:sz w:val="20"/>
                <w:szCs w:val="20"/>
                <w:shd w:val="clear" w:color="auto" w:fill="FFFFFF"/>
                <w:lang w:val="en-US"/>
              </w:rPr>
              <w:t>Comisiei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precizând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echivalente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aplicabile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instalației</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va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realiza</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contribuție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echivalentă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reducerile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care se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înainte</w:t>
            </w:r>
            <w:proofErr w:type="spellEnd"/>
            <w:r w:rsidRPr="00417AE6">
              <w:rPr>
                <w:rFonts w:eastAsia="Arial Unicode MS"/>
                <w:color w:val="000000" w:themeColor="text1"/>
                <w:sz w:val="20"/>
                <w:szCs w:val="20"/>
                <w:shd w:val="clear" w:color="auto" w:fill="FFFFFF"/>
                <w:lang w:val="en-US"/>
              </w:rPr>
              <w:t xml:space="preserve"> de data la care </w:t>
            </w:r>
            <w:proofErr w:type="spellStart"/>
            <w:r w:rsidRPr="00417AE6">
              <w:rPr>
                <w:rFonts w:eastAsia="Arial Unicode MS"/>
                <w:color w:val="000000" w:themeColor="text1"/>
                <w:sz w:val="20"/>
                <w:szCs w:val="20"/>
                <w:shd w:val="clear" w:color="auto" w:fill="FFFFFF"/>
                <w:lang w:val="en-US"/>
              </w:rPr>
              <w:t>trebuie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fie </w:t>
            </w:r>
            <w:proofErr w:type="spellStart"/>
            <w:r w:rsidRPr="00417AE6">
              <w:rPr>
                <w:rFonts w:eastAsia="Arial Unicode MS"/>
                <w:color w:val="000000" w:themeColor="text1"/>
                <w:sz w:val="20"/>
                <w:szCs w:val="20"/>
                <w:shd w:val="clear" w:color="auto" w:fill="FFFFFF"/>
                <w:lang w:val="en-US"/>
              </w:rPr>
              <w:t>înaintată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instalațiilor</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prevederile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Pr="00417AE6">
              <w:rPr>
                <w:rFonts w:eastAsia="Arial Unicode MS"/>
                <w:color w:val="000000" w:themeColor="text1"/>
                <w:sz w:val="20"/>
                <w:szCs w:val="20"/>
                <w:shd w:val="clear" w:color="auto" w:fill="FFFFFF"/>
                <w:lang w:val="en-US"/>
              </w:rPr>
              <w:t xml:space="preserve"> 11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și </w:t>
            </w:r>
            <w:proofErr w:type="spellStart"/>
            <w:r w:rsidRPr="00417AE6">
              <w:rPr>
                <w:rFonts w:eastAsia="Arial Unicode MS"/>
                <w:color w:val="000000" w:themeColor="text1"/>
                <w:sz w:val="20"/>
                <w:szCs w:val="20"/>
                <w:shd w:val="clear" w:color="auto" w:fill="FFFFFF"/>
                <w:lang w:val="en-US"/>
              </w:rPr>
              <w:t>cel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târziu</w:t>
            </w:r>
            <w:proofErr w:type="spellEnd"/>
            <w:r w:rsidRPr="00417AE6">
              <w:rPr>
                <w:rFonts w:eastAsia="Arial Unicode MS"/>
                <w:color w:val="000000" w:themeColor="text1"/>
                <w:sz w:val="20"/>
                <w:szCs w:val="20"/>
                <w:shd w:val="clear" w:color="auto" w:fill="FFFFFF"/>
                <w:lang w:val="en-US"/>
              </w:rPr>
              <w:t xml:space="preserve"> la data la care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înaintată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Comisiei</w:t>
            </w:r>
            <w:proofErr w:type="spellEnd"/>
            <w:r w:rsidRPr="00417AE6">
              <w:rPr>
                <w:rFonts w:eastAsia="Arial Unicode MS"/>
                <w:color w:val="000000" w:themeColor="text1"/>
                <w:sz w:val="20"/>
                <w:szCs w:val="20"/>
                <w:shd w:val="clear" w:color="auto" w:fill="FFFFFF"/>
                <w:lang w:val="en-US"/>
              </w:rPr>
              <w:t>;</w:t>
            </w:r>
          </w:p>
          <w:p w14:paraId="44DB3C22" w14:textId="4B37522D" w:rsidR="00124364" w:rsidRPr="00417AE6" w:rsidRDefault="00000000" w:rsidP="00417AE6">
            <w:pPr>
              <w:pStyle w:val="ti-art"/>
              <w:numPr>
                <w:ilvl w:val="0"/>
                <w:numId w:val="1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confirmă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proceduri</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monitorizare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se </w:t>
            </w:r>
            <w:proofErr w:type="spellStart"/>
            <w:r w:rsidRPr="00417AE6">
              <w:rPr>
                <w:rFonts w:eastAsia="Arial Unicode MS"/>
                <w:color w:val="000000" w:themeColor="text1"/>
                <w:sz w:val="20"/>
                <w:szCs w:val="20"/>
                <w:shd w:val="clear" w:color="auto" w:fill="FFFFFF"/>
                <w:lang w:val="en-US"/>
              </w:rPr>
              <w:t>evalua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dacă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vreuna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mult</w:t>
            </w:r>
            <w:proofErr w:type="spellEnd"/>
            <w:r w:rsidRPr="00417AE6">
              <w:rPr>
                <w:rFonts w:eastAsia="Arial Unicode MS"/>
                <w:color w:val="000000" w:themeColor="text1"/>
                <w:sz w:val="20"/>
                <w:szCs w:val="20"/>
                <w:shd w:val="clear" w:color="auto" w:fill="FFFFFF"/>
                <w:lang w:val="en-US"/>
              </w:rPr>
              <w:t xml:space="preserve"> de </w:t>
            </w:r>
            <w:r w:rsidRPr="00417AE6">
              <w:rPr>
                <w:rFonts w:eastAsia="Arial Unicode MS"/>
                <w:color w:val="000000" w:themeColor="text1"/>
                <w:sz w:val="20"/>
                <w:szCs w:val="20"/>
                <w:shd w:val="clear" w:color="auto" w:fill="FFFFFF"/>
                <w:lang w:val="en-US"/>
              </w:rPr>
              <w:lastRenderedPageBreak/>
              <w:t>25</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000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excluzând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cursul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unui</w:t>
            </w:r>
            <w:proofErr w:type="spellEnd"/>
            <w:r w:rsidRPr="00417AE6">
              <w:rPr>
                <w:rFonts w:eastAsia="Arial Unicode MS"/>
                <w:color w:val="000000" w:themeColor="text1"/>
                <w:sz w:val="20"/>
                <w:szCs w:val="20"/>
                <w:shd w:val="clear" w:color="auto" w:fill="FFFFFF"/>
                <w:lang w:val="en-US"/>
              </w:rPr>
              <w:t xml:space="preserve"> an </w:t>
            </w:r>
            <w:proofErr w:type="spellStart"/>
            <w:r w:rsidRPr="00417AE6">
              <w:rPr>
                <w:rFonts w:eastAsia="Arial Unicode MS"/>
                <w:color w:val="000000" w:themeColor="text1"/>
                <w:sz w:val="20"/>
                <w:szCs w:val="20"/>
                <w:shd w:val="clear" w:color="auto" w:fill="FFFFFF"/>
                <w:lang w:val="en-US"/>
              </w:rPr>
              <w:t>calendaristic</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pot </w:t>
            </w:r>
            <w:proofErr w:type="spellStart"/>
            <w:r w:rsidRPr="00417AE6">
              <w:rPr>
                <w:rFonts w:eastAsia="Arial Unicode MS"/>
                <w:color w:val="000000" w:themeColor="text1"/>
                <w:sz w:val="20"/>
                <w:szCs w:val="20"/>
                <w:shd w:val="clear" w:color="auto" w:fill="FFFFFF"/>
                <w:lang w:val="en-US"/>
              </w:rPr>
              <w:t>permite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simplificate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monitorizare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raportare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verificare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privind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instalațiile</w:t>
            </w:r>
            <w:proofErr w:type="spellEnd"/>
            <w:r w:rsidRPr="00417AE6">
              <w:rPr>
                <w:rFonts w:eastAsia="Arial Unicode MS"/>
                <w:color w:val="000000" w:themeColor="text1"/>
                <w:sz w:val="20"/>
                <w:szCs w:val="20"/>
                <w:shd w:val="clear" w:color="auto" w:fill="FFFFFF"/>
                <w:lang w:val="en-US"/>
              </w:rPr>
              <w:t xml:space="preserve"> ale </w:t>
            </w:r>
            <w:proofErr w:type="spellStart"/>
            <w:r w:rsidRPr="00417AE6">
              <w:rPr>
                <w:rFonts w:eastAsia="Arial Unicode MS"/>
                <w:color w:val="000000" w:themeColor="text1"/>
                <w:sz w:val="20"/>
                <w:szCs w:val="20"/>
                <w:shd w:val="clear" w:color="auto" w:fill="FFFFFF"/>
                <w:lang w:val="en-US"/>
              </w:rPr>
              <w:t>căror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medii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anuale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verificate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între</w:t>
            </w:r>
            <w:proofErr w:type="spellEnd"/>
            <w:r w:rsidRPr="00417AE6">
              <w:rPr>
                <w:rFonts w:eastAsia="Arial Unicode MS"/>
                <w:color w:val="000000" w:themeColor="text1"/>
                <w:sz w:val="20"/>
                <w:szCs w:val="20"/>
                <w:shd w:val="clear" w:color="auto" w:fill="FFFFFF"/>
                <w:lang w:val="en-US"/>
              </w:rPr>
              <w:t xml:space="preserve"> 2008 și 2010 se </w:t>
            </w:r>
            <w:proofErr w:type="spellStart"/>
            <w:r w:rsidRPr="00417AE6">
              <w:rPr>
                <w:rFonts w:eastAsia="Arial Unicode MS"/>
                <w:color w:val="000000" w:themeColor="text1"/>
                <w:sz w:val="20"/>
                <w:szCs w:val="20"/>
                <w:shd w:val="clear" w:color="auto" w:fill="FFFFFF"/>
                <w:lang w:val="en-US"/>
              </w:rPr>
              <w:t>situează</w:t>
            </w:r>
            <w:proofErr w:type="spellEnd"/>
            <w:r w:rsidRPr="00417AE6">
              <w:rPr>
                <w:rFonts w:eastAsia="Arial Unicode MS"/>
                <w:color w:val="000000" w:themeColor="text1"/>
                <w:sz w:val="20"/>
                <w:szCs w:val="20"/>
                <w:shd w:val="clear" w:color="auto" w:fill="FFFFFF"/>
                <w:lang w:val="en-US"/>
              </w:rPr>
              <w:t xml:space="preserve"> sub 5</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000 de tone pe an, în conformitate cu </w:t>
            </w:r>
            <w:proofErr w:type="spellStart"/>
            <w:r w:rsidRPr="00417AE6">
              <w:rPr>
                <w:rFonts w:eastAsia="Arial Unicode MS"/>
                <w:color w:val="000000" w:themeColor="text1"/>
                <w:sz w:val="20"/>
                <w:szCs w:val="20"/>
                <w:shd w:val="clear" w:color="auto" w:fill="FFFFFF"/>
                <w:lang w:val="en-US"/>
              </w:rPr>
              <w:t>articolul</w:t>
            </w:r>
            <w:proofErr w:type="spellEnd"/>
            <w:r w:rsidRPr="00417AE6">
              <w:rPr>
                <w:rFonts w:eastAsia="Arial Unicode MS"/>
                <w:color w:val="000000" w:themeColor="text1"/>
                <w:sz w:val="20"/>
                <w:szCs w:val="20"/>
                <w:shd w:val="clear" w:color="auto" w:fill="FFFFFF"/>
                <w:lang w:val="en-US"/>
              </w:rPr>
              <w:t xml:space="preserve"> 14;</w:t>
            </w:r>
          </w:p>
          <w:p w14:paraId="299EAB9C" w14:textId="24BA71D8" w:rsidR="00124364" w:rsidRPr="00417AE6" w:rsidRDefault="00000000" w:rsidP="00417AE6">
            <w:pPr>
              <w:pStyle w:val="ti-art"/>
              <w:numPr>
                <w:ilvl w:val="0"/>
                <w:numId w:val="1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confirmă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reintrodusă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sistem</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emite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mult</w:t>
            </w:r>
            <w:proofErr w:type="spellEnd"/>
            <w:r w:rsidRPr="00417AE6">
              <w:rPr>
                <w:rFonts w:eastAsia="Arial Unicode MS"/>
                <w:color w:val="000000" w:themeColor="text1"/>
                <w:sz w:val="20"/>
                <w:szCs w:val="20"/>
                <w:shd w:val="clear" w:color="auto" w:fill="FFFFFF"/>
                <w:lang w:val="en-US"/>
              </w:rPr>
              <w:t xml:space="preserve"> de 25</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000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excluzând</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cursul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an</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calendaristic</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nu se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corespunzătoare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instalației</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va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realiza</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contribuție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echivalentă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reducerile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w:t>
            </w:r>
          </w:p>
          <w:p w14:paraId="472A4F8C" w14:textId="77777777" w:rsidR="00124364" w:rsidRPr="00417AE6" w:rsidRDefault="00000000" w:rsidP="00417AE6">
            <w:pPr>
              <w:pStyle w:val="ti-art"/>
              <w:numPr>
                <w:ilvl w:val="0"/>
                <w:numId w:val="1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publică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informațiile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literele</w:t>
            </w:r>
            <w:proofErr w:type="spellEnd"/>
            <w:r w:rsidRPr="00417AE6">
              <w:rPr>
                <w:rFonts w:eastAsia="Arial Unicode MS"/>
                <w:color w:val="000000" w:themeColor="text1"/>
                <w:sz w:val="20"/>
                <w:szCs w:val="20"/>
                <w:shd w:val="clear" w:color="auto" w:fill="FFFFFF"/>
                <w:lang w:val="en-US"/>
              </w:rPr>
              <w:t xml:space="preserve"> (a), (b) și (c) în </w:t>
            </w:r>
            <w:proofErr w:type="spellStart"/>
            <w:r w:rsidRPr="00417AE6">
              <w:rPr>
                <w:rFonts w:eastAsia="Arial Unicode MS"/>
                <w:color w:val="000000" w:themeColor="text1"/>
                <w:sz w:val="20"/>
                <w:szCs w:val="20"/>
                <w:shd w:val="clear" w:color="auto" w:fill="FFFFFF"/>
                <w:lang w:val="en-US"/>
              </w:rPr>
              <w:t>vederea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consultări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publice</w:t>
            </w:r>
            <w:proofErr w:type="spellEnd"/>
            <w:r w:rsidRPr="00417AE6">
              <w:rPr>
                <w:rFonts w:eastAsia="Arial Unicode MS"/>
                <w:color w:val="000000" w:themeColor="text1"/>
                <w:sz w:val="20"/>
                <w:szCs w:val="20"/>
                <w:shd w:val="clear" w:color="auto" w:fill="FFFFFF"/>
                <w:lang w:val="en-US"/>
              </w:rPr>
              <w:t>.</w:t>
            </w:r>
          </w:p>
          <w:p w14:paraId="3D3A7976" w14:textId="77777777"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Spitalele</w:t>
            </w:r>
            <w:proofErr w:type="spellEnd"/>
            <w:r w:rsidRPr="00417AE6">
              <w:rPr>
                <w:rFonts w:eastAsia="Arial Unicode MS"/>
                <w:color w:val="000000" w:themeColor="text1"/>
                <w:sz w:val="20"/>
                <w:szCs w:val="20"/>
                <w:shd w:val="clear" w:color="auto" w:fill="FFFFFF"/>
                <w:lang w:val="en-US"/>
              </w:rPr>
              <w:t xml:space="preserve"> pot fi, de </w:t>
            </w:r>
            <w:proofErr w:type="spellStart"/>
            <w:r w:rsidRPr="00417AE6">
              <w:rPr>
                <w:rFonts w:eastAsia="Arial Unicode MS"/>
                <w:color w:val="000000" w:themeColor="text1"/>
                <w:sz w:val="20"/>
                <w:szCs w:val="20"/>
                <w:shd w:val="clear" w:color="auto" w:fill="FFFFFF"/>
                <w:lang w:val="en-US"/>
              </w:rPr>
              <w:t>asemenea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excluse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dacă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adoptă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măsuri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echivalente</w:t>
            </w:r>
            <w:proofErr w:type="spellEnd"/>
            <w:r w:rsidRPr="00417AE6">
              <w:rPr>
                <w:rFonts w:eastAsia="Arial Unicode MS"/>
                <w:color w:val="000000" w:themeColor="text1"/>
                <w:sz w:val="20"/>
                <w:szCs w:val="20"/>
                <w:shd w:val="clear" w:color="auto" w:fill="FFFFFF"/>
                <w:lang w:val="en-US"/>
              </w:rPr>
              <w:t>.</w:t>
            </w:r>
          </w:p>
          <w:p w14:paraId="07528846" w14:textId="77777777" w:rsidR="00124364" w:rsidRPr="00417AE6" w:rsidRDefault="00000000" w:rsidP="00417AE6">
            <w:pPr>
              <w:pStyle w:val="ti-art"/>
              <w:shd w:val="clear" w:color="auto" w:fill="FFFFFF"/>
              <w:spacing w:before="0" w:beforeAutospacing="0" w:after="0" w:afterAutospacing="0"/>
              <w:jc w:val="both"/>
              <w:rPr>
                <w:color w:val="000000" w:themeColor="text1"/>
                <w:sz w:val="20"/>
                <w:szCs w:val="20"/>
              </w:rPr>
            </w:pPr>
            <w:hyperlink r:id="rId317" w:tooltip="32009L0029R(04): REPLACED" w:history="1">
              <w:r w:rsidRPr="00417AE6">
                <w:rPr>
                  <w:rStyle w:val="af3"/>
                  <w:rFonts w:eastAsia="Arial Unicode MS"/>
                  <w:b/>
                  <w:bCs/>
                  <w:color w:val="000000" w:themeColor="text1"/>
                  <w:sz w:val="20"/>
                  <w:szCs w:val="20"/>
                </w:rPr>
                <w:t>▼C5</w:t>
              </w:r>
            </w:hyperlink>
          </w:p>
          <w:p w14:paraId="0442A832" w14:textId="77777777" w:rsidR="00124364" w:rsidRPr="00417AE6" w:rsidRDefault="00000000" w:rsidP="00417AE6">
            <w:pPr>
              <w:pStyle w:val="ti-art"/>
              <w:numPr>
                <w:ilvl w:val="0"/>
                <w:numId w:val="1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cazul</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după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expirarea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perioade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luni</w:t>
            </w:r>
            <w:proofErr w:type="spellEnd"/>
            <w:r w:rsidRPr="00417AE6">
              <w:rPr>
                <w:rFonts w:eastAsia="Arial Unicode MS"/>
                <w:color w:val="000000" w:themeColor="text1"/>
                <w:sz w:val="20"/>
                <w:szCs w:val="20"/>
                <w:shd w:val="clear" w:color="auto" w:fill="FFFFFF"/>
                <w:lang w:val="en-US"/>
              </w:rPr>
              <w:t xml:space="preserve"> de la data </w:t>
            </w:r>
            <w:proofErr w:type="spellStart"/>
            <w:r w:rsidRPr="00417AE6">
              <w:rPr>
                <w:rFonts w:eastAsia="Arial Unicode MS"/>
                <w:color w:val="000000" w:themeColor="text1"/>
                <w:sz w:val="20"/>
                <w:szCs w:val="20"/>
                <w:shd w:val="clear" w:color="auto" w:fill="FFFFFF"/>
                <w:lang w:val="en-US"/>
              </w:rPr>
              <w:t>notificării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publice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Comisia</w:t>
            </w:r>
            <w:proofErr w:type="spellEnd"/>
            <w:r w:rsidRPr="00417AE6">
              <w:rPr>
                <w:rFonts w:eastAsia="Arial Unicode MS"/>
                <w:color w:val="000000" w:themeColor="text1"/>
                <w:sz w:val="20"/>
                <w:szCs w:val="20"/>
                <w:shd w:val="clear" w:color="auto" w:fill="FFFFFF"/>
                <w:lang w:val="en-US"/>
              </w:rPr>
              <w:t xml:space="preserve"> nu </w:t>
            </w:r>
            <w:proofErr w:type="spellStart"/>
            <w:r w:rsidRPr="00417AE6">
              <w:rPr>
                <w:rFonts w:eastAsia="Arial Unicode MS"/>
                <w:color w:val="000000" w:themeColor="text1"/>
                <w:sz w:val="20"/>
                <w:szCs w:val="20"/>
                <w:shd w:val="clear" w:color="auto" w:fill="FFFFFF"/>
                <w:lang w:val="en-US"/>
              </w:rPr>
              <w:t>prezintă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obiecții</w:t>
            </w:r>
            <w:proofErr w:type="spellEnd"/>
            <w:r w:rsidRPr="00417AE6">
              <w:rPr>
                <w:rFonts w:eastAsia="Arial Unicode MS"/>
                <w:color w:val="000000" w:themeColor="text1"/>
                <w:sz w:val="20"/>
                <w:szCs w:val="20"/>
                <w:shd w:val="clear" w:color="auto" w:fill="FFFFFF"/>
                <w:lang w:val="en-US"/>
              </w:rPr>
              <w:t xml:space="preserve"> în termen de </w:t>
            </w:r>
            <w:proofErr w:type="spellStart"/>
            <w:r w:rsidRPr="00417AE6">
              <w:rPr>
                <w:rFonts w:eastAsia="Arial Unicode MS"/>
                <w:color w:val="000000" w:themeColor="text1"/>
                <w:sz w:val="20"/>
                <w:szCs w:val="20"/>
                <w:shd w:val="clear" w:color="auto" w:fill="FFFFFF"/>
                <w:lang w:val="en-US"/>
              </w:rPr>
              <w:t>șase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luni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excluderea</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consideră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acceptată</w:t>
            </w:r>
            <w:proofErr w:type="spellEnd"/>
            <w:r w:rsidRPr="00417AE6">
              <w:rPr>
                <w:rFonts w:eastAsia="Arial Unicode MS"/>
                <w:color w:val="000000" w:themeColor="text1"/>
                <w:sz w:val="20"/>
                <w:szCs w:val="20"/>
                <w:shd w:val="clear" w:color="auto" w:fill="FFFFFF"/>
                <w:lang w:val="en-US"/>
              </w:rPr>
              <w:t>.</w:t>
            </w:r>
          </w:p>
          <w:p w14:paraId="0C3B3393" w14:textId="13F9C06C"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t xml:space="preserve">În </w:t>
            </w:r>
            <w:proofErr w:type="spellStart"/>
            <w:r w:rsidRPr="00417AE6">
              <w:rPr>
                <w:rFonts w:eastAsia="Arial Unicode MS"/>
                <w:color w:val="000000" w:themeColor="text1"/>
                <w:sz w:val="20"/>
                <w:szCs w:val="20"/>
                <w:shd w:val="clear" w:color="auto" w:fill="FFFFFF"/>
                <w:lang w:val="en-US"/>
              </w:rPr>
              <w:t>urma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restituirii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certificatelor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aferente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perioadei</w:t>
            </w:r>
            <w:proofErr w:type="spellEnd"/>
            <w:r w:rsidRPr="00417AE6">
              <w:rPr>
                <w:rFonts w:eastAsia="Arial Unicode MS"/>
                <w:color w:val="000000" w:themeColor="text1"/>
                <w:sz w:val="20"/>
                <w:szCs w:val="20"/>
                <w:shd w:val="clear" w:color="auto" w:fill="FFFFFF"/>
                <w:lang w:val="en-US"/>
              </w:rPr>
              <w:t xml:space="preserve"> în care o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află</w:t>
            </w:r>
            <w:proofErr w:type="spellEnd"/>
            <w:r w:rsidRPr="00417AE6">
              <w:rPr>
                <w:rFonts w:eastAsia="Arial Unicode MS"/>
                <w:color w:val="000000" w:themeColor="text1"/>
                <w:sz w:val="20"/>
                <w:szCs w:val="20"/>
                <w:shd w:val="clear" w:color="auto" w:fill="FFFFFF"/>
                <w:lang w:val="en-US"/>
              </w:rPr>
              <w:t xml:space="preserve"> în</w:t>
            </w:r>
            <w:r w:rsidR="00417AE6">
              <w:rPr>
                <w:rStyle w:val="apple-converted-space"/>
                <w:rFonts w:eastAsia="Arial Unicode MS"/>
                <w:color w:val="000000" w:themeColor="text1"/>
                <w:sz w:val="20"/>
                <w:szCs w:val="20"/>
                <w:shd w:val="clear" w:color="auto" w:fill="FFFFFF"/>
                <w:lang w:val="en-US"/>
              </w:rPr>
              <w:t xml:space="preserve"> </w:t>
            </w:r>
            <w:hyperlink r:id="rId318" w:tooltip="32018L0410: REPLACED" w:history="1">
              <w:r w:rsidRPr="00417AE6">
                <w:rPr>
                  <w:rStyle w:val="boldface"/>
                  <w:rFonts w:eastAsia="Arial Unicode MS"/>
                  <w:b/>
                  <w:bCs/>
                  <w:color w:val="000000" w:themeColor="text1"/>
                  <w:sz w:val="20"/>
                  <w:szCs w:val="20"/>
                  <w:lang w:val="en-US"/>
                </w:rPr>
                <w:t>►M9</w:t>
              </w:r>
            </w:hyperlink>
            <w:r w:rsidR="00417AE6">
              <w:rPr>
                <w:rStyle w:val="apple-converted-space"/>
                <w:rFonts w:eastAsia="Arial Unicode M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EU ETS</w:t>
            </w:r>
            <w:r w:rsidR="00417AE6">
              <w:rPr>
                <w:rStyle w:val="boldface"/>
                <w:rFonts w:eastAsia="Arial Unicode MS"/>
                <w:b/>
                <w:bCs/>
                <w:color w:val="000000" w:themeColor="text1"/>
                <w:sz w:val="20"/>
                <w:szCs w:val="20"/>
                <w:lang w:val="en-US"/>
              </w:rPr>
              <w:t xml:space="preserve"> </w:t>
            </w:r>
            <w:r w:rsidRPr="00417AE6">
              <w:rPr>
                <w:rStyle w:val="boldface"/>
                <w:rFonts w:eastAsia="Arial Unicode MS"/>
                <w:b/>
                <w:bCs/>
                <w:color w:val="000000" w:themeColor="text1"/>
                <w:sz w:val="20"/>
                <w:szCs w:val="20"/>
                <w:lang w:val="en-US"/>
              </w:rPr>
              <w:t>◄</w:t>
            </w:r>
            <w:r w:rsidR="00417AE6">
              <w:rPr>
                <w:rStyle w:val="apple-converted-space"/>
                <w:rFonts w:eastAsia="Arial Unicode MS"/>
                <w:b/>
                <w:bC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exclusă</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schemă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iar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nu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alte</w:t>
            </w:r>
            <w:proofErr w:type="spellEnd"/>
            <w:r w:rsidRPr="00417AE6">
              <w:rPr>
                <w:rFonts w:eastAsia="Arial Unicode MS"/>
                <w:color w:val="000000" w:themeColor="text1"/>
                <w:sz w:val="20"/>
                <w:szCs w:val="20"/>
                <w:shd w:val="clear" w:color="auto" w:fill="FFFFFF"/>
                <w:lang w:val="en-US"/>
              </w:rPr>
              <w:t xml:space="preserve"> certificate cu </w:t>
            </w:r>
            <w:proofErr w:type="spellStart"/>
            <w:r w:rsidRPr="00417AE6">
              <w:rPr>
                <w:rFonts w:eastAsia="Arial Unicode MS"/>
                <w:color w:val="000000" w:themeColor="text1"/>
                <w:sz w:val="20"/>
                <w:szCs w:val="20"/>
                <w:shd w:val="clear" w:color="auto" w:fill="FFFFFF"/>
                <w:lang w:val="en-US"/>
              </w:rPr>
              <w:t>titlu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gratuit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respectivă</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10a.</w:t>
            </w:r>
          </w:p>
          <w:p w14:paraId="563644B9" w14:textId="4DB0CA63" w:rsidR="00124364" w:rsidRPr="00417AE6" w:rsidRDefault="00000000" w:rsidP="00417AE6">
            <w:pPr>
              <w:pStyle w:val="ti-art"/>
              <w:numPr>
                <w:ilvl w:val="0"/>
                <w:numId w:val="1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Atunci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când</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reintrodusă</w:t>
            </w:r>
            <w:proofErr w:type="spellEnd"/>
            <w:r w:rsidRPr="00417AE6">
              <w:rPr>
                <w:rFonts w:eastAsia="Arial Unicode MS"/>
                <w:color w:val="000000" w:themeColor="text1"/>
                <w:sz w:val="20"/>
                <w:szCs w:val="20"/>
                <w:shd w:val="clear" w:color="auto" w:fill="FFFFFF"/>
                <w:lang w:val="en-US"/>
              </w:rPr>
              <w:t xml:space="preserve"> în</w:t>
            </w:r>
            <w:r w:rsidR="00417AE6">
              <w:rPr>
                <w:rStyle w:val="apple-converted-space"/>
                <w:rFonts w:eastAsia="Arial Unicode MS"/>
                <w:color w:val="000000" w:themeColor="text1"/>
                <w:sz w:val="20"/>
                <w:szCs w:val="20"/>
                <w:shd w:val="clear" w:color="auto" w:fill="FFFFFF"/>
                <w:lang w:val="en-US"/>
              </w:rPr>
              <w:t xml:space="preserve"> </w:t>
            </w:r>
            <w:hyperlink r:id="rId319" w:tooltip="32018L0410: REPLACED" w:history="1">
              <w:r w:rsidRPr="00417AE6">
                <w:rPr>
                  <w:rStyle w:val="boldface"/>
                  <w:rFonts w:eastAsia="Arial Unicode MS"/>
                  <w:b/>
                  <w:bCs/>
                  <w:color w:val="000000" w:themeColor="text1"/>
                  <w:sz w:val="20"/>
                  <w:szCs w:val="20"/>
                  <w:lang w:val="en-US"/>
                </w:rPr>
                <w:t>►M9</w:t>
              </w:r>
            </w:hyperlink>
            <w:r w:rsidR="00417AE6">
              <w:rPr>
                <w:rStyle w:val="apple-converted-space"/>
                <w:rFonts w:eastAsia="Arial Unicode M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EU ETS</w:t>
            </w:r>
            <w:r w:rsidR="00417AE6">
              <w:rPr>
                <w:rStyle w:val="boldface"/>
                <w:rFonts w:eastAsia="Arial Unicode MS"/>
                <w:b/>
                <w:bCs/>
                <w:color w:val="000000" w:themeColor="text1"/>
                <w:sz w:val="20"/>
                <w:szCs w:val="20"/>
                <w:lang w:val="en-US"/>
              </w:rPr>
              <w:t xml:space="preserve"> </w:t>
            </w:r>
            <w:r w:rsidRPr="00417AE6">
              <w:rPr>
                <w:rStyle w:val="boldface"/>
                <w:rFonts w:eastAsia="Arial Unicode MS"/>
                <w:b/>
                <w:bCs/>
                <w:color w:val="000000" w:themeColor="text1"/>
                <w:sz w:val="20"/>
                <w:szCs w:val="20"/>
                <w:lang w:val="en-US"/>
              </w:rPr>
              <w:t>◄</w:t>
            </w:r>
            <w:r w:rsidR="00417AE6">
              <w:rPr>
                <w:rStyle w:val="apple-converted-space"/>
                <w:rFonts w:eastAsia="Arial Unicode MS"/>
                <w:b/>
                <w:bC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 xml:space="preserve">în conformitate cu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w:t>
            </w:r>
            <w:proofErr w:type="spellStart"/>
            <w:r w:rsidRPr="00417AE6">
              <w:rPr>
                <w:rFonts w:eastAsia="Arial Unicode MS"/>
                <w:color w:val="000000" w:themeColor="text1"/>
                <w:sz w:val="20"/>
                <w:szCs w:val="20"/>
                <w:shd w:val="clear" w:color="auto" w:fill="FFFFFF"/>
                <w:lang w:val="en-US"/>
              </w:rPr>
              <w:t>litera</w:t>
            </w:r>
            <w:proofErr w:type="spellEnd"/>
            <w:r w:rsidRPr="00417AE6">
              <w:rPr>
                <w:rFonts w:eastAsia="Arial Unicode MS"/>
                <w:color w:val="000000" w:themeColor="text1"/>
                <w:sz w:val="20"/>
                <w:szCs w:val="20"/>
                <w:shd w:val="clear" w:color="auto" w:fill="FFFFFF"/>
                <w:lang w:val="en-US"/>
              </w:rPr>
              <w:t xml:space="preserve"> (c), </w:t>
            </w:r>
            <w:proofErr w:type="spellStart"/>
            <w:r w:rsidRPr="00417AE6">
              <w:rPr>
                <w:rFonts w:eastAsia="Arial Unicode MS"/>
                <w:color w:val="000000" w:themeColor="text1"/>
                <w:sz w:val="20"/>
                <w:szCs w:val="20"/>
                <w:shd w:val="clear" w:color="auto" w:fill="FFFFFF"/>
                <w:lang w:val="en-US"/>
              </w:rPr>
              <w:t>certificatele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emise</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10a se </w:t>
            </w:r>
            <w:proofErr w:type="spellStart"/>
            <w:r w:rsidRPr="00417AE6">
              <w:rPr>
                <w:rFonts w:eastAsia="Arial Unicode MS"/>
                <w:color w:val="000000" w:themeColor="text1"/>
                <w:sz w:val="20"/>
                <w:szCs w:val="20"/>
                <w:shd w:val="clear" w:color="auto" w:fill="FFFFFF"/>
                <w:lang w:val="en-US"/>
              </w:rPr>
              <w:t>acordă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începând</w:t>
            </w:r>
            <w:proofErr w:type="spellEnd"/>
            <w:r w:rsidRPr="00417AE6">
              <w:rPr>
                <w:rFonts w:eastAsia="Arial Unicode MS"/>
                <w:color w:val="000000" w:themeColor="text1"/>
                <w:sz w:val="20"/>
                <w:szCs w:val="20"/>
                <w:shd w:val="clear" w:color="auto" w:fill="FFFFFF"/>
                <w:lang w:val="en-US"/>
              </w:rPr>
              <w:t xml:space="preserve"> cu anul în care are loc </w:t>
            </w:r>
            <w:proofErr w:type="spellStart"/>
            <w:r w:rsidRPr="00417AE6">
              <w:rPr>
                <w:rFonts w:eastAsia="Arial Unicode MS"/>
                <w:color w:val="000000" w:themeColor="text1"/>
                <w:sz w:val="20"/>
                <w:szCs w:val="20"/>
                <w:shd w:val="clear" w:color="auto" w:fill="FFFFFF"/>
                <w:lang w:val="en-US"/>
              </w:rPr>
              <w:t>reintroducerea</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articolul</w:t>
            </w:r>
            <w:proofErr w:type="spellEnd"/>
            <w:r w:rsidRPr="00417AE6">
              <w:rPr>
                <w:rFonts w:eastAsia="Arial Unicode MS"/>
                <w:color w:val="000000" w:themeColor="text1"/>
                <w:sz w:val="20"/>
                <w:szCs w:val="20"/>
                <w:shd w:val="clear" w:color="auto" w:fill="FFFFFF"/>
                <w:lang w:val="en-US"/>
              </w:rPr>
              <w:t xml:space="preserve"> 10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(2), </w:t>
            </w:r>
            <w:proofErr w:type="spellStart"/>
            <w:r w:rsidRPr="00417AE6">
              <w:rPr>
                <w:rFonts w:eastAsia="Arial Unicode MS"/>
                <w:color w:val="000000" w:themeColor="text1"/>
                <w:sz w:val="20"/>
                <w:szCs w:val="20"/>
                <w:shd w:val="clear" w:color="auto" w:fill="FFFFFF"/>
                <w:lang w:val="en-US"/>
              </w:rPr>
              <w:t>certificatele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acordate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acestor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scad</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cantitatea</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urmează</w:t>
            </w:r>
            <w:proofErr w:type="spellEnd"/>
            <w:r w:rsidRPr="00417AE6">
              <w:rPr>
                <w:rFonts w:eastAsia="Arial Unicode MS"/>
                <w:color w:val="000000" w:themeColor="text1"/>
                <w:sz w:val="20"/>
                <w:szCs w:val="20"/>
                <w:shd w:val="clear" w:color="auto" w:fill="FFFFFF"/>
                <w:lang w:val="en-US"/>
              </w:rPr>
              <w:t xml:space="preserve"> a fi </w:t>
            </w:r>
            <w:proofErr w:type="spellStart"/>
            <w:r w:rsidRPr="00417AE6">
              <w:rPr>
                <w:rFonts w:eastAsia="Arial Unicode MS"/>
                <w:color w:val="000000" w:themeColor="text1"/>
                <w:sz w:val="20"/>
                <w:szCs w:val="20"/>
                <w:shd w:val="clear" w:color="auto" w:fill="FFFFFF"/>
                <w:lang w:val="en-US"/>
              </w:rPr>
              <w:t>licitată</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către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în care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amplasată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instalația</w:t>
            </w:r>
            <w:proofErr w:type="spellEnd"/>
            <w:r w:rsidRPr="00417AE6">
              <w:rPr>
                <w:rFonts w:eastAsia="Arial Unicode MS"/>
                <w:color w:val="000000" w:themeColor="text1"/>
                <w:sz w:val="20"/>
                <w:szCs w:val="20"/>
                <w:shd w:val="clear" w:color="auto" w:fill="FFFFFF"/>
                <w:lang w:val="en-US"/>
              </w:rPr>
              <w:t>.</w:t>
            </w:r>
          </w:p>
          <w:p w14:paraId="7AF7617E" w14:textId="77777777" w:rsidR="00124364" w:rsidRPr="00417AE6" w:rsidRDefault="00000000" w:rsidP="00417AE6">
            <w:pPr>
              <w:pStyle w:val="ti-art"/>
              <w:shd w:val="clear" w:color="auto" w:fill="FFFFFF"/>
              <w:spacing w:before="0" w:beforeAutospacing="0" w:after="0" w:afterAutospacing="0"/>
              <w:jc w:val="both"/>
              <w:rPr>
                <w:color w:val="000000" w:themeColor="text1"/>
                <w:sz w:val="20"/>
                <w:szCs w:val="20"/>
                <w:lang w:val="en-US"/>
              </w:rPr>
            </w:pPr>
            <w:hyperlink r:id="rId320" w:tooltip="32018L0410: REPLACED" w:history="1">
              <w:r w:rsidRPr="00417AE6">
                <w:rPr>
                  <w:rStyle w:val="af3"/>
                  <w:rFonts w:eastAsia="Arial Unicode MS"/>
                  <w:b/>
                  <w:bCs/>
                  <w:color w:val="000000" w:themeColor="text1"/>
                  <w:sz w:val="20"/>
                  <w:szCs w:val="20"/>
                  <w:lang w:val="en-US"/>
                </w:rPr>
                <w:t>▼M9</w:t>
              </w:r>
            </w:hyperlink>
          </w:p>
          <w:p w14:paraId="7F641B60" w14:textId="7CE95C9C" w:rsidR="00124364" w:rsidRPr="00417AE6" w:rsidRDefault="00000000" w:rsidP="00417AE6">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rămâne</w:t>
            </w:r>
            <w:proofErr w:type="spellEnd"/>
            <w:r w:rsidRPr="00417AE6">
              <w:rPr>
                <w:rFonts w:eastAsia="Arial Unicode MS"/>
                <w:color w:val="000000" w:themeColor="text1"/>
                <w:sz w:val="20"/>
                <w:szCs w:val="20"/>
                <w:shd w:val="clear" w:color="auto" w:fill="FFFFFF"/>
                <w:lang w:val="en-US"/>
              </w:rPr>
              <w:t xml:space="preserve"> în EU ETS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restul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perioadei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articolul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11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pe </w:t>
            </w:r>
            <w:proofErr w:type="spellStart"/>
            <w:r w:rsidRPr="00417AE6">
              <w:rPr>
                <w:rFonts w:eastAsia="Arial Unicode MS"/>
                <w:color w:val="000000" w:themeColor="text1"/>
                <w:sz w:val="20"/>
                <w:szCs w:val="20"/>
                <w:shd w:val="clear" w:color="auto" w:fill="FFFFFF"/>
                <w:lang w:val="en-US"/>
              </w:rPr>
              <w:t>parcursul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căreia</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fost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reintrodusă</w:t>
            </w:r>
            <w:proofErr w:type="spellEnd"/>
            <w:r w:rsidRPr="00417AE6">
              <w:rPr>
                <w:rFonts w:eastAsia="Arial Unicode MS"/>
                <w:color w:val="000000" w:themeColor="text1"/>
                <w:sz w:val="20"/>
                <w:szCs w:val="20"/>
                <w:shd w:val="clear" w:color="auto" w:fill="FFFFFF"/>
                <w:lang w:val="en-US"/>
              </w:rPr>
              <w:t>.</w:t>
            </w:r>
          </w:p>
          <w:p w14:paraId="3E7B34C6" w14:textId="77777777" w:rsidR="00124364" w:rsidRPr="00417AE6" w:rsidRDefault="00000000" w:rsidP="00417AE6">
            <w:pPr>
              <w:pStyle w:val="ti-art"/>
              <w:shd w:val="clear" w:color="auto" w:fill="FFFFFF"/>
              <w:spacing w:before="0" w:beforeAutospacing="0" w:after="0" w:afterAutospacing="0"/>
              <w:jc w:val="both"/>
              <w:rPr>
                <w:color w:val="000000" w:themeColor="text1"/>
                <w:sz w:val="20"/>
                <w:szCs w:val="20"/>
              </w:rPr>
            </w:pPr>
            <w:hyperlink r:id="rId321" w:tooltip="32009L0029R(04): REPLACED" w:history="1">
              <w:r w:rsidRPr="00417AE6">
                <w:rPr>
                  <w:rStyle w:val="af3"/>
                  <w:rFonts w:eastAsia="Arial Unicode MS"/>
                  <w:b/>
                  <w:bCs/>
                  <w:color w:val="000000" w:themeColor="text1"/>
                  <w:sz w:val="20"/>
                  <w:szCs w:val="20"/>
                </w:rPr>
                <w:t>▼C5</w:t>
              </w:r>
            </w:hyperlink>
          </w:p>
          <w:p w14:paraId="17A4765C" w14:textId="4D386B99" w:rsidR="00124364" w:rsidRPr="00417AE6" w:rsidRDefault="00000000" w:rsidP="00417AE6">
            <w:pPr>
              <w:pStyle w:val="ti-art"/>
              <w:numPr>
                <w:ilvl w:val="0"/>
                <w:numId w:val="1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lastRenderedPageBreak/>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instalațiile</w:t>
            </w:r>
            <w:proofErr w:type="spellEnd"/>
            <w:r w:rsidRPr="00417AE6">
              <w:rPr>
                <w:rFonts w:eastAsia="Arial Unicode MS"/>
                <w:color w:val="000000" w:themeColor="text1"/>
                <w:sz w:val="20"/>
                <w:szCs w:val="20"/>
                <w:shd w:val="clear" w:color="auto" w:fill="FFFFFF"/>
                <w:lang w:val="en-US"/>
              </w:rPr>
              <w:t xml:space="preserve"> care nu au </w:t>
            </w:r>
            <w:proofErr w:type="spellStart"/>
            <w:r w:rsidRPr="00417AE6">
              <w:rPr>
                <w:rFonts w:eastAsia="Arial Unicode MS"/>
                <w:color w:val="000000" w:themeColor="text1"/>
                <w:sz w:val="20"/>
                <w:szCs w:val="20"/>
                <w:shd w:val="clear" w:color="auto" w:fill="FFFFFF"/>
                <w:lang w:val="en-US"/>
              </w:rPr>
              <w:t>fost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incluse</w:t>
            </w:r>
            <w:proofErr w:type="spellEnd"/>
            <w:r w:rsidRPr="00417AE6">
              <w:rPr>
                <w:rFonts w:eastAsia="Arial Unicode MS"/>
                <w:color w:val="000000" w:themeColor="text1"/>
                <w:sz w:val="20"/>
                <w:szCs w:val="20"/>
                <w:shd w:val="clear" w:color="auto" w:fill="FFFFFF"/>
                <w:lang w:val="en-US"/>
              </w:rPr>
              <w:t xml:space="preserve"> în</w:t>
            </w:r>
            <w:r w:rsidR="00417AE6">
              <w:rPr>
                <w:rStyle w:val="apple-converted-space"/>
                <w:rFonts w:eastAsia="Arial Unicode MS"/>
                <w:color w:val="000000" w:themeColor="text1"/>
                <w:sz w:val="20"/>
                <w:szCs w:val="20"/>
                <w:shd w:val="clear" w:color="auto" w:fill="FFFFFF"/>
                <w:lang w:val="en-US"/>
              </w:rPr>
              <w:t xml:space="preserve"> </w:t>
            </w:r>
            <w:hyperlink r:id="rId322" w:tooltip="32018L0410: REPLACED" w:history="1">
              <w:r w:rsidRPr="00417AE6">
                <w:rPr>
                  <w:rStyle w:val="boldface"/>
                  <w:rFonts w:eastAsia="Arial Unicode MS"/>
                  <w:b/>
                  <w:bCs/>
                  <w:color w:val="000000" w:themeColor="text1"/>
                  <w:sz w:val="20"/>
                  <w:szCs w:val="20"/>
                  <w:lang w:val="en-US"/>
                </w:rPr>
                <w:t>►M9</w:t>
              </w:r>
            </w:hyperlink>
            <w:r w:rsidR="00417AE6">
              <w:rPr>
                <w:rStyle w:val="apple-converted-space"/>
                <w:rFonts w:eastAsia="Arial Unicode M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EU ETS</w:t>
            </w:r>
            <w:r w:rsidR="00417AE6">
              <w:rPr>
                <w:rStyle w:val="boldface"/>
                <w:rFonts w:eastAsia="Arial Unicode MS"/>
                <w:b/>
                <w:bCs/>
                <w:color w:val="000000" w:themeColor="text1"/>
                <w:sz w:val="20"/>
                <w:szCs w:val="20"/>
                <w:lang w:val="en-US"/>
              </w:rPr>
              <w:t xml:space="preserve"> </w:t>
            </w:r>
            <w:r w:rsidRPr="00417AE6">
              <w:rPr>
                <w:rStyle w:val="boldface"/>
                <w:rFonts w:eastAsia="Arial Unicode MS"/>
                <w:b/>
                <w:bCs/>
                <w:color w:val="000000" w:themeColor="text1"/>
                <w:sz w:val="20"/>
                <w:szCs w:val="20"/>
                <w:lang w:val="en-US"/>
              </w:rPr>
              <w:t>◄</w:t>
            </w:r>
            <w:r w:rsidR="00417AE6">
              <w:rPr>
                <w:rStyle w:val="apple-converted-space"/>
                <w:rFonts w:eastAsia="Arial Unicode MS"/>
                <w:b/>
                <w:bCs/>
                <w:color w:val="000000" w:themeColor="text1"/>
                <w:sz w:val="20"/>
                <w:szCs w:val="20"/>
                <w:lang w:val="en-US"/>
              </w:rPr>
              <w:t xml:space="preserve"> </w:t>
            </w:r>
            <w:r w:rsidRPr="00417AE6">
              <w:rPr>
                <w:rFonts w:eastAsia="Arial Unicode MS"/>
                <w:color w:val="000000" w:themeColor="text1"/>
                <w:sz w:val="20"/>
                <w:szCs w:val="20"/>
                <w:shd w:val="clear" w:color="auto" w:fill="FFFFFF"/>
                <w:lang w:val="en-US"/>
              </w:rPr>
              <w:t xml:space="preserve">în perioada 2008-2012, se pot </w:t>
            </w:r>
            <w:proofErr w:type="spellStart"/>
            <w:r w:rsidRPr="00417AE6">
              <w:rPr>
                <w:rFonts w:eastAsia="Arial Unicode MS"/>
                <w:color w:val="000000" w:themeColor="text1"/>
                <w:sz w:val="20"/>
                <w:szCs w:val="20"/>
                <w:shd w:val="clear" w:color="auto" w:fill="FFFFFF"/>
                <w:lang w:val="en-US"/>
              </w:rPr>
              <w:t>aplica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cerințe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simplificate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monitorizare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raportare</w:t>
            </w:r>
            <w:proofErr w:type="spellEnd"/>
            <w:r w:rsidRPr="00417AE6">
              <w:rPr>
                <w:rFonts w:eastAsia="Arial Unicode MS"/>
                <w:color w:val="000000" w:themeColor="text1"/>
                <w:sz w:val="20"/>
                <w:szCs w:val="20"/>
                <w:shd w:val="clear" w:color="auto" w:fill="FFFFFF"/>
                <w:lang w:val="en-US"/>
              </w:rPr>
              <w:t xml:space="preserve"> și </w:t>
            </w:r>
            <w:proofErr w:type="spellStart"/>
            <w:r w:rsidRPr="00417AE6">
              <w:rPr>
                <w:rFonts w:eastAsia="Arial Unicode MS"/>
                <w:color w:val="000000" w:themeColor="text1"/>
                <w:sz w:val="20"/>
                <w:szCs w:val="20"/>
                <w:shd w:val="clear" w:color="auto" w:fill="FFFFFF"/>
                <w:lang w:val="en-US"/>
              </w:rPr>
              <w:t>verificare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stabilirea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emisiilor</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ani </w:t>
            </w:r>
            <w:proofErr w:type="spellStart"/>
            <w:r w:rsidRPr="00417AE6">
              <w:rPr>
                <w:rFonts w:eastAsia="Arial Unicode MS"/>
                <w:color w:val="000000" w:themeColor="text1"/>
                <w:sz w:val="20"/>
                <w:szCs w:val="20"/>
                <w:shd w:val="clear" w:color="auto" w:fill="FFFFFF"/>
                <w:lang w:val="en-US"/>
              </w:rPr>
              <w:t>precedenți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notificării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prevăzute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w:t>
            </w:r>
            <w:proofErr w:type="spellStart"/>
            <w:r w:rsidRPr="00417AE6">
              <w:rPr>
                <w:rFonts w:eastAsia="Arial Unicode MS"/>
                <w:color w:val="000000" w:themeColor="text1"/>
                <w:sz w:val="20"/>
                <w:szCs w:val="20"/>
                <w:shd w:val="clear" w:color="auto" w:fill="FFFFFF"/>
                <w:lang w:val="en-US"/>
              </w:rPr>
              <w:t>litera</w:t>
            </w:r>
            <w:proofErr w:type="spellEnd"/>
            <w:r w:rsidRPr="00417AE6">
              <w:rPr>
                <w:rFonts w:eastAsia="Arial Unicode MS"/>
                <w:color w:val="000000" w:themeColor="text1"/>
                <w:sz w:val="20"/>
                <w:szCs w:val="20"/>
                <w:shd w:val="clear" w:color="auto" w:fill="FFFFFF"/>
                <w:lang w:val="en-US"/>
              </w:rPr>
              <w:t xml:space="preserve"> (a).</w:t>
            </w:r>
          </w:p>
          <w:p w14:paraId="1B5D6684"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23" w:tooltip="32018L0410: INSERTED" w:history="1">
              <w:r>
                <w:rPr>
                  <w:rStyle w:val="af3"/>
                  <w:rFonts w:eastAsia="Arial Unicode MS"/>
                  <w:b/>
                  <w:bCs/>
                  <w:color w:val="4472C4" w:themeColor="accent1"/>
                  <w:sz w:val="20"/>
                  <w:szCs w:val="20"/>
                </w:rPr>
                <w:t>▼M9</w:t>
              </w:r>
            </w:hyperlink>
          </w:p>
        </w:tc>
        <w:tc>
          <w:tcPr>
            <w:tcW w:w="4394" w:type="dxa"/>
            <w:shd w:val="clear" w:color="auto" w:fill="auto"/>
          </w:tcPr>
          <w:p w14:paraId="6932872E"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0CA4186" w14:textId="77861E81" w:rsidR="00124364" w:rsidRDefault="00417AE6" w:rsidP="00417AE6">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6A4074A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5C8866F" w14:textId="4CB25307" w:rsidR="00124364" w:rsidRDefault="00417AE6" w:rsidP="00417AE6">
            <w:pPr>
              <w:pStyle w:val="Para"/>
              <w:tabs>
                <w:tab w:val="clear" w:pos="1361"/>
                <w:tab w:val="left" w:pos="1422"/>
              </w:tabs>
              <w:spacing w:before="60" w:after="0"/>
              <w:ind w:right="0"/>
              <w:rPr>
                <w:rFonts w:ascii="Times New Roman" w:eastAsia="Times New Roman" w:hAnsi="Times New Roman"/>
              </w:rPr>
            </w:pPr>
            <w:r>
              <w:rPr>
                <w:rFonts w:ascii="Times New Roman" w:eastAsia="Times New Roman" w:hAnsi="Times New Roman"/>
              </w:rPr>
              <w:t xml:space="preserve">Prevederile vor fi transpuse în </w:t>
            </w:r>
            <w:r w:rsidRPr="00417AE6">
              <w:rPr>
                <w:rFonts w:ascii="Times New Roman" w:hAnsi="Times New Roman"/>
                <w:color w:val="000000" w:themeColor="text1"/>
              </w:rPr>
              <w:t>Regulamentul privind monitorizare, raportare și verificare a emisiilor de gaze cu efect de sera de la instalațiile staționare și activitățile din domeniul aviației</w:t>
            </w:r>
            <w:r>
              <w:rPr>
                <w:rFonts w:ascii="Times New Roman" w:hAnsi="Times New Roman"/>
                <w:color w:val="000000" w:themeColor="text1"/>
              </w:rPr>
              <w:t>.</w:t>
            </w:r>
          </w:p>
        </w:tc>
        <w:tc>
          <w:tcPr>
            <w:tcW w:w="1464" w:type="dxa"/>
            <w:shd w:val="clear" w:color="auto" w:fill="auto"/>
          </w:tcPr>
          <w:p w14:paraId="24DB1B92" w14:textId="77777777" w:rsidR="00124364" w:rsidRDefault="00124364" w:rsidP="00417AE6">
            <w:pPr>
              <w:autoSpaceDE w:val="0"/>
              <w:spacing w:after="0" w:line="240" w:lineRule="auto"/>
              <w:rPr>
                <w:rFonts w:ascii="Times New Roman" w:hAnsi="Times New Roman"/>
                <w:sz w:val="20"/>
                <w:szCs w:val="20"/>
                <w:lang w:val="fr-FR"/>
              </w:rPr>
            </w:pPr>
          </w:p>
        </w:tc>
      </w:tr>
      <w:tr w:rsidR="00124364" w14:paraId="4893B425" w14:textId="77777777">
        <w:trPr>
          <w:trHeight w:val="558"/>
        </w:trPr>
        <w:tc>
          <w:tcPr>
            <w:tcW w:w="4957" w:type="dxa"/>
            <w:shd w:val="clear" w:color="auto" w:fill="auto"/>
          </w:tcPr>
          <w:p w14:paraId="71BF03B1"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27a</w:t>
            </w:r>
          </w:p>
          <w:p w14:paraId="47FD8095" w14:textId="7EEBA36C" w:rsidR="00124364" w:rsidRPr="00417AE6" w:rsidRDefault="00000000" w:rsidP="00417AE6">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417AE6">
              <w:rPr>
                <w:rFonts w:eastAsia="Arial Unicode MS"/>
                <w:b/>
                <w:bCs/>
                <w:color w:val="000000" w:themeColor="text1"/>
                <w:sz w:val="20"/>
                <w:szCs w:val="20"/>
                <w:shd w:val="clear" w:color="auto" w:fill="FFFFFF"/>
                <w:lang w:val="en-US"/>
              </w:rPr>
              <w:t>Excluderea</w:t>
            </w:r>
            <w:proofErr w:type="spellEnd"/>
            <w:r w:rsidRPr="00417AE6">
              <w:rPr>
                <w:rFonts w:eastAsia="Arial Unicode MS"/>
                <w:b/>
                <w:bCs/>
                <w:color w:val="000000" w:themeColor="text1"/>
                <w:sz w:val="20"/>
                <w:szCs w:val="20"/>
                <w:shd w:val="clear" w:color="auto" w:fill="FFFFFF"/>
                <w:lang w:val="en-US"/>
              </w:rPr>
              <w:t xml:space="preserve"> </w:t>
            </w:r>
            <w:proofErr w:type="spellStart"/>
            <w:r w:rsidRPr="00417AE6">
              <w:rPr>
                <w:rFonts w:eastAsia="Arial Unicode MS"/>
                <w:b/>
                <w:bCs/>
                <w:color w:val="000000" w:themeColor="text1"/>
                <w:sz w:val="20"/>
                <w:szCs w:val="20"/>
                <w:shd w:val="clear" w:color="auto" w:fill="FFFFFF"/>
                <w:lang w:val="en-US"/>
              </w:rPr>
              <w:t>opțională</w:t>
            </w:r>
            <w:proofErr w:type="spellEnd"/>
            <w:r w:rsidRPr="00417AE6">
              <w:rPr>
                <w:rFonts w:eastAsia="Arial Unicode MS"/>
                <w:b/>
                <w:bCs/>
                <w:color w:val="000000" w:themeColor="text1"/>
                <w:sz w:val="20"/>
                <w:szCs w:val="20"/>
                <w:shd w:val="clear" w:color="auto" w:fill="FFFFFF"/>
                <w:lang w:val="en-US"/>
              </w:rPr>
              <w:t xml:space="preserve"> </w:t>
            </w:r>
            <w:proofErr w:type="gramStart"/>
            <w:r w:rsidRPr="00417AE6">
              <w:rPr>
                <w:rFonts w:eastAsia="Arial Unicode MS"/>
                <w:b/>
                <w:bCs/>
                <w:color w:val="000000" w:themeColor="text1"/>
                <w:sz w:val="20"/>
                <w:szCs w:val="20"/>
                <w:shd w:val="clear" w:color="auto" w:fill="FFFFFF"/>
                <w:lang w:val="en-US"/>
              </w:rPr>
              <w:t>a</w:t>
            </w:r>
            <w:proofErr w:type="gramEnd"/>
            <w:r w:rsidRPr="00417AE6">
              <w:rPr>
                <w:rFonts w:eastAsia="Arial Unicode MS"/>
                <w:b/>
                <w:bCs/>
                <w:color w:val="000000" w:themeColor="text1"/>
                <w:sz w:val="20"/>
                <w:szCs w:val="20"/>
                <w:shd w:val="clear" w:color="auto" w:fill="FFFFFF"/>
                <w:lang w:val="en-US"/>
              </w:rPr>
              <w:t xml:space="preserve"> </w:t>
            </w:r>
            <w:proofErr w:type="spellStart"/>
            <w:r w:rsidRPr="00417AE6">
              <w:rPr>
                <w:rFonts w:eastAsia="Arial Unicode MS"/>
                <w:b/>
                <w:bCs/>
                <w:color w:val="000000" w:themeColor="text1"/>
                <w:sz w:val="20"/>
                <w:szCs w:val="20"/>
                <w:shd w:val="clear" w:color="auto" w:fill="FFFFFF"/>
                <w:lang w:val="en-US"/>
              </w:rPr>
              <w:t>instalațiilor</w:t>
            </w:r>
            <w:proofErr w:type="spellEnd"/>
            <w:r w:rsidRPr="00417AE6">
              <w:rPr>
                <w:rFonts w:eastAsia="Arial Unicode MS"/>
                <w:b/>
                <w:bCs/>
                <w:color w:val="000000" w:themeColor="text1"/>
                <w:sz w:val="20"/>
                <w:szCs w:val="20"/>
                <w:shd w:val="clear" w:color="auto" w:fill="FFFFFF"/>
                <w:lang w:val="en-US"/>
              </w:rPr>
              <w:t xml:space="preserve"> care emit </w:t>
            </w:r>
            <w:proofErr w:type="spellStart"/>
            <w:r w:rsidRPr="00417AE6">
              <w:rPr>
                <w:rFonts w:eastAsia="Arial Unicode MS"/>
                <w:b/>
                <w:bCs/>
                <w:color w:val="000000" w:themeColor="text1"/>
                <w:sz w:val="20"/>
                <w:szCs w:val="20"/>
                <w:shd w:val="clear" w:color="auto" w:fill="FFFFFF"/>
                <w:lang w:val="en-US"/>
              </w:rPr>
              <w:t>mai</w:t>
            </w:r>
            <w:proofErr w:type="spellEnd"/>
            <w:r w:rsidRPr="00417AE6">
              <w:rPr>
                <w:rFonts w:eastAsia="Arial Unicode MS"/>
                <w:b/>
                <w:bCs/>
                <w:color w:val="000000" w:themeColor="text1"/>
                <w:sz w:val="20"/>
                <w:szCs w:val="20"/>
                <w:shd w:val="clear" w:color="auto" w:fill="FFFFFF"/>
                <w:lang w:val="en-US"/>
              </w:rPr>
              <w:t xml:space="preserve"> </w:t>
            </w:r>
            <w:proofErr w:type="spellStart"/>
            <w:r w:rsidRPr="00417AE6">
              <w:rPr>
                <w:rFonts w:eastAsia="Arial Unicode MS"/>
                <w:b/>
                <w:bCs/>
                <w:color w:val="000000" w:themeColor="text1"/>
                <w:sz w:val="20"/>
                <w:szCs w:val="20"/>
                <w:shd w:val="clear" w:color="auto" w:fill="FFFFFF"/>
                <w:lang w:val="en-US"/>
              </w:rPr>
              <w:t>puțin</w:t>
            </w:r>
            <w:proofErr w:type="spellEnd"/>
            <w:r w:rsidRPr="00417AE6">
              <w:rPr>
                <w:rFonts w:eastAsia="Arial Unicode MS"/>
                <w:b/>
                <w:bCs/>
                <w:color w:val="000000" w:themeColor="text1"/>
                <w:sz w:val="20"/>
                <w:szCs w:val="20"/>
                <w:shd w:val="clear" w:color="auto" w:fill="FFFFFF"/>
                <w:lang w:val="en-US"/>
              </w:rPr>
              <w:t xml:space="preserve"> de 2</w:t>
            </w:r>
            <w:r w:rsidR="00417AE6" w:rsidRPr="00417AE6">
              <w:rPr>
                <w:rFonts w:eastAsia="Arial Unicode MS"/>
                <w:b/>
                <w:bCs/>
                <w:color w:val="000000" w:themeColor="text1"/>
                <w:sz w:val="20"/>
                <w:szCs w:val="20"/>
                <w:shd w:val="clear" w:color="auto" w:fill="FFFFFF"/>
                <w:lang w:val="en-US"/>
              </w:rPr>
              <w:t xml:space="preserve"> </w:t>
            </w:r>
            <w:r w:rsidRPr="00417AE6">
              <w:rPr>
                <w:rFonts w:eastAsia="Arial Unicode MS"/>
                <w:b/>
                <w:bCs/>
                <w:color w:val="000000" w:themeColor="text1"/>
                <w:sz w:val="20"/>
                <w:szCs w:val="20"/>
                <w:shd w:val="clear" w:color="auto" w:fill="FFFFFF"/>
                <w:lang w:val="en-US"/>
              </w:rPr>
              <w:t>500 de tone</w:t>
            </w:r>
          </w:p>
          <w:p w14:paraId="633AA187" w14:textId="56824629" w:rsidR="00124364" w:rsidRPr="00417AE6" w:rsidRDefault="00000000" w:rsidP="00417AE6">
            <w:pPr>
              <w:pStyle w:val="ti-art"/>
              <w:numPr>
                <w:ilvl w:val="0"/>
                <w:numId w:val="11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pot exclude din EU ETS </w:t>
            </w:r>
            <w:proofErr w:type="spellStart"/>
            <w:r w:rsidRPr="00417AE6">
              <w:rPr>
                <w:rFonts w:eastAsia="Arial Unicode MS"/>
                <w:color w:val="000000" w:themeColor="text1"/>
                <w:sz w:val="20"/>
                <w:szCs w:val="20"/>
                <w:shd w:val="clear" w:color="auto" w:fill="FFFFFF"/>
                <w:lang w:val="en-US"/>
              </w:rPr>
              <w:t>instalațiile</w:t>
            </w:r>
            <w:proofErr w:type="spellEnd"/>
            <w:r w:rsidRPr="00417AE6">
              <w:rPr>
                <w:rFonts w:eastAsia="Arial Unicode MS"/>
                <w:color w:val="000000" w:themeColor="text1"/>
                <w:sz w:val="20"/>
                <w:szCs w:val="20"/>
                <w:shd w:val="clear" w:color="auto" w:fill="FFFFFF"/>
                <w:lang w:val="en-US"/>
              </w:rPr>
              <w:t xml:space="preserve"> ale </w:t>
            </w:r>
            <w:proofErr w:type="spellStart"/>
            <w:r w:rsidRPr="00417AE6">
              <w:rPr>
                <w:rFonts w:eastAsia="Arial Unicode MS"/>
                <w:color w:val="000000" w:themeColor="text1"/>
                <w:sz w:val="20"/>
                <w:szCs w:val="20"/>
                <w:shd w:val="clear" w:color="auto" w:fill="FFFFFF"/>
                <w:lang w:val="en-US"/>
              </w:rPr>
              <w:t>căror</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emisii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raportate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autorității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competente</w:t>
            </w:r>
            <w:proofErr w:type="spellEnd"/>
            <w:r w:rsidRPr="00417AE6">
              <w:rPr>
                <w:rFonts w:eastAsia="Arial Unicode MS"/>
                <w:color w:val="000000" w:themeColor="text1"/>
                <w:sz w:val="20"/>
                <w:szCs w:val="20"/>
                <w:shd w:val="clear" w:color="auto" w:fill="FFFFFF"/>
                <w:lang w:val="en-US"/>
              </w:rPr>
              <w:t xml:space="preserve"> ale </w:t>
            </w:r>
            <w:proofErr w:type="spellStart"/>
            <w:r w:rsidRPr="00417AE6">
              <w:rPr>
                <w:rFonts w:eastAsia="Arial Unicode MS"/>
                <w:color w:val="000000" w:themeColor="text1"/>
                <w:sz w:val="20"/>
                <w:szCs w:val="20"/>
                <w:shd w:val="clear" w:color="auto" w:fill="FFFFFF"/>
                <w:lang w:val="en-US"/>
              </w:rPr>
              <w:t>statului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ultimii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ani </w:t>
            </w:r>
            <w:proofErr w:type="spellStart"/>
            <w:r w:rsidRPr="00417AE6">
              <w:rPr>
                <w:rFonts w:eastAsia="Arial Unicode MS"/>
                <w:color w:val="000000" w:themeColor="text1"/>
                <w:sz w:val="20"/>
                <w:szCs w:val="20"/>
                <w:shd w:val="clear" w:color="auto" w:fill="FFFFFF"/>
                <w:lang w:val="en-US"/>
              </w:rPr>
              <w:t>precedenți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notificării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efectuate</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litera</w:t>
            </w:r>
            <w:proofErr w:type="spellEnd"/>
            <w:r w:rsidRPr="00417AE6">
              <w:rPr>
                <w:rFonts w:eastAsia="Arial Unicode MS"/>
                <w:color w:val="000000" w:themeColor="text1"/>
                <w:sz w:val="20"/>
                <w:szCs w:val="20"/>
                <w:shd w:val="clear" w:color="auto" w:fill="FFFFFF"/>
                <w:lang w:val="en-US"/>
              </w:rPr>
              <w:t xml:space="preserve"> (a) sunt sub 2</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500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fără</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ține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dacă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cauză</w:t>
            </w:r>
            <w:proofErr w:type="spellEnd"/>
            <w:r w:rsidRPr="00417AE6">
              <w:rPr>
                <w:rFonts w:eastAsia="Arial Unicode MS"/>
                <w:color w:val="000000" w:themeColor="text1"/>
                <w:sz w:val="20"/>
                <w:szCs w:val="20"/>
                <w:shd w:val="clear" w:color="auto" w:fill="FFFFFF"/>
                <w:lang w:val="en-US"/>
              </w:rPr>
              <w:t>:</w:t>
            </w:r>
          </w:p>
          <w:p w14:paraId="5B53AA3B" w14:textId="77777777" w:rsidR="00124364" w:rsidRPr="00417AE6" w:rsidRDefault="00000000" w:rsidP="00417AE6">
            <w:pPr>
              <w:pStyle w:val="ti-art"/>
              <w:numPr>
                <w:ilvl w:val="0"/>
                <w:numId w:val="1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notifică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acest</w:t>
            </w:r>
            <w:proofErr w:type="spellEnd"/>
            <w:r w:rsidRPr="00417AE6">
              <w:rPr>
                <w:rFonts w:eastAsia="Arial Unicode MS"/>
                <w:color w:val="000000" w:themeColor="text1"/>
                <w:sz w:val="20"/>
                <w:szCs w:val="20"/>
                <w:shd w:val="clear" w:color="auto" w:fill="FFFFFF"/>
                <w:lang w:val="en-US"/>
              </w:rPr>
              <w:t xml:space="preserve"> tip </w:t>
            </w:r>
            <w:proofErr w:type="spellStart"/>
            <w:r w:rsidRPr="00417AE6">
              <w:rPr>
                <w:rFonts w:eastAsia="Arial Unicode MS"/>
                <w:color w:val="000000" w:themeColor="text1"/>
                <w:sz w:val="20"/>
                <w:szCs w:val="20"/>
                <w:shd w:val="clear" w:color="auto" w:fill="FFFFFF"/>
                <w:lang w:val="en-US"/>
              </w:rPr>
              <w:t>Comisiei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înainte</w:t>
            </w:r>
            <w:proofErr w:type="spellEnd"/>
            <w:r w:rsidRPr="00417AE6">
              <w:rPr>
                <w:rFonts w:eastAsia="Arial Unicode MS"/>
                <w:color w:val="000000" w:themeColor="text1"/>
                <w:sz w:val="20"/>
                <w:szCs w:val="20"/>
                <w:shd w:val="clear" w:color="auto" w:fill="FFFFFF"/>
                <w:lang w:val="en-US"/>
              </w:rPr>
              <w:t xml:space="preserve"> de data la care </w:t>
            </w:r>
            <w:proofErr w:type="spellStart"/>
            <w:r w:rsidRPr="00417AE6">
              <w:rPr>
                <w:rFonts w:eastAsia="Arial Unicode MS"/>
                <w:color w:val="000000" w:themeColor="text1"/>
                <w:sz w:val="20"/>
                <w:szCs w:val="20"/>
                <w:shd w:val="clear" w:color="auto" w:fill="FFFFFF"/>
                <w:lang w:val="en-US"/>
              </w:rPr>
              <w:t>trebuie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să</w:t>
            </w:r>
            <w:proofErr w:type="spellEnd"/>
            <w:r w:rsidRPr="00417AE6">
              <w:rPr>
                <w:rFonts w:eastAsia="Arial Unicode MS"/>
                <w:color w:val="000000" w:themeColor="text1"/>
                <w:sz w:val="20"/>
                <w:szCs w:val="20"/>
                <w:shd w:val="clear" w:color="auto" w:fill="FFFFFF"/>
                <w:lang w:val="en-US"/>
              </w:rPr>
              <w:t xml:space="preserve"> fie </w:t>
            </w:r>
            <w:proofErr w:type="spellStart"/>
            <w:r w:rsidRPr="00417AE6">
              <w:rPr>
                <w:rFonts w:eastAsia="Arial Unicode MS"/>
                <w:color w:val="000000" w:themeColor="text1"/>
                <w:sz w:val="20"/>
                <w:szCs w:val="20"/>
                <w:shd w:val="clear" w:color="auto" w:fill="FFFFFF"/>
                <w:lang w:val="en-US"/>
              </w:rPr>
              <w:t>transmisă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lista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instalațiilor</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Pr="00417AE6">
              <w:rPr>
                <w:rFonts w:eastAsia="Arial Unicode MS"/>
                <w:color w:val="000000" w:themeColor="text1"/>
                <w:sz w:val="20"/>
                <w:szCs w:val="20"/>
                <w:shd w:val="clear" w:color="auto" w:fill="FFFFFF"/>
                <w:lang w:val="en-US"/>
              </w:rPr>
              <w:t xml:space="preserve"> 11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(1) </w:t>
            </w:r>
            <w:proofErr w:type="spellStart"/>
            <w:r w:rsidRPr="00417AE6">
              <w:rPr>
                <w:rFonts w:eastAsia="Arial Unicode MS"/>
                <w:color w:val="000000" w:themeColor="text1"/>
                <w:sz w:val="20"/>
                <w:szCs w:val="20"/>
                <w:shd w:val="clear" w:color="auto" w:fill="FFFFFF"/>
                <w:lang w:val="en-US"/>
              </w:rPr>
              <w:t>sau</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târziu</w:t>
            </w:r>
            <w:proofErr w:type="spellEnd"/>
            <w:r w:rsidRPr="00417AE6">
              <w:rPr>
                <w:rFonts w:eastAsia="Arial Unicode MS"/>
                <w:color w:val="000000" w:themeColor="text1"/>
                <w:sz w:val="20"/>
                <w:szCs w:val="20"/>
                <w:shd w:val="clear" w:color="auto" w:fill="FFFFFF"/>
                <w:lang w:val="en-US"/>
              </w:rPr>
              <w:t xml:space="preserve"> la data la care </w:t>
            </w:r>
            <w:proofErr w:type="spellStart"/>
            <w:r w:rsidRPr="00417AE6">
              <w:rPr>
                <w:rFonts w:eastAsia="Arial Unicode MS"/>
                <w:color w:val="000000" w:themeColor="text1"/>
                <w:sz w:val="20"/>
                <w:szCs w:val="20"/>
                <w:shd w:val="clear" w:color="auto" w:fill="FFFFFF"/>
                <w:lang w:val="en-US"/>
              </w:rPr>
              <w:t>respectiva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listă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transmisă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Comisiei</w:t>
            </w:r>
            <w:proofErr w:type="spellEnd"/>
            <w:r w:rsidRPr="00417AE6">
              <w:rPr>
                <w:rFonts w:eastAsia="Arial Unicode MS"/>
                <w:color w:val="000000" w:themeColor="text1"/>
                <w:sz w:val="20"/>
                <w:szCs w:val="20"/>
                <w:shd w:val="clear" w:color="auto" w:fill="FFFFFF"/>
                <w:lang w:val="en-US"/>
              </w:rPr>
              <w:t>;</w:t>
            </w:r>
          </w:p>
          <w:p w14:paraId="33B692BE" w14:textId="77777777" w:rsidR="00124364" w:rsidRPr="00417AE6" w:rsidRDefault="00000000" w:rsidP="00417AE6">
            <w:pPr>
              <w:pStyle w:val="ti-art"/>
              <w:numPr>
                <w:ilvl w:val="0"/>
                <w:numId w:val="1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confirmă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aplică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proceduri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simplificate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monitorizare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pentru</w:t>
            </w:r>
            <w:proofErr w:type="spellEnd"/>
            <w:r w:rsidRPr="00417AE6">
              <w:rPr>
                <w:rFonts w:eastAsia="Arial Unicode MS"/>
                <w:color w:val="000000" w:themeColor="text1"/>
                <w:sz w:val="20"/>
                <w:szCs w:val="20"/>
                <w:shd w:val="clear" w:color="auto" w:fill="FFFFFF"/>
                <w:lang w:val="en-US"/>
              </w:rPr>
              <w:t xml:space="preserve"> a se </w:t>
            </w:r>
            <w:proofErr w:type="spellStart"/>
            <w:r w:rsidRPr="00417AE6">
              <w:rPr>
                <w:rFonts w:eastAsia="Arial Unicode MS"/>
                <w:color w:val="000000" w:themeColor="text1"/>
                <w:sz w:val="20"/>
                <w:szCs w:val="20"/>
                <w:shd w:val="clear" w:color="auto" w:fill="FFFFFF"/>
                <w:lang w:val="en-US"/>
              </w:rPr>
              <w:t>evalua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dacă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vreuna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aceste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puțin</w:t>
            </w:r>
            <w:proofErr w:type="spellEnd"/>
            <w:r w:rsidRPr="00417AE6">
              <w:rPr>
                <w:rFonts w:eastAsia="Arial Unicode MS"/>
                <w:color w:val="000000" w:themeColor="text1"/>
                <w:sz w:val="20"/>
                <w:szCs w:val="20"/>
                <w:shd w:val="clear" w:color="auto" w:fill="FFFFFF"/>
                <w:lang w:val="en-US"/>
              </w:rPr>
              <w:t xml:space="preserve"> 2 500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fără</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ține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an </w:t>
            </w:r>
            <w:proofErr w:type="spellStart"/>
            <w:r w:rsidRPr="00417AE6">
              <w:rPr>
                <w:rFonts w:eastAsia="Arial Unicode MS"/>
                <w:color w:val="000000" w:themeColor="text1"/>
                <w:sz w:val="20"/>
                <w:szCs w:val="20"/>
                <w:shd w:val="clear" w:color="auto" w:fill="FFFFFF"/>
                <w:lang w:val="en-US"/>
              </w:rPr>
              <w:t>calendaristic</w:t>
            </w:r>
            <w:proofErr w:type="spellEnd"/>
            <w:r w:rsidRPr="00417AE6">
              <w:rPr>
                <w:rFonts w:eastAsia="Arial Unicode MS"/>
                <w:color w:val="000000" w:themeColor="text1"/>
                <w:sz w:val="20"/>
                <w:szCs w:val="20"/>
                <w:shd w:val="clear" w:color="auto" w:fill="FFFFFF"/>
                <w:lang w:val="en-US"/>
              </w:rPr>
              <w:t>;</w:t>
            </w:r>
          </w:p>
          <w:p w14:paraId="7E285FC8" w14:textId="19EF775C" w:rsidR="00124364" w:rsidRPr="00417AE6" w:rsidRDefault="00000000" w:rsidP="00417AE6">
            <w:pPr>
              <w:pStyle w:val="ti-art"/>
              <w:numPr>
                <w:ilvl w:val="0"/>
                <w:numId w:val="1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confirmă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emite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puțin</w:t>
            </w:r>
            <w:proofErr w:type="spellEnd"/>
            <w:r w:rsidRPr="00417AE6">
              <w:rPr>
                <w:rFonts w:eastAsia="Arial Unicode MS"/>
                <w:color w:val="000000" w:themeColor="text1"/>
                <w:sz w:val="20"/>
                <w:szCs w:val="20"/>
                <w:shd w:val="clear" w:color="auto" w:fill="FFFFFF"/>
                <w:lang w:val="en-US"/>
              </w:rPr>
              <w:t xml:space="preserve"> 2</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500 de tone de </w:t>
            </w:r>
            <w:proofErr w:type="spellStart"/>
            <w:r w:rsidRPr="00417AE6">
              <w:rPr>
                <w:rFonts w:eastAsia="Arial Unicode MS"/>
                <w:color w:val="000000" w:themeColor="text1"/>
                <w:sz w:val="20"/>
                <w:szCs w:val="20"/>
                <w:shd w:val="clear" w:color="auto" w:fill="FFFFFF"/>
                <w:lang w:val="en-US"/>
              </w:rPr>
              <w:t>dioxid</w:t>
            </w:r>
            <w:proofErr w:type="spellEnd"/>
            <w:r w:rsidRPr="00417AE6">
              <w:rPr>
                <w:rFonts w:eastAsia="Arial Unicode MS"/>
                <w:color w:val="000000" w:themeColor="text1"/>
                <w:sz w:val="20"/>
                <w:szCs w:val="20"/>
                <w:shd w:val="clear" w:color="auto" w:fill="FFFFFF"/>
                <w:lang w:val="en-US"/>
              </w:rPr>
              <w:t xml:space="preserve"> de carbon </w:t>
            </w:r>
            <w:proofErr w:type="spellStart"/>
            <w:r w:rsidRPr="00417AE6">
              <w:rPr>
                <w:rFonts w:eastAsia="Arial Unicode MS"/>
                <w:color w:val="000000" w:themeColor="text1"/>
                <w:sz w:val="20"/>
                <w:szCs w:val="20"/>
                <w:shd w:val="clear" w:color="auto" w:fill="FFFFFF"/>
                <w:lang w:val="en-US"/>
              </w:rPr>
              <w:t>echivalent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fără</w:t>
            </w:r>
            <w:proofErr w:type="spellEnd"/>
            <w:r w:rsidRPr="00417AE6">
              <w:rPr>
                <w:rFonts w:eastAsia="Arial Unicode MS"/>
                <w:color w:val="000000" w:themeColor="text1"/>
                <w:sz w:val="20"/>
                <w:szCs w:val="20"/>
                <w:shd w:val="clear" w:color="auto" w:fill="FFFFFF"/>
                <w:lang w:val="en-US"/>
              </w:rPr>
              <w:t xml:space="preserve"> a </w:t>
            </w:r>
            <w:proofErr w:type="spellStart"/>
            <w:r w:rsidRPr="00417AE6">
              <w:rPr>
                <w:rFonts w:eastAsia="Arial Unicode MS"/>
                <w:color w:val="000000" w:themeColor="text1"/>
                <w:sz w:val="20"/>
                <w:szCs w:val="20"/>
                <w:shd w:val="clear" w:color="auto" w:fill="FFFFFF"/>
                <w:lang w:val="en-US"/>
              </w:rPr>
              <w:t>ține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cont</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emisiile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provenite</w:t>
            </w:r>
            <w:proofErr w:type="spellEnd"/>
            <w:r w:rsidRPr="00417AE6">
              <w:rPr>
                <w:rFonts w:eastAsia="Arial Unicode MS"/>
                <w:color w:val="000000" w:themeColor="text1"/>
                <w:sz w:val="20"/>
                <w:szCs w:val="20"/>
                <w:shd w:val="clear" w:color="auto" w:fill="FFFFFF"/>
                <w:lang w:val="en-US"/>
              </w:rPr>
              <w:t xml:space="preserve"> de la </w:t>
            </w:r>
            <w:proofErr w:type="spellStart"/>
            <w:r w:rsidRPr="00417AE6">
              <w:rPr>
                <w:rFonts w:eastAsia="Arial Unicode MS"/>
                <w:color w:val="000000" w:themeColor="text1"/>
                <w:sz w:val="20"/>
                <w:szCs w:val="20"/>
                <w:shd w:val="clear" w:color="auto" w:fill="FFFFFF"/>
                <w:lang w:val="en-US"/>
              </w:rPr>
              <w:t>biomasă</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an</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calendaristic</w:t>
            </w:r>
            <w:proofErr w:type="spellEnd"/>
            <w:r w:rsidRPr="00417AE6">
              <w:rPr>
                <w:rFonts w:eastAsia="Arial Unicode MS"/>
                <w:color w:val="000000" w:themeColor="text1"/>
                <w:sz w:val="20"/>
                <w:szCs w:val="20"/>
                <w:shd w:val="clear" w:color="auto" w:fill="FFFFFF"/>
                <w:lang w:val="en-US"/>
              </w:rPr>
              <w:t>, se reintroduce în EU-ETS; și</w:t>
            </w:r>
          </w:p>
          <w:p w14:paraId="6DEF76E9" w14:textId="6EA1CA56" w:rsidR="00124364" w:rsidRPr="00417AE6" w:rsidRDefault="00000000" w:rsidP="00417AE6">
            <w:pPr>
              <w:pStyle w:val="ti-art"/>
              <w:numPr>
                <w:ilvl w:val="0"/>
                <w:numId w:val="1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pune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dispoziția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publicului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informațiile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menționate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literele</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(a), (b) și</w:t>
            </w:r>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(c).</w:t>
            </w:r>
          </w:p>
          <w:p w14:paraId="16B1C135" w14:textId="4C05AA57" w:rsidR="00124364" w:rsidRPr="00417AE6" w:rsidRDefault="00000000" w:rsidP="00417AE6">
            <w:pPr>
              <w:pStyle w:val="ti-art"/>
              <w:numPr>
                <w:ilvl w:val="0"/>
                <w:numId w:val="1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17AE6">
              <w:rPr>
                <w:rFonts w:eastAsia="Arial Unicode MS"/>
                <w:color w:val="000000" w:themeColor="text1"/>
                <w:sz w:val="20"/>
                <w:szCs w:val="20"/>
                <w:shd w:val="clear" w:color="auto" w:fill="FFFFFF"/>
                <w:lang w:val="en-US"/>
              </w:rPr>
              <w:t>Atunci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când</w:t>
            </w:r>
            <w:proofErr w:type="spellEnd"/>
            <w:r w:rsidRPr="00417AE6">
              <w:rPr>
                <w:rFonts w:eastAsia="Arial Unicode MS"/>
                <w:color w:val="000000" w:themeColor="text1"/>
                <w:sz w:val="20"/>
                <w:szCs w:val="20"/>
                <w:shd w:val="clear" w:color="auto" w:fill="FFFFFF"/>
                <w:lang w:val="en-US"/>
              </w:rPr>
              <w:t xml:space="preserve"> o </w:t>
            </w:r>
            <w:proofErr w:type="spellStart"/>
            <w:r w:rsidRPr="00417AE6">
              <w:rPr>
                <w:rFonts w:eastAsia="Arial Unicode MS"/>
                <w:color w:val="000000" w:themeColor="text1"/>
                <w:sz w:val="20"/>
                <w:szCs w:val="20"/>
                <w:shd w:val="clear" w:color="auto" w:fill="FFFFFF"/>
                <w:lang w:val="en-US"/>
              </w:rPr>
              <w:t>instalație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este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reintrodusă</w:t>
            </w:r>
            <w:proofErr w:type="spellEnd"/>
            <w:r w:rsidRPr="00417AE6">
              <w:rPr>
                <w:rFonts w:eastAsia="Arial Unicode MS"/>
                <w:color w:val="000000" w:themeColor="text1"/>
                <w:sz w:val="20"/>
                <w:szCs w:val="20"/>
                <w:shd w:val="clear" w:color="auto" w:fill="FFFFFF"/>
                <w:lang w:val="en-US"/>
              </w:rPr>
              <w:t xml:space="preserve"> în EU ETS în conformitate cu </w:t>
            </w:r>
            <w:proofErr w:type="spellStart"/>
            <w:r w:rsidRPr="00417AE6">
              <w:rPr>
                <w:rFonts w:eastAsia="Arial Unicode MS"/>
                <w:color w:val="000000" w:themeColor="text1"/>
                <w:sz w:val="20"/>
                <w:szCs w:val="20"/>
                <w:shd w:val="clear" w:color="auto" w:fill="FFFFFF"/>
                <w:lang w:val="en-US"/>
              </w:rPr>
              <w:t>alineatul</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 </w:t>
            </w:r>
            <w:proofErr w:type="spellStart"/>
            <w:r w:rsidRPr="00417AE6">
              <w:rPr>
                <w:rFonts w:eastAsia="Arial Unicode MS"/>
                <w:color w:val="000000" w:themeColor="text1"/>
                <w:sz w:val="20"/>
                <w:szCs w:val="20"/>
                <w:shd w:val="clear" w:color="auto" w:fill="FFFFFF"/>
                <w:lang w:val="en-US"/>
              </w:rPr>
              <w:t>litera</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(c) de la </w:t>
            </w:r>
            <w:proofErr w:type="spellStart"/>
            <w:r w:rsidRPr="00417AE6">
              <w:rPr>
                <w:rFonts w:eastAsia="Arial Unicode MS"/>
                <w:color w:val="000000" w:themeColor="text1"/>
                <w:sz w:val="20"/>
                <w:szCs w:val="20"/>
                <w:shd w:val="clear" w:color="auto" w:fill="FFFFFF"/>
                <w:lang w:val="en-US"/>
              </w:rPr>
              <w:t>prezentul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orice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certificat</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alocat</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10a se </w:t>
            </w:r>
            <w:proofErr w:type="spellStart"/>
            <w:r w:rsidRPr="00417AE6">
              <w:rPr>
                <w:rFonts w:eastAsia="Arial Unicode MS"/>
                <w:color w:val="000000" w:themeColor="text1"/>
                <w:sz w:val="20"/>
                <w:szCs w:val="20"/>
                <w:shd w:val="clear" w:color="auto" w:fill="FFFFFF"/>
                <w:lang w:val="en-US"/>
              </w:rPr>
              <w:t>acordă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începând</w:t>
            </w:r>
            <w:proofErr w:type="spellEnd"/>
            <w:r w:rsidRPr="00417AE6">
              <w:rPr>
                <w:rFonts w:eastAsia="Arial Unicode MS"/>
                <w:color w:val="000000" w:themeColor="text1"/>
                <w:sz w:val="20"/>
                <w:szCs w:val="20"/>
                <w:shd w:val="clear" w:color="auto" w:fill="FFFFFF"/>
                <w:lang w:val="en-US"/>
              </w:rPr>
              <w:t xml:space="preserve"> cu anul în care are loc </w:t>
            </w:r>
            <w:proofErr w:type="spellStart"/>
            <w:r w:rsidRPr="00417AE6">
              <w:rPr>
                <w:rFonts w:eastAsia="Arial Unicode MS"/>
                <w:color w:val="000000" w:themeColor="text1"/>
                <w:sz w:val="20"/>
                <w:szCs w:val="20"/>
                <w:shd w:val="clear" w:color="auto" w:fill="FFFFFF"/>
                <w:lang w:val="en-US"/>
              </w:rPr>
              <w:t>reintroducerea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Certificatele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alocate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unei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astfel</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instalații</w:t>
            </w:r>
            <w:proofErr w:type="spellEnd"/>
            <w:r w:rsidRPr="00417AE6">
              <w:rPr>
                <w:rFonts w:eastAsia="Arial Unicode MS"/>
                <w:color w:val="000000" w:themeColor="text1"/>
                <w:sz w:val="20"/>
                <w:szCs w:val="20"/>
                <w:shd w:val="clear" w:color="auto" w:fill="FFFFFF"/>
                <w:lang w:val="en-US"/>
              </w:rPr>
              <w:t xml:space="preserve"> se </w:t>
            </w:r>
            <w:proofErr w:type="spellStart"/>
            <w:r w:rsidRPr="00417AE6">
              <w:rPr>
                <w:rFonts w:eastAsia="Arial Unicode MS"/>
                <w:color w:val="000000" w:themeColor="text1"/>
                <w:sz w:val="20"/>
                <w:szCs w:val="20"/>
                <w:shd w:val="clear" w:color="auto" w:fill="FFFFFF"/>
                <w:lang w:val="en-US"/>
              </w:rPr>
              <w:t>scad</w:t>
            </w:r>
            <w:proofErr w:type="spellEnd"/>
            <w:r w:rsidRPr="00417AE6">
              <w:rPr>
                <w:rFonts w:eastAsia="Arial Unicode MS"/>
                <w:color w:val="000000" w:themeColor="text1"/>
                <w:sz w:val="20"/>
                <w:szCs w:val="20"/>
                <w:shd w:val="clear" w:color="auto" w:fill="FFFFFF"/>
                <w:lang w:val="en-US"/>
              </w:rPr>
              <w:t xml:space="preserve"> din </w:t>
            </w:r>
            <w:proofErr w:type="spellStart"/>
            <w:r w:rsidRPr="00417AE6">
              <w:rPr>
                <w:rFonts w:eastAsia="Arial Unicode MS"/>
                <w:color w:val="000000" w:themeColor="text1"/>
                <w:sz w:val="20"/>
                <w:szCs w:val="20"/>
                <w:shd w:val="clear" w:color="auto" w:fill="FFFFFF"/>
                <w:lang w:val="en-US"/>
              </w:rPr>
              <w:t>cantitatea</w:t>
            </w:r>
            <w:proofErr w:type="spellEnd"/>
            <w:r w:rsidRPr="00417AE6">
              <w:rPr>
                <w:rFonts w:eastAsia="Arial Unicode MS"/>
                <w:color w:val="000000" w:themeColor="text1"/>
                <w:sz w:val="20"/>
                <w:szCs w:val="20"/>
                <w:shd w:val="clear" w:color="auto" w:fill="FFFFFF"/>
                <w:lang w:val="en-US"/>
              </w:rPr>
              <w:t xml:space="preserve"> care </w:t>
            </w:r>
            <w:proofErr w:type="spellStart"/>
            <w:r w:rsidRPr="00417AE6">
              <w:rPr>
                <w:rFonts w:eastAsia="Arial Unicode MS"/>
                <w:color w:val="000000" w:themeColor="text1"/>
                <w:sz w:val="20"/>
                <w:szCs w:val="20"/>
                <w:shd w:val="clear" w:color="auto" w:fill="FFFFFF"/>
                <w:lang w:val="en-US"/>
              </w:rPr>
              <w:t>urmează</w:t>
            </w:r>
            <w:proofErr w:type="spellEnd"/>
            <w:r w:rsidRPr="00417AE6">
              <w:rPr>
                <w:rFonts w:eastAsia="Arial Unicode MS"/>
                <w:color w:val="000000" w:themeColor="text1"/>
                <w:sz w:val="20"/>
                <w:szCs w:val="20"/>
                <w:shd w:val="clear" w:color="auto" w:fill="FFFFFF"/>
                <w:lang w:val="en-US"/>
              </w:rPr>
              <w:t xml:space="preserve"> a fi </w:t>
            </w:r>
            <w:proofErr w:type="spellStart"/>
            <w:r w:rsidRPr="00417AE6">
              <w:rPr>
                <w:rFonts w:eastAsia="Arial Unicode MS"/>
                <w:color w:val="000000" w:themeColor="text1"/>
                <w:sz w:val="20"/>
                <w:szCs w:val="20"/>
                <w:shd w:val="clear" w:color="auto" w:fill="FFFFFF"/>
                <w:lang w:val="en-US"/>
              </w:rPr>
              <w:t>scoasă</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licitație</w:t>
            </w:r>
            <w:proofErr w:type="spellEnd"/>
            <w:r w:rsidRPr="00417AE6">
              <w:rPr>
                <w:rFonts w:eastAsia="Arial Unicode MS"/>
                <w:color w:val="000000" w:themeColor="text1"/>
                <w:sz w:val="20"/>
                <w:szCs w:val="20"/>
                <w:shd w:val="clear" w:color="auto" w:fill="FFFFFF"/>
                <w:lang w:val="en-US"/>
              </w:rPr>
              <w:t xml:space="preserve"> în </w:t>
            </w:r>
            <w:proofErr w:type="spellStart"/>
            <w:r w:rsidRPr="00417AE6">
              <w:rPr>
                <w:rFonts w:eastAsia="Arial Unicode MS"/>
                <w:color w:val="000000" w:themeColor="text1"/>
                <w:sz w:val="20"/>
                <w:szCs w:val="20"/>
                <w:shd w:val="clear" w:color="auto" w:fill="FFFFFF"/>
                <w:lang w:val="en-US"/>
              </w:rPr>
              <w:t>temeiul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articolului</w:t>
            </w:r>
            <w:proofErr w:type="spellEnd"/>
            <w:r w:rsidRPr="00417AE6">
              <w:rPr>
                <w:rFonts w:eastAsia="Arial Unicode MS"/>
                <w:color w:val="000000" w:themeColor="text1"/>
                <w:sz w:val="20"/>
                <w:szCs w:val="20"/>
                <w:shd w:val="clear" w:color="auto" w:fill="FFFFFF"/>
                <w:lang w:val="en-US"/>
              </w:rPr>
              <w:t xml:space="preserve"> 10 </w:t>
            </w:r>
            <w:proofErr w:type="spellStart"/>
            <w:r w:rsidRPr="00417AE6">
              <w:rPr>
                <w:rFonts w:eastAsia="Arial Unicode MS"/>
                <w:color w:val="000000" w:themeColor="text1"/>
                <w:sz w:val="20"/>
                <w:szCs w:val="20"/>
                <w:shd w:val="clear" w:color="auto" w:fill="FFFFFF"/>
                <w:lang w:val="en-US"/>
              </w:rPr>
              <w:t>alineatul</w:t>
            </w:r>
            <w:proofErr w:type="spellEnd"/>
            <w:r w:rsidRPr="00417AE6">
              <w:rPr>
                <w:rFonts w:eastAsia="Arial Unicode MS"/>
                <w:color w:val="000000" w:themeColor="text1"/>
                <w:sz w:val="20"/>
                <w:szCs w:val="20"/>
                <w:shd w:val="clear" w:color="auto" w:fill="FFFFFF"/>
                <w:lang w:val="en-US"/>
              </w:rPr>
              <w:t xml:space="preserve"> (2) de </w:t>
            </w:r>
            <w:proofErr w:type="spellStart"/>
            <w:r w:rsidRPr="00417AE6">
              <w:rPr>
                <w:rFonts w:eastAsia="Arial Unicode MS"/>
                <w:color w:val="000000" w:themeColor="text1"/>
                <w:sz w:val="20"/>
                <w:szCs w:val="20"/>
                <w:shd w:val="clear" w:color="auto" w:fill="FFFFFF"/>
                <w:lang w:val="en-US"/>
              </w:rPr>
              <w:t>către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statul</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membru</w:t>
            </w:r>
            <w:proofErr w:type="spellEnd"/>
            <w:r w:rsidRPr="00417AE6">
              <w:rPr>
                <w:rFonts w:eastAsia="Arial Unicode MS"/>
                <w:color w:val="000000" w:themeColor="text1"/>
                <w:sz w:val="20"/>
                <w:szCs w:val="20"/>
                <w:shd w:val="clear" w:color="auto" w:fill="FFFFFF"/>
                <w:lang w:val="en-US"/>
              </w:rPr>
              <w:t xml:space="preserve"> în care se </w:t>
            </w:r>
            <w:proofErr w:type="spellStart"/>
            <w:r w:rsidRPr="00417AE6">
              <w:rPr>
                <w:rFonts w:eastAsia="Arial Unicode MS"/>
                <w:color w:val="000000" w:themeColor="text1"/>
                <w:sz w:val="20"/>
                <w:szCs w:val="20"/>
                <w:shd w:val="clear" w:color="auto" w:fill="FFFFFF"/>
                <w:lang w:val="en-US"/>
              </w:rPr>
              <w:t>află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instalația</w:t>
            </w:r>
            <w:proofErr w:type="spellEnd"/>
            <w:r w:rsidRPr="00417AE6">
              <w:rPr>
                <w:rFonts w:eastAsia="Arial Unicode MS"/>
                <w:color w:val="000000" w:themeColor="text1"/>
                <w:sz w:val="20"/>
                <w:szCs w:val="20"/>
                <w:shd w:val="clear" w:color="auto" w:fill="FFFFFF"/>
                <w:lang w:val="en-US"/>
              </w:rPr>
              <w:t>.</w:t>
            </w:r>
          </w:p>
          <w:p w14:paraId="3C4DCBC5" w14:textId="4EEBD86E" w:rsidR="00124364" w:rsidRPr="00417AE6" w:rsidRDefault="00000000" w:rsidP="00417AE6">
            <w:pPr>
              <w:pStyle w:val="ti-art"/>
              <w:numPr>
                <w:ilvl w:val="0"/>
                <w:numId w:val="1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17AE6">
              <w:rPr>
                <w:rFonts w:eastAsia="Arial Unicode MS"/>
                <w:color w:val="000000" w:themeColor="text1"/>
                <w:sz w:val="20"/>
                <w:szCs w:val="20"/>
                <w:shd w:val="clear" w:color="auto" w:fill="FFFFFF"/>
                <w:lang w:val="en-US"/>
              </w:rPr>
              <w:lastRenderedPageBreak/>
              <w:t xml:space="preserve">De </w:t>
            </w:r>
            <w:proofErr w:type="spellStart"/>
            <w:r w:rsidRPr="00417AE6">
              <w:rPr>
                <w:rFonts w:eastAsia="Arial Unicode MS"/>
                <w:color w:val="000000" w:themeColor="text1"/>
                <w:sz w:val="20"/>
                <w:szCs w:val="20"/>
                <w:shd w:val="clear" w:color="auto" w:fill="FFFFFF"/>
                <w:lang w:val="en-US"/>
              </w:rPr>
              <w:t>asemenea</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statele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membre</w:t>
            </w:r>
            <w:proofErr w:type="spellEnd"/>
            <w:r w:rsidRPr="00417AE6">
              <w:rPr>
                <w:rFonts w:eastAsia="Arial Unicode MS"/>
                <w:color w:val="000000" w:themeColor="text1"/>
                <w:sz w:val="20"/>
                <w:szCs w:val="20"/>
                <w:shd w:val="clear" w:color="auto" w:fill="FFFFFF"/>
                <w:lang w:val="en-US"/>
              </w:rPr>
              <w:t xml:space="preserve"> pot exclude din EU ETS </w:t>
            </w:r>
            <w:proofErr w:type="spellStart"/>
            <w:r w:rsidRPr="00417AE6">
              <w:rPr>
                <w:rFonts w:eastAsia="Arial Unicode MS"/>
                <w:color w:val="000000" w:themeColor="text1"/>
                <w:sz w:val="20"/>
                <w:szCs w:val="20"/>
                <w:shd w:val="clear" w:color="auto" w:fill="FFFFFF"/>
                <w:lang w:val="en-US"/>
              </w:rPr>
              <w:t>generatoarele</w:t>
            </w:r>
            <w:proofErr w:type="spellEnd"/>
            <w:r w:rsidRPr="00417AE6">
              <w:rPr>
                <w:rFonts w:eastAsia="Arial Unicode MS"/>
                <w:color w:val="000000" w:themeColor="text1"/>
                <w:sz w:val="20"/>
                <w:szCs w:val="20"/>
                <w:shd w:val="clear" w:color="auto" w:fill="FFFFFF"/>
                <w:lang w:val="en-US"/>
              </w:rPr>
              <w:t xml:space="preserve"> de </w:t>
            </w:r>
            <w:proofErr w:type="spellStart"/>
            <w:r w:rsidRPr="00417AE6">
              <w:rPr>
                <w:rFonts w:eastAsia="Arial Unicode MS"/>
                <w:color w:val="000000" w:themeColor="text1"/>
                <w:sz w:val="20"/>
                <w:szCs w:val="20"/>
                <w:shd w:val="clear" w:color="auto" w:fill="FFFFFF"/>
                <w:lang w:val="en-US"/>
              </w:rPr>
              <w:t>rezervă</w:t>
            </w:r>
            <w:proofErr w:type="spellEnd"/>
            <w:r w:rsidRPr="00417AE6">
              <w:rPr>
                <w:rFonts w:eastAsia="Arial Unicode MS"/>
                <w:color w:val="000000" w:themeColor="text1"/>
                <w:sz w:val="20"/>
                <w:szCs w:val="20"/>
                <w:shd w:val="clear" w:color="auto" w:fill="FFFFFF"/>
                <w:lang w:val="en-US"/>
              </w:rPr>
              <w:t xml:space="preserve"> care nu </w:t>
            </w:r>
            <w:proofErr w:type="spellStart"/>
            <w:r w:rsidRPr="00417AE6">
              <w:rPr>
                <w:rFonts w:eastAsia="Arial Unicode MS"/>
                <w:color w:val="000000" w:themeColor="text1"/>
                <w:sz w:val="20"/>
                <w:szCs w:val="20"/>
                <w:shd w:val="clear" w:color="auto" w:fill="FFFFFF"/>
                <w:lang w:val="en-US"/>
              </w:rPr>
              <w:t>funcționează</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mai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mult</w:t>
            </w:r>
            <w:proofErr w:type="spellEnd"/>
            <w:r w:rsidRPr="00417AE6">
              <w:rPr>
                <w:rFonts w:eastAsia="Arial Unicode MS"/>
                <w:color w:val="000000" w:themeColor="text1"/>
                <w:sz w:val="20"/>
                <w:szCs w:val="20"/>
                <w:shd w:val="clear" w:color="auto" w:fill="FFFFFF"/>
                <w:lang w:val="en-US"/>
              </w:rPr>
              <w:t xml:space="preserve"> de 300 de ore pe an în </w:t>
            </w:r>
            <w:proofErr w:type="spellStart"/>
            <w:r w:rsidRPr="00417AE6">
              <w:rPr>
                <w:rFonts w:eastAsia="Arial Unicode MS"/>
                <w:color w:val="000000" w:themeColor="text1"/>
                <w:sz w:val="20"/>
                <w:szCs w:val="20"/>
                <w:shd w:val="clear" w:color="auto" w:fill="FFFFFF"/>
                <w:lang w:val="en-US"/>
              </w:rPr>
              <w:t>fiecare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dintre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ultimii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trei</w:t>
            </w:r>
            <w:proofErr w:type="spellEnd"/>
            <w:r w:rsidRPr="00417AE6">
              <w:rPr>
                <w:rFonts w:eastAsia="Arial Unicode MS"/>
                <w:color w:val="000000" w:themeColor="text1"/>
                <w:sz w:val="20"/>
                <w:szCs w:val="20"/>
                <w:shd w:val="clear" w:color="auto" w:fill="FFFFFF"/>
                <w:lang w:val="en-US"/>
              </w:rPr>
              <w:t xml:space="preserve"> ani </w:t>
            </w:r>
            <w:proofErr w:type="spellStart"/>
            <w:r w:rsidRPr="00417AE6">
              <w:rPr>
                <w:rFonts w:eastAsia="Arial Unicode MS"/>
                <w:color w:val="000000" w:themeColor="text1"/>
                <w:sz w:val="20"/>
                <w:szCs w:val="20"/>
                <w:shd w:val="clear" w:color="auto" w:fill="FFFFFF"/>
                <w:lang w:val="en-US"/>
              </w:rPr>
              <w:t>precedenți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notificării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efectuate</w:t>
            </w:r>
            <w:proofErr w:type="spellEnd"/>
            <w:r w:rsidRPr="00417AE6">
              <w:rPr>
                <w:rFonts w:eastAsia="Arial Unicode MS"/>
                <w:color w:val="000000" w:themeColor="text1"/>
                <w:sz w:val="20"/>
                <w:szCs w:val="20"/>
                <w:shd w:val="clear" w:color="auto" w:fill="FFFFFF"/>
                <w:lang w:val="en-US"/>
              </w:rPr>
              <w:t xml:space="preserve"> în conformitate cu </w:t>
            </w:r>
            <w:proofErr w:type="spellStart"/>
            <w:r w:rsidRPr="00417AE6">
              <w:rPr>
                <w:rFonts w:eastAsia="Arial Unicode MS"/>
                <w:color w:val="000000" w:themeColor="text1"/>
                <w:sz w:val="20"/>
                <w:szCs w:val="20"/>
                <w:shd w:val="clear" w:color="auto" w:fill="FFFFFF"/>
                <w:lang w:val="en-US"/>
              </w:rPr>
              <w:t>alineatul</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(1) </w:t>
            </w:r>
            <w:proofErr w:type="spellStart"/>
            <w:r w:rsidRPr="00417AE6">
              <w:rPr>
                <w:rFonts w:eastAsia="Arial Unicode MS"/>
                <w:color w:val="000000" w:themeColor="text1"/>
                <w:sz w:val="20"/>
                <w:szCs w:val="20"/>
                <w:shd w:val="clear" w:color="auto" w:fill="FFFFFF"/>
                <w:lang w:val="en-US"/>
              </w:rPr>
              <w:t>litera</w:t>
            </w:r>
            <w:proofErr w:type="spellEnd"/>
            <w:r w:rsidR="00417AE6" w:rsidRPr="00417AE6">
              <w:rPr>
                <w:rFonts w:eastAsia="Arial Unicode MS"/>
                <w:color w:val="000000" w:themeColor="text1"/>
                <w:sz w:val="20"/>
                <w:szCs w:val="20"/>
                <w:shd w:val="clear" w:color="auto" w:fill="FFFFFF"/>
                <w:lang w:val="en-US"/>
              </w:rPr>
              <w:t xml:space="preserve"> </w:t>
            </w:r>
            <w:r w:rsidRPr="00417AE6">
              <w:rPr>
                <w:rFonts w:eastAsia="Arial Unicode MS"/>
                <w:color w:val="000000" w:themeColor="text1"/>
                <w:sz w:val="20"/>
                <w:szCs w:val="20"/>
                <w:shd w:val="clear" w:color="auto" w:fill="FFFFFF"/>
                <w:lang w:val="en-US"/>
              </w:rPr>
              <w:t xml:space="preserve">(a), în </w:t>
            </w:r>
            <w:proofErr w:type="spellStart"/>
            <w:r w:rsidRPr="00417AE6">
              <w:rPr>
                <w:rFonts w:eastAsia="Arial Unicode MS"/>
                <w:color w:val="000000" w:themeColor="text1"/>
                <w:sz w:val="20"/>
                <w:szCs w:val="20"/>
                <w:shd w:val="clear" w:color="auto" w:fill="FFFFFF"/>
                <w:lang w:val="en-US"/>
              </w:rPr>
              <w:t>aceleași</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condiții</w:t>
            </w:r>
            <w:proofErr w:type="spellEnd"/>
            <w:r w:rsidRPr="00417AE6">
              <w:rPr>
                <w:rFonts w:eastAsia="Arial Unicode MS"/>
                <w:color w:val="000000" w:themeColor="text1"/>
                <w:sz w:val="20"/>
                <w:szCs w:val="20"/>
                <w:shd w:val="clear" w:color="auto" w:fill="FFFFFF"/>
                <w:lang w:val="en-US"/>
              </w:rPr>
              <w:t xml:space="preserve"> ca </w:t>
            </w:r>
            <w:proofErr w:type="spellStart"/>
            <w:r w:rsidRPr="00417AE6">
              <w:rPr>
                <w:rFonts w:eastAsia="Arial Unicode MS"/>
                <w:color w:val="000000" w:themeColor="text1"/>
                <w:sz w:val="20"/>
                <w:szCs w:val="20"/>
                <w:shd w:val="clear" w:color="auto" w:fill="FFFFFF"/>
                <w:lang w:val="en-US"/>
              </w:rPr>
              <w:t>cele</w:t>
            </w:r>
            <w:proofErr w:type="spellEnd"/>
            <w:r w:rsidRPr="00417AE6">
              <w:rPr>
                <w:rFonts w:eastAsia="Arial Unicode MS"/>
                <w:color w:val="000000" w:themeColor="text1"/>
                <w:sz w:val="20"/>
                <w:szCs w:val="20"/>
                <w:shd w:val="clear" w:color="auto" w:fill="FFFFFF"/>
                <w:lang w:val="en-US"/>
              </w:rPr>
              <w:t xml:space="preserve"> </w:t>
            </w:r>
            <w:proofErr w:type="spellStart"/>
            <w:r w:rsidRPr="00417AE6">
              <w:rPr>
                <w:rFonts w:eastAsia="Arial Unicode MS"/>
                <w:color w:val="000000" w:themeColor="text1"/>
                <w:sz w:val="20"/>
                <w:szCs w:val="20"/>
                <w:shd w:val="clear" w:color="auto" w:fill="FFFFFF"/>
                <w:lang w:val="en-US"/>
              </w:rPr>
              <w:t>prevăzute</w:t>
            </w:r>
            <w:proofErr w:type="spellEnd"/>
            <w:r w:rsidRPr="00417AE6">
              <w:rPr>
                <w:rFonts w:eastAsia="Arial Unicode MS"/>
                <w:color w:val="000000" w:themeColor="text1"/>
                <w:sz w:val="20"/>
                <w:szCs w:val="20"/>
                <w:shd w:val="clear" w:color="auto" w:fill="FFFFFF"/>
                <w:lang w:val="en-US"/>
              </w:rPr>
              <w:t xml:space="preserve"> la </w:t>
            </w:r>
            <w:proofErr w:type="spellStart"/>
            <w:r w:rsidRPr="00417AE6">
              <w:rPr>
                <w:rFonts w:eastAsia="Arial Unicode MS"/>
                <w:color w:val="000000" w:themeColor="text1"/>
                <w:sz w:val="20"/>
                <w:szCs w:val="20"/>
                <w:shd w:val="clear" w:color="auto" w:fill="FFFFFF"/>
                <w:lang w:val="en-US"/>
              </w:rPr>
              <w:t>alineatele</w:t>
            </w:r>
            <w:proofErr w:type="spellEnd"/>
            <w:r w:rsidRPr="00417AE6">
              <w:rPr>
                <w:rFonts w:eastAsia="Arial Unicode MS"/>
                <w:color w:val="000000" w:themeColor="text1"/>
                <w:sz w:val="20"/>
                <w:szCs w:val="20"/>
                <w:shd w:val="clear" w:color="auto" w:fill="FFFFFF"/>
                <w:lang w:val="en-US"/>
              </w:rPr>
              <w:t xml:space="preserve"> (1) și (2).</w:t>
            </w:r>
          </w:p>
          <w:p w14:paraId="0F8F2347"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24"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0149250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E1F176C" w14:textId="690E4240" w:rsidR="00124364" w:rsidRDefault="00530327">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r w:rsidR="00000000">
              <w:rPr>
                <w:rFonts w:ascii="Times New Roman" w:hAnsi="Times New Roman"/>
                <w:bCs/>
                <w:sz w:val="20"/>
                <w:szCs w:val="20"/>
                <w:lang w:val="ro-RO"/>
              </w:rPr>
              <w:t xml:space="preserve"> </w:t>
            </w:r>
          </w:p>
          <w:p w14:paraId="39D270D0"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93EB40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58E446B" w14:textId="2FFEC3A1" w:rsidR="00124364" w:rsidRPr="00DB61E1" w:rsidRDefault="00530327">
            <w:pPr>
              <w:autoSpaceDE w:val="0"/>
              <w:spacing w:after="0" w:line="240" w:lineRule="auto"/>
              <w:rPr>
                <w:rFonts w:ascii="Times New Roman" w:eastAsia="Times New Roman" w:hAnsi="Times New Roman"/>
                <w:sz w:val="20"/>
                <w:szCs w:val="20"/>
                <w:lang w:val="ro-RO"/>
              </w:rPr>
            </w:pPr>
            <w:proofErr w:type="spellStart"/>
            <w:r w:rsidRPr="00DB61E1">
              <w:rPr>
                <w:rFonts w:ascii="Times New Roman" w:eastAsia="Times New Roman" w:hAnsi="Times New Roman"/>
                <w:sz w:val="20"/>
                <w:szCs w:val="20"/>
              </w:rPr>
              <w:t>Prevederile</w:t>
            </w:r>
            <w:proofErr w:type="spellEnd"/>
            <w:r w:rsidRPr="00DB61E1">
              <w:rPr>
                <w:rFonts w:ascii="Times New Roman" w:eastAsia="Times New Roman" w:hAnsi="Times New Roman"/>
                <w:sz w:val="20"/>
                <w:szCs w:val="20"/>
              </w:rPr>
              <w:t xml:space="preserve"> </w:t>
            </w:r>
            <w:proofErr w:type="spellStart"/>
            <w:r w:rsidRPr="00DB61E1">
              <w:rPr>
                <w:rFonts w:ascii="Times New Roman" w:eastAsia="Times New Roman" w:hAnsi="Times New Roman"/>
                <w:sz w:val="20"/>
                <w:szCs w:val="20"/>
              </w:rPr>
              <w:t>vor</w:t>
            </w:r>
            <w:proofErr w:type="spellEnd"/>
            <w:r w:rsidRPr="00DB61E1">
              <w:rPr>
                <w:rFonts w:ascii="Times New Roman" w:eastAsia="Times New Roman" w:hAnsi="Times New Roman"/>
                <w:sz w:val="20"/>
                <w:szCs w:val="20"/>
              </w:rPr>
              <w:t xml:space="preserve"> fi </w:t>
            </w:r>
            <w:proofErr w:type="spellStart"/>
            <w:r w:rsidRPr="00DB61E1">
              <w:rPr>
                <w:rFonts w:ascii="Times New Roman" w:eastAsia="Times New Roman" w:hAnsi="Times New Roman"/>
                <w:sz w:val="20"/>
                <w:szCs w:val="20"/>
              </w:rPr>
              <w:t>transpuse</w:t>
            </w:r>
            <w:proofErr w:type="spellEnd"/>
            <w:r w:rsidRPr="00DB61E1">
              <w:rPr>
                <w:rFonts w:ascii="Times New Roman" w:eastAsia="Times New Roman" w:hAnsi="Times New Roman"/>
                <w:sz w:val="20"/>
                <w:szCs w:val="20"/>
              </w:rPr>
              <w:t xml:space="preserve"> în </w:t>
            </w:r>
            <w:proofErr w:type="spellStart"/>
            <w:r w:rsidRPr="00DB61E1">
              <w:rPr>
                <w:rFonts w:ascii="Times New Roman" w:hAnsi="Times New Roman"/>
                <w:color w:val="000000" w:themeColor="text1"/>
                <w:sz w:val="20"/>
                <w:szCs w:val="20"/>
              </w:rPr>
              <w:t>Regulamentul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privind</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monitorizare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raportare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verificare</w:t>
            </w:r>
            <w:proofErr w:type="spellEnd"/>
            <w:r w:rsidRPr="00DB61E1">
              <w:rPr>
                <w:rFonts w:ascii="Times New Roman" w:hAnsi="Times New Roman"/>
                <w:color w:val="000000" w:themeColor="text1"/>
                <w:sz w:val="20"/>
                <w:szCs w:val="20"/>
              </w:rPr>
              <w:t xml:space="preserve"> </w:t>
            </w:r>
            <w:proofErr w:type="gramStart"/>
            <w:r w:rsidRPr="00DB61E1">
              <w:rPr>
                <w:rFonts w:ascii="Times New Roman" w:hAnsi="Times New Roman"/>
                <w:color w:val="000000" w:themeColor="text1"/>
                <w:sz w:val="20"/>
                <w:szCs w:val="20"/>
              </w:rPr>
              <w:t>a</w:t>
            </w:r>
            <w:proofErr w:type="gram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emisiilor</w:t>
            </w:r>
            <w:proofErr w:type="spellEnd"/>
            <w:r w:rsidRPr="00DB61E1">
              <w:rPr>
                <w:rFonts w:ascii="Times New Roman" w:hAnsi="Times New Roman"/>
                <w:color w:val="000000" w:themeColor="text1"/>
                <w:sz w:val="20"/>
                <w:szCs w:val="20"/>
              </w:rPr>
              <w:t xml:space="preserve"> de gaze cu </w:t>
            </w:r>
            <w:proofErr w:type="spellStart"/>
            <w:r w:rsidRPr="00DB61E1">
              <w:rPr>
                <w:rFonts w:ascii="Times New Roman" w:hAnsi="Times New Roman"/>
                <w:color w:val="000000" w:themeColor="text1"/>
                <w:sz w:val="20"/>
                <w:szCs w:val="20"/>
              </w:rPr>
              <w:t>efect</w:t>
            </w:r>
            <w:proofErr w:type="spellEnd"/>
            <w:r w:rsidRPr="00DB61E1">
              <w:rPr>
                <w:rFonts w:ascii="Times New Roman" w:hAnsi="Times New Roman"/>
                <w:color w:val="000000" w:themeColor="text1"/>
                <w:sz w:val="20"/>
                <w:szCs w:val="20"/>
              </w:rPr>
              <w:t xml:space="preserve"> de sera de la </w:t>
            </w:r>
            <w:proofErr w:type="spellStart"/>
            <w:r w:rsidRPr="00DB61E1">
              <w:rPr>
                <w:rFonts w:ascii="Times New Roman" w:hAnsi="Times New Roman"/>
                <w:color w:val="000000" w:themeColor="text1"/>
                <w:sz w:val="20"/>
                <w:szCs w:val="20"/>
              </w:rPr>
              <w:t>instalațiile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staționare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activitățile</w:t>
            </w:r>
            <w:proofErr w:type="spellEnd"/>
            <w:r w:rsidRPr="00DB61E1">
              <w:rPr>
                <w:rFonts w:ascii="Times New Roman" w:hAnsi="Times New Roman"/>
                <w:color w:val="000000" w:themeColor="text1"/>
                <w:sz w:val="20"/>
                <w:szCs w:val="20"/>
              </w:rPr>
              <w:t xml:space="preserve"> din </w:t>
            </w:r>
            <w:proofErr w:type="spellStart"/>
            <w:r w:rsidRPr="00DB61E1">
              <w:rPr>
                <w:rFonts w:ascii="Times New Roman" w:hAnsi="Times New Roman"/>
                <w:color w:val="000000" w:themeColor="text1"/>
                <w:sz w:val="20"/>
                <w:szCs w:val="20"/>
              </w:rPr>
              <w:t>domeniul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aviației</w:t>
            </w:r>
            <w:proofErr w:type="spellEnd"/>
            <w:r w:rsidRPr="00DB61E1">
              <w:rPr>
                <w:rFonts w:ascii="Times New Roman" w:hAnsi="Times New Roman"/>
                <w:color w:val="000000" w:themeColor="text1"/>
                <w:sz w:val="20"/>
                <w:szCs w:val="20"/>
              </w:rPr>
              <w:t>.</w:t>
            </w:r>
          </w:p>
        </w:tc>
        <w:tc>
          <w:tcPr>
            <w:tcW w:w="1464" w:type="dxa"/>
            <w:shd w:val="clear" w:color="auto" w:fill="auto"/>
          </w:tcPr>
          <w:p w14:paraId="2EA69AF7" w14:textId="77777777" w:rsidR="00124364" w:rsidRPr="00530327" w:rsidRDefault="00124364" w:rsidP="00530327">
            <w:pPr>
              <w:autoSpaceDE w:val="0"/>
              <w:spacing w:after="0" w:line="240" w:lineRule="auto"/>
              <w:rPr>
                <w:rFonts w:ascii="Times New Roman" w:hAnsi="Times New Roman"/>
                <w:sz w:val="20"/>
                <w:szCs w:val="20"/>
                <w:lang w:val="ru-RU"/>
              </w:rPr>
            </w:pPr>
          </w:p>
        </w:tc>
      </w:tr>
      <w:tr w:rsidR="00124364" w14:paraId="2F70454E" w14:textId="77777777">
        <w:trPr>
          <w:trHeight w:val="558"/>
        </w:trPr>
        <w:tc>
          <w:tcPr>
            <w:tcW w:w="4957" w:type="dxa"/>
            <w:shd w:val="clear" w:color="auto" w:fill="auto"/>
          </w:tcPr>
          <w:p w14:paraId="6572D50B"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Pr="00E34C2B">
              <w:rPr>
                <w:rFonts w:eastAsia="Arial Unicode MS"/>
                <w:i/>
                <w:iCs/>
                <w:color w:val="333333"/>
                <w:sz w:val="20"/>
                <w:szCs w:val="20"/>
                <w:shd w:val="clear" w:color="auto" w:fill="FFFFFF"/>
                <w:lang w:val="en-US"/>
              </w:rPr>
              <w:t xml:space="preserve"> 28</w:t>
            </w:r>
          </w:p>
          <w:p w14:paraId="0163EC87" w14:textId="6DEAAE2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Ajustări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aplicabile</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cazul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aprobării</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către</w:t>
            </w:r>
            <w:proofErr w:type="spellEnd"/>
            <w:r w:rsidR="00DB61E1" w:rsidRPr="00DB61E1">
              <w:rPr>
                <w:rStyle w:val="apple-converted-space"/>
                <w:rFonts w:eastAsia="Arial Unicode MS"/>
                <w:b/>
                <w:bCs/>
                <w:color w:val="333333"/>
                <w:sz w:val="20"/>
                <w:szCs w:val="20"/>
                <w:shd w:val="clear" w:color="auto" w:fill="FFFFFF"/>
                <w:lang w:val="en-US"/>
              </w:rPr>
              <w:t xml:space="preserve"> </w:t>
            </w:r>
            <w:hyperlink r:id="rId325" w:tooltip="32018L0410: REPLACED" w:history="1">
              <w:r>
                <w:rPr>
                  <w:rStyle w:val="boldface"/>
                  <w:rFonts w:eastAsia="Arial Unicode MS"/>
                  <w:b/>
                  <w:bCs/>
                  <w:color w:val="4472C4" w:themeColor="accent1"/>
                  <w:sz w:val="20"/>
                  <w:szCs w:val="20"/>
                  <w:lang w:val="en-US"/>
                </w:rPr>
                <w:t>►M9</w:t>
              </w:r>
            </w:hyperlink>
            <w:r w:rsidR="00DB61E1" w:rsidRPr="00DB61E1">
              <w:rPr>
                <w:rStyle w:val="apple-converted-space"/>
                <w:rFonts w:eastAsia="Arial Unicode MS"/>
                <w:b/>
                <w:bCs/>
                <w:color w:val="4472C4" w:themeColor="accent1"/>
                <w:sz w:val="20"/>
                <w:szCs w:val="20"/>
                <w:lang w:val="en-US"/>
              </w:rPr>
              <w:t xml:space="preserve"> </w:t>
            </w:r>
            <w:proofErr w:type="spellStart"/>
            <w:r>
              <w:rPr>
                <w:rFonts w:eastAsia="Arial Unicode MS"/>
                <w:b/>
                <w:bCs/>
                <w:color w:val="333333"/>
                <w:sz w:val="20"/>
                <w:szCs w:val="20"/>
                <w:shd w:val="clear" w:color="auto" w:fill="FFFFFF"/>
                <w:lang w:val="en-US"/>
              </w:rPr>
              <w:t>Uniune</w:t>
            </w:r>
            <w:proofErr w:type="spellEnd"/>
            <w:r w:rsidR="00DB61E1" w:rsidRPr="00DB61E1">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DB61E1" w:rsidRPr="00DB61E1">
              <w:rPr>
                <w:rStyle w:val="apple-converted-space"/>
                <w:rFonts w:eastAsia="Arial Unicode MS"/>
                <w:b/>
                <w:bCs/>
                <w:color w:val="333333"/>
                <w:sz w:val="20"/>
                <w:szCs w:val="20"/>
                <w:lang w:val="en-US"/>
              </w:rPr>
              <w:t xml:space="preserve"> </w:t>
            </w:r>
            <w:r>
              <w:rPr>
                <w:rFonts w:eastAsia="Arial Unicode MS"/>
                <w:b/>
                <w:bCs/>
                <w:color w:val="333333"/>
                <w:sz w:val="20"/>
                <w:szCs w:val="20"/>
                <w:shd w:val="clear" w:color="auto" w:fill="FFFFFF"/>
                <w:lang w:val="en-US"/>
              </w:rPr>
              <w:t xml:space="preserve">a </w:t>
            </w:r>
            <w:proofErr w:type="spellStart"/>
            <w:r>
              <w:rPr>
                <w:rFonts w:eastAsia="Arial Unicode MS"/>
                <w:b/>
                <w:bCs/>
                <w:color w:val="333333"/>
                <w:sz w:val="20"/>
                <w:szCs w:val="20"/>
                <w:shd w:val="clear" w:color="auto" w:fill="FFFFFF"/>
                <w:lang w:val="en-US"/>
              </w:rPr>
              <w:t>unui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acord</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internațional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privind</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schimbările</w:t>
            </w:r>
            <w:proofErr w:type="spellEnd"/>
            <w:r>
              <w:rPr>
                <w:rFonts w:eastAsia="Arial Unicode MS"/>
                <w:b/>
                <w:bCs/>
                <w:color w:val="333333"/>
                <w:sz w:val="20"/>
                <w:szCs w:val="20"/>
                <w:shd w:val="clear" w:color="auto" w:fill="FFFFFF"/>
                <w:lang w:val="en-US"/>
              </w:rPr>
              <w:t xml:space="preserve"> climatice</w:t>
            </w:r>
          </w:p>
          <w:p w14:paraId="7175AF3D" w14:textId="12D5A500" w:rsidR="00124364" w:rsidRPr="00DB61E1" w:rsidRDefault="00000000" w:rsidP="00DB61E1">
            <w:pPr>
              <w:pStyle w:val="ti-art"/>
              <w:numPr>
                <w:ilvl w:val="0"/>
                <w:numId w:val="1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B61E1">
              <w:rPr>
                <w:rFonts w:eastAsia="Arial Unicode MS"/>
                <w:color w:val="000000" w:themeColor="text1"/>
                <w:sz w:val="20"/>
                <w:szCs w:val="20"/>
                <w:shd w:val="clear" w:color="auto" w:fill="FFFFFF"/>
                <w:lang w:val="en-US"/>
              </w:rPr>
              <w:t xml:space="preserve">În termen de </w:t>
            </w:r>
            <w:proofErr w:type="spellStart"/>
            <w:r w:rsidRPr="00DB61E1">
              <w:rPr>
                <w:rFonts w:eastAsia="Arial Unicode MS"/>
                <w:color w:val="000000" w:themeColor="text1"/>
                <w:sz w:val="20"/>
                <w:szCs w:val="20"/>
                <w:shd w:val="clear" w:color="auto" w:fill="FFFFFF"/>
                <w:lang w:val="en-US"/>
              </w:rPr>
              <w:t>trei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luni</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semnarea</w:t>
            </w:r>
            <w:proofErr w:type="spellEnd"/>
            <w:r w:rsidRPr="00DB61E1">
              <w:rPr>
                <w:rFonts w:eastAsia="Arial Unicode MS"/>
                <w:color w:val="000000" w:themeColor="text1"/>
                <w:sz w:val="20"/>
                <w:szCs w:val="20"/>
                <w:shd w:val="clear" w:color="auto" w:fill="FFFFFF"/>
                <w:lang w:val="en-US"/>
              </w:rPr>
              <w:t>, de către</w:t>
            </w:r>
            <w:hyperlink r:id="rId326" w:tooltip="32018L0410: REPLACED" w:history="1">
              <w:r w:rsidRPr="00DB61E1">
                <w:rPr>
                  <w:rStyle w:val="boldface"/>
                  <w:rFonts w:eastAsia="Arial Unicode MS"/>
                  <w:b/>
                  <w:bCs/>
                  <w:color w:val="000000" w:themeColor="text1"/>
                  <w:sz w:val="20"/>
                  <w:szCs w:val="20"/>
                  <w:lang w:val="en-US"/>
                </w:rPr>
                <w:t>►M9</w:t>
              </w:r>
            </w:hyperlink>
            <w:r w:rsidRPr="00DB61E1">
              <w:rPr>
                <w:rFonts w:eastAsia="Arial Unicode MS"/>
                <w:color w:val="000000" w:themeColor="text1"/>
                <w:sz w:val="20"/>
                <w:szCs w:val="20"/>
                <w:shd w:val="clear" w:color="auto" w:fill="FFFFFF"/>
                <w:lang w:val="en-US"/>
              </w:rPr>
              <w:t>Uniune</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unui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care </w:t>
            </w:r>
            <w:proofErr w:type="spellStart"/>
            <w:r w:rsidRPr="00DB61E1">
              <w:rPr>
                <w:rFonts w:eastAsia="Arial Unicode MS"/>
                <w:color w:val="000000" w:themeColor="text1"/>
                <w:sz w:val="20"/>
                <w:szCs w:val="20"/>
                <w:shd w:val="clear" w:color="auto" w:fill="FFFFFF"/>
                <w:lang w:val="en-US"/>
              </w:rPr>
              <w:t>prevede</w:t>
            </w:r>
            <w:proofErr w:type="spellEnd"/>
            <w:r w:rsidRPr="00DB61E1">
              <w:rPr>
                <w:rFonts w:eastAsia="Arial Unicode MS"/>
                <w:color w:val="000000" w:themeColor="text1"/>
                <w:sz w:val="20"/>
                <w:szCs w:val="20"/>
                <w:shd w:val="clear" w:color="auto" w:fill="FFFFFF"/>
                <w:lang w:val="en-US"/>
              </w:rPr>
              <w:t xml:space="preserve"> ca </w:t>
            </w:r>
            <w:proofErr w:type="spellStart"/>
            <w:r w:rsidRPr="00DB61E1">
              <w:rPr>
                <w:rFonts w:eastAsia="Arial Unicode MS"/>
                <w:color w:val="000000" w:themeColor="text1"/>
                <w:sz w:val="20"/>
                <w:szCs w:val="20"/>
                <w:shd w:val="clear" w:color="auto" w:fill="FFFFFF"/>
                <w:lang w:val="en-US"/>
              </w:rPr>
              <w:t>obiectiv</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2020 </w:t>
            </w:r>
            <w:proofErr w:type="spellStart"/>
            <w:r w:rsidRPr="00DB61E1">
              <w:rPr>
                <w:rFonts w:eastAsia="Arial Unicode MS"/>
                <w:color w:val="000000" w:themeColor="text1"/>
                <w:sz w:val="20"/>
                <w:szCs w:val="20"/>
                <w:shd w:val="clear" w:color="auto" w:fill="FFFFFF"/>
                <w:lang w:val="en-US"/>
              </w:rPr>
              <w:t>reduceri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obligatorii</w:t>
            </w:r>
            <w:proofErr w:type="spellEnd"/>
            <w:r w:rsidRPr="00DB61E1">
              <w:rPr>
                <w:rFonts w:eastAsia="Arial Unicode MS"/>
                <w:color w:val="000000" w:themeColor="text1"/>
                <w:sz w:val="20"/>
                <w:szCs w:val="20"/>
                <w:shd w:val="clear" w:color="auto" w:fill="FFFFFF"/>
                <w:lang w:val="en-US"/>
              </w:rPr>
              <w:t xml:space="preserve"> ale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de gaze cu </w:t>
            </w:r>
            <w:proofErr w:type="spellStart"/>
            <w:r w:rsidRPr="00DB61E1">
              <w:rPr>
                <w:rFonts w:eastAsia="Arial Unicode MS"/>
                <w:color w:val="000000" w:themeColor="text1"/>
                <w:sz w:val="20"/>
                <w:szCs w:val="20"/>
                <w:shd w:val="clear" w:color="auto" w:fill="FFFFFF"/>
                <w:lang w:val="en-US"/>
              </w:rPr>
              <w:t>efect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seră</w:t>
            </w:r>
            <w:proofErr w:type="spellEnd"/>
            <w:r w:rsidRPr="00DB61E1">
              <w:rPr>
                <w:rFonts w:eastAsia="Arial Unicode MS"/>
                <w:color w:val="000000" w:themeColor="text1"/>
                <w:sz w:val="20"/>
                <w:szCs w:val="20"/>
                <w:shd w:val="clear" w:color="auto" w:fill="FFFFFF"/>
                <w:lang w:val="en-US"/>
              </w:rPr>
              <w:t xml:space="preserve"> cu </w:t>
            </w:r>
            <w:proofErr w:type="spellStart"/>
            <w:r w:rsidRPr="00DB61E1">
              <w:rPr>
                <w:rFonts w:eastAsia="Arial Unicode MS"/>
                <w:color w:val="000000" w:themeColor="text1"/>
                <w:sz w:val="20"/>
                <w:szCs w:val="20"/>
                <w:shd w:val="clear" w:color="auto" w:fill="FFFFFF"/>
                <w:lang w:val="en-US"/>
              </w:rPr>
              <w:t>peste</w:t>
            </w:r>
            <w:proofErr w:type="spellEnd"/>
            <w:r w:rsidRPr="00DB61E1">
              <w:rPr>
                <w:rFonts w:eastAsia="Arial Unicode MS"/>
                <w:color w:val="000000" w:themeColor="text1"/>
                <w:sz w:val="20"/>
                <w:szCs w:val="20"/>
                <w:shd w:val="clear" w:color="auto" w:fill="FFFFFF"/>
                <w:lang w:val="en-US"/>
              </w:rPr>
              <w:t xml:space="preserve"> 20</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comparație</w:t>
            </w:r>
            <w:proofErr w:type="spellEnd"/>
            <w:r w:rsidRPr="00DB61E1">
              <w:rPr>
                <w:rFonts w:eastAsia="Arial Unicode MS"/>
                <w:color w:val="000000" w:themeColor="text1"/>
                <w:sz w:val="20"/>
                <w:szCs w:val="20"/>
                <w:shd w:val="clear" w:color="auto" w:fill="FFFFFF"/>
                <w:lang w:val="en-US"/>
              </w:rPr>
              <w:t xml:space="preserve"> cu </w:t>
            </w:r>
            <w:proofErr w:type="spellStart"/>
            <w:r w:rsidRPr="00DB61E1">
              <w:rPr>
                <w:rFonts w:eastAsia="Arial Unicode MS"/>
                <w:color w:val="000000" w:themeColor="text1"/>
                <w:sz w:val="20"/>
                <w:szCs w:val="20"/>
                <w:shd w:val="clear" w:color="auto" w:fill="FFFFFF"/>
                <w:lang w:val="en-US"/>
              </w:rPr>
              <w:t>nivelul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anului</w:t>
            </w:r>
            <w:proofErr w:type="spellEnd"/>
            <w:r w:rsidRPr="00DB61E1">
              <w:rPr>
                <w:rFonts w:eastAsia="Arial Unicode MS"/>
                <w:color w:val="000000" w:themeColor="text1"/>
                <w:sz w:val="20"/>
                <w:szCs w:val="20"/>
                <w:shd w:val="clear" w:color="auto" w:fill="FFFFFF"/>
                <w:lang w:val="en-US"/>
              </w:rPr>
              <w:t xml:space="preserve"> 1990, </w:t>
            </w:r>
            <w:proofErr w:type="spellStart"/>
            <w:r w:rsidRPr="00DB61E1">
              <w:rPr>
                <w:rFonts w:eastAsia="Arial Unicode MS"/>
                <w:color w:val="000000" w:themeColor="text1"/>
                <w:sz w:val="20"/>
                <w:szCs w:val="20"/>
                <w:shd w:val="clear" w:color="auto" w:fill="FFFFFF"/>
                <w:lang w:val="en-US"/>
              </w:rPr>
              <w:t>astfel</w:t>
            </w:r>
            <w:proofErr w:type="spellEnd"/>
            <w:r w:rsidRPr="00DB61E1">
              <w:rPr>
                <w:rFonts w:eastAsia="Arial Unicode MS"/>
                <w:color w:val="000000" w:themeColor="text1"/>
                <w:sz w:val="20"/>
                <w:szCs w:val="20"/>
                <w:shd w:val="clear" w:color="auto" w:fill="FFFFFF"/>
                <w:lang w:val="en-US"/>
              </w:rPr>
              <w:t xml:space="preserve"> cum </w:t>
            </w:r>
            <w:proofErr w:type="spellStart"/>
            <w:r w:rsidRPr="00DB61E1">
              <w:rPr>
                <w:rFonts w:eastAsia="Arial Unicode MS"/>
                <w:color w:val="000000" w:themeColor="text1"/>
                <w:sz w:val="20"/>
                <w:szCs w:val="20"/>
                <w:shd w:val="clear" w:color="auto" w:fill="FFFFFF"/>
                <w:lang w:val="en-US"/>
              </w:rPr>
              <w:t>rezultă</w:t>
            </w:r>
            <w:proofErr w:type="spellEnd"/>
            <w:r w:rsidRPr="00DB61E1">
              <w:rPr>
                <w:rFonts w:eastAsia="Arial Unicode MS"/>
                <w:color w:val="000000" w:themeColor="text1"/>
                <w:sz w:val="20"/>
                <w:szCs w:val="20"/>
                <w:shd w:val="clear" w:color="auto" w:fill="FFFFFF"/>
                <w:lang w:val="en-US"/>
              </w:rPr>
              <w:t xml:space="preserve"> din </w:t>
            </w:r>
            <w:proofErr w:type="spellStart"/>
            <w:r w:rsidRPr="00DB61E1">
              <w:rPr>
                <w:rFonts w:eastAsia="Arial Unicode MS"/>
                <w:color w:val="000000" w:themeColor="text1"/>
                <w:sz w:val="20"/>
                <w:szCs w:val="20"/>
                <w:shd w:val="clear" w:color="auto" w:fill="FFFFFF"/>
                <w:lang w:val="en-US"/>
              </w:rPr>
              <w:t>angajamentul</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reducere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cu 30</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aprobat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Consiliul</w:t>
            </w:r>
            <w:proofErr w:type="spellEnd"/>
            <w:r w:rsidRPr="00DB61E1">
              <w:rPr>
                <w:rFonts w:eastAsia="Arial Unicode MS"/>
                <w:color w:val="000000" w:themeColor="text1"/>
                <w:sz w:val="20"/>
                <w:szCs w:val="20"/>
                <w:shd w:val="clear" w:color="auto" w:fill="FFFFFF"/>
                <w:lang w:val="en-US"/>
              </w:rPr>
              <w:t xml:space="preserve"> European din </w:t>
            </w:r>
            <w:proofErr w:type="spellStart"/>
            <w:r w:rsidRPr="00DB61E1">
              <w:rPr>
                <w:rFonts w:eastAsia="Arial Unicode MS"/>
                <w:color w:val="000000" w:themeColor="text1"/>
                <w:sz w:val="20"/>
                <w:szCs w:val="20"/>
                <w:shd w:val="clear" w:color="auto" w:fill="FFFFFF"/>
                <w:lang w:val="en-US"/>
              </w:rPr>
              <w:t>martie</w:t>
            </w:r>
            <w:proofErr w:type="spellEnd"/>
            <w:r w:rsidRPr="00DB61E1">
              <w:rPr>
                <w:rFonts w:eastAsia="Arial Unicode MS"/>
                <w:color w:val="000000" w:themeColor="text1"/>
                <w:sz w:val="20"/>
                <w:szCs w:val="20"/>
                <w:shd w:val="clear" w:color="auto" w:fill="FFFFFF"/>
                <w:lang w:val="en-US"/>
              </w:rPr>
              <w:t xml:space="preserve"> 2007, </w:t>
            </w:r>
            <w:proofErr w:type="spellStart"/>
            <w:r w:rsidRPr="00DB61E1">
              <w:rPr>
                <w:rFonts w:eastAsia="Arial Unicode MS"/>
                <w:color w:val="000000" w:themeColor="text1"/>
                <w:sz w:val="20"/>
                <w:szCs w:val="20"/>
                <w:shd w:val="clear" w:color="auto" w:fill="FFFFFF"/>
                <w:lang w:val="en-US"/>
              </w:rPr>
              <w:t>Comisia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prezintă</w:t>
            </w:r>
            <w:proofErr w:type="spellEnd"/>
            <w:r w:rsidRPr="00DB61E1">
              <w:rPr>
                <w:rFonts w:eastAsia="Arial Unicode MS"/>
                <w:color w:val="000000" w:themeColor="text1"/>
                <w:sz w:val="20"/>
                <w:szCs w:val="20"/>
                <w:shd w:val="clear" w:color="auto" w:fill="FFFFFF"/>
                <w:lang w:val="en-US"/>
              </w:rPr>
              <w:t xml:space="preserve"> un </w:t>
            </w:r>
            <w:proofErr w:type="spellStart"/>
            <w:r w:rsidRPr="00DB61E1">
              <w:rPr>
                <w:rFonts w:eastAsia="Arial Unicode MS"/>
                <w:color w:val="000000" w:themeColor="text1"/>
                <w:sz w:val="20"/>
                <w:szCs w:val="20"/>
                <w:shd w:val="clear" w:color="auto" w:fill="FFFFFF"/>
                <w:lang w:val="en-US"/>
              </w:rPr>
              <w:t>raport</w:t>
            </w:r>
            <w:proofErr w:type="spellEnd"/>
            <w:r w:rsidRPr="00DB61E1">
              <w:rPr>
                <w:rFonts w:eastAsia="Arial Unicode MS"/>
                <w:color w:val="000000" w:themeColor="text1"/>
                <w:sz w:val="20"/>
                <w:szCs w:val="20"/>
                <w:shd w:val="clear" w:color="auto" w:fill="FFFFFF"/>
                <w:lang w:val="en-US"/>
              </w:rPr>
              <w:t xml:space="preserve"> care </w:t>
            </w:r>
            <w:proofErr w:type="spellStart"/>
            <w:r w:rsidRPr="00DB61E1">
              <w:rPr>
                <w:rFonts w:eastAsia="Arial Unicode MS"/>
                <w:color w:val="000000" w:themeColor="text1"/>
                <w:sz w:val="20"/>
                <w:szCs w:val="20"/>
                <w:shd w:val="clear" w:color="auto" w:fill="FFFFFF"/>
                <w:lang w:val="en-US"/>
              </w:rPr>
              <w:t>evaluează</w:t>
            </w:r>
            <w:proofErr w:type="spellEnd"/>
            <w:r w:rsidRPr="00DB61E1">
              <w:rPr>
                <w:rFonts w:eastAsia="Arial Unicode MS"/>
                <w:color w:val="000000" w:themeColor="text1"/>
                <w:sz w:val="20"/>
                <w:szCs w:val="20"/>
                <w:shd w:val="clear" w:color="auto" w:fill="FFFFFF"/>
                <w:lang w:val="en-US"/>
              </w:rPr>
              <w:t xml:space="preserve">, în special, </w:t>
            </w:r>
            <w:proofErr w:type="spellStart"/>
            <w:r w:rsidRPr="00DB61E1">
              <w:rPr>
                <w:rFonts w:eastAsia="Arial Unicode MS"/>
                <w:color w:val="000000" w:themeColor="text1"/>
                <w:sz w:val="20"/>
                <w:szCs w:val="20"/>
                <w:shd w:val="clear" w:color="auto" w:fill="FFFFFF"/>
                <w:lang w:val="en-US"/>
              </w:rPr>
              <w:t>următoarele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elemente</w:t>
            </w:r>
            <w:proofErr w:type="spellEnd"/>
            <w:r w:rsidRPr="00DB61E1">
              <w:rPr>
                <w:rFonts w:eastAsia="Arial Unicode MS"/>
                <w:color w:val="000000" w:themeColor="text1"/>
                <w:sz w:val="20"/>
                <w:szCs w:val="20"/>
                <w:shd w:val="clear" w:color="auto" w:fill="FFFFFF"/>
                <w:lang w:val="en-US"/>
              </w:rPr>
              <w:t>:</w:t>
            </w:r>
          </w:p>
          <w:p w14:paraId="4AD099D7" w14:textId="084E463F"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B61E1">
              <w:rPr>
                <w:rFonts w:eastAsia="Arial Unicode MS"/>
                <w:color w:val="000000" w:themeColor="text1"/>
                <w:sz w:val="20"/>
                <w:szCs w:val="20"/>
                <w:shd w:val="clear" w:color="auto" w:fill="FFFFFF"/>
                <w:lang w:val="en-US"/>
              </w:rPr>
              <w:t xml:space="preserve">natura </w:t>
            </w:r>
            <w:proofErr w:type="spellStart"/>
            <w:r w:rsidRPr="00DB61E1">
              <w:rPr>
                <w:rFonts w:eastAsia="Arial Unicode MS"/>
                <w:color w:val="000000" w:themeColor="text1"/>
                <w:sz w:val="20"/>
                <w:szCs w:val="20"/>
                <w:shd w:val="clear" w:color="auto" w:fill="FFFFFF"/>
                <w:lang w:val="en-US"/>
              </w:rPr>
              <w:t>măsurilor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convenite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cadrul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negocierilor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internaționale</w:t>
            </w:r>
            <w:proofErr w:type="spellEnd"/>
            <w:r w:rsidRPr="00DB61E1">
              <w:rPr>
                <w:rFonts w:eastAsia="Arial Unicode MS"/>
                <w:color w:val="000000" w:themeColor="text1"/>
                <w:sz w:val="20"/>
                <w:szCs w:val="20"/>
                <w:shd w:val="clear" w:color="auto" w:fill="FFFFFF"/>
                <w:lang w:val="en-US"/>
              </w:rPr>
              <w:t xml:space="preserve">, precum și </w:t>
            </w:r>
            <w:proofErr w:type="spellStart"/>
            <w:r w:rsidRPr="00DB61E1">
              <w:rPr>
                <w:rFonts w:eastAsia="Arial Unicode MS"/>
                <w:color w:val="000000" w:themeColor="text1"/>
                <w:sz w:val="20"/>
                <w:szCs w:val="20"/>
                <w:shd w:val="clear" w:color="auto" w:fill="FFFFFF"/>
                <w:lang w:val="en-US"/>
              </w:rPr>
              <w:t>angajamentele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asumate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țări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dezvoltate</w:t>
            </w:r>
            <w:proofErr w:type="spellEnd"/>
            <w:r w:rsidRPr="00DB61E1">
              <w:rPr>
                <w:rFonts w:eastAsia="Arial Unicode MS"/>
                <w:color w:val="000000" w:themeColor="text1"/>
                <w:sz w:val="20"/>
                <w:szCs w:val="20"/>
                <w:shd w:val="clear" w:color="auto" w:fill="FFFFFF"/>
                <w:lang w:val="en-US"/>
              </w:rPr>
              <w:t xml:space="preserve"> de a reduce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într</w:t>
            </w:r>
            <w:proofErr w:type="spellEnd"/>
            <w:r w:rsidRPr="00DB61E1">
              <w:rPr>
                <w:rFonts w:eastAsia="Arial Unicode MS"/>
                <w:color w:val="000000" w:themeColor="text1"/>
                <w:sz w:val="20"/>
                <w:szCs w:val="20"/>
                <w:shd w:val="clear" w:color="auto" w:fill="FFFFFF"/>
                <w:lang w:val="en-US"/>
              </w:rPr>
              <w:t xml:space="preserve">-o </w:t>
            </w:r>
            <w:proofErr w:type="spellStart"/>
            <w:r w:rsidRPr="00DB61E1">
              <w:rPr>
                <w:rFonts w:eastAsia="Arial Unicode MS"/>
                <w:color w:val="000000" w:themeColor="text1"/>
                <w:sz w:val="20"/>
                <w:szCs w:val="20"/>
                <w:shd w:val="clear" w:color="auto" w:fill="FFFFFF"/>
                <w:lang w:val="en-US"/>
              </w:rPr>
              <w:t>proporție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comparabilă</w:t>
            </w:r>
            <w:proofErr w:type="spellEnd"/>
            <w:r w:rsidRPr="00DB61E1">
              <w:rPr>
                <w:rFonts w:eastAsia="Arial Unicode MS"/>
                <w:color w:val="000000" w:themeColor="text1"/>
                <w:sz w:val="20"/>
                <w:szCs w:val="20"/>
                <w:shd w:val="clear" w:color="auto" w:fill="FFFFFF"/>
                <w:lang w:val="en-US"/>
              </w:rPr>
              <w:t xml:space="preserve"> cu cea </w:t>
            </w:r>
            <w:proofErr w:type="spellStart"/>
            <w:r w:rsidRPr="00DB61E1">
              <w:rPr>
                <w:rFonts w:eastAsia="Arial Unicode MS"/>
                <w:color w:val="000000" w:themeColor="text1"/>
                <w:sz w:val="20"/>
                <w:szCs w:val="20"/>
                <w:shd w:val="clear" w:color="auto" w:fill="FFFFFF"/>
                <w:lang w:val="en-US"/>
              </w:rPr>
              <w:t>asumată</w:t>
            </w:r>
            <w:proofErr w:type="spellEnd"/>
            <w:r w:rsidRPr="00DB61E1">
              <w:rPr>
                <w:rFonts w:eastAsia="Arial Unicode MS"/>
                <w:color w:val="000000" w:themeColor="text1"/>
                <w:sz w:val="20"/>
                <w:szCs w:val="20"/>
                <w:shd w:val="clear" w:color="auto" w:fill="FFFFFF"/>
                <w:lang w:val="en-US"/>
              </w:rPr>
              <w:t xml:space="preserve"> de</w:t>
            </w:r>
            <w:r w:rsidRPr="00DB61E1">
              <w:rPr>
                <w:color w:val="000000" w:themeColor="text1"/>
              </w:rPr>
              <w:fldChar w:fldCharType="begin"/>
            </w:r>
            <w:r w:rsidRPr="00DB61E1">
              <w:rPr>
                <w:color w:val="000000" w:themeColor="text1"/>
                <w:lang w:val="en-US"/>
              </w:rPr>
              <w:instrText>HYPERLINK "https://eur-lex.europa.eu/legal-content/RO/AUTO/?uri=celex:32018L0410" \o "32018L0410: REPLACED"</w:instrText>
            </w:r>
            <w:r w:rsidRPr="00DB61E1">
              <w:rPr>
                <w:color w:val="000000" w:themeColor="text1"/>
              </w:rPr>
            </w:r>
            <w:r w:rsidRPr="00DB61E1">
              <w:rPr>
                <w:color w:val="000000" w:themeColor="text1"/>
              </w:rPr>
              <w:fldChar w:fldCharType="separate"/>
            </w:r>
            <w:r w:rsidRPr="00DB61E1">
              <w:rPr>
                <w:rStyle w:val="boldface"/>
                <w:rFonts w:eastAsia="Arial Unicode MS"/>
                <w:b/>
                <w:bCs/>
                <w:color w:val="000000" w:themeColor="text1"/>
                <w:sz w:val="20"/>
                <w:szCs w:val="20"/>
                <w:lang w:val="en-US"/>
              </w:rPr>
              <w:t>►M9</w:t>
            </w:r>
            <w:r w:rsidRPr="00DB61E1">
              <w:rPr>
                <w:rStyle w:val="apple-converted-space"/>
                <w:rFonts w:eastAsia="Arial Unicode MS"/>
                <w:color w:val="000000" w:themeColor="text1"/>
                <w:sz w:val="20"/>
                <w:szCs w:val="20"/>
                <w:lang w:val="en-US"/>
              </w:rPr>
              <w:fldChar w:fldCharType="end"/>
            </w:r>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Uniune</w:t>
            </w:r>
            <w:proofErr w:type="spellEnd"/>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și </w:t>
            </w:r>
            <w:proofErr w:type="spellStart"/>
            <w:r w:rsidRPr="00DB61E1">
              <w:rPr>
                <w:rFonts w:eastAsia="Arial Unicode MS"/>
                <w:color w:val="000000" w:themeColor="text1"/>
                <w:sz w:val="20"/>
                <w:szCs w:val="20"/>
                <w:shd w:val="clear" w:color="auto" w:fill="FFFFFF"/>
                <w:lang w:val="en-US"/>
              </w:rPr>
              <w:t>angajamentele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asumate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țările</w:t>
            </w:r>
            <w:proofErr w:type="spellEnd"/>
            <w:r w:rsidRPr="00DB61E1">
              <w:rPr>
                <w:rFonts w:eastAsia="Arial Unicode MS"/>
                <w:color w:val="000000" w:themeColor="text1"/>
                <w:sz w:val="20"/>
                <w:szCs w:val="20"/>
                <w:shd w:val="clear" w:color="auto" w:fill="FFFFFF"/>
                <w:lang w:val="en-US"/>
              </w:rPr>
              <w:t xml:space="preserve"> în curs de </w:t>
            </w:r>
            <w:proofErr w:type="spellStart"/>
            <w:r w:rsidRPr="00DB61E1">
              <w:rPr>
                <w:rFonts w:eastAsia="Arial Unicode MS"/>
                <w:color w:val="000000" w:themeColor="text1"/>
                <w:sz w:val="20"/>
                <w:szCs w:val="20"/>
                <w:shd w:val="clear" w:color="auto" w:fill="FFFFFF"/>
                <w:lang w:val="en-US"/>
              </w:rPr>
              <w:t>dezvoltare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mai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avansate</w:t>
            </w:r>
            <w:proofErr w:type="spellEnd"/>
            <w:r w:rsidRPr="00DB61E1">
              <w:rPr>
                <w:rFonts w:eastAsia="Arial Unicode MS"/>
                <w:color w:val="000000" w:themeColor="text1"/>
                <w:sz w:val="20"/>
                <w:szCs w:val="20"/>
                <w:shd w:val="clear" w:color="auto" w:fill="FFFFFF"/>
                <w:lang w:val="en-US"/>
              </w:rPr>
              <w:t xml:space="preserve"> din </w:t>
            </w:r>
            <w:proofErr w:type="spellStart"/>
            <w:r w:rsidRPr="00DB61E1">
              <w:rPr>
                <w:rFonts w:eastAsia="Arial Unicode MS"/>
                <w:color w:val="000000" w:themeColor="text1"/>
                <w:sz w:val="20"/>
                <w:szCs w:val="20"/>
                <w:shd w:val="clear" w:color="auto" w:fill="FFFFFF"/>
                <w:lang w:val="en-US"/>
              </w:rPr>
              <w:t>punct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vedere</w:t>
            </w:r>
            <w:proofErr w:type="spellEnd"/>
            <w:r w:rsidRPr="00DB61E1">
              <w:rPr>
                <w:rFonts w:eastAsia="Arial Unicode MS"/>
                <w:color w:val="000000" w:themeColor="text1"/>
                <w:sz w:val="20"/>
                <w:szCs w:val="20"/>
                <w:shd w:val="clear" w:color="auto" w:fill="FFFFFF"/>
                <w:lang w:val="en-US"/>
              </w:rPr>
              <w:t xml:space="preserve"> economic de a-și </w:t>
            </w:r>
            <w:proofErr w:type="spellStart"/>
            <w:r w:rsidRPr="00DB61E1">
              <w:rPr>
                <w:rFonts w:eastAsia="Arial Unicode MS"/>
                <w:color w:val="000000" w:themeColor="text1"/>
                <w:sz w:val="20"/>
                <w:szCs w:val="20"/>
                <w:shd w:val="clear" w:color="auto" w:fill="FFFFFF"/>
                <w:lang w:val="en-US"/>
              </w:rPr>
              <w:t>aduce</w:t>
            </w:r>
            <w:proofErr w:type="spellEnd"/>
            <w:r w:rsidRPr="00DB61E1">
              <w:rPr>
                <w:rFonts w:eastAsia="Arial Unicode MS"/>
                <w:color w:val="000000" w:themeColor="text1"/>
                <w:sz w:val="20"/>
                <w:szCs w:val="20"/>
                <w:shd w:val="clear" w:color="auto" w:fill="FFFFFF"/>
                <w:lang w:val="en-US"/>
              </w:rPr>
              <w:t xml:space="preserve"> o </w:t>
            </w:r>
            <w:proofErr w:type="spellStart"/>
            <w:r w:rsidRPr="00DB61E1">
              <w:rPr>
                <w:rFonts w:eastAsia="Arial Unicode MS"/>
                <w:color w:val="000000" w:themeColor="text1"/>
                <w:sz w:val="20"/>
                <w:szCs w:val="20"/>
                <w:shd w:val="clear" w:color="auto" w:fill="FFFFFF"/>
                <w:lang w:val="en-US"/>
              </w:rPr>
              <w:t>contribuție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corespunzătoare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funcție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propriile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responsabilități</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posibilități</w:t>
            </w:r>
            <w:proofErr w:type="spellEnd"/>
            <w:r w:rsidRPr="00DB61E1">
              <w:rPr>
                <w:rFonts w:eastAsia="Arial Unicode MS"/>
                <w:color w:val="000000" w:themeColor="text1"/>
                <w:sz w:val="20"/>
                <w:szCs w:val="20"/>
                <w:shd w:val="clear" w:color="auto" w:fill="FFFFFF"/>
                <w:lang w:val="en-US"/>
              </w:rPr>
              <w:t>;</w:t>
            </w:r>
          </w:p>
          <w:p w14:paraId="3FAABAE0" w14:textId="2478A337"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implicațiile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și, </w:t>
            </w: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urmare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opțiunile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necesare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nivelul</w:t>
            </w:r>
            <w:proofErr w:type="spellEnd"/>
            <w:r w:rsidR="00DB61E1" w:rsidRPr="00DB61E1">
              <w:rPr>
                <w:rStyle w:val="apple-converted-space"/>
                <w:rFonts w:eastAsia="Arial Unicode MS"/>
                <w:color w:val="000000" w:themeColor="text1"/>
                <w:sz w:val="20"/>
                <w:szCs w:val="20"/>
                <w:shd w:val="clear" w:color="auto" w:fill="FFFFFF"/>
                <w:lang w:val="en-US"/>
              </w:rPr>
              <w:t xml:space="preserve"> </w:t>
            </w:r>
            <w:hyperlink r:id="rId327" w:tooltip="32018L0410: REPLACED" w:history="1">
              <w:r w:rsidRPr="00DB61E1">
                <w:rPr>
                  <w:rStyle w:val="boldface"/>
                  <w:rFonts w:eastAsia="Arial Unicode MS"/>
                  <w:b/>
                  <w:bCs/>
                  <w:color w:val="000000" w:themeColor="text1"/>
                  <w:sz w:val="20"/>
                  <w:szCs w:val="20"/>
                  <w:lang w:val="en-US"/>
                </w:rPr>
                <w:t>►M9</w:t>
              </w:r>
            </w:hyperlink>
            <w:r w:rsidRPr="00DB61E1">
              <w:rPr>
                <w:rFonts w:eastAsia="Arial Unicode MS"/>
                <w:color w:val="000000" w:themeColor="text1"/>
                <w:sz w:val="20"/>
                <w:szCs w:val="20"/>
                <w:shd w:val="clear" w:color="auto" w:fill="FFFFFF"/>
                <w:lang w:val="en-US"/>
              </w:rPr>
              <w:t>Uniunii</w:t>
            </w:r>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îndeplinirea</w:t>
            </w:r>
            <w:proofErr w:type="spellEnd"/>
            <w:r w:rsidRPr="00DB61E1">
              <w:rPr>
                <w:rFonts w:eastAsia="Arial Unicode MS"/>
                <w:color w:val="000000" w:themeColor="text1"/>
                <w:sz w:val="20"/>
                <w:szCs w:val="20"/>
                <w:shd w:val="clear" w:color="auto" w:fill="FFFFFF"/>
                <w:lang w:val="en-US"/>
              </w:rPr>
              <w:t xml:space="preserve">, în mod </w:t>
            </w:r>
            <w:proofErr w:type="spellStart"/>
            <w:r w:rsidRPr="00DB61E1">
              <w:rPr>
                <w:rFonts w:eastAsia="Arial Unicode MS"/>
                <w:color w:val="000000" w:themeColor="text1"/>
                <w:sz w:val="20"/>
                <w:szCs w:val="20"/>
                <w:shd w:val="clear" w:color="auto" w:fill="FFFFFF"/>
                <w:lang w:val="en-US"/>
              </w:rPr>
              <w:t>echilibrat</w:t>
            </w:r>
            <w:proofErr w:type="spellEnd"/>
            <w:r w:rsidRPr="00DB61E1">
              <w:rPr>
                <w:rFonts w:eastAsia="Arial Unicode MS"/>
                <w:color w:val="000000" w:themeColor="text1"/>
                <w:sz w:val="20"/>
                <w:szCs w:val="20"/>
                <w:shd w:val="clear" w:color="auto" w:fill="FFFFFF"/>
                <w:lang w:val="en-US"/>
              </w:rPr>
              <w:t xml:space="preserve">, transparent și </w:t>
            </w:r>
            <w:proofErr w:type="spellStart"/>
            <w:r w:rsidRPr="00DB61E1">
              <w:rPr>
                <w:rFonts w:eastAsia="Arial Unicode MS"/>
                <w:color w:val="000000" w:themeColor="text1"/>
                <w:sz w:val="20"/>
                <w:szCs w:val="20"/>
                <w:shd w:val="clear" w:color="auto" w:fill="FFFFFF"/>
                <w:lang w:val="en-US"/>
              </w:rPr>
              <w:t>echitabil</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obiectivului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reducere</w:t>
            </w:r>
            <w:proofErr w:type="spellEnd"/>
            <w:r w:rsidRPr="00DB61E1">
              <w:rPr>
                <w:rFonts w:eastAsia="Arial Unicode MS"/>
                <w:color w:val="000000" w:themeColor="text1"/>
                <w:sz w:val="20"/>
                <w:szCs w:val="20"/>
                <w:shd w:val="clear" w:color="auto" w:fill="FFFFFF"/>
                <w:lang w:val="en-US"/>
              </w:rPr>
              <w:t xml:space="preserve"> cu 30</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ținându</w:t>
            </w:r>
            <w:proofErr w:type="spellEnd"/>
            <w:r w:rsidRPr="00DB61E1">
              <w:rPr>
                <w:rFonts w:eastAsia="Arial Unicode MS"/>
                <w:color w:val="000000" w:themeColor="text1"/>
                <w:sz w:val="20"/>
                <w:szCs w:val="20"/>
                <w:shd w:val="clear" w:color="auto" w:fill="FFFFFF"/>
                <w:lang w:val="en-US"/>
              </w:rPr>
              <w:t xml:space="preserve">-se </w:t>
            </w:r>
            <w:proofErr w:type="spellStart"/>
            <w:r w:rsidRPr="00DB61E1">
              <w:rPr>
                <w:rFonts w:eastAsia="Arial Unicode MS"/>
                <w:color w:val="000000" w:themeColor="text1"/>
                <w:sz w:val="20"/>
                <w:szCs w:val="20"/>
                <w:shd w:val="clear" w:color="auto" w:fill="FFFFFF"/>
                <w:lang w:val="en-US"/>
              </w:rPr>
              <w:t>seama</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activitatea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desfășurată</w:t>
            </w:r>
            <w:proofErr w:type="spellEnd"/>
            <w:r w:rsidRPr="00DB61E1">
              <w:rPr>
                <w:rFonts w:eastAsia="Arial Unicode MS"/>
                <w:color w:val="000000" w:themeColor="text1"/>
                <w:sz w:val="20"/>
                <w:szCs w:val="20"/>
                <w:shd w:val="clear" w:color="auto" w:fill="FFFFFF"/>
                <w:lang w:val="en-US"/>
              </w:rPr>
              <w:t xml:space="preserve"> în prima </w:t>
            </w:r>
            <w:proofErr w:type="spellStart"/>
            <w:r w:rsidRPr="00DB61E1">
              <w:rPr>
                <w:rFonts w:eastAsia="Arial Unicode MS"/>
                <w:color w:val="000000" w:themeColor="text1"/>
                <w:sz w:val="20"/>
                <w:szCs w:val="20"/>
                <w:shd w:val="clear" w:color="auto" w:fill="FFFFFF"/>
                <w:lang w:val="en-US"/>
              </w:rPr>
              <w:t>perioadă</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angajament</w:t>
            </w:r>
            <w:proofErr w:type="spellEnd"/>
            <w:r w:rsidRPr="00DB61E1">
              <w:rPr>
                <w:rFonts w:eastAsia="Arial Unicode MS"/>
                <w:color w:val="000000" w:themeColor="text1"/>
                <w:sz w:val="20"/>
                <w:szCs w:val="20"/>
                <w:shd w:val="clear" w:color="auto" w:fill="FFFFFF"/>
                <w:lang w:val="en-US"/>
              </w:rPr>
              <w:t xml:space="preserve"> în conformitate cu </w:t>
            </w:r>
            <w:proofErr w:type="spellStart"/>
            <w:r w:rsidRPr="00DB61E1">
              <w:rPr>
                <w:rFonts w:eastAsia="Arial Unicode MS"/>
                <w:color w:val="000000" w:themeColor="text1"/>
                <w:sz w:val="20"/>
                <w:szCs w:val="20"/>
                <w:shd w:val="clear" w:color="auto" w:fill="FFFFFF"/>
                <w:lang w:val="en-US"/>
              </w:rPr>
              <w:t>Protocolul</w:t>
            </w:r>
            <w:proofErr w:type="spellEnd"/>
            <w:r w:rsidRPr="00DB61E1">
              <w:rPr>
                <w:rFonts w:eastAsia="Arial Unicode MS"/>
                <w:color w:val="000000" w:themeColor="text1"/>
                <w:sz w:val="20"/>
                <w:szCs w:val="20"/>
                <w:shd w:val="clear" w:color="auto" w:fill="FFFFFF"/>
                <w:lang w:val="en-US"/>
              </w:rPr>
              <w:t xml:space="preserve"> de la Kyoto;</w:t>
            </w:r>
          </w:p>
          <w:p w14:paraId="13D00130" w14:textId="25BF932B"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competitivitatea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sectoarelor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industriei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prelucrare</w:t>
            </w:r>
            <w:proofErr w:type="spellEnd"/>
            <w:r w:rsidRPr="00DB61E1">
              <w:rPr>
                <w:rFonts w:eastAsia="Arial Unicode MS"/>
                <w:color w:val="000000" w:themeColor="text1"/>
                <w:sz w:val="20"/>
                <w:szCs w:val="20"/>
                <w:shd w:val="clear" w:color="auto" w:fill="FFFFFF"/>
                <w:lang w:val="en-US"/>
              </w:rPr>
              <w:t xml:space="preserve"> din </w:t>
            </w:r>
            <w:proofErr w:type="spellStart"/>
            <w:r w:rsidRPr="00DB61E1">
              <w:rPr>
                <w:rFonts w:eastAsia="Arial Unicode MS"/>
                <w:color w:val="000000" w:themeColor="text1"/>
                <w:sz w:val="20"/>
                <w:szCs w:val="20"/>
                <w:shd w:val="clear" w:color="auto" w:fill="FFFFFF"/>
                <w:lang w:val="en-US"/>
              </w:rPr>
              <w:t>cadrul</w:t>
            </w:r>
            <w:proofErr w:type="spellEnd"/>
            <w:r w:rsidR="00DB61E1" w:rsidRPr="00DB61E1">
              <w:rPr>
                <w:rStyle w:val="apple-converted-space"/>
                <w:rFonts w:eastAsia="Arial Unicode MS"/>
                <w:color w:val="000000" w:themeColor="text1"/>
                <w:sz w:val="20"/>
                <w:szCs w:val="20"/>
                <w:shd w:val="clear" w:color="auto" w:fill="FFFFFF"/>
                <w:lang w:val="en-US"/>
              </w:rPr>
              <w:t xml:space="preserve"> </w:t>
            </w:r>
            <w:hyperlink r:id="rId328"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Uniunii</w:t>
            </w:r>
            <w:proofErr w:type="spellEnd"/>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în </w:t>
            </w:r>
            <w:proofErr w:type="spellStart"/>
            <w:r w:rsidRPr="00DB61E1">
              <w:rPr>
                <w:rFonts w:eastAsia="Arial Unicode MS"/>
                <w:color w:val="000000" w:themeColor="text1"/>
                <w:sz w:val="20"/>
                <w:szCs w:val="20"/>
                <w:shd w:val="clear" w:color="auto" w:fill="FFFFFF"/>
                <w:lang w:val="en-US"/>
              </w:rPr>
              <w:t>contextul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riscurilor</w:t>
            </w:r>
            <w:proofErr w:type="spellEnd"/>
            <w:r w:rsidRPr="00DB61E1">
              <w:rPr>
                <w:rFonts w:eastAsia="Arial Unicode MS"/>
                <w:color w:val="000000" w:themeColor="text1"/>
                <w:sz w:val="20"/>
                <w:szCs w:val="20"/>
                <w:shd w:val="clear" w:color="auto" w:fill="FFFFFF"/>
                <w:lang w:val="en-US"/>
              </w:rPr>
              <w:t xml:space="preserve"> pe care le </w:t>
            </w:r>
            <w:proofErr w:type="spellStart"/>
            <w:r w:rsidRPr="00DB61E1">
              <w:rPr>
                <w:rFonts w:eastAsia="Arial Unicode MS"/>
                <w:color w:val="000000" w:themeColor="text1"/>
                <w:sz w:val="20"/>
                <w:szCs w:val="20"/>
                <w:shd w:val="clear" w:color="auto" w:fill="FFFFFF"/>
                <w:lang w:val="en-US"/>
              </w:rPr>
              <w:t>prezintă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relocarea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dioxid</w:t>
            </w:r>
            <w:proofErr w:type="spellEnd"/>
            <w:r w:rsidRPr="00DB61E1">
              <w:rPr>
                <w:rFonts w:eastAsia="Arial Unicode MS"/>
                <w:color w:val="000000" w:themeColor="text1"/>
                <w:sz w:val="20"/>
                <w:szCs w:val="20"/>
                <w:shd w:val="clear" w:color="auto" w:fill="FFFFFF"/>
                <w:lang w:val="en-US"/>
              </w:rPr>
              <w:t xml:space="preserve"> de carbon;</w:t>
            </w:r>
          </w:p>
          <w:p w14:paraId="2DCA51CD" w14:textId="64D0A5DE"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lastRenderedPageBreak/>
              <w:t>impactul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w:t>
            </w:r>
            <w:proofErr w:type="spellStart"/>
            <w:r w:rsidRPr="00DB61E1">
              <w:rPr>
                <w:rFonts w:eastAsia="Arial Unicode MS"/>
                <w:color w:val="000000" w:themeColor="text1"/>
                <w:sz w:val="20"/>
                <w:szCs w:val="20"/>
                <w:shd w:val="clear" w:color="auto" w:fill="FFFFFF"/>
                <w:lang w:val="en-US"/>
              </w:rPr>
              <w:t>asupra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altor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sectoare</w:t>
            </w:r>
            <w:proofErr w:type="spellEnd"/>
            <w:r w:rsidRPr="00DB61E1">
              <w:rPr>
                <w:rFonts w:eastAsia="Arial Unicode MS"/>
                <w:color w:val="000000" w:themeColor="text1"/>
                <w:sz w:val="20"/>
                <w:szCs w:val="20"/>
                <w:shd w:val="clear" w:color="auto" w:fill="FFFFFF"/>
                <w:lang w:val="en-US"/>
              </w:rPr>
              <w:t xml:space="preserve"> ale </w:t>
            </w:r>
            <w:proofErr w:type="spellStart"/>
            <w:r w:rsidRPr="00DB61E1">
              <w:rPr>
                <w:rFonts w:eastAsia="Arial Unicode MS"/>
                <w:color w:val="000000" w:themeColor="text1"/>
                <w:sz w:val="20"/>
                <w:szCs w:val="20"/>
                <w:shd w:val="clear" w:color="auto" w:fill="FFFFFF"/>
                <w:lang w:val="en-US"/>
              </w:rPr>
              <w:t>economiei</w:t>
            </w:r>
            <w:proofErr w:type="spellEnd"/>
            <w:r w:rsidR="00DB61E1" w:rsidRPr="00DB61E1">
              <w:rPr>
                <w:rStyle w:val="apple-converted-space"/>
                <w:rFonts w:eastAsia="Arial Unicode MS"/>
                <w:color w:val="000000" w:themeColor="text1"/>
                <w:sz w:val="20"/>
                <w:szCs w:val="20"/>
                <w:shd w:val="clear" w:color="auto" w:fill="FFFFFF"/>
                <w:lang w:val="en-US"/>
              </w:rPr>
              <w:t xml:space="preserve"> </w:t>
            </w:r>
            <w:hyperlink r:id="rId329"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Uniunii</w:t>
            </w:r>
            <w:proofErr w:type="spellEnd"/>
            <w:r w:rsidRPr="00DB61E1">
              <w:rPr>
                <w:rStyle w:val="boldface"/>
                <w:rFonts w:eastAsia="Arial Unicode MS"/>
                <w:b/>
                <w:bCs/>
                <w:color w:val="000000" w:themeColor="text1"/>
                <w:sz w:val="20"/>
                <w:szCs w:val="20"/>
                <w:lang w:val="en-US"/>
              </w:rPr>
              <w:t>◄</w:t>
            </w:r>
            <w:r w:rsidRPr="00DB61E1">
              <w:rPr>
                <w:rFonts w:eastAsia="Arial Unicode MS"/>
                <w:color w:val="000000" w:themeColor="text1"/>
                <w:sz w:val="20"/>
                <w:szCs w:val="20"/>
                <w:shd w:val="clear" w:color="auto" w:fill="FFFFFF"/>
                <w:lang w:val="en-US"/>
              </w:rPr>
              <w:t>;</w:t>
            </w:r>
          </w:p>
          <w:p w14:paraId="45B0E443" w14:textId="420ECCDA"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impactul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asupra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sectorului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agricol</w:t>
            </w:r>
            <w:proofErr w:type="spellEnd"/>
            <w:r w:rsidRPr="00DB61E1">
              <w:rPr>
                <w:rFonts w:eastAsia="Arial Unicode MS"/>
                <w:color w:val="000000" w:themeColor="text1"/>
                <w:sz w:val="20"/>
                <w:szCs w:val="20"/>
                <w:shd w:val="clear" w:color="auto" w:fill="FFFFFF"/>
                <w:lang w:val="en-US"/>
              </w:rPr>
              <w:t xml:space="preserve"> din</w:t>
            </w:r>
            <w:hyperlink r:id="rId330"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Uniune</w:t>
            </w:r>
            <w:proofErr w:type="spellEnd"/>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inclusiv</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riscurile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relocare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dioxid</w:t>
            </w:r>
            <w:proofErr w:type="spellEnd"/>
            <w:r w:rsidRPr="00DB61E1">
              <w:rPr>
                <w:rFonts w:eastAsia="Arial Unicode MS"/>
                <w:color w:val="000000" w:themeColor="text1"/>
                <w:sz w:val="20"/>
                <w:szCs w:val="20"/>
                <w:shd w:val="clear" w:color="auto" w:fill="FFFFFF"/>
                <w:lang w:val="en-US"/>
              </w:rPr>
              <w:t xml:space="preserve"> de carbon;</w:t>
            </w:r>
          </w:p>
          <w:p w14:paraId="2E31C06C" w14:textId="618F1FD2" w:rsidR="00124364" w:rsidRDefault="00000000">
            <w:pPr>
              <w:pStyle w:val="ti-art"/>
              <w:numPr>
                <w:ilvl w:val="0"/>
                <w:numId w:val="11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modalitățile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corespunzătoare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includere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absorbției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rezultate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exploatarea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terenurilor</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schimbarea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destinației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terenurilor</w:t>
            </w:r>
            <w:proofErr w:type="spellEnd"/>
            <w:r>
              <w:rPr>
                <w:rFonts w:eastAsia="Arial Unicode MS"/>
                <w:color w:val="333333"/>
                <w:sz w:val="20"/>
                <w:szCs w:val="20"/>
                <w:shd w:val="clear" w:color="auto" w:fill="FFFFFF"/>
                <w:lang w:val="en-US"/>
              </w:rPr>
              <w:t xml:space="preserve"> și din </w:t>
            </w:r>
            <w:proofErr w:type="spellStart"/>
            <w:r>
              <w:rPr>
                <w:rFonts w:eastAsia="Arial Unicode MS"/>
                <w:color w:val="333333"/>
                <w:sz w:val="20"/>
                <w:szCs w:val="20"/>
                <w:shd w:val="clear" w:color="auto" w:fill="FFFFFF"/>
                <w:lang w:val="en-US"/>
              </w:rPr>
              <w:t>silvicultură</w:t>
            </w:r>
            <w:proofErr w:type="spellEnd"/>
            <w:r>
              <w:rPr>
                <w:rFonts w:eastAsia="Arial Unicode MS"/>
                <w:color w:val="333333"/>
                <w:sz w:val="20"/>
                <w:szCs w:val="20"/>
                <w:shd w:val="clear" w:color="auto" w:fill="FFFFFF"/>
                <w:lang w:val="en-US"/>
              </w:rPr>
              <w:t xml:space="preserve"> în</w:t>
            </w:r>
            <w:r w:rsidR="00DB61E1" w:rsidRPr="00DB61E1">
              <w:rPr>
                <w:rStyle w:val="apple-converted-space"/>
                <w:rFonts w:eastAsia="Arial Unicode MS"/>
                <w:color w:val="333333"/>
                <w:sz w:val="20"/>
                <w:szCs w:val="20"/>
                <w:shd w:val="clear" w:color="auto" w:fill="FFFFFF"/>
                <w:lang w:val="en-US"/>
              </w:rPr>
              <w:t xml:space="preserve"> </w:t>
            </w:r>
            <w:hyperlink r:id="rId331" w:tooltip="32018L0410: REPLACED" w:history="1">
              <w:r>
                <w:rPr>
                  <w:rStyle w:val="boldface"/>
                  <w:rFonts w:eastAsia="Arial Unicode MS"/>
                  <w:b/>
                  <w:bCs/>
                  <w:color w:val="4472C4" w:themeColor="accent1"/>
                  <w:sz w:val="20"/>
                  <w:szCs w:val="20"/>
                  <w:lang w:val="en-US"/>
                </w:rPr>
                <w:t>►M9</w:t>
              </w:r>
            </w:hyperlink>
            <w:r w:rsidR="00DB61E1" w:rsidRPr="00DB61E1">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Uniune</w:t>
            </w:r>
            <w:proofErr w:type="spellEnd"/>
            <w:r w:rsidR="00DB61E1" w:rsidRPr="00DB61E1">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DB61E1" w:rsidRPr="00DB61E1">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w:t>
            </w:r>
          </w:p>
          <w:p w14:paraId="45AFC028" w14:textId="77777777"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împădurirea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reîmpădurirea</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evitarea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defrișărilor</w:t>
            </w:r>
            <w:proofErr w:type="spellEnd"/>
            <w:r w:rsidRPr="00DB61E1">
              <w:rPr>
                <w:rFonts w:eastAsia="Arial Unicode MS"/>
                <w:color w:val="000000" w:themeColor="text1"/>
                <w:sz w:val="20"/>
                <w:szCs w:val="20"/>
                <w:shd w:val="clear" w:color="auto" w:fill="FFFFFF"/>
                <w:lang w:val="en-US"/>
              </w:rPr>
              <w:t xml:space="preserve"> și a </w:t>
            </w:r>
            <w:proofErr w:type="spellStart"/>
            <w:r w:rsidRPr="00DB61E1">
              <w:rPr>
                <w:rFonts w:eastAsia="Arial Unicode MS"/>
                <w:color w:val="000000" w:themeColor="text1"/>
                <w:sz w:val="20"/>
                <w:szCs w:val="20"/>
                <w:shd w:val="clear" w:color="auto" w:fill="FFFFFF"/>
                <w:lang w:val="en-US"/>
              </w:rPr>
              <w:t>degradării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pădurilor</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țări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terțe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cazul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instituirii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unui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sistem</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recunoscut</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nivel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acest</w:t>
            </w:r>
            <w:proofErr w:type="spellEnd"/>
            <w:r w:rsidRPr="00DB61E1">
              <w:rPr>
                <w:rFonts w:eastAsia="Arial Unicode MS"/>
                <w:color w:val="000000" w:themeColor="text1"/>
                <w:sz w:val="20"/>
                <w:szCs w:val="20"/>
                <w:shd w:val="clear" w:color="auto" w:fill="FFFFFF"/>
                <w:lang w:val="en-US"/>
              </w:rPr>
              <w:t xml:space="preserve"> context;</w:t>
            </w:r>
          </w:p>
          <w:p w14:paraId="026B9EF8" w14:textId="15EC2C02" w:rsidR="00124364" w:rsidRPr="00DB61E1" w:rsidRDefault="00000000" w:rsidP="00DB61E1">
            <w:pPr>
              <w:pStyle w:val="ti-art"/>
              <w:numPr>
                <w:ilvl w:val="0"/>
                <w:numId w:val="11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necesitatea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unor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politici</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măsuri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comunitare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suplimentare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vederea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îndeplinirii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angajamentelor</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reducere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de gaze cu </w:t>
            </w:r>
            <w:proofErr w:type="spellStart"/>
            <w:r w:rsidRPr="00DB61E1">
              <w:rPr>
                <w:rFonts w:eastAsia="Arial Unicode MS"/>
                <w:color w:val="000000" w:themeColor="text1"/>
                <w:sz w:val="20"/>
                <w:szCs w:val="20"/>
                <w:shd w:val="clear" w:color="auto" w:fill="FFFFFF"/>
                <w:lang w:val="en-US"/>
              </w:rPr>
              <w:t>efect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seră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asumate</w:t>
            </w:r>
            <w:proofErr w:type="spellEnd"/>
            <w:r w:rsidRPr="00DB61E1">
              <w:rPr>
                <w:rFonts w:eastAsia="Arial Unicode MS"/>
                <w:color w:val="000000" w:themeColor="text1"/>
                <w:sz w:val="20"/>
                <w:szCs w:val="20"/>
                <w:shd w:val="clear" w:color="auto" w:fill="FFFFFF"/>
                <w:lang w:val="en-US"/>
              </w:rPr>
              <w:t xml:space="preserve"> de</w:t>
            </w:r>
            <w:hyperlink r:id="rId332"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Uniune</w:t>
            </w:r>
            <w:proofErr w:type="spellEnd"/>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și de </w:t>
            </w:r>
            <w:proofErr w:type="spellStart"/>
            <w:r w:rsidRPr="00DB61E1">
              <w:rPr>
                <w:rFonts w:eastAsia="Arial Unicode MS"/>
                <w:color w:val="000000" w:themeColor="text1"/>
                <w:sz w:val="20"/>
                <w:szCs w:val="20"/>
                <w:shd w:val="clear" w:color="auto" w:fill="FFFFFF"/>
                <w:lang w:val="en-US"/>
              </w:rPr>
              <w:t>statele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membre</w:t>
            </w:r>
            <w:proofErr w:type="spellEnd"/>
            <w:r w:rsidRPr="00DB61E1">
              <w:rPr>
                <w:rFonts w:eastAsia="Arial Unicode MS"/>
                <w:color w:val="000000" w:themeColor="text1"/>
                <w:sz w:val="20"/>
                <w:szCs w:val="20"/>
                <w:shd w:val="clear" w:color="auto" w:fill="FFFFFF"/>
                <w:lang w:val="en-US"/>
              </w:rPr>
              <w:t>.</w:t>
            </w:r>
          </w:p>
          <w:p w14:paraId="75BE3ACD" w14:textId="491E8AAB" w:rsidR="00124364" w:rsidRPr="00DB61E1" w:rsidRDefault="00000000" w:rsidP="00DB61E1">
            <w:pPr>
              <w:pStyle w:val="ti-art"/>
              <w:numPr>
                <w:ilvl w:val="0"/>
                <w:numId w:val="1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B61E1">
              <w:rPr>
                <w:rFonts w:eastAsia="Arial Unicode MS"/>
                <w:color w:val="000000" w:themeColor="text1"/>
                <w:sz w:val="20"/>
                <w:szCs w:val="20"/>
                <w:shd w:val="clear" w:color="auto" w:fill="FFFFFF"/>
                <w:lang w:val="en-US"/>
              </w:rPr>
              <w:t xml:space="preserve">Pe </w:t>
            </w:r>
            <w:proofErr w:type="spellStart"/>
            <w:r w:rsidRPr="00DB61E1">
              <w:rPr>
                <w:rFonts w:eastAsia="Arial Unicode MS"/>
                <w:color w:val="000000" w:themeColor="text1"/>
                <w:sz w:val="20"/>
                <w:szCs w:val="20"/>
                <w:shd w:val="clear" w:color="auto" w:fill="FFFFFF"/>
                <w:lang w:val="en-US"/>
              </w:rPr>
              <w:t>baza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raportului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w:t>
            </w:r>
            <w:proofErr w:type="spellStart"/>
            <w:r w:rsidRPr="00DB61E1">
              <w:rPr>
                <w:rFonts w:eastAsia="Arial Unicode MS"/>
                <w:color w:val="000000" w:themeColor="text1"/>
                <w:sz w:val="20"/>
                <w:szCs w:val="20"/>
                <w:shd w:val="clear" w:color="auto" w:fill="FFFFFF"/>
                <w:lang w:val="en-US"/>
              </w:rPr>
              <w:t>Comisia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prezintă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dacă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este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cazul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Parlamentului</w:t>
            </w:r>
            <w:proofErr w:type="spellEnd"/>
            <w:r w:rsidRPr="00DB61E1">
              <w:rPr>
                <w:rFonts w:eastAsia="Arial Unicode MS"/>
                <w:color w:val="000000" w:themeColor="text1"/>
                <w:sz w:val="20"/>
                <w:szCs w:val="20"/>
                <w:shd w:val="clear" w:color="auto" w:fill="FFFFFF"/>
                <w:lang w:val="en-US"/>
              </w:rPr>
              <w:t xml:space="preserve"> European și </w:t>
            </w:r>
            <w:proofErr w:type="spellStart"/>
            <w:r w:rsidRPr="00DB61E1">
              <w:rPr>
                <w:rFonts w:eastAsia="Arial Unicode MS"/>
                <w:color w:val="000000" w:themeColor="text1"/>
                <w:sz w:val="20"/>
                <w:szCs w:val="20"/>
                <w:shd w:val="clear" w:color="auto" w:fill="FFFFFF"/>
                <w:lang w:val="en-US"/>
              </w:rPr>
              <w:t>Consiliului</w:t>
            </w:r>
            <w:proofErr w:type="spellEnd"/>
            <w:r w:rsidRPr="00DB61E1">
              <w:rPr>
                <w:rFonts w:eastAsia="Arial Unicode MS"/>
                <w:color w:val="000000" w:themeColor="text1"/>
                <w:sz w:val="20"/>
                <w:szCs w:val="20"/>
                <w:shd w:val="clear" w:color="auto" w:fill="FFFFFF"/>
                <w:lang w:val="en-US"/>
              </w:rPr>
              <w:t xml:space="preserve"> o </w:t>
            </w:r>
            <w:proofErr w:type="spellStart"/>
            <w:r w:rsidRPr="00DB61E1">
              <w:rPr>
                <w:rFonts w:eastAsia="Arial Unicode MS"/>
                <w:color w:val="000000" w:themeColor="text1"/>
                <w:sz w:val="20"/>
                <w:szCs w:val="20"/>
                <w:shd w:val="clear" w:color="auto" w:fill="FFFFFF"/>
                <w:lang w:val="en-US"/>
              </w:rPr>
              <w:t>propunere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legislativă</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modificare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prezentei</w:t>
            </w:r>
            <w:proofErr w:type="spellEnd"/>
            <w:r w:rsidRPr="00DB61E1">
              <w:rPr>
                <w:rFonts w:eastAsia="Arial Unicode MS"/>
                <w:color w:val="000000" w:themeColor="text1"/>
                <w:sz w:val="20"/>
                <w:szCs w:val="20"/>
                <w:shd w:val="clear" w:color="auto" w:fill="FFFFFF"/>
                <w:lang w:val="en-US"/>
              </w:rPr>
              <w:t xml:space="preserve"> directive, în conformitate cu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în </w:t>
            </w:r>
            <w:proofErr w:type="spellStart"/>
            <w:r w:rsidRPr="00DB61E1">
              <w:rPr>
                <w:rFonts w:eastAsia="Arial Unicode MS"/>
                <w:color w:val="000000" w:themeColor="text1"/>
                <w:sz w:val="20"/>
                <w:szCs w:val="20"/>
                <w:shd w:val="clear" w:color="auto" w:fill="FFFFFF"/>
                <w:lang w:val="en-US"/>
              </w:rPr>
              <w:t>vederea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intrării</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vigoare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directivei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modificare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odată</w:t>
            </w:r>
            <w:proofErr w:type="spellEnd"/>
            <w:r w:rsidRPr="00DB61E1">
              <w:rPr>
                <w:rFonts w:eastAsia="Arial Unicode MS"/>
                <w:color w:val="000000" w:themeColor="text1"/>
                <w:sz w:val="20"/>
                <w:szCs w:val="20"/>
                <w:shd w:val="clear" w:color="auto" w:fill="FFFFFF"/>
                <w:lang w:val="en-US"/>
              </w:rPr>
              <w:t xml:space="preserve"> cu </w:t>
            </w:r>
            <w:proofErr w:type="spellStart"/>
            <w:r w:rsidRPr="00DB61E1">
              <w:rPr>
                <w:rFonts w:eastAsia="Arial Unicode MS"/>
                <w:color w:val="000000" w:themeColor="text1"/>
                <w:sz w:val="20"/>
                <w:szCs w:val="20"/>
                <w:shd w:val="clear" w:color="auto" w:fill="FFFFFF"/>
                <w:lang w:val="en-US"/>
              </w:rPr>
              <w:t>aprobarea</w:t>
            </w:r>
            <w:proofErr w:type="spellEnd"/>
            <w:r w:rsidRPr="00DB61E1">
              <w:rPr>
                <w:rFonts w:eastAsia="Arial Unicode MS"/>
                <w:color w:val="000000" w:themeColor="text1"/>
                <w:sz w:val="20"/>
                <w:szCs w:val="20"/>
                <w:shd w:val="clear" w:color="auto" w:fill="FFFFFF"/>
                <w:lang w:val="en-US"/>
              </w:rPr>
              <w:t xml:space="preserve"> de către</w:t>
            </w:r>
            <w:hyperlink r:id="rId333"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Uniune</w:t>
            </w:r>
            <w:proofErr w:type="spellEnd"/>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 xml:space="preserve">a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precum și în </w:t>
            </w:r>
            <w:proofErr w:type="spellStart"/>
            <w:r w:rsidRPr="00DB61E1">
              <w:rPr>
                <w:rFonts w:eastAsia="Arial Unicode MS"/>
                <w:color w:val="000000" w:themeColor="text1"/>
                <w:sz w:val="20"/>
                <w:szCs w:val="20"/>
                <w:shd w:val="clear" w:color="auto" w:fill="FFFFFF"/>
                <w:lang w:val="en-US"/>
              </w:rPr>
              <w:t>vederea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îndeplinirii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angajamentului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reducere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care </w:t>
            </w:r>
            <w:proofErr w:type="spellStart"/>
            <w:r w:rsidRPr="00DB61E1">
              <w:rPr>
                <w:rFonts w:eastAsia="Arial Unicode MS"/>
                <w:color w:val="000000" w:themeColor="text1"/>
                <w:sz w:val="20"/>
                <w:szCs w:val="20"/>
                <w:shd w:val="clear" w:color="auto" w:fill="FFFFFF"/>
                <w:lang w:val="en-US"/>
              </w:rPr>
              <w:t>urmează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fie pus în </w:t>
            </w:r>
            <w:proofErr w:type="spellStart"/>
            <w:r w:rsidRPr="00DB61E1">
              <w:rPr>
                <w:rFonts w:eastAsia="Arial Unicode MS"/>
                <w:color w:val="000000" w:themeColor="text1"/>
                <w:sz w:val="20"/>
                <w:szCs w:val="20"/>
                <w:shd w:val="clear" w:color="auto" w:fill="FFFFFF"/>
                <w:lang w:val="en-US"/>
              </w:rPr>
              <w:t>aplicare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temeiul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respectiv</w:t>
            </w:r>
            <w:proofErr w:type="spellEnd"/>
            <w:r w:rsidRPr="00DB61E1">
              <w:rPr>
                <w:rFonts w:eastAsia="Arial Unicode MS"/>
                <w:color w:val="000000" w:themeColor="text1"/>
                <w:sz w:val="20"/>
                <w:szCs w:val="20"/>
                <w:shd w:val="clear" w:color="auto" w:fill="FFFFFF"/>
                <w:lang w:val="en-US"/>
              </w:rPr>
              <w:t>.</w:t>
            </w:r>
          </w:p>
          <w:p w14:paraId="1DE2B8D9" w14:textId="77777777" w:rsidR="00124364" w:rsidRPr="00DB61E1" w:rsidRDefault="00000000" w:rsidP="00DB61E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Propunerea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respectivă</w:t>
            </w:r>
            <w:proofErr w:type="spellEnd"/>
            <w:r w:rsidRPr="00DB61E1">
              <w:rPr>
                <w:rFonts w:eastAsia="Arial Unicode MS"/>
                <w:color w:val="000000" w:themeColor="text1"/>
                <w:sz w:val="20"/>
                <w:szCs w:val="20"/>
                <w:shd w:val="clear" w:color="auto" w:fill="FFFFFF"/>
                <w:lang w:val="en-US"/>
              </w:rPr>
              <w:t xml:space="preserve"> se </w:t>
            </w:r>
            <w:proofErr w:type="spellStart"/>
            <w:r w:rsidRPr="00DB61E1">
              <w:rPr>
                <w:rFonts w:eastAsia="Arial Unicode MS"/>
                <w:color w:val="000000" w:themeColor="text1"/>
                <w:sz w:val="20"/>
                <w:szCs w:val="20"/>
                <w:shd w:val="clear" w:color="auto" w:fill="FFFFFF"/>
                <w:lang w:val="en-US"/>
              </w:rPr>
              <w:t>bazează</w:t>
            </w:r>
            <w:proofErr w:type="spellEnd"/>
            <w:r w:rsidRPr="00DB61E1">
              <w:rPr>
                <w:rFonts w:eastAsia="Arial Unicode MS"/>
                <w:color w:val="000000" w:themeColor="text1"/>
                <w:sz w:val="20"/>
                <w:szCs w:val="20"/>
                <w:shd w:val="clear" w:color="auto" w:fill="FFFFFF"/>
                <w:lang w:val="en-US"/>
              </w:rPr>
              <w:t xml:space="preserve"> pe </w:t>
            </w:r>
            <w:proofErr w:type="spellStart"/>
            <w:r w:rsidRPr="00DB61E1">
              <w:rPr>
                <w:rFonts w:eastAsia="Arial Unicode MS"/>
                <w:color w:val="000000" w:themeColor="text1"/>
                <w:sz w:val="20"/>
                <w:szCs w:val="20"/>
                <w:shd w:val="clear" w:color="auto" w:fill="FFFFFF"/>
                <w:lang w:val="en-US"/>
              </w:rPr>
              <w:t>principiile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transparenței</w:t>
            </w:r>
            <w:proofErr w:type="spellEnd"/>
            <w:r w:rsidRPr="00DB61E1">
              <w:rPr>
                <w:rFonts w:eastAsia="Arial Unicode MS"/>
                <w:color w:val="000000" w:themeColor="text1"/>
                <w:sz w:val="20"/>
                <w:szCs w:val="20"/>
                <w:shd w:val="clear" w:color="auto" w:fill="FFFFFF"/>
                <w:lang w:val="en-US"/>
              </w:rPr>
              <w:t xml:space="preserve">, al </w:t>
            </w:r>
            <w:proofErr w:type="spellStart"/>
            <w:r w:rsidRPr="00DB61E1">
              <w:rPr>
                <w:rFonts w:eastAsia="Arial Unicode MS"/>
                <w:color w:val="000000" w:themeColor="text1"/>
                <w:sz w:val="20"/>
                <w:szCs w:val="20"/>
                <w:shd w:val="clear" w:color="auto" w:fill="FFFFFF"/>
                <w:lang w:val="en-US"/>
              </w:rPr>
              <w:t>eficienței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economice</w:t>
            </w:r>
            <w:proofErr w:type="spellEnd"/>
            <w:r w:rsidRPr="00DB61E1">
              <w:rPr>
                <w:rFonts w:eastAsia="Arial Unicode MS"/>
                <w:color w:val="000000" w:themeColor="text1"/>
                <w:sz w:val="20"/>
                <w:szCs w:val="20"/>
                <w:shd w:val="clear" w:color="auto" w:fill="FFFFFF"/>
                <w:lang w:val="en-US"/>
              </w:rPr>
              <w:t xml:space="preserve"> și din </w:t>
            </w:r>
            <w:proofErr w:type="spellStart"/>
            <w:r w:rsidRPr="00DB61E1">
              <w:rPr>
                <w:rFonts w:eastAsia="Arial Unicode MS"/>
                <w:color w:val="000000" w:themeColor="text1"/>
                <w:sz w:val="20"/>
                <w:szCs w:val="20"/>
                <w:shd w:val="clear" w:color="auto" w:fill="FFFFFF"/>
                <w:lang w:val="en-US"/>
              </w:rPr>
              <w:t>punct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vedere</w:t>
            </w:r>
            <w:proofErr w:type="spellEnd"/>
            <w:r w:rsidRPr="00DB61E1">
              <w:rPr>
                <w:rFonts w:eastAsia="Arial Unicode MS"/>
                <w:color w:val="000000" w:themeColor="text1"/>
                <w:sz w:val="20"/>
                <w:szCs w:val="20"/>
                <w:shd w:val="clear" w:color="auto" w:fill="FFFFFF"/>
                <w:lang w:val="en-US"/>
              </w:rPr>
              <w:t xml:space="preserve"> al </w:t>
            </w:r>
            <w:proofErr w:type="spellStart"/>
            <w:r w:rsidRPr="00DB61E1">
              <w:rPr>
                <w:rFonts w:eastAsia="Arial Unicode MS"/>
                <w:color w:val="000000" w:themeColor="text1"/>
                <w:sz w:val="20"/>
                <w:szCs w:val="20"/>
                <w:shd w:val="clear" w:color="auto" w:fill="FFFFFF"/>
                <w:lang w:val="en-US"/>
              </w:rPr>
              <w:t>costurilor</w:t>
            </w:r>
            <w:proofErr w:type="spellEnd"/>
            <w:r w:rsidRPr="00DB61E1">
              <w:rPr>
                <w:rFonts w:eastAsia="Arial Unicode MS"/>
                <w:color w:val="000000" w:themeColor="text1"/>
                <w:sz w:val="20"/>
                <w:szCs w:val="20"/>
                <w:shd w:val="clear" w:color="auto" w:fill="FFFFFF"/>
                <w:lang w:val="en-US"/>
              </w:rPr>
              <w:t xml:space="preserve">, al </w:t>
            </w:r>
            <w:proofErr w:type="spellStart"/>
            <w:r w:rsidRPr="00DB61E1">
              <w:rPr>
                <w:rFonts w:eastAsia="Arial Unicode MS"/>
                <w:color w:val="000000" w:themeColor="text1"/>
                <w:sz w:val="20"/>
                <w:szCs w:val="20"/>
                <w:shd w:val="clear" w:color="auto" w:fill="FFFFFF"/>
                <w:lang w:val="en-US"/>
              </w:rPr>
              <w:t>echității</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solidarității</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repartizarea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eforturilor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între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statele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membre</w:t>
            </w:r>
            <w:proofErr w:type="spellEnd"/>
            <w:r w:rsidRPr="00DB61E1">
              <w:rPr>
                <w:rFonts w:eastAsia="Arial Unicode MS"/>
                <w:color w:val="000000" w:themeColor="text1"/>
                <w:sz w:val="20"/>
                <w:szCs w:val="20"/>
                <w:shd w:val="clear" w:color="auto" w:fill="FFFFFF"/>
                <w:lang w:val="en-US"/>
              </w:rPr>
              <w:t>.</w:t>
            </w:r>
          </w:p>
          <w:p w14:paraId="1DDA164E" w14:textId="77777777" w:rsidR="00124364" w:rsidRPr="00DB61E1" w:rsidRDefault="00000000" w:rsidP="00DB61E1">
            <w:pPr>
              <w:pStyle w:val="ti-art"/>
              <w:numPr>
                <w:ilvl w:val="0"/>
                <w:numId w:val="1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Propunerea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permite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operatorilor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utilizeze</w:t>
            </w:r>
            <w:proofErr w:type="spellEnd"/>
            <w:r w:rsidRPr="00DB61E1">
              <w:rPr>
                <w:rFonts w:eastAsia="Arial Unicode MS"/>
                <w:color w:val="000000" w:themeColor="text1"/>
                <w:sz w:val="20"/>
                <w:szCs w:val="20"/>
                <w:shd w:val="clear" w:color="auto" w:fill="FFFFFF"/>
                <w:lang w:val="en-US"/>
              </w:rPr>
              <w:t xml:space="preserve">, în plus </w:t>
            </w:r>
            <w:proofErr w:type="spellStart"/>
            <w:r w:rsidRPr="00DB61E1">
              <w:rPr>
                <w:rFonts w:eastAsia="Arial Unicode MS"/>
                <w:color w:val="000000" w:themeColor="text1"/>
                <w:sz w:val="20"/>
                <w:szCs w:val="20"/>
                <w:shd w:val="clear" w:color="auto" w:fill="FFFFFF"/>
                <w:lang w:val="en-US"/>
              </w:rPr>
              <w:t>față</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creditele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prevăzute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prezenta </w:t>
            </w:r>
            <w:proofErr w:type="spellStart"/>
            <w:r w:rsidRPr="00DB61E1">
              <w:rPr>
                <w:rFonts w:eastAsia="Arial Unicode MS"/>
                <w:color w:val="000000" w:themeColor="text1"/>
                <w:sz w:val="20"/>
                <w:szCs w:val="20"/>
                <w:shd w:val="clear" w:color="auto" w:fill="FFFFFF"/>
                <w:lang w:val="en-US"/>
              </w:rPr>
              <w:t>directivă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creditele</w:t>
            </w:r>
            <w:proofErr w:type="spellEnd"/>
            <w:r w:rsidRPr="00DB61E1">
              <w:rPr>
                <w:rFonts w:eastAsia="Arial Unicode MS"/>
                <w:color w:val="000000" w:themeColor="text1"/>
                <w:sz w:val="20"/>
                <w:szCs w:val="20"/>
                <w:shd w:val="clear" w:color="auto" w:fill="FFFFFF"/>
                <w:lang w:val="en-US"/>
              </w:rPr>
              <w:t xml:space="preserve"> CER, ERU </w:t>
            </w:r>
            <w:proofErr w:type="spellStart"/>
            <w:r w:rsidRPr="00DB61E1">
              <w:rPr>
                <w:rFonts w:eastAsia="Arial Unicode MS"/>
                <w:color w:val="000000" w:themeColor="text1"/>
                <w:sz w:val="20"/>
                <w:szCs w:val="20"/>
                <w:shd w:val="clear" w:color="auto" w:fill="FFFFFF"/>
                <w:lang w:val="en-US"/>
              </w:rPr>
              <w:t>sau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credite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aprobate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provenind</w:t>
            </w:r>
            <w:proofErr w:type="spellEnd"/>
            <w:r w:rsidRPr="00DB61E1">
              <w:rPr>
                <w:rFonts w:eastAsia="Arial Unicode MS"/>
                <w:color w:val="000000" w:themeColor="text1"/>
                <w:sz w:val="20"/>
                <w:szCs w:val="20"/>
                <w:shd w:val="clear" w:color="auto" w:fill="FFFFFF"/>
                <w:lang w:val="en-US"/>
              </w:rPr>
              <w:t xml:space="preserve"> din </w:t>
            </w:r>
            <w:proofErr w:type="spellStart"/>
            <w:r w:rsidRPr="00DB61E1">
              <w:rPr>
                <w:rFonts w:eastAsia="Arial Unicode MS"/>
                <w:color w:val="000000" w:themeColor="text1"/>
                <w:sz w:val="20"/>
                <w:szCs w:val="20"/>
                <w:shd w:val="clear" w:color="auto" w:fill="FFFFFF"/>
                <w:lang w:val="en-US"/>
              </w:rPr>
              <w:t>țări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terțe</w:t>
            </w:r>
            <w:proofErr w:type="spellEnd"/>
            <w:r w:rsidRPr="00DB61E1">
              <w:rPr>
                <w:rFonts w:eastAsia="Arial Unicode MS"/>
                <w:color w:val="000000" w:themeColor="text1"/>
                <w:sz w:val="20"/>
                <w:szCs w:val="20"/>
                <w:shd w:val="clear" w:color="auto" w:fill="FFFFFF"/>
                <w:lang w:val="en-US"/>
              </w:rPr>
              <w:t xml:space="preserve"> care au </w:t>
            </w:r>
            <w:proofErr w:type="spellStart"/>
            <w:r w:rsidRPr="00DB61E1">
              <w:rPr>
                <w:rFonts w:eastAsia="Arial Unicode MS"/>
                <w:color w:val="000000" w:themeColor="text1"/>
                <w:sz w:val="20"/>
                <w:szCs w:val="20"/>
                <w:shd w:val="clear" w:color="auto" w:fill="FFFFFF"/>
                <w:lang w:val="en-US"/>
              </w:rPr>
              <w:t>ratificat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w:t>
            </w:r>
          </w:p>
          <w:p w14:paraId="52966E06" w14:textId="58714832" w:rsidR="00124364" w:rsidRPr="00DB61E1" w:rsidRDefault="00000000" w:rsidP="00DB61E1">
            <w:pPr>
              <w:pStyle w:val="ti-art"/>
              <w:numPr>
                <w:ilvl w:val="0"/>
                <w:numId w:val="1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Propunerea</w:t>
            </w:r>
            <w:proofErr w:type="spellEnd"/>
            <w:r w:rsidRPr="00DB61E1">
              <w:rPr>
                <w:rFonts w:eastAsia="Arial Unicode MS"/>
                <w:color w:val="000000" w:themeColor="text1"/>
                <w:sz w:val="20"/>
                <w:szCs w:val="20"/>
                <w:shd w:val="clear" w:color="auto" w:fill="FFFFFF"/>
                <w:lang w:val="en-US"/>
              </w:rPr>
              <w:t xml:space="preserve"> include, de </w:t>
            </w:r>
            <w:proofErr w:type="spellStart"/>
            <w:r w:rsidRPr="00DB61E1">
              <w:rPr>
                <w:rFonts w:eastAsia="Arial Unicode MS"/>
                <w:color w:val="000000" w:themeColor="text1"/>
                <w:sz w:val="20"/>
                <w:szCs w:val="20"/>
                <w:shd w:val="clear" w:color="auto" w:fill="FFFFFF"/>
                <w:lang w:val="en-US"/>
              </w:rPr>
              <w:t>asemenea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după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caz</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orice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măsuri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necesare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contribui</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realizarea</w:t>
            </w:r>
            <w:proofErr w:type="spellEnd"/>
            <w:r w:rsidRPr="00DB61E1">
              <w:rPr>
                <w:rFonts w:eastAsia="Arial Unicode MS"/>
                <w:color w:val="000000" w:themeColor="text1"/>
                <w:sz w:val="20"/>
                <w:szCs w:val="20"/>
                <w:shd w:val="clear" w:color="auto" w:fill="FFFFFF"/>
                <w:lang w:val="en-US"/>
              </w:rPr>
              <w:t xml:space="preserve">, în mod transparent, </w:t>
            </w:r>
            <w:proofErr w:type="spellStart"/>
            <w:r w:rsidRPr="00DB61E1">
              <w:rPr>
                <w:rFonts w:eastAsia="Arial Unicode MS"/>
                <w:color w:val="000000" w:themeColor="text1"/>
                <w:sz w:val="20"/>
                <w:szCs w:val="20"/>
                <w:shd w:val="clear" w:color="auto" w:fill="FFFFFF"/>
                <w:lang w:val="en-US"/>
              </w:rPr>
              <w:t>echilibrat</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echitabil</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reducerilor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obligatorii</w:t>
            </w:r>
            <w:proofErr w:type="spellEnd"/>
            <w:r w:rsidRPr="00DB61E1">
              <w:rPr>
                <w:rFonts w:eastAsia="Arial Unicode MS"/>
                <w:color w:val="000000" w:themeColor="text1"/>
                <w:sz w:val="20"/>
                <w:szCs w:val="20"/>
                <w:shd w:val="clear" w:color="auto" w:fill="FFFFFF"/>
                <w:lang w:val="en-US"/>
              </w:rPr>
              <w:t xml:space="preserve"> în conformitate cu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și, în special, </w:t>
            </w:r>
            <w:proofErr w:type="spellStart"/>
            <w:r w:rsidRPr="00DB61E1">
              <w:rPr>
                <w:rFonts w:eastAsia="Arial Unicode MS"/>
                <w:color w:val="000000" w:themeColor="text1"/>
                <w:sz w:val="20"/>
                <w:szCs w:val="20"/>
                <w:shd w:val="clear" w:color="auto" w:fill="FFFFFF"/>
                <w:lang w:val="en-US"/>
              </w:rPr>
              <w:t>măsuri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aplicare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permite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operatorilor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utilizeze</w:t>
            </w:r>
            <w:proofErr w:type="spellEnd"/>
            <w:r w:rsidRPr="00DB61E1">
              <w:rPr>
                <w:rFonts w:eastAsia="Arial Unicode MS"/>
                <w:color w:val="000000" w:themeColor="text1"/>
                <w:sz w:val="20"/>
                <w:szCs w:val="20"/>
                <w:shd w:val="clear" w:color="auto" w:fill="FFFFFF"/>
                <w:lang w:val="en-US"/>
              </w:rPr>
              <w:t xml:space="preserve"> în</w:t>
            </w:r>
            <w:r w:rsidR="00DB61E1" w:rsidRPr="00DB61E1">
              <w:rPr>
                <w:rStyle w:val="apple-converted-space"/>
                <w:rFonts w:eastAsia="Arial Unicode MS"/>
                <w:color w:val="000000" w:themeColor="text1"/>
                <w:sz w:val="20"/>
                <w:szCs w:val="20"/>
                <w:shd w:val="clear" w:color="auto" w:fill="FFFFFF"/>
                <w:lang w:val="en-US"/>
              </w:rPr>
              <w:t xml:space="preserve"> </w:t>
            </w:r>
            <w:hyperlink r:id="rId334" w:tooltip="32018L0410: REPLACED" w:history="1">
              <w:r w:rsidRPr="00DB61E1">
                <w:rPr>
                  <w:rStyle w:val="boldface"/>
                  <w:rFonts w:eastAsia="Arial Unicode MS"/>
                  <w:b/>
                  <w:bCs/>
                  <w:color w:val="000000" w:themeColor="text1"/>
                  <w:sz w:val="20"/>
                  <w:szCs w:val="20"/>
                  <w:lang w:val="en-US"/>
                </w:rPr>
                <w:t>►M9</w:t>
              </w:r>
            </w:hyperlink>
            <w:r w:rsidR="00DB61E1" w:rsidRPr="00DB61E1">
              <w:rPr>
                <w:rStyle w:val="apple-converted-space"/>
                <w:rFonts w:eastAsia="Arial Unicode MS"/>
                <w:color w:val="000000" w:themeColor="text1"/>
                <w:sz w:val="20"/>
                <w:szCs w:val="20"/>
                <w:lang w:val="en-US"/>
              </w:rPr>
              <w:t xml:space="preserve"> </w:t>
            </w:r>
            <w:r w:rsidRPr="00DB61E1">
              <w:rPr>
                <w:rFonts w:eastAsia="Arial Unicode MS"/>
                <w:color w:val="000000" w:themeColor="text1"/>
                <w:sz w:val="20"/>
                <w:szCs w:val="20"/>
                <w:shd w:val="clear" w:color="auto" w:fill="FFFFFF"/>
                <w:lang w:val="en-US"/>
              </w:rPr>
              <w:t>EU ETS</w:t>
            </w:r>
            <w:r w:rsidR="00DB61E1" w:rsidRPr="00DB61E1">
              <w:rPr>
                <w:rStyle w:val="boldface"/>
                <w:rFonts w:eastAsia="Arial Unicode MS"/>
                <w:b/>
                <w:bCs/>
                <w:color w:val="000000" w:themeColor="text1"/>
                <w:sz w:val="20"/>
                <w:szCs w:val="20"/>
                <w:lang w:val="en-US"/>
              </w:rPr>
              <w:t xml:space="preserve"> </w:t>
            </w:r>
            <w:r w:rsidRPr="00DB61E1">
              <w:rPr>
                <w:rStyle w:val="boldface"/>
                <w:rFonts w:eastAsia="Arial Unicode MS"/>
                <w:b/>
                <w:bCs/>
                <w:color w:val="000000" w:themeColor="text1"/>
                <w:sz w:val="20"/>
                <w:szCs w:val="20"/>
                <w:lang w:val="en-US"/>
              </w:rPr>
              <w:t>◄</w:t>
            </w:r>
            <w:r w:rsidR="00DB61E1" w:rsidRPr="00DB61E1">
              <w:rPr>
                <w:rStyle w:val="apple-converted-space"/>
                <w:rFonts w:eastAsia="Arial Unicode MS"/>
                <w:b/>
                <w:bCs/>
                <w:color w:val="000000" w:themeColor="text1"/>
                <w:sz w:val="20"/>
                <w:szCs w:val="20"/>
                <w:lang w:val="en-US"/>
              </w:rPr>
              <w:t xml:space="preserve"> </w:t>
            </w:r>
            <w:proofErr w:type="spellStart"/>
            <w:r w:rsidRPr="00DB61E1">
              <w:rPr>
                <w:rFonts w:eastAsia="Arial Unicode MS"/>
                <w:color w:val="000000" w:themeColor="text1"/>
                <w:sz w:val="20"/>
                <w:szCs w:val="20"/>
                <w:shd w:val="clear" w:color="auto" w:fill="FFFFFF"/>
                <w:lang w:val="en-US"/>
              </w:rPr>
              <w:t>tipuri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credite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proiect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suplimentare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față</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lastRenderedPageBreak/>
              <w:t>cele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articolul</w:t>
            </w:r>
            <w:proofErr w:type="spellEnd"/>
            <w:r w:rsidRPr="00DB61E1">
              <w:rPr>
                <w:rFonts w:eastAsia="Arial Unicode MS"/>
                <w:color w:val="000000" w:themeColor="text1"/>
                <w:sz w:val="20"/>
                <w:szCs w:val="20"/>
                <w:shd w:val="clear" w:color="auto" w:fill="FFFFFF"/>
                <w:lang w:val="en-US"/>
              </w:rPr>
              <w:t xml:space="preserve"> 11a </w:t>
            </w:r>
            <w:proofErr w:type="spellStart"/>
            <w:r w:rsidRPr="00DB61E1">
              <w:rPr>
                <w:rFonts w:eastAsia="Arial Unicode MS"/>
                <w:color w:val="000000" w:themeColor="text1"/>
                <w:sz w:val="20"/>
                <w:szCs w:val="20"/>
                <w:shd w:val="clear" w:color="auto" w:fill="FFFFFF"/>
                <w:lang w:val="en-US"/>
              </w:rPr>
              <w:t>alineatele</w:t>
            </w:r>
            <w:proofErr w:type="spellEnd"/>
            <w:r w:rsidRPr="00DB61E1">
              <w:rPr>
                <w:rFonts w:eastAsia="Arial Unicode MS"/>
                <w:color w:val="000000" w:themeColor="text1"/>
                <w:sz w:val="20"/>
                <w:szCs w:val="20"/>
                <w:shd w:val="clear" w:color="auto" w:fill="FFFFFF"/>
                <w:lang w:val="en-US"/>
              </w:rPr>
              <w:t xml:space="preserve"> (2)-(5) </w:t>
            </w:r>
            <w:proofErr w:type="spellStart"/>
            <w:r w:rsidRPr="00DB61E1">
              <w:rPr>
                <w:rFonts w:eastAsia="Arial Unicode MS"/>
                <w:color w:val="000000" w:themeColor="text1"/>
                <w:sz w:val="20"/>
                <w:szCs w:val="20"/>
                <w:shd w:val="clear" w:color="auto" w:fill="FFFFFF"/>
                <w:lang w:val="en-US"/>
              </w:rPr>
              <w:t>sau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utilizeze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mecanisme</w:t>
            </w:r>
            <w:proofErr w:type="spellEnd"/>
            <w:r w:rsidRPr="00DB61E1">
              <w:rPr>
                <w:rFonts w:eastAsia="Arial Unicode MS"/>
                <w:color w:val="000000" w:themeColor="text1"/>
                <w:sz w:val="20"/>
                <w:szCs w:val="20"/>
                <w:shd w:val="clear" w:color="auto" w:fill="FFFFFF"/>
                <w:lang w:val="en-US"/>
              </w:rPr>
              <w:t xml:space="preserve"> create în </w:t>
            </w:r>
            <w:proofErr w:type="spellStart"/>
            <w:r w:rsidRPr="00DB61E1">
              <w:rPr>
                <w:rFonts w:eastAsia="Arial Unicode MS"/>
                <w:color w:val="000000" w:themeColor="text1"/>
                <w:sz w:val="20"/>
                <w:szCs w:val="20"/>
                <w:shd w:val="clear" w:color="auto" w:fill="FFFFFF"/>
                <w:lang w:val="en-US"/>
              </w:rPr>
              <w:t>temeiul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w:t>
            </w:r>
            <w:proofErr w:type="spellStart"/>
            <w:r w:rsidRPr="00DB61E1">
              <w:rPr>
                <w:rFonts w:eastAsia="Arial Unicode MS"/>
                <w:color w:val="000000" w:themeColor="text1"/>
                <w:sz w:val="20"/>
                <w:szCs w:val="20"/>
                <w:shd w:val="clear" w:color="auto" w:fill="FFFFFF"/>
                <w:lang w:val="en-US"/>
              </w:rPr>
              <w:t>după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caz</w:t>
            </w:r>
            <w:proofErr w:type="spellEnd"/>
            <w:r w:rsidRPr="00DB61E1">
              <w:rPr>
                <w:rFonts w:eastAsia="Arial Unicode MS"/>
                <w:color w:val="000000" w:themeColor="text1"/>
                <w:sz w:val="20"/>
                <w:szCs w:val="20"/>
                <w:shd w:val="clear" w:color="auto" w:fill="FFFFFF"/>
                <w:lang w:val="en-US"/>
              </w:rPr>
              <w:t>.</w:t>
            </w:r>
          </w:p>
          <w:p w14:paraId="7007C527" w14:textId="77777777" w:rsidR="00124364" w:rsidRPr="00DB61E1" w:rsidRDefault="00000000" w:rsidP="00DB61E1">
            <w:pPr>
              <w:pStyle w:val="ti-art"/>
              <w:numPr>
                <w:ilvl w:val="0"/>
                <w:numId w:val="1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Până</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intrarea</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vigoare</w:t>
            </w:r>
            <w:proofErr w:type="spellEnd"/>
            <w:r w:rsidRPr="00DB61E1">
              <w:rPr>
                <w:rFonts w:eastAsia="Arial Unicode MS"/>
                <w:color w:val="000000" w:themeColor="text1"/>
                <w:sz w:val="20"/>
                <w:szCs w:val="20"/>
                <w:shd w:val="clear" w:color="auto" w:fill="FFFFFF"/>
                <w:lang w:val="en-US"/>
              </w:rPr>
              <w:t xml:space="preserve"> </w:t>
            </w:r>
            <w:proofErr w:type="gramStart"/>
            <w:r w:rsidRPr="00DB61E1">
              <w:rPr>
                <w:rFonts w:eastAsia="Arial Unicode MS"/>
                <w:color w:val="000000" w:themeColor="text1"/>
                <w:sz w:val="20"/>
                <w:szCs w:val="20"/>
                <w:shd w:val="clear" w:color="auto" w:fill="FFFFFF"/>
                <w:lang w:val="en-US"/>
              </w:rPr>
              <w:t>a</w:t>
            </w:r>
            <w:proofErr w:type="gram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acordului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internațional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schimbările</w:t>
            </w:r>
            <w:proofErr w:type="spellEnd"/>
            <w:r w:rsidRPr="00DB61E1">
              <w:rPr>
                <w:rFonts w:eastAsia="Arial Unicode MS"/>
                <w:color w:val="000000" w:themeColor="text1"/>
                <w:sz w:val="20"/>
                <w:szCs w:val="20"/>
                <w:shd w:val="clear" w:color="auto" w:fill="FFFFFF"/>
                <w:lang w:val="en-US"/>
              </w:rPr>
              <w:t xml:space="preserve"> climatice, </w:t>
            </w:r>
            <w:proofErr w:type="spellStart"/>
            <w:r w:rsidRPr="00DB61E1">
              <w:rPr>
                <w:rFonts w:eastAsia="Arial Unicode MS"/>
                <w:color w:val="000000" w:themeColor="text1"/>
                <w:sz w:val="20"/>
                <w:szCs w:val="20"/>
                <w:shd w:val="clear" w:color="auto" w:fill="FFFFFF"/>
                <w:lang w:val="en-US"/>
              </w:rPr>
              <w:t>propunerea</w:t>
            </w:r>
            <w:proofErr w:type="spellEnd"/>
            <w:r w:rsidRPr="00DB61E1">
              <w:rPr>
                <w:rFonts w:eastAsia="Arial Unicode MS"/>
                <w:color w:val="000000" w:themeColor="text1"/>
                <w:sz w:val="20"/>
                <w:szCs w:val="20"/>
                <w:shd w:val="clear" w:color="auto" w:fill="FFFFFF"/>
                <w:lang w:val="en-US"/>
              </w:rPr>
              <w:t xml:space="preserve"> include </w:t>
            </w:r>
            <w:proofErr w:type="spellStart"/>
            <w:r w:rsidRPr="00DB61E1">
              <w:rPr>
                <w:rFonts w:eastAsia="Arial Unicode MS"/>
                <w:color w:val="000000" w:themeColor="text1"/>
                <w:sz w:val="20"/>
                <w:szCs w:val="20"/>
                <w:shd w:val="clear" w:color="auto" w:fill="FFFFFF"/>
                <w:lang w:val="en-US"/>
              </w:rPr>
              <w:t>măsurile</w:t>
            </w:r>
            <w:proofErr w:type="spellEnd"/>
            <w:r w:rsidRPr="00DB61E1">
              <w:rPr>
                <w:rFonts w:eastAsia="Arial Unicode MS"/>
                <w:color w:val="000000" w:themeColor="text1"/>
                <w:sz w:val="20"/>
                <w:szCs w:val="20"/>
                <w:shd w:val="clear" w:color="auto" w:fill="FFFFFF"/>
                <w:lang w:val="en-US"/>
              </w:rPr>
              <w:t xml:space="preserve"> suspensive și </w:t>
            </w:r>
            <w:proofErr w:type="spellStart"/>
            <w:r w:rsidRPr="00DB61E1">
              <w:rPr>
                <w:rFonts w:eastAsia="Arial Unicode MS"/>
                <w:color w:val="000000" w:themeColor="text1"/>
                <w:sz w:val="20"/>
                <w:szCs w:val="20"/>
                <w:shd w:val="clear" w:color="auto" w:fill="FFFFFF"/>
                <w:lang w:val="en-US"/>
              </w:rPr>
              <w:t>tranzitorii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corespunzătoare</w:t>
            </w:r>
            <w:proofErr w:type="spellEnd"/>
            <w:r w:rsidRPr="00DB61E1">
              <w:rPr>
                <w:rFonts w:eastAsia="Arial Unicode MS"/>
                <w:color w:val="000000" w:themeColor="text1"/>
                <w:sz w:val="20"/>
                <w:szCs w:val="20"/>
                <w:shd w:val="clear" w:color="auto" w:fill="FFFFFF"/>
                <w:lang w:val="en-US"/>
              </w:rPr>
              <w:t>.</w:t>
            </w:r>
          </w:p>
          <w:p w14:paraId="7523555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35" w:tooltip="32023L0958: REPLACED" w:history="1">
              <w:r>
                <w:rPr>
                  <w:rStyle w:val="af3"/>
                  <w:rFonts w:eastAsia="Arial Unicode MS"/>
                  <w:b/>
                  <w:bCs/>
                  <w:color w:val="4472C4" w:themeColor="accent1"/>
                  <w:sz w:val="20"/>
                  <w:szCs w:val="20"/>
                </w:rPr>
                <w:t>▼M14</w:t>
              </w:r>
            </w:hyperlink>
          </w:p>
        </w:tc>
        <w:tc>
          <w:tcPr>
            <w:tcW w:w="4394" w:type="dxa"/>
            <w:shd w:val="clear" w:color="auto" w:fill="auto"/>
          </w:tcPr>
          <w:p w14:paraId="678EB5B6"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6E8BC31" w14:textId="5FBD8494" w:rsidR="00124364" w:rsidRPr="00DB61E1" w:rsidRDefault="00DB61E1" w:rsidP="00DB61E1">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498858A0"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EF599AA" w14:textId="77777777" w:rsidR="00DB61E1" w:rsidRPr="000643DF" w:rsidRDefault="00DB61E1" w:rsidP="00DB61E1">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0EBCCE24"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8E90BA3" w14:textId="77777777" w:rsidR="00124364" w:rsidRDefault="00124364" w:rsidP="00DB61E1">
            <w:pPr>
              <w:autoSpaceDE w:val="0"/>
              <w:spacing w:after="0" w:line="240" w:lineRule="auto"/>
              <w:rPr>
                <w:rFonts w:ascii="Times New Roman" w:hAnsi="Times New Roman"/>
                <w:sz w:val="20"/>
                <w:szCs w:val="20"/>
                <w:lang w:val="fr-FR"/>
              </w:rPr>
            </w:pPr>
          </w:p>
        </w:tc>
      </w:tr>
      <w:tr w:rsidR="00124364" w14:paraId="4360848D" w14:textId="77777777">
        <w:trPr>
          <w:trHeight w:val="558"/>
        </w:trPr>
        <w:tc>
          <w:tcPr>
            <w:tcW w:w="4957" w:type="dxa"/>
            <w:shd w:val="clear" w:color="auto" w:fill="auto"/>
          </w:tcPr>
          <w:p w14:paraId="011F9A0E" w14:textId="27B2196A"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00DB61E1">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28a</w:t>
            </w:r>
          </w:p>
          <w:p w14:paraId="3465C0F6"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Derogări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aplicabile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înainte</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punerea</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aplicare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obligatorie</w:t>
            </w:r>
            <w:proofErr w:type="spellEnd"/>
            <w:r>
              <w:rPr>
                <w:rFonts w:eastAsia="Arial Unicode MS"/>
                <w:b/>
                <w:bCs/>
                <w:color w:val="333333"/>
                <w:sz w:val="20"/>
                <w:szCs w:val="20"/>
                <w:shd w:val="clear" w:color="auto" w:fill="FFFFFF"/>
                <w:lang w:val="en-US"/>
              </w:rPr>
              <w:t xml:space="preserve"> a </w:t>
            </w:r>
            <w:proofErr w:type="spellStart"/>
            <w:r>
              <w:rPr>
                <w:rFonts w:eastAsia="Arial Unicode MS"/>
                <w:b/>
                <w:bCs/>
                <w:color w:val="333333"/>
                <w:sz w:val="20"/>
                <w:szCs w:val="20"/>
                <w:shd w:val="clear" w:color="auto" w:fill="FFFFFF"/>
                <w:lang w:val="en-US"/>
              </w:rPr>
              <w:t>măsurii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globale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bazate</w:t>
            </w:r>
            <w:proofErr w:type="spellEnd"/>
            <w:r>
              <w:rPr>
                <w:rFonts w:eastAsia="Arial Unicode MS"/>
                <w:b/>
                <w:bCs/>
                <w:color w:val="333333"/>
                <w:sz w:val="20"/>
                <w:szCs w:val="20"/>
                <w:shd w:val="clear" w:color="auto" w:fill="FFFFFF"/>
                <w:lang w:val="en-US"/>
              </w:rPr>
              <w:t xml:space="preserve"> pe </w:t>
            </w:r>
            <w:proofErr w:type="spellStart"/>
            <w:r>
              <w:rPr>
                <w:rFonts w:eastAsia="Arial Unicode MS"/>
                <w:b/>
                <w:bCs/>
                <w:color w:val="333333"/>
                <w:sz w:val="20"/>
                <w:szCs w:val="20"/>
                <w:shd w:val="clear" w:color="auto" w:fill="FFFFFF"/>
                <w:lang w:val="en-US"/>
              </w:rPr>
              <w:t>piață</w:t>
            </w:r>
            <w:proofErr w:type="spellEnd"/>
            <w:r>
              <w:rPr>
                <w:rFonts w:eastAsia="Arial Unicode MS"/>
                <w:b/>
                <w:bCs/>
                <w:color w:val="333333"/>
                <w:sz w:val="20"/>
                <w:szCs w:val="20"/>
                <w:shd w:val="clear" w:color="auto" w:fill="FFFFFF"/>
                <w:lang w:val="en-US"/>
              </w:rPr>
              <w:t xml:space="preserve"> </w:t>
            </w:r>
            <w:proofErr w:type="gramStart"/>
            <w:r>
              <w:rPr>
                <w:rFonts w:eastAsia="Arial Unicode MS"/>
                <w:b/>
                <w:bCs/>
                <w:color w:val="333333"/>
                <w:sz w:val="20"/>
                <w:szCs w:val="20"/>
                <w:shd w:val="clear" w:color="auto" w:fill="FFFFFF"/>
                <w:lang w:val="en-US"/>
              </w:rPr>
              <w:t>a</w:t>
            </w:r>
            <w:proofErr w:type="gramEnd"/>
            <w:r>
              <w:rPr>
                <w:rFonts w:eastAsia="Arial Unicode MS"/>
                <w:b/>
                <w:bCs/>
                <w:color w:val="333333"/>
                <w:sz w:val="20"/>
                <w:szCs w:val="20"/>
                <w:shd w:val="clear" w:color="auto" w:fill="FFFFFF"/>
                <w:lang w:val="en-US"/>
              </w:rPr>
              <w:t xml:space="preserve"> OACI</w:t>
            </w:r>
          </w:p>
          <w:p w14:paraId="3EA867D9" w14:textId="66FF955B" w:rsidR="00124364" w:rsidRPr="00DB61E1" w:rsidRDefault="00000000" w:rsidP="00DB61E1">
            <w:pPr>
              <w:pStyle w:val="ti-art"/>
              <w:numPr>
                <w:ilvl w:val="0"/>
                <w:numId w:val="11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derogare</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12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(3), de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14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(3) și de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16, </w:t>
            </w:r>
            <w:proofErr w:type="spellStart"/>
            <w:r w:rsidRPr="00DB61E1">
              <w:rPr>
                <w:rFonts w:eastAsia="Arial Unicode MS"/>
                <w:color w:val="000000" w:themeColor="text1"/>
                <w:sz w:val="20"/>
                <w:szCs w:val="20"/>
                <w:shd w:val="clear" w:color="auto" w:fill="FFFFFF"/>
                <w:lang w:val="en-US"/>
              </w:rPr>
              <w:t>statele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membre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consideră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cerințele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stabilite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dispozițiile</w:t>
            </w:r>
            <w:proofErr w:type="spellEnd"/>
            <w:r w:rsidRPr="00DB61E1">
              <w:rPr>
                <w:rFonts w:eastAsia="Arial Unicode MS"/>
                <w:color w:val="000000" w:themeColor="text1"/>
                <w:sz w:val="20"/>
                <w:szCs w:val="20"/>
                <w:shd w:val="clear" w:color="auto" w:fill="FFFFFF"/>
                <w:lang w:val="en-US"/>
              </w:rPr>
              <w:t xml:space="preserve"> respective sunt </w:t>
            </w:r>
            <w:proofErr w:type="spellStart"/>
            <w:r w:rsidRPr="00DB61E1">
              <w:rPr>
                <w:rFonts w:eastAsia="Arial Unicode MS"/>
                <w:color w:val="000000" w:themeColor="text1"/>
                <w:sz w:val="20"/>
                <w:szCs w:val="20"/>
                <w:shd w:val="clear" w:color="auto" w:fill="FFFFFF"/>
                <w:lang w:val="en-US"/>
              </w:rPr>
              <w:t>îndeplinite</w:t>
            </w:r>
            <w:proofErr w:type="spellEnd"/>
            <w:r w:rsidRPr="00DB61E1">
              <w:rPr>
                <w:rFonts w:eastAsia="Arial Unicode MS"/>
                <w:color w:val="000000" w:themeColor="text1"/>
                <w:sz w:val="20"/>
                <w:szCs w:val="20"/>
                <w:shd w:val="clear" w:color="auto" w:fill="FFFFFF"/>
                <w:lang w:val="en-US"/>
              </w:rPr>
              <w:t xml:space="preserve"> și nu </w:t>
            </w:r>
            <w:proofErr w:type="spellStart"/>
            <w:r w:rsidRPr="00DB61E1">
              <w:rPr>
                <w:rFonts w:eastAsia="Arial Unicode MS"/>
                <w:color w:val="000000" w:themeColor="text1"/>
                <w:sz w:val="20"/>
                <w:szCs w:val="20"/>
                <w:shd w:val="clear" w:color="auto" w:fill="FFFFFF"/>
                <w:lang w:val="en-US"/>
              </w:rPr>
              <w:t>iau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măsuri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împotriva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operatorilor</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ceea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privește</w:t>
            </w:r>
            <w:proofErr w:type="spellEnd"/>
            <w:r w:rsidRPr="00DB61E1">
              <w:rPr>
                <w:rFonts w:eastAsia="Arial Unicode MS"/>
                <w:color w:val="000000" w:themeColor="text1"/>
                <w:sz w:val="20"/>
                <w:szCs w:val="20"/>
                <w:shd w:val="clear" w:color="auto" w:fill="FFFFFF"/>
                <w:lang w:val="en-US"/>
              </w:rPr>
              <w:t>:</w:t>
            </w:r>
          </w:p>
          <w:p w14:paraId="5DA4C3F0" w14:textId="0981448F" w:rsidR="00124364" w:rsidRPr="00DB61E1" w:rsidRDefault="00000000" w:rsidP="00DB61E1">
            <w:pPr>
              <w:pStyle w:val="ti-art"/>
              <w:numPr>
                <w:ilvl w:val="0"/>
                <w:numId w:val="12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toate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generate de </w:t>
            </w:r>
            <w:proofErr w:type="spellStart"/>
            <w:r w:rsidRPr="00DB61E1">
              <w:rPr>
                <w:rFonts w:eastAsia="Arial Unicode MS"/>
                <w:color w:val="000000" w:themeColor="text1"/>
                <w:sz w:val="20"/>
                <w:szCs w:val="20"/>
                <w:shd w:val="clear" w:color="auto" w:fill="FFFFFF"/>
                <w:lang w:val="en-US"/>
              </w:rPr>
              <w:t>zborurile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înspre</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dinspre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aerodromurile</w:t>
            </w:r>
            <w:proofErr w:type="spellEnd"/>
            <w:r w:rsidRPr="00DB61E1">
              <w:rPr>
                <w:rFonts w:eastAsia="Arial Unicode MS"/>
                <w:color w:val="000000" w:themeColor="text1"/>
                <w:sz w:val="20"/>
                <w:szCs w:val="20"/>
                <w:shd w:val="clear" w:color="auto" w:fill="FFFFFF"/>
                <w:lang w:val="en-US"/>
              </w:rPr>
              <w:t xml:space="preserve"> situate în </w:t>
            </w:r>
            <w:proofErr w:type="spellStart"/>
            <w:r w:rsidRPr="00DB61E1">
              <w:rPr>
                <w:rFonts w:eastAsia="Arial Unicode MS"/>
                <w:color w:val="000000" w:themeColor="text1"/>
                <w:sz w:val="20"/>
                <w:szCs w:val="20"/>
                <w:shd w:val="clear" w:color="auto" w:fill="FFFFFF"/>
                <w:lang w:val="en-US"/>
              </w:rPr>
              <w:t>statele</w:t>
            </w:r>
            <w:proofErr w:type="spellEnd"/>
            <w:r w:rsidRPr="00DB61E1">
              <w:rPr>
                <w:rFonts w:eastAsia="Arial Unicode MS"/>
                <w:color w:val="000000" w:themeColor="text1"/>
                <w:sz w:val="20"/>
                <w:szCs w:val="20"/>
                <w:shd w:val="clear" w:color="auto" w:fill="FFFFFF"/>
                <w:lang w:val="en-US"/>
              </w:rPr>
              <w:t xml:space="preserve"> din afara SEE, cu </w:t>
            </w:r>
            <w:proofErr w:type="spellStart"/>
            <w:r w:rsidRPr="00DB61E1">
              <w:rPr>
                <w:rFonts w:eastAsia="Arial Unicode MS"/>
                <w:color w:val="000000" w:themeColor="text1"/>
                <w:sz w:val="20"/>
                <w:szCs w:val="20"/>
                <w:shd w:val="clear" w:color="auto" w:fill="FFFFFF"/>
                <w:lang w:val="en-US"/>
              </w:rPr>
              <w:t>excepția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zborurilor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înspre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aerodromurile</w:t>
            </w:r>
            <w:proofErr w:type="spellEnd"/>
            <w:r w:rsidRPr="00DB61E1">
              <w:rPr>
                <w:rFonts w:eastAsia="Arial Unicode MS"/>
                <w:color w:val="000000" w:themeColor="text1"/>
                <w:sz w:val="20"/>
                <w:szCs w:val="20"/>
                <w:shd w:val="clear" w:color="auto" w:fill="FFFFFF"/>
                <w:lang w:val="en-US"/>
              </w:rPr>
              <w:t xml:space="preserve"> situate în </w:t>
            </w:r>
            <w:proofErr w:type="spellStart"/>
            <w:r w:rsidRPr="00DB61E1">
              <w:rPr>
                <w:rFonts w:eastAsia="Arial Unicode MS"/>
                <w:color w:val="000000" w:themeColor="text1"/>
                <w:sz w:val="20"/>
                <w:szCs w:val="20"/>
                <w:shd w:val="clear" w:color="auto" w:fill="FFFFFF"/>
                <w:lang w:val="en-US"/>
              </w:rPr>
              <w:t>Regatul</w:t>
            </w:r>
            <w:proofErr w:type="spellEnd"/>
            <w:r w:rsidRPr="00DB61E1">
              <w:rPr>
                <w:rFonts w:eastAsia="Arial Unicode MS"/>
                <w:color w:val="000000" w:themeColor="text1"/>
                <w:sz w:val="20"/>
                <w:szCs w:val="20"/>
                <w:shd w:val="clear" w:color="auto" w:fill="FFFFFF"/>
                <w:lang w:val="en-US"/>
              </w:rPr>
              <w:t xml:space="preserve"> Unit </w:t>
            </w:r>
            <w:proofErr w:type="spellStart"/>
            <w:r w:rsidRPr="00DB61E1">
              <w:rPr>
                <w:rFonts w:eastAsia="Arial Unicode MS"/>
                <w:color w:val="000000" w:themeColor="text1"/>
                <w:sz w:val="20"/>
                <w:szCs w:val="20"/>
                <w:shd w:val="clear" w:color="auto" w:fill="FFFFFF"/>
                <w:lang w:val="en-US"/>
              </w:rPr>
              <w:t>sau</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Elveția</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fiecare</w:t>
            </w:r>
            <w:proofErr w:type="spellEnd"/>
            <w:r w:rsidRPr="00DB61E1">
              <w:rPr>
                <w:rFonts w:eastAsia="Arial Unicode MS"/>
                <w:color w:val="000000" w:themeColor="text1"/>
                <w:sz w:val="20"/>
                <w:szCs w:val="20"/>
                <w:shd w:val="clear" w:color="auto" w:fill="FFFFFF"/>
                <w:lang w:val="en-US"/>
              </w:rPr>
              <w:t xml:space="preserve"> an </w:t>
            </w:r>
            <w:proofErr w:type="spellStart"/>
            <w:r w:rsidRPr="00DB61E1">
              <w:rPr>
                <w:rFonts w:eastAsia="Arial Unicode MS"/>
                <w:color w:val="000000" w:themeColor="text1"/>
                <w:sz w:val="20"/>
                <w:szCs w:val="20"/>
                <w:shd w:val="clear" w:color="auto" w:fill="FFFFFF"/>
                <w:lang w:val="en-US"/>
              </w:rPr>
              <w:t>calendaristic</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începând</w:t>
            </w:r>
            <w:proofErr w:type="spellEnd"/>
            <w:r w:rsidRPr="00DB61E1">
              <w:rPr>
                <w:rFonts w:eastAsia="Arial Unicode MS"/>
                <w:color w:val="000000" w:themeColor="text1"/>
                <w:sz w:val="20"/>
                <w:szCs w:val="20"/>
                <w:shd w:val="clear" w:color="auto" w:fill="FFFFFF"/>
                <w:lang w:val="en-US"/>
              </w:rPr>
              <w:t xml:space="preserve"> din 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ianuarie</w:t>
            </w:r>
            <w:proofErr w:type="spellEnd"/>
            <w:r w:rsidRPr="00DB61E1">
              <w:rPr>
                <w:rFonts w:eastAsia="Arial Unicode MS"/>
                <w:color w:val="000000" w:themeColor="text1"/>
                <w:sz w:val="20"/>
                <w:szCs w:val="20"/>
                <w:shd w:val="clear" w:color="auto" w:fill="FFFFFF"/>
                <w:lang w:val="en-US"/>
              </w:rPr>
              <w:t xml:space="preserve"> 2021 și </w:t>
            </w:r>
            <w:proofErr w:type="spellStart"/>
            <w:r w:rsidRPr="00DB61E1">
              <w:rPr>
                <w:rFonts w:eastAsia="Arial Unicode MS"/>
                <w:color w:val="000000" w:themeColor="text1"/>
                <w:sz w:val="20"/>
                <w:szCs w:val="20"/>
                <w:shd w:val="clear" w:color="auto" w:fill="FFFFFF"/>
                <w:lang w:val="en-US"/>
              </w:rPr>
              <w:t>până</w:t>
            </w:r>
            <w:proofErr w:type="spellEnd"/>
            <w:r w:rsidRPr="00DB61E1">
              <w:rPr>
                <w:rFonts w:eastAsia="Arial Unicode MS"/>
                <w:color w:val="000000" w:themeColor="text1"/>
                <w:sz w:val="20"/>
                <w:szCs w:val="20"/>
                <w:shd w:val="clear" w:color="auto" w:fill="FFFFFF"/>
                <w:lang w:val="en-US"/>
              </w:rPr>
              <w:t xml:space="preserve"> la 31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decembrie</w:t>
            </w:r>
            <w:proofErr w:type="spellEnd"/>
            <w:r w:rsidRPr="00DB61E1">
              <w:rPr>
                <w:rFonts w:eastAsia="Arial Unicode MS"/>
                <w:color w:val="000000" w:themeColor="text1"/>
                <w:sz w:val="20"/>
                <w:szCs w:val="20"/>
                <w:shd w:val="clear" w:color="auto" w:fill="FFFFFF"/>
                <w:lang w:val="en-US"/>
              </w:rPr>
              <w:t xml:space="preserve"> 2026, sub </w:t>
            </w:r>
            <w:proofErr w:type="spellStart"/>
            <w:r w:rsidRPr="00DB61E1">
              <w:rPr>
                <w:rFonts w:eastAsia="Arial Unicode MS"/>
                <w:color w:val="000000" w:themeColor="text1"/>
                <w:sz w:val="20"/>
                <w:szCs w:val="20"/>
                <w:shd w:val="clear" w:color="auto" w:fill="FFFFFF"/>
                <w:lang w:val="en-US"/>
              </w:rPr>
              <w:t>rezerva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revizuirii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28b;</w:t>
            </w:r>
          </w:p>
          <w:p w14:paraId="14FDB717" w14:textId="785CA705" w:rsidR="00124364" w:rsidRPr="00DB61E1" w:rsidRDefault="00000000" w:rsidP="00DB61E1">
            <w:pPr>
              <w:pStyle w:val="ti-art"/>
              <w:numPr>
                <w:ilvl w:val="0"/>
                <w:numId w:val="12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toate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generate de </w:t>
            </w:r>
            <w:proofErr w:type="spellStart"/>
            <w:r w:rsidRPr="00DB61E1">
              <w:rPr>
                <w:rFonts w:eastAsia="Arial Unicode MS"/>
                <w:color w:val="000000" w:themeColor="text1"/>
                <w:sz w:val="20"/>
                <w:szCs w:val="20"/>
                <w:shd w:val="clear" w:color="auto" w:fill="FFFFFF"/>
                <w:lang w:val="en-US"/>
              </w:rPr>
              <w:t>zborurile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între</w:t>
            </w:r>
            <w:proofErr w:type="spellEnd"/>
            <w:r w:rsidRPr="00DB61E1">
              <w:rPr>
                <w:rFonts w:eastAsia="Arial Unicode MS"/>
                <w:color w:val="000000" w:themeColor="text1"/>
                <w:sz w:val="20"/>
                <w:szCs w:val="20"/>
                <w:shd w:val="clear" w:color="auto" w:fill="FFFFFF"/>
                <w:lang w:val="en-US"/>
              </w:rPr>
              <w:t xml:space="preserve"> un </w:t>
            </w:r>
            <w:proofErr w:type="spellStart"/>
            <w:r w:rsidRPr="00DB61E1">
              <w:rPr>
                <w:rFonts w:eastAsia="Arial Unicode MS"/>
                <w:color w:val="000000" w:themeColor="text1"/>
                <w:sz w:val="20"/>
                <w:szCs w:val="20"/>
                <w:shd w:val="clear" w:color="auto" w:fill="FFFFFF"/>
                <w:lang w:val="en-US"/>
              </w:rPr>
              <w:t>aerodrom</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situat</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una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dintre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regiunile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ultraperiferice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sensul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articolului</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349 din TFUE și un </w:t>
            </w:r>
            <w:proofErr w:type="spellStart"/>
            <w:r w:rsidRPr="00DB61E1">
              <w:rPr>
                <w:rFonts w:eastAsia="Arial Unicode MS"/>
                <w:color w:val="000000" w:themeColor="text1"/>
                <w:sz w:val="20"/>
                <w:szCs w:val="20"/>
                <w:shd w:val="clear" w:color="auto" w:fill="FFFFFF"/>
                <w:lang w:val="en-US"/>
              </w:rPr>
              <w:t>aerodrom</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situat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într</w:t>
            </w:r>
            <w:proofErr w:type="spellEnd"/>
            <w:r w:rsidRPr="00DB61E1">
              <w:rPr>
                <w:rFonts w:eastAsia="Arial Unicode MS"/>
                <w:color w:val="000000" w:themeColor="text1"/>
                <w:sz w:val="20"/>
                <w:szCs w:val="20"/>
                <w:shd w:val="clear" w:color="auto" w:fill="FFFFFF"/>
                <w:lang w:val="en-US"/>
              </w:rPr>
              <w:t xml:space="preserve">-o </w:t>
            </w:r>
            <w:proofErr w:type="spellStart"/>
            <w:r w:rsidRPr="00DB61E1">
              <w:rPr>
                <w:rFonts w:eastAsia="Arial Unicode MS"/>
                <w:color w:val="000000" w:themeColor="text1"/>
                <w:sz w:val="20"/>
                <w:szCs w:val="20"/>
                <w:shd w:val="clear" w:color="auto" w:fill="FFFFFF"/>
                <w:lang w:val="en-US"/>
              </w:rPr>
              <w:t>altă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regiune</w:t>
            </w:r>
            <w:proofErr w:type="spellEnd"/>
            <w:r w:rsidRPr="00DB61E1">
              <w:rPr>
                <w:rFonts w:eastAsia="Arial Unicode MS"/>
                <w:color w:val="000000" w:themeColor="text1"/>
                <w:sz w:val="20"/>
                <w:szCs w:val="20"/>
                <w:shd w:val="clear" w:color="auto" w:fill="FFFFFF"/>
                <w:lang w:val="en-US"/>
              </w:rPr>
              <w:t xml:space="preserve"> a SEE, în </w:t>
            </w:r>
            <w:proofErr w:type="spellStart"/>
            <w:r w:rsidRPr="00DB61E1">
              <w:rPr>
                <w:rFonts w:eastAsia="Arial Unicode MS"/>
                <w:color w:val="000000" w:themeColor="text1"/>
                <w:sz w:val="20"/>
                <w:szCs w:val="20"/>
                <w:shd w:val="clear" w:color="auto" w:fill="FFFFFF"/>
                <w:lang w:val="en-US"/>
              </w:rPr>
              <w:t>fiecare</w:t>
            </w:r>
            <w:proofErr w:type="spellEnd"/>
            <w:r w:rsidRPr="00DB61E1">
              <w:rPr>
                <w:rFonts w:eastAsia="Arial Unicode MS"/>
                <w:color w:val="000000" w:themeColor="text1"/>
                <w:sz w:val="20"/>
                <w:szCs w:val="20"/>
                <w:shd w:val="clear" w:color="auto" w:fill="FFFFFF"/>
                <w:lang w:val="en-US"/>
              </w:rPr>
              <w:t xml:space="preserve"> an </w:t>
            </w:r>
            <w:proofErr w:type="spellStart"/>
            <w:r w:rsidRPr="00DB61E1">
              <w:rPr>
                <w:rFonts w:eastAsia="Arial Unicode MS"/>
                <w:color w:val="000000" w:themeColor="text1"/>
                <w:sz w:val="20"/>
                <w:szCs w:val="20"/>
                <w:shd w:val="clear" w:color="auto" w:fill="FFFFFF"/>
                <w:lang w:val="en-US"/>
              </w:rPr>
              <w:t>calendaristic</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începând</w:t>
            </w:r>
            <w:proofErr w:type="spellEnd"/>
            <w:r w:rsidRPr="00DB61E1">
              <w:rPr>
                <w:rFonts w:eastAsia="Arial Unicode MS"/>
                <w:color w:val="000000" w:themeColor="text1"/>
                <w:sz w:val="20"/>
                <w:szCs w:val="20"/>
                <w:shd w:val="clear" w:color="auto" w:fill="FFFFFF"/>
                <w:lang w:val="en-US"/>
              </w:rPr>
              <w:t xml:space="preserve"> din 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ianuarie</w:t>
            </w:r>
            <w:proofErr w:type="spellEnd"/>
            <w:r w:rsidRPr="00DB61E1">
              <w:rPr>
                <w:rFonts w:eastAsia="Arial Unicode MS"/>
                <w:color w:val="000000" w:themeColor="text1"/>
                <w:sz w:val="20"/>
                <w:szCs w:val="20"/>
                <w:shd w:val="clear" w:color="auto" w:fill="FFFFFF"/>
                <w:lang w:val="en-US"/>
              </w:rPr>
              <w:t xml:space="preserve"> 2013 și </w:t>
            </w:r>
            <w:proofErr w:type="spellStart"/>
            <w:r w:rsidRPr="00DB61E1">
              <w:rPr>
                <w:rFonts w:eastAsia="Arial Unicode MS"/>
                <w:color w:val="000000" w:themeColor="text1"/>
                <w:sz w:val="20"/>
                <w:szCs w:val="20"/>
                <w:shd w:val="clear" w:color="auto" w:fill="FFFFFF"/>
                <w:lang w:val="en-US"/>
              </w:rPr>
              <w:t>până</w:t>
            </w:r>
            <w:proofErr w:type="spellEnd"/>
            <w:r w:rsidRPr="00DB61E1">
              <w:rPr>
                <w:rFonts w:eastAsia="Arial Unicode MS"/>
                <w:color w:val="000000" w:themeColor="text1"/>
                <w:sz w:val="20"/>
                <w:szCs w:val="20"/>
                <w:shd w:val="clear" w:color="auto" w:fill="FFFFFF"/>
                <w:lang w:val="en-US"/>
              </w:rPr>
              <w:t xml:space="preserve"> la 31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decembrie</w:t>
            </w:r>
            <w:proofErr w:type="spellEnd"/>
            <w:r w:rsidRPr="00DB61E1">
              <w:rPr>
                <w:rFonts w:eastAsia="Arial Unicode MS"/>
                <w:color w:val="000000" w:themeColor="text1"/>
                <w:sz w:val="20"/>
                <w:szCs w:val="20"/>
                <w:shd w:val="clear" w:color="auto" w:fill="FFFFFF"/>
                <w:lang w:val="en-US"/>
              </w:rPr>
              <w:t xml:space="preserve"> 2023, sub </w:t>
            </w:r>
            <w:proofErr w:type="spellStart"/>
            <w:r w:rsidRPr="00DB61E1">
              <w:rPr>
                <w:rFonts w:eastAsia="Arial Unicode MS"/>
                <w:color w:val="000000" w:themeColor="text1"/>
                <w:sz w:val="20"/>
                <w:szCs w:val="20"/>
                <w:shd w:val="clear" w:color="auto" w:fill="FFFFFF"/>
                <w:lang w:val="en-US"/>
              </w:rPr>
              <w:t>rezerva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revizuirii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28b.</w:t>
            </w:r>
          </w:p>
          <w:p w14:paraId="6465AC38" w14:textId="7B48A88B" w:rsidR="00124364" w:rsidRPr="00DB61E1" w:rsidRDefault="00000000" w:rsidP="00DB61E1">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B61E1">
              <w:rPr>
                <w:rFonts w:eastAsia="Arial Unicode MS"/>
                <w:color w:val="000000" w:themeColor="text1"/>
                <w:sz w:val="20"/>
                <w:szCs w:val="20"/>
                <w:shd w:val="clear" w:color="auto" w:fill="FFFFFF"/>
                <w:lang w:val="en-US"/>
              </w:rPr>
              <w:t xml:space="preserve">În </w:t>
            </w:r>
            <w:proofErr w:type="spellStart"/>
            <w:r w:rsidRPr="00DB61E1">
              <w:rPr>
                <w:rFonts w:eastAsia="Arial Unicode MS"/>
                <w:color w:val="000000" w:themeColor="text1"/>
                <w:sz w:val="20"/>
                <w:szCs w:val="20"/>
                <w:shd w:val="clear" w:color="auto" w:fill="FFFFFF"/>
                <w:lang w:val="en-US"/>
              </w:rPr>
              <w:t>sensul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articolelor</w:t>
            </w:r>
            <w:proofErr w:type="spellEnd"/>
            <w:r w:rsidRPr="00DB61E1">
              <w:rPr>
                <w:rFonts w:eastAsia="Arial Unicode MS"/>
                <w:color w:val="000000" w:themeColor="text1"/>
                <w:sz w:val="20"/>
                <w:szCs w:val="20"/>
                <w:shd w:val="clear" w:color="auto" w:fill="FFFFFF"/>
                <w:lang w:val="en-US"/>
              </w:rPr>
              <w:t xml:space="preserve"> 11a, 12 și</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14,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verificate</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zboruri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primul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paragraf</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prezentul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alineat</w:t>
            </w:r>
            <w:proofErr w:type="spellEnd"/>
            <w:r w:rsidRPr="00DB61E1">
              <w:rPr>
                <w:rFonts w:eastAsia="Arial Unicode MS"/>
                <w:color w:val="000000" w:themeColor="text1"/>
                <w:sz w:val="20"/>
                <w:szCs w:val="20"/>
                <w:shd w:val="clear" w:color="auto" w:fill="FFFFFF"/>
                <w:lang w:val="en-US"/>
              </w:rPr>
              <w:t xml:space="preserve"> sunt considerate a fi </w:t>
            </w:r>
            <w:proofErr w:type="spellStart"/>
            <w:r w:rsidRPr="00DB61E1">
              <w:rPr>
                <w:rFonts w:eastAsia="Arial Unicode MS"/>
                <w:color w:val="000000" w:themeColor="text1"/>
                <w:sz w:val="20"/>
                <w:szCs w:val="20"/>
                <w:shd w:val="clear" w:color="auto" w:fill="FFFFFF"/>
                <w:lang w:val="en-US"/>
              </w:rPr>
              <w:t>emisii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verificate</w:t>
            </w:r>
            <w:proofErr w:type="spellEnd"/>
            <w:r w:rsidRPr="00DB61E1">
              <w:rPr>
                <w:rFonts w:eastAsia="Arial Unicode MS"/>
                <w:color w:val="000000" w:themeColor="text1"/>
                <w:sz w:val="20"/>
                <w:szCs w:val="20"/>
                <w:shd w:val="clear" w:color="auto" w:fill="FFFFFF"/>
                <w:lang w:val="en-US"/>
              </w:rPr>
              <w:t xml:space="preserve"> ale </w:t>
            </w:r>
            <w:proofErr w:type="spellStart"/>
            <w:r w:rsidRPr="00DB61E1">
              <w:rPr>
                <w:rFonts w:eastAsia="Arial Unicode MS"/>
                <w:color w:val="000000" w:themeColor="text1"/>
                <w:sz w:val="20"/>
                <w:szCs w:val="20"/>
                <w:shd w:val="clear" w:color="auto" w:fill="FFFFFF"/>
                <w:lang w:val="en-US"/>
              </w:rPr>
              <w:t>operatorului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w:t>
            </w:r>
          </w:p>
          <w:p w14:paraId="2B8CC965" w14:textId="36E02134" w:rsidR="00124364" w:rsidRPr="00DB61E1" w:rsidRDefault="00000000" w:rsidP="00DB61E1">
            <w:pPr>
              <w:pStyle w:val="ti-art"/>
              <w:numPr>
                <w:ilvl w:val="0"/>
                <w:numId w:val="11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derogare</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3d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(3), </w:t>
            </w:r>
            <w:proofErr w:type="spellStart"/>
            <w:r w:rsidRPr="00DB61E1">
              <w:rPr>
                <w:rFonts w:eastAsia="Arial Unicode MS"/>
                <w:color w:val="000000" w:themeColor="text1"/>
                <w:sz w:val="20"/>
                <w:szCs w:val="20"/>
                <w:shd w:val="clear" w:color="auto" w:fill="FFFFFF"/>
                <w:lang w:val="en-US"/>
              </w:rPr>
              <w:t>cantitatea</w:t>
            </w:r>
            <w:proofErr w:type="spellEnd"/>
            <w:r w:rsidRPr="00DB61E1">
              <w:rPr>
                <w:rFonts w:eastAsia="Arial Unicode MS"/>
                <w:color w:val="000000" w:themeColor="text1"/>
                <w:sz w:val="20"/>
                <w:szCs w:val="20"/>
                <w:shd w:val="clear" w:color="auto" w:fill="FFFFFF"/>
                <w:lang w:val="en-US"/>
              </w:rPr>
              <w:t xml:space="preserve"> de certificate care </w:t>
            </w:r>
            <w:proofErr w:type="spellStart"/>
            <w:r w:rsidRPr="00DB61E1">
              <w:rPr>
                <w:rFonts w:eastAsia="Arial Unicode MS"/>
                <w:color w:val="000000" w:themeColor="text1"/>
                <w:sz w:val="20"/>
                <w:szCs w:val="20"/>
                <w:shd w:val="clear" w:color="auto" w:fill="FFFFFF"/>
                <w:lang w:val="en-US"/>
              </w:rPr>
              <w:t>urmează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fie </w:t>
            </w:r>
            <w:proofErr w:type="spellStart"/>
            <w:r w:rsidRPr="00DB61E1">
              <w:rPr>
                <w:rFonts w:eastAsia="Arial Unicode MS"/>
                <w:color w:val="000000" w:themeColor="text1"/>
                <w:sz w:val="20"/>
                <w:szCs w:val="20"/>
                <w:shd w:val="clear" w:color="auto" w:fill="FFFFFF"/>
                <w:lang w:val="en-US"/>
              </w:rPr>
              <w:t>scoase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licitație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fiecare</w:t>
            </w:r>
            <w:proofErr w:type="spellEnd"/>
            <w:r w:rsidRPr="00DB61E1">
              <w:rPr>
                <w:rFonts w:eastAsia="Arial Unicode MS"/>
                <w:color w:val="000000" w:themeColor="text1"/>
                <w:sz w:val="20"/>
                <w:szCs w:val="20"/>
                <w:shd w:val="clear" w:color="auto" w:fill="FFFFFF"/>
                <w:lang w:val="en-US"/>
              </w:rPr>
              <w:t xml:space="preserve"> stat </w:t>
            </w:r>
            <w:proofErr w:type="spellStart"/>
            <w:r w:rsidRPr="00DB61E1">
              <w:rPr>
                <w:rFonts w:eastAsia="Arial Unicode MS"/>
                <w:color w:val="000000" w:themeColor="text1"/>
                <w:sz w:val="20"/>
                <w:szCs w:val="20"/>
                <w:shd w:val="clear" w:color="auto" w:fill="FFFFFF"/>
                <w:lang w:val="en-US"/>
              </w:rPr>
              <w:t>membru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perioada </w:t>
            </w:r>
            <w:proofErr w:type="spellStart"/>
            <w:r w:rsidRPr="00DB61E1">
              <w:rPr>
                <w:rFonts w:eastAsia="Arial Unicode MS"/>
                <w:color w:val="000000" w:themeColor="text1"/>
                <w:sz w:val="20"/>
                <w:szCs w:val="20"/>
                <w:shd w:val="clear" w:color="auto" w:fill="FFFFFF"/>
                <w:lang w:val="en-US"/>
              </w:rPr>
              <w:t>cuprinsă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între</w:t>
            </w:r>
            <w:proofErr w:type="spellEnd"/>
            <w:r w:rsidRPr="00DB61E1">
              <w:rPr>
                <w:rFonts w:eastAsia="Arial Unicode MS"/>
                <w:color w:val="000000" w:themeColor="text1"/>
                <w:sz w:val="20"/>
                <w:szCs w:val="20"/>
                <w:shd w:val="clear" w:color="auto" w:fill="FFFFFF"/>
                <w:lang w:val="en-US"/>
              </w:rPr>
              <w:t xml:space="preserve"> 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ianuarie</w:t>
            </w:r>
            <w:proofErr w:type="spellEnd"/>
            <w:r w:rsidRPr="00DB61E1">
              <w:rPr>
                <w:rFonts w:eastAsia="Arial Unicode MS"/>
                <w:color w:val="000000" w:themeColor="text1"/>
                <w:sz w:val="20"/>
                <w:szCs w:val="20"/>
                <w:shd w:val="clear" w:color="auto" w:fill="FFFFFF"/>
                <w:lang w:val="en-US"/>
              </w:rPr>
              <w:t xml:space="preserve"> 2013 și 31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decembrie</w:t>
            </w:r>
            <w:proofErr w:type="spellEnd"/>
            <w:r w:rsidRPr="00DB61E1">
              <w:rPr>
                <w:rFonts w:eastAsia="Arial Unicode MS"/>
                <w:color w:val="000000" w:themeColor="text1"/>
                <w:sz w:val="20"/>
                <w:szCs w:val="20"/>
                <w:shd w:val="clear" w:color="auto" w:fill="FFFFFF"/>
                <w:lang w:val="en-US"/>
              </w:rPr>
              <w:t xml:space="preserve"> 2026 se reduce </w:t>
            </w:r>
            <w:proofErr w:type="spellStart"/>
            <w:r w:rsidRPr="00DB61E1">
              <w:rPr>
                <w:rFonts w:eastAsia="Arial Unicode MS"/>
                <w:color w:val="000000" w:themeColor="text1"/>
                <w:sz w:val="20"/>
                <w:szCs w:val="20"/>
                <w:shd w:val="clear" w:color="auto" w:fill="FFFFFF"/>
                <w:lang w:val="en-US"/>
              </w:rPr>
              <w:t>astfel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încât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corespundă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părții</w:t>
            </w:r>
            <w:proofErr w:type="spellEnd"/>
            <w:r w:rsidRPr="00DB61E1">
              <w:rPr>
                <w:rFonts w:eastAsia="Arial Unicode MS"/>
                <w:color w:val="000000" w:themeColor="text1"/>
                <w:sz w:val="20"/>
                <w:szCs w:val="20"/>
                <w:shd w:val="clear" w:color="auto" w:fill="FFFFFF"/>
                <w:lang w:val="en-US"/>
              </w:rPr>
              <w:t xml:space="preserve"> sale din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atribuite</w:t>
            </w:r>
            <w:proofErr w:type="spellEnd"/>
            <w:r w:rsidRPr="00DB61E1">
              <w:rPr>
                <w:rFonts w:eastAsia="Arial Unicode MS"/>
                <w:color w:val="000000" w:themeColor="text1"/>
                <w:sz w:val="20"/>
                <w:szCs w:val="20"/>
                <w:shd w:val="clear" w:color="auto" w:fill="FFFFFF"/>
                <w:lang w:val="en-US"/>
              </w:rPr>
              <w:t xml:space="preserve"> generate de </w:t>
            </w:r>
            <w:proofErr w:type="spellStart"/>
            <w:r w:rsidRPr="00DB61E1">
              <w:rPr>
                <w:rFonts w:eastAsia="Arial Unicode MS"/>
                <w:color w:val="000000" w:themeColor="text1"/>
                <w:sz w:val="20"/>
                <w:szCs w:val="20"/>
                <w:shd w:val="clear" w:color="auto" w:fill="FFFFFF"/>
                <w:lang w:val="en-US"/>
              </w:rPr>
              <w:t>zborurile</w:t>
            </w:r>
            <w:proofErr w:type="spellEnd"/>
            <w:r w:rsidRPr="00DB61E1">
              <w:rPr>
                <w:rFonts w:eastAsia="Arial Unicode MS"/>
                <w:color w:val="000000" w:themeColor="text1"/>
                <w:sz w:val="20"/>
                <w:szCs w:val="20"/>
                <w:shd w:val="clear" w:color="auto" w:fill="FFFFFF"/>
                <w:lang w:val="en-US"/>
              </w:rPr>
              <w:t xml:space="preserve"> care nu fac </w:t>
            </w:r>
            <w:proofErr w:type="spellStart"/>
            <w:r w:rsidRPr="00DB61E1">
              <w:rPr>
                <w:rFonts w:eastAsia="Arial Unicode MS"/>
                <w:color w:val="000000" w:themeColor="text1"/>
                <w:sz w:val="20"/>
                <w:szCs w:val="20"/>
                <w:shd w:val="clear" w:color="auto" w:fill="FFFFFF"/>
                <w:lang w:val="en-US"/>
              </w:rPr>
              <w:t>obiectul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derogărilor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prevăzute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w:t>
            </w:r>
            <w:proofErr w:type="spellStart"/>
            <w:r w:rsidRPr="00DB61E1">
              <w:rPr>
                <w:rFonts w:eastAsia="Arial Unicode MS"/>
                <w:color w:val="000000" w:themeColor="text1"/>
                <w:sz w:val="20"/>
                <w:szCs w:val="20"/>
                <w:shd w:val="clear" w:color="auto" w:fill="FFFFFF"/>
                <w:lang w:val="en-US"/>
              </w:rPr>
              <w:t>literele</w:t>
            </w:r>
            <w:proofErr w:type="spellEnd"/>
            <w:r w:rsidRPr="00DB61E1">
              <w:rPr>
                <w:rFonts w:eastAsia="Arial Unicode MS"/>
                <w:color w:val="000000" w:themeColor="text1"/>
                <w:sz w:val="20"/>
                <w:szCs w:val="20"/>
                <w:shd w:val="clear" w:color="auto" w:fill="FFFFFF"/>
                <w:lang w:val="en-US"/>
              </w:rPr>
              <w:t xml:space="preserve"> (a) și (b) de la </w:t>
            </w:r>
            <w:proofErr w:type="spellStart"/>
            <w:r w:rsidRPr="00DB61E1">
              <w:rPr>
                <w:rFonts w:eastAsia="Arial Unicode MS"/>
                <w:color w:val="000000" w:themeColor="text1"/>
                <w:sz w:val="20"/>
                <w:szCs w:val="20"/>
                <w:shd w:val="clear" w:color="auto" w:fill="FFFFFF"/>
                <w:lang w:val="en-US"/>
              </w:rPr>
              <w:t>prezentul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w:t>
            </w:r>
            <w:proofErr w:type="spellEnd"/>
            <w:r w:rsidRPr="00DB61E1">
              <w:rPr>
                <w:rFonts w:eastAsia="Arial Unicode MS"/>
                <w:color w:val="000000" w:themeColor="text1"/>
                <w:sz w:val="20"/>
                <w:szCs w:val="20"/>
                <w:shd w:val="clear" w:color="auto" w:fill="FFFFFF"/>
                <w:lang w:val="en-US"/>
              </w:rPr>
              <w:t>.</w:t>
            </w:r>
          </w:p>
          <w:p w14:paraId="5316F47E" w14:textId="2EECF964" w:rsidR="00124364" w:rsidRPr="00DB61E1" w:rsidRDefault="00000000" w:rsidP="00DB61E1">
            <w:pPr>
              <w:pStyle w:val="ti-art"/>
              <w:numPr>
                <w:ilvl w:val="0"/>
                <w:numId w:val="11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derogare</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articolul</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3g, </w:t>
            </w:r>
            <w:proofErr w:type="spellStart"/>
            <w:r w:rsidRPr="00DB61E1">
              <w:rPr>
                <w:rFonts w:eastAsia="Arial Unicode MS"/>
                <w:color w:val="000000" w:themeColor="text1"/>
                <w:sz w:val="20"/>
                <w:szCs w:val="20"/>
                <w:shd w:val="clear" w:color="auto" w:fill="FFFFFF"/>
                <w:lang w:val="en-US"/>
              </w:rPr>
              <w:t>operatorii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 xml:space="preserve"> nu </w:t>
            </w:r>
            <w:proofErr w:type="spellStart"/>
            <w:r w:rsidRPr="00DB61E1">
              <w:rPr>
                <w:rFonts w:eastAsia="Arial Unicode MS"/>
                <w:color w:val="000000" w:themeColor="text1"/>
                <w:sz w:val="20"/>
                <w:szCs w:val="20"/>
                <w:shd w:val="clear" w:color="auto" w:fill="FFFFFF"/>
                <w:lang w:val="en-US"/>
              </w:rPr>
              <w:t>trebuie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prezinte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planuri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monitor</w:t>
            </w:r>
            <w:r w:rsidRPr="00DB61E1">
              <w:rPr>
                <w:rFonts w:eastAsia="Arial Unicode MS"/>
                <w:color w:val="000000" w:themeColor="text1"/>
                <w:sz w:val="20"/>
                <w:szCs w:val="20"/>
                <w:shd w:val="clear" w:color="auto" w:fill="FFFFFF"/>
                <w:lang w:val="en-US"/>
              </w:rPr>
              <w:lastRenderedPageBreak/>
              <w:t>izare</w:t>
            </w:r>
            <w:proofErr w:type="spellEnd"/>
            <w:r w:rsidRPr="00DB61E1">
              <w:rPr>
                <w:rFonts w:eastAsia="Arial Unicode MS"/>
                <w:color w:val="000000" w:themeColor="text1"/>
                <w:sz w:val="20"/>
                <w:szCs w:val="20"/>
                <w:shd w:val="clear" w:color="auto" w:fill="FFFFFF"/>
                <w:lang w:val="en-US"/>
              </w:rPr>
              <w:t xml:space="preserve"> în care </w:t>
            </w:r>
            <w:proofErr w:type="spellStart"/>
            <w:r w:rsidRPr="00DB61E1">
              <w:rPr>
                <w:rFonts w:eastAsia="Arial Unicode MS"/>
                <w:color w:val="000000" w:themeColor="text1"/>
                <w:sz w:val="20"/>
                <w:szCs w:val="20"/>
                <w:shd w:val="clear" w:color="auto" w:fill="FFFFFF"/>
                <w:lang w:val="en-US"/>
              </w:rPr>
              <w:t>să</w:t>
            </w:r>
            <w:proofErr w:type="spellEnd"/>
            <w:r w:rsidRPr="00DB61E1">
              <w:rPr>
                <w:rFonts w:eastAsia="Arial Unicode MS"/>
                <w:color w:val="000000" w:themeColor="text1"/>
                <w:sz w:val="20"/>
                <w:szCs w:val="20"/>
                <w:shd w:val="clear" w:color="auto" w:fill="FFFFFF"/>
                <w:lang w:val="en-US"/>
              </w:rPr>
              <w:t xml:space="preserve"> fie </w:t>
            </w:r>
            <w:proofErr w:type="spellStart"/>
            <w:r w:rsidRPr="00DB61E1">
              <w:rPr>
                <w:rFonts w:eastAsia="Arial Unicode MS"/>
                <w:color w:val="000000" w:themeColor="text1"/>
                <w:sz w:val="20"/>
                <w:szCs w:val="20"/>
                <w:shd w:val="clear" w:color="auto" w:fill="FFFFFF"/>
                <w:lang w:val="en-US"/>
              </w:rPr>
              <w:t>prezentate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măsurile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monitorizare</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raportare</w:t>
            </w:r>
            <w:proofErr w:type="spellEnd"/>
            <w:r w:rsidRPr="00DB61E1">
              <w:rPr>
                <w:rFonts w:eastAsia="Arial Unicode MS"/>
                <w:color w:val="000000" w:themeColor="text1"/>
                <w:sz w:val="20"/>
                <w:szCs w:val="20"/>
                <w:shd w:val="clear" w:color="auto" w:fill="FFFFFF"/>
                <w:lang w:val="en-US"/>
              </w:rPr>
              <w:t xml:space="preserve"> </w:t>
            </w:r>
            <w:proofErr w:type="gramStart"/>
            <w:r w:rsidRPr="00DB61E1">
              <w:rPr>
                <w:rFonts w:eastAsia="Arial Unicode MS"/>
                <w:color w:val="000000" w:themeColor="text1"/>
                <w:sz w:val="20"/>
                <w:szCs w:val="20"/>
                <w:shd w:val="clear" w:color="auto" w:fill="FFFFFF"/>
                <w:lang w:val="en-US"/>
              </w:rPr>
              <w:t>a</w:t>
            </w:r>
            <w:proofErr w:type="gram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legate de </w:t>
            </w:r>
            <w:proofErr w:type="spellStart"/>
            <w:r w:rsidRPr="00DB61E1">
              <w:rPr>
                <w:rFonts w:eastAsia="Arial Unicode MS"/>
                <w:color w:val="000000" w:themeColor="text1"/>
                <w:sz w:val="20"/>
                <w:szCs w:val="20"/>
                <w:shd w:val="clear" w:color="auto" w:fill="FFFFFF"/>
                <w:lang w:val="en-US"/>
              </w:rPr>
              <w:t>zborurile</w:t>
            </w:r>
            <w:proofErr w:type="spellEnd"/>
            <w:r w:rsidRPr="00DB61E1">
              <w:rPr>
                <w:rFonts w:eastAsia="Arial Unicode MS"/>
                <w:color w:val="000000" w:themeColor="text1"/>
                <w:sz w:val="20"/>
                <w:szCs w:val="20"/>
                <w:shd w:val="clear" w:color="auto" w:fill="FFFFFF"/>
                <w:lang w:val="en-US"/>
              </w:rPr>
              <w:t xml:space="preserve"> care fac </w:t>
            </w:r>
            <w:proofErr w:type="spellStart"/>
            <w:r w:rsidRPr="00DB61E1">
              <w:rPr>
                <w:rFonts w:eastAsia="Arial Unicode MS"/>
                <w:color w:val="000000" w:themeColor="text1"/>
                <w:sz w:val="20"/>
                <w:szCs w:val="20"/>
                <w:shd w:val="clear" w:color="auto" w:fill="FFFFFF"/>
                <w:lang w:val="en-US"/>
              </w:rPr>
              <w:t>obiectul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derogărilor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prevăzute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w:t>
            </w:r>
            <w:proofErr w:type="spellStart"/>
            <w:r w:rsidRPr="00DB61E1">
              <w:rPr>
                <w:rFonts w:eastAsia="Arial Unicode MS"/>
                <w:color w:val="000000" w:themeColor="text1"/>
                <w:sz w:val="20"/>
                <w:szCs w:val="20"/>
                <w:shd w:val="clear" w:color="auto" w:fill="FFFFFF"/>
                <w:lang w:val="en-US"/>
              </w:rPr>
              <w:t>literele</w:t>
            </w:r>
            <w:proofErr w:type="spellEnd"/>
            <w:r w:rsidRPr="00DB61E1">
              <w:rPr>
                <w:rFonts w:eastAsia="Arial Unicode MS"/>
                <w:color w:val="000000" w:themeColor="text1"/>
                <w:sz w:val="20"/>
                <w:szCs w:val="20"/>
                <w:shd w:val="clear" w:color="auto" w:fill="FFFFFF"/>
                <w:lang w:val="en-US"/>
              </w:rPr>
              <w:t xml:space="preserve"> (a) și (b) de la </w:t>
            </w:r>
            <w:proofErr w:type="spellStart"/>
            <w:r w:rsidRPr="00DB61E1">
              <w:rPr>
                <w:rFonts w:eastAsia="Arial Unicode MS"/>
                <w:color w:val="000000" w:themeColor="text1"/>
                <w:sz w:val="20"/>
                <w:szCs w:val="20"/>
                <w:shd w:val="clear" w:color="auto" w:fill="FFFFFF"/>
                <w:lang w:val="en-US"/>
              </w:rPr>
              <w:t>prezentul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w:t>
            </w:r>
            <w:proofErr w:type="spellEnd"/>
            <w:r w:rsidRPr="00DB61E1">
              <w:rPr>
                <w:rFonts w:eastAsia="Arial Unicode MS"/>
                <w:color w:val="000000" w:themeColor="text1"/>
                <w:sz w:val="20"/>
                <w:szCs w:val="20"/>
                <w:shd w:val="clear" w:color="auto" w:fill="FFFFFF"/>
                <w:lang w:val="en-US"/>
              </w:rPr>
              <w:t>.</w:t>
            </w:r>
          </w:p>
          <w:p w14:paraId="32AE6695" w14:textId="3CD1511B" w:rsidR="00124364" w:rsidRPr="00DB61E1" w:rsidRDefault="00000000" w:rsidP="00DB61E1">
            <w:pPr>
              <w:pStyle w:val="ti-art"/>
              <w:numPr>
                <w:ilvl w:val="0"/>
                <w:numId w:val="11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derogare</w:t>
            </w:r>
            <w:proofErr w:type="spellEnd"/>
            <w:r w:rsidRPr="00DB61E1">
              <w:rPr>
                <w:rFonts w:eastAsia="Arial Unicode MS"/>
                <w:color w:val="000000" w:themeColor="text1"/>
                <w:sz w:val="20"/>
                <w:szCs w:val="20"/>
                <w:shd w:val="clear" w:color="auto" w:fill="FFFFFF"/>
                <w:lang w:val="en-US"/>
              </w:rPr>
              <w:t xml:space="preserve"> de la </w:t>
            </w:r>
            <w:proofErr w:type="spellStart"/>
            <w:r w:rsidRPr="00DB61E1">
              <w:rPr>
                <w:rFonts w:eastAsia="Arial Unicode MS"/>
                <w:color w:val="000000" w:themeColor="text1"/>
                <w:sz w:val="20"/>
                <w:szCs w:val="20"/>
                <w:shd w:val="clear" w:color="auto" w:fill="FFFFFF"/>
                <w:lang w:val="en-US"/>
              </w:rPr>
              <w:t>articolele</w:t>
            </w:r>
            <w:proofErr w:type="spellEnd"/>
            <w:r w:rsidRPr="00DB61E1">
              <w:rPr>
                <w:rFonts w:eastAsia="Arial Unicode MS"/>
                <w:color w:val="000000" w:themeColor="text1"/>
                <w:sz w:val="20"/>
                <w:szCs w:val="20"/>
                <w:shd w:val="clear" w:color="auto" w:fill="FFFFFF"/>
                <w:lang w:val="en-US"/>
              </w:rPr>
              <w:t xml:space="preserve"> 3g, 12, 15 și</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18a, în </w:t>
            </w:r>
            <w:proofErr w:type="spellStart"/>
            <w:r w:rsidRPr="00DB61E1">
              <w:rPr>
                <w:rFonts w:eastAsia="Arial Unicode MS"/>
                <w:color w:val="000000" w:themeColor="text1"/>
                <w:sz w:val="20"/>
                <w:szCs w:val="20"/>
                <w:shd w:val="clear" w:color="auto" w:fill="FFFFFF"/>
                <w:lang w:val="en-US"/>
              </w:rPr>
              <w:t>cazul</w:t>
            </w:r>
            <w:proofErr w:type="spellEnd"/>
            <w:r w:rsidRPr="00DB61E1">
              <w:rPr>
                <w:rFonts w:eastAsia="Arial Unicode MS"/>
                <w:color w:val="000000" w:themeColor="text1"/>
                <w:sz w:val="20"/>
                <w:szCs w:val="20"/>
                <w:shd w:val="clear" w:color="auto" w:fill="FFFFFF"/>
                <w:lang w:val="en-US"/>
              </w:rPr>
              <w:t xml:space="preserve"> în care un operator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generează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anuale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totale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mai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mici</w:t>
            </w:r>
            <w:proofErr w:type="spellEnd"/>
            <w:r w:rsidRPr="00DB61E1">
              <w:rPr>
                <w:rFonts w:eastAsia="Arial Unicode MS"/>
                <w:color w:val="000000" w:themeColor="text1"/>
                <w:sz w:val="20"/>
                <w:szCs w:val="20"/>
                <w:shd w:val="clear" w:color="auto" w:fill="FFFFFF"/>
                <w:lang w:val="en-US"/>
              </w:rPr>
              <w:t xml:space="preserve"> de 25</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000 de tone de CO</w:t>
            </w:r>
            <w:r w:rsidRPr="00DB61E1">
              <w:rPr>
                <w:rStyle w:val="subscript"/>
                <w:rFonts w:eastAsia="Arial Unicode MS"/>
                <w:color w:val="000000" w:themeColor="text1"/>
                <w:sz w:val="20"/>
                <w:szCs w:val="20"/>
                <w:vertAlign w:val="subscript"/>
                <w:lang w:val="en-US"/>
              </w:rPr>
              <w:t>2</w:t>
            </w:r>
            <w:r w:rsidR="00DB61E1" w:rsidRPr="00DB61E1">
              <w:rPr>
                <w:rStyle w:val="apple-converted-space"/>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sau</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cazul</w:t>
            </w:r>
            <w:proofErr w:type="spellEnd"/>
            <w:r w:rsidRPr="00DB61E1">
              <w:rPr>
                <w:rFonts w:eastAsia="Arial Unicode MS"/>
                <w:color w:val="000000" w:themeColor="text1"/>
                <w:sz w:val="20"/>
                <w:szCs w:val="20"/>
                <w:shd w:val="clear" w:color="auto" w:fill="FFFFFF"/>
                <w:lang w:val="en-US"/>
              </w:rPr>
              <w:t xml:space="preserve"> în care un operator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 xml:space="preserve"> are </w:t>
            </w:r>
            <w:proofErr w:type="spellStart"/>
            <w:r w:rsidRPr="00DB61E1">
              <w:rPr>
                <w:rFonts w:eastAsia="Arial Unicode MS"/>
                <w:color w:val="000000" w:themeColor="text1"/>
                <w:sz w:val="20"/>
                <w:szCs w:val="20"/>
                <w:shd w:val="clear" w:color="auto" w:fill="FFFFFF"/>
                <w:lang w:val="en-US"/>
              </w:rPr>
              <w:t>emisii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totale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anuale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mai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mici</w:t>
            </w:r>
            <w:proofErr w:type="spellEnd"/>
            <w:r w:rsidRPr="00DB61E1">
              <w:rPr>
                <w:rFonts w:eastAsia="Arial Unicode MS"/>
                <w:color w:val="000000" w:themeColor="text1"/>
                <w:sz w:val="20"/>
                <w:szCs w:val="20"/>
                <w:shd w:val="clear" w:color="auto" w:fill="FFFFFF"/>
                <w:lang w:val="en-US"/>
              </w:rPr>
              <w:t xml:space="preserve"> de 3</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000 de tone de CO</w:t>
            </w:r>
            <w:r w:rsidRPr="00DB61E1">
              <w:rPr>
                <w:rStyle w:val="subscript"/>
                <w:rFonts w:eastAsia="Arial Unicode MS"/>
                <w:color w:val="000000" w:themeColor="text1"/>
                <w:sz w:val="20"/>
                <w:szCs w:val="20"/>
                <w:vertAlign w:val="subscript"/>
                <w:lang w:val="en-US"/>
              </w:rPr>
              <w:t>2</w:t>
            </w:r>
            <w:r w:rsidR="00DB61E1" w:rsidRPr="00DB61E1">
              <w:rPr>
                <w:rStyle w:val="apple-converted-space"/>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generate din </w:t>
            </w:r>
            <w:proofErr w:type="spellStart"/>
            <w:r w:rsidRPr="00DB61E1">
              <w:rPr>
                <w:rFonts w:eastAsia="Arial Unicode MS"/>
                <w:color w:val="000000" w:themeColor="text1"/>
                <w:sz w:val="20"/>
                <w:szCs w:val="20"/>
                <w:shd w:val="clear" w:color="auto" w:fill="FFFFFF"/>
                <w:lang w:val="en-US"/>
              </w:rPr>
              <w:t>alte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zboruri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menționate</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w:t>
            </w:r>
            <w:proofErr w:type="spellStart"/>
            <w:r w:rsidRPr="00DB61E1">
              <w:rPr>
                <w:rFonts w:eastAsia="Arial Unicode MS"/>
                <w:color w:val="000000" w:themeColor="text1"/>
                <w:sz w:val="20"/>
                <w:szCs w:val="20"/>
                <w:shd w:val="clear" w:color="auto" w:fill="FFFFFF"/>
                <w:lang w:val="en-US"/>
              </w:rPr>
              <w:t>literele</w:t>
            </w:r>
            <w:proofErr w:type="spellEnd"/>
            <w:r w:rsidRPr="00DB61E1">
              <w:rPr>
                <w:rFonts w:eastAsia="Arial Unicode MS"/>
                <w:color w:val="000000" w:themeColor="text1"/>
                <w:sz w:val="20"/>
                <w:szCs w:val="20"/>
                <w:shd w:val="clear" w:color="auto" w:fill="FFFFFF"/>
                <w:lang w:val="en-US"/>
              </w:rPr>
              <w:t xml:space="preserve"> (a) și (b) din </w:t>
            </w:r>
            <w:proofErr w:type="spellStart"/>
            <w:r w:rsidRPr="00DB61E1">
              <w:rPr>
                <w:rFonts w:eastAsia="Arial Unicode MS"/>
                <w:color w:val="000000" w:themeColor="text1"/>
                <w:sz w:val="20"/>
                <w:szCs w:val="20"/>
                <w:shd w:val="clear" w:color="auto" w:fill="FFFFFF"/>
                <w:lang w:val="en-US"/>
              </w:rPr>
              <w:t>prezentul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w:t>
            </w:r>
            <w:proofErr w:type="spellEnd"/>
            <w:r w:rsidRPr="00DB61E1">
              <w:rPr>
                <w:rFonts w:eastAsia="Arial Unicode MS"/>
                <w:color w:val="000000" w:themeColor="text1"/>
                <w:sz w:val="20"/>
                <w:szCs w:val="20"/>
                <w:shd w:val="clear" w:color="auto" w:fill="FFFFFF"/>
                <w:lang w:val="en-US"/>
              </w:rPr>
              <w:t xml:space="preserve">, se </w:t>
            </w:r>
            <w:proofErr w:type="spellStart"/>
            <w:r w:rsidRPr="00DB61E1">
              <w:rPr>
                <w:rFonts w:eastAsia="Arial Unicode MS"/>
                <w:color w:val="000000" w:themeColor="text1"/>
                <w:sz w:val="20"/>
                <w:szCs w:val="20"/>
                <w:shd w:val="clear" w:color="auto" w:fill="FFFFFF"/>
                <w:lang w:val="en-US"/>
              </w:rPr>
              <w:t>consideră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acestuia</w:t>
            </w:r>
            <w:proofErr w:type="spellEnd"/>
            <w:r w:rsidRPr="00DB61E1">
              <w:rPr>
                <w:rFonts w:eastAsia="Arial Unicode MS"/>
                <w:color w:val="000000" w:themeColor="text1"/>
                <w:sz w:val="20"/>
                <w:szCs w:val="20"/>
                <w:shd w:val="clear" w:color="auto" w:fill="FFFFFF"/>
                <w:lang w:val="en-US"/>
              </w:rPr>
              <w:t xml:space="preserve"> sunt </w:t>
            </w:r>
            <w:proofErr w:type="spellStart"/>
            <w:r w:rsidRPr="00DB61E1">
              <w:rPr>
                <w:rFonts w:eastAsia="Arial Unicode MS"/>
                <w:color w:val="000000" w:themeColor="text1"/>
                <w:sz w:val="20"/>
                <w:szCs w:val="20"/>
                <w:shd w:val="clear" w:color="auto" w:fill="FFFFFF"/>
                <w:lang w:val="en-US"/>
              </w:rPr>
              <w:t>emisii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verificate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dacă</w:t>
            </w:r>
            <w:proofErr w:type="spellEnd"/>
            <w:r w:rsidRPr="00DB61E1">
              <w:rPr>
                <w:rFonts w:eastAsia="Arial Unicode MS"/>
                <w:color w:val="000000" w:themeColor="text1"/>
                <w:sz w:val="20"/>
                <w:szCs w:val="20"/>
                <w:shd w:val="clear" w:color="auto" w:fill="FFFFFF"/>
                <w:lang w:val="en-US"/>
              </w:rPr>
              <w:t xml:space="preserve"> sunt </w:t>
            </w:r>
            <w:proofErr w:type="spellStart"/>
            <w:r w:rsidRPr="00DB61E1">
              <w:rPr>
                <w:rFonts w:eastAsia="Arial Unicode MS"/>
                <w:color w:val="000000" w:themeColor="text1"/>
                <w:sz w:val="20"/>
                <w:szCs w:val="20"/>
                <w:shd w:val="clear" w:color="auto" w:fill="FFFFFF"/>
                <w:lang w:val="en-US"/>
              </w:rPr>
              <w:t>stabilite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utilizarea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instrumentului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micii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emițători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aprobat</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temeiul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Regulamentului</w:t>
            </w:r>
            <w:proofErr w:type="spellEnd"/>
            <w:r w:rsidRPr="00DB61E1">
              <w:rPr>
                <w:rFonts w:eastAsia="Arial Unicode MS"/>
                <w:color w:val="000000" w:themeColor="text1"/>
                <w:sz w:val="20"/>
                <w:szCs w:val="20"/>
                <w:shd w:val="clear" w:color="auto" w:fill="FFFFFF"/>
                <w:lang w:val="en-US"/>
              </w:rPr>
              <w:t xml:space="preserve"> (UE) nr.</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606/2010 al </w:t>
            </w:r>
            <w:proofErr w:type="spellStart"/>
            <w:r w:rsidRPr="00DB61E1">
              <w:rPr>
                <w:rFonts w:eastAsia="Arial Unicode MS"/>
                <w:color w:val="000000" w:themeColor="text1"/>
                <w:sz w:val="20"/>
                <w:szCs w:val="20"/>
                <w:shd w:val="clear" w:color="auto" w:fill="FFFFFF"/>
                <w:lang w:val="en-US"/>
              </w:rPr>
              <w:t>Comisiei</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w:t>
            </w:r>
            <w:hyperlink r:id="rId336" w:anchor="E0037" w:history="1">
              <w:r w:rsidRPr="00DB61E1">
                <w:rPr>
                  <w:rStyle w:val="superscript"/>
                  <w:rFonts w:eastAsia="Arial Unicode MS"/>
                  <w:color w:val="000000" w:themeColor="text1"/>
                  <w:sz w:val="20"/>
                  <w:szCs w:val="20"/>
                  <w:vertAlign w:val="superscript"/>
                  <w:lang w:val="en-US"/>
                </w:rPr>
                <w:t>36</w:t>
              </w:r>
            </w:hyperlink>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completat</w:t>
            </w:r>
            <w:proofErr w:type="spellEnd"/>
            <w:r w:rsidRPr="00DB61E1">
              <w:rPr>
                <w:rFonts w:eastAsia="Arial Unicode MS"/>
                <w:color w:val="000000" w:themeColor="text1"/>
                <w:sz w:val="20"/>
                <w:szCs w:val="20"/>
                <w:shd w:val="clear" w:color="auto" w:fill="FFFFFF"/>
                <w:lang w:val="en-US"/>
              </w:rPr>
              <w:t xml:space="preserve"> cu date </w:t>
            </w:r>
            <w:proofErr w:type="spellStart"/>
            <w:r w:rsidRPr="00DB61E1">
              <w:rPr>
                <w:rFonts w:eastAsia="Arial Unicode MS"/>
                <w:color w:val="000000" w:themeColor="text1"/>
                <w:sz w:val="20"/>
                <w:szCs w:val="20"/>
                <w:shd w:val="clear" w:color="auto" w:fill="FFFFFF"/>
                <w:lang w:val="en-US"/>
              </w:rPr>
              <w:t>furnizate</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Eurocontrol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prin</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facilitatea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sa</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sprijin</w:t>
            </w:r>
            <w:proofErr w:type="spellEnd"/>
            <w:r w:rsidRPr="00DB61E1">
              <w:rPr>
                <w:rFonts w:eastAsia="Arial Unicode MS"/>
                <w:color w:val="000000" w:themeColor="text1"/>
                <w:sz w:val="20"/>
                <w:szCs w:val="20"/>
                <w:shd w:val="clear" w:color="auto" w:fill="FFFFFF"/>
                <w:lang w:val="en-US"/>
              </w:rPr>
              <w:t xml:space="preserve"> al ETS. </w:t>
            </w:r>
            <w:proofErr w:type="spellStart"/>
            <w:r w:rsidRPr="00DB61E1">
              <w:rPr>
                <w:rFonts w:eastAsia="Arial Unicode MS"/>
                <w:color w:val="000000" w:themeColor="text1"/>
                <w:sz w:val="20"/>
                <w:szCs w:val="20"/>
                <w:shd w:val="clear" w:color="auto" w:fill="FFFFFF"/>
                <w:lang w:val="en-US"/>
              </w:rPr>
              <w:t>Statele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membre</w:t>
            </w:r>
            <w:proofErr w:type="spellEnd"/>
            <w:r w:rsidRPr="00DB61E1">
              <w:rPr>
                <w:rFonts w:eastAsia="Arial Unicode MS"/>
                <w:color w:val="000000" w:themeColor="text1"/>
                <w:sz w:val="20"/>
                <w:szCs w:val="20"/>
                <w:shd w:val="clear" w:color="auto" w:fill="FFFFFF"/>
                <w:lang w:val="en-US"/>
              </w:rPr>
              <w:t xml:space="preserve"> pot </w:t>
            </w:r>
            <w:proofErr w:type="spellStart"/>
            <w:r w:rsidRPr="00DB61E1">
              <w:rPr>
                <w:rFonts w:eastAsia="Arial Unicode MS"/>
                <w:color w:val="000000" w:themeColor="text1"/>
                <w:sz w:val="20"/>
                <w:szCs w:val="20"/>
                <w:shd w:val="clear" w:color="auto" w:fill="FFFFFF"/>
                <w:lang w:val="en-US"/>
              </w:rPr>
              <w:t>pune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aplicare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proceduri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simplificate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operatorii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aeronave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necomerciali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atât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timp</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astfel</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proceduri</w:t>
            </w:r>
            <w:proofErr w:type="spellEnd"/>
            <w:r w:rsidRPr="00DB61E1">
              <w:rPr>
                <w:rFonts w:eastAsia="Arial Unicode MS"/>
                <w:color w:val="000000" w:themeColor="text1"/>
                <w:sz w:val="20"/>
                <w:szCs w:val="20"/>
                <w:shd w:val="clear" w:color="auto" w:fill="FFFFFF"/>
                <w:lang w:val="en-US"/>
              </w:rPr>
              <w:t xml:space="preserve"> nu au un grad de </w:t>
            </w:r>
            <w:proofErr w:type="spellStart"/>
            <w:r w:rsidRPr="00DB61E1">
              <w:rPr>
                <w:rFonts w:eastAsia="Arial Unicode MS"/>
                <w:color w:val="000000" w:themeColor="text1"/>
                <w:sz w:val="20"/>
                <w:szCs w:val="20"/>
                <w:shd w:val="clear" w:color="auto" w:fill="FFFFFF"/>
                <w:lang w:val="en-US"/>
              </w:rPr>
              <w:t>acuratețe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mai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scăzut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decât</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oferit</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instrumentul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pentru</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micii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emițători</w:t>
            </w:r>
            <w:proofErr w:type="spellEnd"/>
            <w:r w:rsidRPr="00DB61E1">
              <w:rPr>
                <w:rFonts w:eastAsia="Arial Unicode MS"/>
                <w:color w:val="000000" w:themeColor="text1"/>
                <w:sz w:val="20"/>
                <w:szCs w:val="20"/>
                <w:shd w:val="clear" w:color="auto" w:fill="FFFFFF"/>
                <w:lang w:val="en-US"/>
              </w:rPr>
              <w:t>.</w:t>
            </w:r>
          </w:p>
          <w:p w14:paraId="67A22FAD" w14:textId="276FDE61" w:rsidR="00124364" w:rsidRDefault="00000000" w:rsidP="00DB61E1">
            <w:pPr>
              <w:pStyle w:val="ti-art"/>
              <w:numPr>
                <w:ilvl w:val="0"/>
                <w:numId w:val="119"/>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Alineatul</w:t>
            </w:r>
            <w:proofErr w:type="spellEnd"/>
            <w:r w:rsidRPr="00DB61E1">
              <w:rPr>
                <w:rFonts w:eastAsia="Arial Unicode MS"/>
                <w:color w:val="000000" w:themeColor="text1"/>
                <w:sz w:val="20"/>
                <w:szCs w:val="20"/>
                <w:shd w:val="clear" w:color="auto" w:fill="FFFFFF"/>
                <w:lang w:val="en-US"/>
              </w:rPr>
              <w:t xml:space="preserve"> (1) de la </w:t>
            </w:r>
            <w:proofErr w:type="spellStart"/>
            <w:r w:rsidRPr="00DB61E1">
              <w:rPr>
                <w:rFonts w:eastAsia="Arial Unicode MS"/>
                <w:color w:val="000000" w:themeColor="text1"/>
                <w:sz w:val="20"/>
                <w:szCs w:val="20"/>
                <w:shd w:val="clear" w:color="auto" w:fill="FFFFFF"/>
                <w:lang w:val="en-US"/>
              </w:rPr>
              <w:t>prezentul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w:t>
            </w:r>
            <w:proofErr w:type="spellEnd"/>
            <w:r w:rsidRPr="00DB61E1">
              <w:rPr>
                <w:rFonts w:eastAsia="Arial Unicode MS"/>
                <w:color w:val="000000" w:themeColor="text1"/>
                <w:sz w:val="20"/>
                <w:szCs w:val="20"/>
                <w:shd w:val="clear" w:color="auto" w:fill="FFFFFF"/>
                <w:lang w:val="en-US"/>
              </w:rPr>
              <w:t xml:space="preserve"> se </w:t>
            </w:r>
            <w:proofErr w:type="spellStart"/>
            <w:r w:rsidRPr="00DB61E1">
              <w:rPr>
                <w:rFonts w:eastAsia="Arial Unicode MS"/>
                <w:color w:val="000000" w:themeColor="text1"/>
                <w:sz w:val="20"/>
                <w:szCs w:val="20"/>
                <w:shd w:val="clear" w:color="auto" w:fill="FFFFFF"/>
                <w:lang w:val="en-US"/>
              </w:rPr>
              <w:t>aplică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țărilor</w:t>
            </w:r>
            <w:proofErr w:type="spellEnd"/>
            <w:r w:rsidRPr="00DB61E1">
              <w:rPr>
                <w:rFonts w:eastAsia="Arial Unicode MS"/>
                <w:color w:val="000000" w:themeColor="text1"/>
                <w:sz w:val="20"/>
                <w:szCs w:val="20"/>
                <w:shd w:val="clear" w:color="auto" w:fill="FFFFFF"/>
                <w:lang w:val="en-US"/>
              </w:rPr>
              <w:t xml:space="preserve"> cu care s-a </w:t>
            </w:r>
            <w:proofErr w:type="spellStart"/>
            <w:r w:rsidRPr="00DB61E1">
              <w:rPr>
                <w:rFonts w:eastAsia="Arial Unicode MS"/>
                <w:color w:val="000000" w:themeColor="text1"/>
                <w:sz w:val="20"/>
                <w:szCs w:val="20"/>
                <w:shd w:val="clear" w:color="auto" w:fill="FFFFFF"/>
                <w:lang w:val="en-US"/>
              </w:rPr>
              <w:t>încheiat</w:t>
            </w:r>
            <w:proofErr w:type="spellEnd"/>
            <w:r w:rsidRPr="00DB61E1">
              <w:rPr>
                <w:rFonts w:eastAsia="Arial Unicode MS"/>
                <w:color w:val="000000" w:themeColor="text1"/>
                <w:sz w:val="20"/>
                <w:szCs w:val="20"/>
                <w:shd w:val="clear" w:color="auto" w:fill="FFFFFF"/>
                <w:lang w:val="en-US"/>
              </w:rPr>
              <w:t xml:space="preserve"> un </w:t>
            </w:r>
            <w:proofErr w:type="spellStart"/>
            <w:r w:rsidRPr="00DB61E1">
              <w:rPr>
                <w:rFonts w:eastAsia="Arial Unicode MS"/>
                <w:color w:val="000000" w:themeColor="text1"/>
                <w:sz w:val="20"/>
                <w:szCs w:val="20"/>
                <w:shd w:val="clear" w:color="auto" w:fill="FFFFFF"/>
                <w:lang w:val="en-US"/>
              </w:rPr>
              <w:t>acord</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temeiul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articolului</w:t>
            </w:r>
            <w:proofErr w:type="spellEnd"/>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25 </w:t>
            </w:r>
            <w:proofErr w:type="spellStart"/>
            <w:r w:rsidRPr="00DB61E1">
              <w:rPr>
                <w:rFonts w:eastAsia="Arial Unicode MS"/>
                <w:color w:val="000000" w:themeColor="text1"/>
                <w:sz w:val="20"/>
                <w:szCs w:val="20"/>
                <w:shd w:val="clear" w:color="auto" w:fill="FFFFFF"/>
                <w:lang w:val="en-US"/>
              </w:rPr>
              <w:t>sau</w:t>
            </w:r>
            <w:proofErr w:type="spellEnd"/>
            <w:r w:rsidRPr="00DB61E1">
              <w:rPr>
                <w:rFonts w:eastAsia="Arial Unicode MS"/>
                <w:color w:val="000000" w:themeColor="text1"/>
                <w:sz w:val="20"/>
                <w:szCs w:val="20"/>
                <w:shd w:val="clear" w:color="auto" w:fill="FFFFFF"/>
                <w:lang w:val="en-US"/>
              </w:rPr>
              <w:t xml:space="preserve"> 25a, </w:t>
            </w:r>
            <w:proofErr w:type="spellStart"/>
            <w:r w:rsidRPr="00DB61E1">
              <w:rPr>
                <w:rFonts w:eastAsia="Arial Unicode MS"/>
                <w:color w:val="000000" w:themeColor="text1"/>
                <w:sz w:val="20"/>
                <w:szCs w:val="20"/>
                <w:shd w:val="clear" w:color="auto" w:fill="FFFFFF"/>
                <w:lang w:val="en-US"/>
              </w:rPr>
              <w:t>numai</w:t>
            </w:r>
            <w:proofErr w:type="spellEnd"/>
            <w:r w:rsidRPr="00DB61E1">
              <w:rPr>
                <w:rFonts w:eastAsia="Arial Unicode MS"/>
                <w:color w:val="000000" w:themeColor="text1"/>
                <w:sz w:val="20"/>
                <w:szCs w:val="20"/>
                <w:shd w:val="clear" w:color="auto" w:fill="FFFFFF"/>
                <w:lang w:val="en-US"/>
              </w:rPr>
              <w:t xml:space="preserve"> în conformitate cu </w:t>
            </w:r>
            <w:proofErr w:type="spellStart"/>
            <w:r w:rsidRPr="00DB61E1">
              <w:rPr>
                <w:rFonts w:eastAsia="Arial Unicode MS"/>
                <w:color w:val="000000" w:themeColor="text1"/>
                <w:sz w:val="20"/>
                <w:szCs w:val="20"/>
                <w:shd w:val="clear" w:color="auto" w:fill="FFFFFF"/>
                <w:lang w:val="en-US"/>
              </w:rPr>
              <w:t>termenii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unui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astfel</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acord</w:t>
            </w:r>
            <w:proofErr w:type="spellEnd"/>
            <w:r w:rsidRPr="00DB61E1">
              <w:rPr>
                <w:rFonts w:eastAsia="Arial Unicode MS"/>
                <w:color w:val="000000" w:themeColor="text1"/>
                <w:sz w:val="20"/>
                <w:szCs w:val="20"/>
                <w:shd w:val="clear" w:color="auto" w:fill="FFFFFF"/>
                <w:lang w:val="en-US"/>
              </w:rPr>
              <w:t>.</w:t>
            </w:r>
          </w:p>
        </w:tc>
        <w:tc>
          <w:tcPr>
            <w:tcW w:w="4394" w:type="dxa"/>
            <w:shd w:val="clear" w:color="auto" w:fill="auto"/>
          </w:tcPr>
          <w:p w14:paraId="540BFFF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BB6C632" w14:textId="6E79DB92" w:rsidR="00124364" w:rsidRDefault="00DB61E1" w:rsidP="00DB61E1">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7DDE13A6"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BA4BCF1" w14:textId="4BA259F8" w:rsidR="00124364" w:rsidRDefault="00DB61E1">
            <w:pPr>
              <w:autoSpaceDE w:val="0"/>
              <w:spacing w:after="0" w:line="240" w:lineRule="auto"/>
              <w:rPr>
                <w:rFonts w:ascii="Times New Roman" w:eastAsia="Times New Roman" w:hAnsi="Times New Roman"/>
                <w:sz w:val="20"/>
                <w:szCs w:val="20"/>
                <w:lang w:val="ro-RO"/>
              </w:rPr>
            </w:pPr>
            <w:proofErr w:type="spellStart"/>
            <w:r w:rsidRPr="00DB61E1">
              <w:rPr>
                <w:rFonts w:ascii="Times New Roman" w:eastAsia="Times New Roman" w:hAnsi="Times New Roman"/>
                <w:sz w:val="20"/>
                <w:szCs w:val="20"/>
              </w:rPr>
              <w:t>Prevederile</w:t>
            </w:r>
            <w:proofErr w:type="spellEnd"/>
            <w:r w:rsidRPr="00DB61E1">
              <w:rPr>
                <w:rFonts w:ascii="Times New Roman" w:eastAsia="Times New Roman" w:hAnsi="Times New Roman"/>
                <w:sz w:val="20"/>
                <w:szCs w:val="20"/>
              </w:rPr>
              <w:t xml:space="preserve"> </w:t>
            </w:r>
            <w:proofErr w:type="spellStart"/>
            <w:r w:rsidRPr="00DB61E1">
              <w:rPr>
                <w:rFonts w:ascii="Times New Roman" w:eastAsia="Times New Roman" w:hAnsi="Times New Roman"/>
                <w:sz w:val="20"/>
                <w:szCs w:val="20"/>
              </w:rPr>
              <w:t>vor</w:t>
            </w:r>
            <w:proofErr w:type="spellEnd"/>
            <w:r w:rsidRPr="00DB61E1">
              <w:rPr>
                <w:rFonts w:ascii="Times New Roman" w:eastAsia="Times New Roman" w:hAnsi="Times New Roman"/>
                <w:sz w:val="20"/>
                <w:szCs w:val="20"/>
              </w:rPr>
              <w:t xml:space="preserve"> fi </w:t>
            </w:r>
            <w:proofErr w:type="spellStart"/>
            <w:r w:rsidRPr="00DB61E1">
              <w:rPr>
                <w:rFonts w:ascii="Times New Roman" w:eastAsia="Times New Roman" w:hAnsi="Times New Roman"/>
                <w:sz w:val="20"/>
                <w:szCs w:val="20"/>
              </w:rPr>
              <w:t>transpuse</w:t>
            </w:r>
            <w:proofErr w:type="spellEnd"/>
            <w:r w:rsidRPr="00DB61E1">
              <w:rPr>
                <w:rFonts w:ascii="Times New Roman" w:eastAsia="Times New Roman" w:hAnsi="Times New Roman"/>
                <w:sz w:val="20"/>
                <w:szCs w:val="20"/>
              </w:rPr>
              <w:t xml:space="preserve"> în </w:t>
            </w:r>
            <w:proofErr w:type="spellStart"/>
            <w:r w:rsidRPr="00DB61E1">
              <w:rPr>
                <w:rFonts w:ascii="Times New Roman" w:hAnsi="Times New Roman"/>
                <w:color w:val="000000" w:themeColor="text1"/>
                <w:sz w:val="20"/>
                <w:szCs w:val="20"/>
              </w:rPr>
              <w:t>Regulamentul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privind</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monitorizare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raportare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verificare</w:t>
            </w:r>
            <w:proofErr w:type="spellEnd"/>
            <w:r w:rsidRPr="00DB61E1">
              <w:rPr>
                <w:rFonts w:ascii="Times New Roman" w:hAnsi="Times New Roman"/>
                <w:color w:val="000000" w:themeColor="text1"/>
                <w:sz w:val="20"/>
                <w:szCs w:val="20"/>
              </w:rPr>
              <w:t xml:space="preserve"> </w:t>
            </w:r>
            <w:proofErr w:type="gramStart"/>
            <w:r w:rsidRPr="00DB61E1">
              <w:rPr>
                <w:rFonts w:ascii="Times New Roman" w:hAnsi="Times New Roman"/>
                <w:color w:val="000000" w:themeColor="text1"/>
                <w:sz w:val="20"/>
                <w:szCs w:val="20"/>
              </w:rPr>
              <w:t>a</w:t>
            </w:r>
            <w:proofErr w:type="gram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emisiilor</w:t>
            </w:r>
            <w:proofErr w:type="spellEnd"/>
            <w:r w:rsidRPr="00DB61E1">
              <w:rPr>
                <w:rFonts w:ascii="Times New Roman" w:hAnsi="Times New Roman"/>
                <w:color w:val="000000" w:themeColor="text1"/>
                <w:sz w:val="20"/>
                <w:szCs w:val="20"/>
              </w:rPr>
              <w:t xml:space="preserve"> de gaze cu </w:t>
            </w:r>
            <w:proofErr w:type="spellStart"/>
            <w:r w:rsidRPr="00DB61E1">
              <w:rPr>
                <w:rFonts w:ascii="Times New Roman" w:hAnsi="Times New Roman"/>
                <w:color w:val="000000" w:themeColor="text1"/>
                <w:sz w:val="20"/>
                <w:szCs w:val="20"/>
              </w:rPr>
              <w:t>efect</w:t>
            </w:r>
            <w:proofErr w:type="spellEnd"/>
            <w:r w:rsidRPr="00DB61E1">
              <w:rPr>
                <w:rFonts w:ascii="Times New Roman" w:hAnsi="Times New Roman"/>
                <w:color w:val="000000" w:themeColor="text1"/>
                <w:sz w:val="20"/>
                <w:szCs w:val="20"/>
              </w:rPr>
              <w:t xml:space="preserve"> de sera de la </w:t>
            </w:r>
            <w:proofErr w:type="spellStart"/>
            <w:r w:rsidRPr="00DB61E1">
              <w:rPr>
                <w:rFonts w:ascii="Times New Roman" w:hAnsi="Times New Roman"/>
                <w:color w:val="000000" w:themeColor="text1"/>
                <w:sz w:val="20"/>
                <w:szCs w:val="20"/>
              </w:rPr>
              <w:t>instalațiile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staționare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activitățile</w:t>
            </w:r>
            <w:proofErr w:type="spellEnd"/>
            <w:r w:rsidRPr="00DB61E1">
              <w:rPr>
                <w:rFonts w:ascii="Times New Roman" w:hAnsi="Times New Roman"/>
                <w:color w:val="000000" w:themeColor="text1"/>
                <w:sz w:val="20"/>
                <w:szCs w:val="20"/>
              </w:rPr>
              <w:t xml:space="preserve"> din </w:t>
            </w:r>
            <w:proofErr w:type="spellStart"/>
            <w:r w:rsidRPr="00DB61E1">
              <w:rPr>
                <w:rFonts w:ascii="Times New Roman" w:hAnsi="Times New Roman"/>
                <w:color w:val="000000" w:themeColor="text1"/>
                <w:sz w:val="20"/>
                <w:szCs w:val="20"/>
              </w:rPr>
              <w:t>domeniul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aviației</w:t>
            </w:r>
            <w:proofErr w:type="spellEnd"/>
            <w:r w:rsidRPr="00DB61E1">
              <w:rPr>
                <w:rFonts w:ascii="Times New Roman" w:hAnsi="Times New Roman"/>
                <w:color w:val="000000" w:themeColor="text1"/>
                <w:sz w:val="20"/>
                <w:szCs w:val="20"/>
              </w:rPr>
              <w:t>.</w:t>
            </w:r>
          </w:p>
        </w:tc>
        <w:tc>
          <w:tcPr>
            <w:tcW w:w="1464" w:type="dxa"/>
            <w:shd w:val="clear" w:color="auto" w:fill="auto"/>
          </w:tcPr>
          <w:p w14:paraId="08B5D95D" w14:textId="77777777" w:rsidR="00124364" w:rsidRDefault="00124364" w:rsidP="00DB61E1">
            <w:pPr>
              <w:autoSpaceDE w:val="0"/>
              <w:spacing w:after="0" w:line="240" w:lineRule="auto"/>
              <w:rPr>
                <w:rFonts w:ascii="Times New Roman" w:hAnsi="Times New Roman"/>
                <w:sz w:val="20"/>
                <w:szCs w:val="20"/>
                <w:lang w:val="fr-FR"/>
              </w:rPr>
            </w:pPr>
          </w:p>
        </w:tc>
      </w:tr>
      <w:tr w:rsidR="00124364" w14:paraId="24054AB2" w14:textId="77777777">
        <w:trPr>
          <w:trHeight w:val="558"/>
        </w:trPr>
        <w:tc>
          <w:tcPr>
            <w:tcW w:w="4957" w:type="dxa"/>
            <w:shd w:val="clear" w:color="auto" w:fill="auto"/>
          </w:tcPr>
          <w:p w14:paraId="68C9DECD" w14:textId="47B4108C" w:rsidR="00124364" w:rsidRPr="00DB61E1"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B61E1">
              <w:rPr>
                <w:rFonts w:eastAsia="Arial Unicode MS"/>
                <w:i/>
                <w:iCs/>
                <w:color w:val="000000" w:themeColor="text1"/>
                <w:sz w:val="20"/>
                <w:szCs w:val="20"/>
                <w:shd w:val="clear" w:color="auto" w:fill="FFFFFF"/>
                <w:lang w:val="en-US"/>
              </w:rPr>
              <w:t>Articolul</w:t>
            </w:r>
            <w:proofErr w:type="spellEnd"/>
            <w:r w:rsidR="00DB61E1" w:rsidRPr="00DB61E1">
              <w:rPr>
                <w:rFonts w:eastAsia="Arial Unicode MS"/>
                <w:i/>
                <w:iCs/>
                <w:color w:val="000000" w:themeColor="text1"/>
                <w:sz w:val="20"/>
                <w:szCs w:val="20"/>
                <w:shd w:val="clear" w:color="auto" w:fill="FFFFFF"/>
                <w:lang w:val="en-US"/>
              </w:rPr>
              <w:t xml:space="preserve"> </w:t>
            </w:r>
            <w:r w:rsidRPr="00DB61E1">
              <w:rPr>
                <w:rFonts w:eastAsia="Arial Unicode MS"/>
                <w:i/>
                <w:iCs/>
                <w:color w:val="000000" w:themeColor="text1"/>
                <w:sz w:val="20"/>
                <w:szCs w:val="20"/>
                <w:shd w:val="clear" w:color="auto" w:fill="FFFFFF"/>
                <w:lang w:val="en-US"/>
              </w:rPr>
              <w:t>28b</w:t>
            </w:r>
          </w:p>
          <w:p w14:paraId="2375468D" w14:textId="77777777" w:rsidR="00124364" w:rsidRPr="00DB61E1"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DB61E1">
              <w:rPr>
                <w:rFonts w:eastAsia="Arial Unicode MS"/>
                <w:b/>
                <w:bCs/>
                <w:color w:val="000000" w:themeColor="text1"/>
                <w:sz w:val="20"/>
                <w:szCs w:val="20"/>
                <w:shd w:val="clear" w:color="auto" w:fill="FFFFFF"/>
                <w:lang w:val="en-US"/>
              </w:rPr>
              <w:t>Raportarea</w:t>
            </w:r>
            <w:proofErr w:type="spellEnd"/>
            <w:r w:rsidRPr="00DB61E1">
              <w:rPr>
                <w:rFonts w:eastAsia="Arial Unicode MS"/>
                <w:b/>
                <w:bCs/>
                <w:color w:val="000000" w:themeColor="text1"/>
                <w:sz w:val="20"/>
                <w:szCs w:val="20"/>
                <w:shd w:val="clear" w:color="auto" w:fill="FFFFFF"/>
                <w:lang w:val="en-US"/>
              </w:rPr>
              <w:t xml:space="preserve"> și </w:t>
            </w:r>
            <w:proofErr w:type="spellStart"/>
            <w:r w:rsidRPr="00DB61E1">
              <w:rPr>
                <w:rFonts w:eastAsia="Arial Unicode MS"/>
                <w:b/>
                <w:bCs/>
                <w:color w:val="000000" w:themeColor="text1"/>
                <w:sz w:val="20"/>
                <w:szCs w:val="20"/>
                <w:shd w:val="clear" w:color="auto" w:fill="FFFFFF"/>
                <w:lang w:val="en-US"/>
              </w:rPr>
              <w:t>revizuirea</w:t>
            </w:r>
            <w:proofErr w:type="spellEnd"/>
            <w:r w:rsidRPr="00DB61E1">
              <w:rPr>
                <w:rFonts w:eastAsia="Arial Unicode MS"/>
                <w:b/>
                <w:bCs/>
                <w:color w:val="000000" w:themeColor="text1"/>
                <w:sz w:val="20"/>
                <w:szCs w:val="20"/>
                <w:shd w:val="clear" w:color="auto" w:fill="FFFFFF"/>
                <w:lang w:val="en-US"/>
              </w:rPr>
              <w:t xml:space="preserve"> de </w:t>
            </w:r>
            <w:proofErr w:type="spellStart"/>
            <w:r w:rsidRPr="00DB61E1">
              <w:rPr>
                <w:rFonts w:eastAsia="Arial Unicode MS"/>
                <w:b/>
                <w:bCs/>
                <w:color w:val="000000" w:themeColor="text1"/>
                <w:sz w:val="20"/>
                <w:szCs w:val="20"/>
                <w:shd w:val="clear" w:color="auto" w:fill="FFFFFF"/>
                <w:lang w:val="en-US"/>
              </w:rPr>
              <w:t>către</w:t>
            </w:r>
            <w:proofErr w:type="spellEnd"/>
            <w:r w:rsidRPr="00DB61E1">
              <w:rPr>
                <w:rFonts w:eastAsia="Arial Unicode MS"/>
                <w:b/>
                <w:bCs/>
                <w:color w:val="000000" w:themeColor="text1"/>
                <w:sz w:val="20"/>
                <w:szCs w:val="20"/>
                <w:shd w:val="clear" w:color="auto" w:fill="FFFFFF"/>
                <w:lang w:val="en-US"/>
              </w:rPr>
              <w:t xml:space="preserve"> </w:t>
            </w:r>
            <w:proofErr w:type="spellStart"/>
            <w:r w:rsidRPr="00DB61E1">
              <w:rPr>
                <w:rFonts w:eastAsia="Arial Unicode MS"/>
                <w:b/>
                <w:bCs/>
                <w:color w:val="000000" w:themeColor="text1"/>
                <w:sz w:val="20"/>
                <w:szCs w:val="20"/>
                <w:shd w:val="clear" w:color="auto" w:fill="FFFFFF"/>
                <w:lang w:val="en-US"/>
              </w:rPr>
              <w:t>Comisie</w:t>
            </w:r>
            <w:proofErr w:type="spellEnd"/>
            <w:r w:rsidRPr="00DB61E1">
              <w:rPr>
                <w:rFonts w:eastAsia="Arial Unicode MS"/>
                <w:b/>
                <w:bCs/>
                <w:color w:val="000000" w:themeColor="text1"/>
                <w:sz w:val="20"/>
                <w:szCs w:val="20"/>
                <w:shd w:val="clear" w:color="auto" w:fill="FFFFFF"/>
                <w:lang w:val="en-US"/>
              </w:rPr>
              <w:t xml:space="preserve"> </w:t>
            </w:r>
            <w:proofErr w:type="spellStart"/>
            <w:r w:rsidRPr="00DB61E1">
              <w:rPr>
                <w:rFonts w:eastAsia="Arial Unicode MS"/>
                <w:b/>
                <w:bCs/>
                <w:color w:val="000000" w:themeColor="text1"/>
                <w:sz w:val="20"/>
                <w:szCs w:val="20"/>
                <w:shd w:val="clear" w:color="auto" w:fill="FFFFFF"/>
                <w:lang w:val="en-US"/>
              </w:rPr>
              <w:t>privind</w:t>
            </w:r>
            <w:proofErr w:type="spellEnd"/>
            <w:r w:rsidRPr="00DB61E1">
              <w:rPr>
                <w:rFonts w:eastAsia="Arial Unicode MS"/>
                <w:b/>
                <w:bCs/>
                <w:color w:val="000000" w:themeColor="text1"/>
                <w:sz w:val="20"/>
                <w:szCs w:val="20"/>
                <w:shd w:val="clear" w:color="auto" w:fill="FFFFFF"/>
                <w:lang w:val="en-US"/>
              </w:rPr>
              <w:t xml:space="preserve"> </w:t>
            </w:r>
            <w:proofErr w:type="spellStart"/>
            <w:r w:rsidRPr="00DB61E1">
              <w:rPr>
                <w:rFonts w:eastAsia="Arial Unicode MS"/>
                <w:b/>
                <w:bCs/>
                <w:color w:val="000000" w:themeColor="text1"/>
                <w:sz w:val="20"/>
                <w:szCs w:val="20"/>
                <w:shd w:val="clear" w:color="auto" w:fill="FFFFFF"/>
                <w:lang w:val="en-US"/>
              </w:rPr>
              <w:t>punerea</w:t>
            </w:r>
            <w:proofErr w:type="spellEnd"/>
            <w:r w:rsidRPr="00DB61E1">
              <w:rPr>
                <w:rFonts w:eastAsia="Arial Unicode MS"/>
                <w:b/>
                <w:bCs/>
                <w:color w:val="000000" w:themeColor="text1"/>
                <w:sz w:val="20"/>
                <w:szCs w:val="20"/>
                <w:shd w:val="clear" w:color="auto" w:fill="FFFFFF"/>
                <w:lang w:val="en-US"/>
              </w:rPr>
              <w:t xml:space="preserve"> în </w:t>
            </w:r>
            <w:proofErr w:type="spellStart"/>
            <w:r w:rsidRPr="00DB61E1">
              <w:rPr>
                <w:rFonts w:eastAsia="Arial Unicode MS"/>
                <w:b/>
                <w:bCs/>
                <w:color w:val="000000" w:themeColor="text1"/>
                <w:sz w:val="20"/>
                <w:szCs w:val="20"/>
                <w:shd w:val="clear" w:color="auto" w:fill="FFFFFF"/>
                <w:lang w:val="en-US"/>
              </w:rPr>
              <w:t>aplicare</w:t>
            </w:r>
            <w:proofErr w:type="spellEnd"/>
            <w:r w:rsidRPr="00DB61E1">
              <w:rPr>
                <w:rFonts w:eastAsia="Arial Unicode MS"/>
                <w:b/>
                <w:bCs/>
                <w:color w:val="000000" w:themeColor="text1"/>
                <w:sz w:val="20"/>
                <w:szCs w:val="20"/>
                <w:shd w:val="clear" w:color="auto" w:fill="FFFFFF"/>
                <w:lang w:val="en-US"/>
              </w:rPr>
              <w:t xml:space="preserve"> a </w:t>
            </w:r>
            <w:proofErr w:type="spellStart"/>
            <w:r w:rsidRPr="00DB61E1">
              <w:rPr>
                <w:rFonts w:eastAsia="Arial Unicode MS"/>
                <w:b/>
                <w:bCs/>
                <w:color w:val="000000" w:themeColor="text1"/>
                <w:sz w:val="20"/>
                <w:szCs w:val="20"/>
                <w:shd w:val="clear" w:color="auto" w:fill="FFFFFF"/>
                <w:lang w:val="en-US"/>
              </w:rPr>
              <w:t>măsurii</w:t>
            </w:r>
            <w:proofErr w:type="spellEnd"/>
            <w:r w:rsidRPr="00DB61E1">
              <w:rPr>
                <w:rFonts w:eastAsia="Arial Unicode MS"/>
                <w:b/>
                <w:bCs/>
                <w:color w:val="000000" w:themeColor="text1"/>
                <w:sz w:val="20"/>
                <w:szCs w:val="20"/>
                <w:shd w:val="clear" w:color="auto" w:fill="FFFFFF"/>
                <w:lang w:val="en-US"/>
              </w:rPr>
              <w:t xml:space="preserve"> </w:t>
            </w:r>
            <w:proofErr w:type="spellStart"/>
            <w:r w:rsidRPr="00DB61E1">
              <w:rPr>
                <w:rFonts w:eastAsia="Arial Unicode MS"/>
                <w:b/>
                <w:bCs/>
                <w:color w:val="000000" w:themeColor="text1"/>
                <w:sz w:val="20"/>
                <w:szCs w:val="20"/>
                <w:shd w:val="clear" w:color="auto" w:fill="FFFFFF"/>
                <w:lang w:val="en-US"/>
              </w:rPr>
              <w:t>globale</w:t>
            </w:r>
            <w:proofErr w:type="spellEnd"/>
            <w:r w:rsidRPr="00DB61E1">
              <w:rPr>
                <w:rFonts w:eastAsia="Arial Unicode MS"/>
                <w:b/>
                <w:bCs/>
                <w:color w:val="000000" w:themeColor="text1"/>
                <w:sz w:val="20"/>
                <w:szCs w:val="20"/>
                <w:shd w:val="clear" w:color="auto" w:fill="FFFFFF"/>
                <w:lang w:val="en-US"/>
              </w:rPr>
              <w:t xml:space="preserve"> </w:t>
            </w:r>
            <w:proofErr w:type="spellStart"/>
            <w:r w:rsidRPr="00DB61E1">
              <w:rPr>
                <w:rFonts w:eastAsia="Arial Unicode MS"/>
                <w:b/>
                <w:bCs/>
                <w:color w:val="000000" w:themeColor="text1"/>
                <w:sz w:val="20"/>
                <w:szCs w:val="20"/>
                <w:shd w:val="clear" w:color="auto" w:fill="FFFFFF"/>
                <w:lang w:val="en-US"/>
              </w:rPr>
              <w:t>bazate</w:t>
            </w:r>
            <w:proofErr w:type="spellEnd"/>
            <w:r w:rsidRPr="00DB61E1">
              <w:rPr>
                <w:rFonts w:eastAsia="Arial Unicode MS"/>
                <w:b/>
                <w:bCs/>
                <w:color w:val="000000" w:themeColor="text1"/>
                <w:sz w:val="20"/>
                <w:szCs w:val="20"/>
                <w:shd w:val="clear" w:color="auto" w:fill="FFFFFF"/>
                <w:lang w:val="en-US"/>
              </w:rPr>
              <w:t xml:space="preserve"> pe </w:t>
            </w:r>
            <w:proofErr w:type="spellStart"/>
            <w:r w:rsidRPr="00DB61E1">
              <w:rPr>
                <w:rFonts w:eastAsia="Arial Unicode MS"/>
                <w:b/>
                <w:bCs/>
                <w:color w:val="000000" w:themeColor="text1"/>
                <w:sz w:val="20"/>
                <w:szCs w:val="20"/>
                <w:shd w:val="clear" w:color="auto" w:fill="FFFFFF"/>
                <w:lang w:val="en-US"/>
              </w:rPr>
              <w:t>piață</w:t>
            </w:r>
            <w:proofErr w:type="spellEnd"/>
            <w:r w:rsidRPr="00DB61E1">
              <w:rPr>
                <w:rFonts w:eastAsia="Arial Unicode MS"/>
                <w:b/>
                <w:bCs/>
                <w:color w:val="000000" w:themeColor="text1"/>
                <w:sz w:val="20"/>
                <w:szCs w:val="20"/>
                <w:shd w:val="clear" w:color="auto" w:fill="FFFFFF"/>
                <w:lang w:val="en-US"/>
              </w:rPr>
              <w:t xml:space="preserve"> </w:t>
            </w:r>
            <w:proofErr w:type="gramStart"/>
            <w:r w:rsidRPr="00DB61E1">
              <w:rPr>
                <w:rFonts w:eastAsia="Arial Unicode MS"/>
                <w:b/>
                <w:bCs/>
                <w:color w:val="000000" w:themeColor="text1"/>
                <w:sz w:val="20"/>
                <w:szCs w:val="20"/>
                <w:shd w:val="clear" w:color="auto" w:fill="FFFFFF"/>
                <w:lang w:val="en-US"/>
              </w:rPr>
              <w:t>a</w:t>
            </w:r>
            <w:proofErr w:type="gramEnd"/>
            <w:r w:rsidRPr="00DB61E1">
              <w:rPr>
                <w:rFonts w:eastAsia="Arial Unicode MS"/>
                <w:b/>
                <w:bCs/>
                <w:color w:val="000000" w:themeColor="text1"/>
                <w:sz w:val="20"/>
                <w:szCs w:val="20"/>
                <w:shd w:val="clear" w:color="auto" w:fill="FFFFFF"/>
                <w:lang w:val="en-US"/>
              </w:rPr>
              <w:t xml:space="preserve"> OACI</w:t>
            </w:r>
          </w:p>
          <w:p w14:paraId="65204E29" w14:textId="29538A9B" w:rsidR="00124364" w:rsidRPr="00DB61E1" w:rsidRDefault="00000000" w:rsidP="00DB61E1">
            <w:pPr>
              <w:pStyle w:val="ti-art"/>
              <w:numPr>
                <w:ilvl w:val="0"/>
                <w:numId w:val="12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Înainte</w:t>
            </w:r>
            <w:proofErr w:type="spellEnd"/>
            <w:r w:rsidRPr="00DB61E1">
              <w:rPr>
                <w:rFonts w:eastAsia="Arial Unicode MS"/>
                <w:color w:val="000000" w:themeColor="text1"/>
                <w:sz w:val="20"/>
                <w:szCs w:val="20"/>
                <w:shd w:val="clear" w:color="auto" w:fill="FFFFFF"/>
                <w:lang w:val="en-US"/>
              </w:rPr>
              <w:t xml:space="preserve"> de 1</w:t>
            </w:r>
            <w:r w:rsidR="00DB61E1"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ianuarie</w:t>
            </w:r>
            <w:proofErr w:type="spellEnd"/>
            <w:r w:rsidRPr="00DB61E1">
              <w:rPr>
                <w:rFonts w:eastAsia="Arial Unicode MS"/>
                <w:color w:val="000000" w:themeColor="text1"/>
                <w:sz w:val="20"/>
                <w:szCs w:val="20"/>
                <w:shd w:val="clear" w:color="auto" w:fill="FFFFFF"/>
                <w:lang w:val="en-US"/>
              </w:rPr>
              <w:t xml:space="preserve"> 2027 și, ulterior, o </w:t>
            </w:r>
            <w:proofErr w:type="spellStart"/>
            <w:r w:rsidRPr="00DB61E1">
              <w:rPr>
                <w:rFonts w:eastAsia="Arial Unicode MS"/>
                <w:color w:val="000000" w:themeColor="text1"/>
                <w:sz w:val="20"/>
                <w:szCs w:val="20"/>
                <w:shd w:val="clear" w:color="auto" w:fill="FFFFFF"/>
                <w:lang w:val="en-US"/>
              </w:rPr>
              <w:t>dată</w:t>
            </w:r>
            <w:proofErr w:type="spellEnd"/>
            <w:r w:rsidRPr="00DB61E1">
              <w:rPr>
                <w:rFonts w:eastAsia="Arial Unicode MS"/>
                <w:color w:val="000000" w:themeColor="text1"/>
                <w:sz w:val="20"/>
                <w:szCs w:val="20"/>
                <w:shd w:val="clear" w:color="auto" w:fill="FFFFFF"/>
                <w:lang w:val="en-US"/>
              </w:rPr>
              <w:t xml:space="preserve"> la </w:t>
            </w:r>
            <w:proofErr w:type="spellStart"/>
            <w:r w:rsidRPr="00DB61E1">
              <w:rPr>
                <w:rFonts w:eastAsia="Arial Unicode MS"/>
                <w:color w:val="000000" w:themeColor="text1"/>
                <w:sz w:val="20"/>
                <w:szCs w:val="20"/>
                <w:shd w:val="clear" w:color="auto" w:fill="FFFFFF"/>
                <w:lang w:val="en-US"/>
              </w:rPr>
              <w:t>trei</w:t>
            </w:r>
            <w:proofErr w:type="spellEnd"/>
            <w:r w:rsidRPr="00DB61E1">
              <w:rPr>
                <w:rFonts w:eastAsia="Arial Unicode MS"/>
                <w:color w:val="000000" w:themeColor="text1"/>
                <w:sz w:val="20"/>
                <w:szCs w:val="20"/>
                <w:shd w:val="clear" w:color="auto" w:fill="FFFFFF"/>
                <w:lang w:val="en-US"/>
              </w:rPr>
              <w:t xml:space="preserve"> ani, </w:t>
            </w:r>
            <w:proofErr w:type="spellStart"/>
            <w:r w:rsidRPr="00DB61E1">
              <w:rPr>
                <w:rFonts w:eastAsia="Arial Unicode MS"/>
                <w:color w:val="000000" w:themeColor="text1"/>
                <w:sz w:val="20"/>
                <w:szCs w:val="20"/>
                <w:shd w:val="clear" w:color="auto" w:fill="FFFFFF"/>
                <w:lang w:val="en-US"/>
              </w:rPr>
              <w:t>Comisia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raportează</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Parlamentului</w:t>
            </w:r>
            <w:proofErr w:type="spellEnd"/>
            <w:r w:rsidRPr="00DB61E1">
              <w:rPr>
                <w:rFonts w:eastAsia="Arial Unicode MS"/>
                <w:color w:val="000000" w:themeColor="text1"/>
                <w:sz w:val="20"/>
                <w:szCs w:val="20"/>
                <w:shd w:val="clear" w:color="auto" w:fill="FFFFFF"/>
                <w:lang w:val="en-US"/>
              </w:rPr>
              <w:t xml:space="preserve"> European și </w:t>
            </w:r>
            <w:proofErr w:type="spellStart"/>
            <w:r w:rsidRPr="00DB61E1">
              <w:rPr>
                <w:rFonts w:eastAsia="Arial Unicode MS"/>
                <w:color w:val="000000" w:themeColor="text1"/>
                <w:sz w:val="20"/>
                <w:szCs w:val="20"/>
                <w:shd w:val="clear" w:color="auto" w:fill="FFFFFF"/>
                <w:lang w:val="en-US"/>
              </w:rPr>
              <w:t>Consiliului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privind</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progresele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negocierilor</w:t>
            </w:r>
            <w:proofErr w:type="spellEnd"/>
            <w:r w:rsidRPr="00DB61E1">
              <w:rPr>
                <w:rFonts w:eastAsia="Arial Unicode MS"/>
                <w:color w:val="000000" w:themeColor="text1"/>
                <w:sz w:val="20"/>
                <w:szCs w:val="20"/>
                <w:shd w:val="clear" w:color="auto" w:fill="FFFFFF"/>
                <w:lang w:val="en-US"/>
              </w:rPr>
              <w:t xml:space="preserve"> din </w:t>
            </w:r>
            <w:proofErr w:type="spellStart"/>
            <w:r w:rsidRPr="00DB61E1">
              <w:rPr>
                <w:rFonts w:eastAsia="Arial Unicode MS"/>
                <w:color w:val="000000" w:themeColor="text1"/>
                <w:sz w:val="20"/>
                <w:szCs w:val="20"/>
                <w:shd w:val="clear" w:color="auto" w:fill="FFFFFF"/>
                <w:lang w:val="en-US"/>
              </w:rPr>
              <w:t>cadrul</w:t>
            </w:r>
            <w:proofErr w:type="spellEnd"/>
            <w:r w:rsidRPr="00DB61E1">
              <w:rPr>
                <w:rFonts w:eastAsia="Arial Unicode MS"/>
                <w:color w:val="000000" w:themeColor="text1"/>
                <w:sz w:val="20"/>
                <w:szCs w:val="20"/>
                <w:shd w:val="clear" w:color="auto" w:fill="FFFFFF"/>
                <w:lang w:val="en-US"/>
              </w:rPr>
              <w:t xml:space="preserve"> OACI de </w:t>
            </w:r>
            <w:proofErr w:type="spellStart"/>
            <w:r w:rsidRPr="00DB61E1">
              <w:rPr>
                <w:rFonts w:eastAsia="Arial Unicode MS"/>
                <w:color w:val="000000" w:themeColor="text1"/>
                <w:sz w:val="20"/>
                <w:szCs w:val="20"/>
                <w:shd w:val="clear" w:color="auto" w:fill="FFFFFF"/>
                <w:lang w:val="en-US"/>
              </w:rPr>
              <w:t>punere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aplicare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măsurii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globale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bazate</w:t>
            </w:r>
            <w:proofErr w:type="spellEnd"/>
            <w:r w:rsidRPr="00DB61E1">
              <w:rPr>
                <w:rFonts w:eastAsia="Arial Unicode MS"/>
                <w:color w:val="000000" w:themeColor="text1"/>
                <w:sz w:val="20"/>
                <w:szCs w:val="20"/>
                <w:shd w:val="clear" w:color="auto" w:fill="FFFFFF"/>
                <w:lang w:val="en-US"/>
              </w:rPr>
              <w:t xml:space="preserve"> pe </w:t>
            </w:r>
            <w:proofErr w:type="spellStart"/>
            <w:r w:rsidRPr="00DB61E1">
              <w:rPr>
                <w:rFonts w:eastAsia="Arial Unicode MS"/>
                <w:color w:val="000000" w:themeColor="text1"/>
                <w:sz w:val="20"/>
                <w:szCs w:val="20"/>
                <w:shd w:val="clear" w:color="auto" w:fill="FFFFFF"/>
                <w:lang w:val="en-US"/>
              </w:rPr>
              <w:t>piață</w:t>
            </w:r>
            <w:proofErr w:type="spellEnd"/>
            <w:r w:rsidRPr="00DB61E1">
              <w:rPr>
                <w:rFonts w:eastAsia="Arial Unicode MS"/>
                <w:color w:val="000000" w:themeColor="text1"/>
                <w:sz w:val="20"/>
                <w:szCs w:val="20"/>
                <w:shd w:val="clear" w:color="auto" w:fill="FFFFFF"/>
                <w:lang w:val="en-US"/>
              </w:rPr>
              <w:t xml:space="preserve"> care se </w:t>
            </w:r>
            <w:proofErr w:type="spellStart"/>
            <w:r w:rsidRPr="00DB61E1">
              <w:rPr>
                <w:rFonts w:eastAsia="Arial Unicode MS"/>
                <w:color w:val="000000" w:themeColor="text1"/>
                <w:sz w:val="20"/>
                <w:szCs w:val="20"/>
                <w:shd w:val="clear" w:color="auto" w:fill="FFFFFF"/>
                <w:lang w:val="en-US"/>
              </w:rPr>
              <w:t>va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aplica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emisiilor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începând</w:t>
            </w:r>
            <w:proofErr w:type="spellEnd"/>
            <w:r w:rsidRPr="00DB61E1">
              <w:rPr>
                <w:rFonts w:eastAsia="Arial Unicode MS"/>
                <w:color w:val="000000" w:themeColor="text1"/>
                <w:sz w:val="20"/>
                <w:szCs w:val="20"/>
                <w:shd w:val="clear" w:color="auto" w:fill="FFFFFF"/>
                <w:lang w:val="en-US"/>
              </w:rPr>
              <w:t xml:space="preserve"> din 2021, în special cu </w:t>
            </w:r>
            <w:proofErr w:type="spellStart"/>
            <w:r w:rsidRPr="00DB61E1">
              <w:rPr>
                <w:rFonts w:eastAsia="Arial Unicode MS"/>
                <w:color w:val="000000" w:themeColor="text1"/>
                <w:sz w:val="20"/>
                <w:szCs w:val="20"/>
                <w:shd w:val="clear" w:color="auto" w:fill="FFFFFF"/>
                <w:lang w:val="en-US"/>
              </w:rPr>
              <w:t>privire</w:t>
            </w:r>
            <w:proofErr w:type="spellEnd"/>
            <w:r w:rsidRPr="00DB61E1">
              <w:rPr>
                <w:rFonts w:eastAsia="Arial Unicode MS"/>
                <w:color w:val="000000" w:themeColor="text1"/>
                <w:sz w:val="20"/>
                <w:szCs w:val="20"/>
                <w:shd w:val="clear" w:color="auto" w:fill="FFFFFF"/>
                <w:lang w:val="en-US"/>
              </w:rPr>
              <w:t xml:space="preserve"> la:</w:t>
            </w:r>
          </w:p>
          <w:p w14:paraId="23636AEA" w14:textId="637A7132" w:rsidR="00124364" w:rsidRPr="00DB61E1" w:rsidRDefault="00000000" w:rsidP="00DB61E1">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B61E1">
              <w:rPr>
                <w:rFonts w:eastAsia="Arial Unicode MS"/>
                <w:color w:val="000000" w:themeColor="text1"/>
                <w:sz w:val="20"/>
                <w:szCs w:val="20"/>
                <w:shd w:val="clear" w:color="auto" w:fill="FFFFFF"/>
                <w:lang w:val="en-US"/>
              </w:rPr>
              <w:t>instrumentele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relevante</w:t>
            </w:r>
            <w:proofErr w:type="spellEnd"/>
            <w:r w:rsidRPr="00DB61E1">
              <w:rPr>
                <w:rFonts w:eastAsia="Arial Unicode MS"/>
                <w:color w:val="000000" w:themeColor="text1"/>
                <w:sz w:val="20"/>
                <w:szCs w:val="20"/>
                <w:shd w:val="clear" w:color="auto" w:fill="FFFFFF"/>
                <w:lang w:val="en-US"/>
              </w:rPr>
              <w:t xml:space="preserve"> ale OACI, </w:t>
            </w:r>
            <w:proofErr w:type="spellStart"/>
            <w:r w:rsidRPr="00DB61E1">
              <w:rPr>
                <w:rFonts w:eastAsia="Arial Unicode MS"/>
                <w:color w:val="000000" w:themeColor="text1"/>
                <w:sz w:val="20"/>
                <w:szCs w:val="20"/>
                <w:shd w:val="clear" w:color="auto" w:fill="FFFFFF"/>
                <w:lang w:val="en-US"/>
              </w:rPr>
              <w:t>inclusiv</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standardele</w:t>
            </w:r>
            <w:proofErr w:type="spellEnd"/>
            <w:r w:rsidRPr="00DB61E1">
              <w:rPr>
                <w:rFonts w:eastAsia="Arial Unicode MS"/>
                <w:color w:val="000000" w:themeColor="text1"/>
                <w:sz w:val="20"/>
                <w:szCs w:val="20"/>
                <w:shd w:val="clear" w:color="auto" w:fill="FFFFFF"/>
                <w:lang w:val="en-US"/>
              </w:rPr>
              <w:t xml:space="preserve"> și </w:t>
            </w:r>
            <w:proofErr w:type="spellStart"/>
            <w:r w:rsidRPr="00DB61E1">
              <w:rPr>
                <w:rFonts w:eastAsia="Arial Unicode MS"/>
                <w:color w:val="000000" w:themeColor="text1"/>
                <w:sz w:val="20"/>
                <w:szCs w:val="20"/>
                <w:shd w:val="clear" w:color="auto" w:fill="FFFFFF"/>
                <w:lang w:val="en-US"/>
              </w:rPr>
              <w:t>practicile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recomandate</w:t>
            </w:r>
            <w:proofErr w:type="spellEnd"/>
            <w:r w:rsidRPr="00DB61E1">
              <w:rPr>
                <w:rFonts w:eastAsia="Arial Unicode MS"/>
                <w:color w:val="000000" w:themeColor="text1"/>
                <w:sz w:val="20"/>
                <w:szCs w:val="20"/>
                <w:shd w:val="clear" w:color="auto" w:fill="FFFFFF"/>
                <w:lang w:val="en-US"/>
              </w:rPr>
              <w:t xml:space="preserve">, precum și </w:t>
            </w:r>
            <w:proofErr w:type="spellStart"/>
            <w:r w:rsidRPr="00DB61E1">
              <w:rPr>
                <w:rFonts w:eastAsia="Arial Unicode MS"/>
                <w:color w:val="000000" w:themeColor="text1"/>
                <w:sz w:val="20"/>
                <w:szCs w:val="20"/>
                <w:shd w:val="clear" w:color="auto" w:fill="FFFFFF"/>
                <w:lang w:val="en-US"/>
              </w:rPr>
              <w:t>progresele</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înregistrate</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punerea</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aplicare</w:t>
            </w:r>
            <w:proofErr w:type="spellEnd"/>
            <w:r w:rsidRPr="00DB61E1">
              <w:rPr>
                <w:rFonts w:eastAsia="Arial Unicode MS"/>
                <w:color w:val="000000" w:themeColor="text1"/>
                <w:sz w:val="20"/>
                <w:szCs w:val="20"/>
                <w:shd w:val="clear" w:color="auto" w:fill="FFFFFF"/>
                <w:lang w:val="en-US"/>
              </w:rPr>
              <w:t xml:space="preserve"> a </w:t>
            </w:r>
            <w:proofErr w:type="spellStart"/>
            <w:r w:rsidRPr="00DB61E1">
              <w:rPr>
                <w:rFonts w:eastAsia="Arial Unicode MS"/>
                <w:color w:val="000000" w:themeColor="text1"/>
                <w:sz w:val="20"/>
                <w:szCs w:val="20"/>
                <w:shd w:val="clear" w:color="auto" w:fill="FFFFFF"/>
                <w:lang w:val="en-US"/>
              </w:rPr>
              <w:t>tuturor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elementelor</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pachetului</w:t>
            </w:r>
            <w:proofErr w:type="spellEnd"/>
            <w:r w:rsidRPr="00DB61E1">
              <w:rPr>
                <w:rFonts w:eastAsia="Arial Unicode MS"/>
                <w:color w:val="000000" w:themeColor="text1"/>
                <w:sz w:val="20"/>
                <w:szCs w:val="20"/>
                <w:shd w:val="clear" w:color="auto" w:fill="FFFFFF"/>
                <w:lang w:val="en-US"/>
              </w:rPr>
              <w:t xml:space="preserve"> de </w:t>
            </w:r>
            <w:proofErr w:type="spellStart"/>
            <w:r w:rsidRPr="00DB61E1">
              <w:rPr>
                <w:rFonts w:eastAsia="Arial Unicode MS"/>
                <w:color w:val="000000" w:themeColor="text1"/>
                <w:sz w:val="20"/>
                <w:szCs w:val="20"/>
                <w:shd w:val="clear" w:color="auto" w:fill="FFFFFF"/>
                <w:lang w:val="en-US"/>
              </w:rPr>
              <w:t>măsuri</w:t>
            </w:r>
            <w:proofErr w:type="spellEnd"/>
            <w:r w:rsidRPr="00DB61E1">
              <w:rPr>
                <w:rFonts w:eastAsia="Arial Unicode MS"/>
                <w:color w:val="000000" w:themeColor="text1"/>
                <w:sz w:val="20"/>
                <w:szCs w:val="20"/>
                <w:shd w:val="clear" w:color="auto" w:fill="FFFFFF"/>
                <w:lang w:val="en-US"/>
              </w:rPr>
              <w:t xml:space="preserve"> al OACI în </w:t>
            </w:r>
            <w:proofErr w:type="spellStart"/>
            <w:r w:rsidRPr="00DB61E1">
              <w:rPr>
                <w:rFonts w:eastAsia="Arial Unicode MS"/>
                <w:color w:val="000000" w:themeColor="text1"/>
                <w:sz w:val="20"/>
                <w:szCs w:val="20"/>
                <w:shd w:val="clear" w:color="auto" w:fill="FFFFFF"/>
                <w:lang w:val="en-US"/>
              </w:rPr>
              <w:t>vederea</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atingerii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obiectivului</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ambițios</w:t>
            </w:r>
            <w:proofErr w:type="spellEnd"/>
            <w:r w:rsidRPr="00DB61E1">
              <w:rPr>
                <w:rFonts w:eastAsia="Arial Unicode MS"/>
                <w:color w:val="000000" w:themeColor="text1"/>
                <w:sz w:val="20"/>
                <w:szCs w:val="20"/>
                <w:shd w:val="clear" w:color="auto" w:fill="FFFFFF"/>
                <w:lang w:val="en-US"/>
              </w:rPr>
              <w:t xml:space="preserve"> global pe termen lung </w:t>
            </w:r>
            <w:proofErr w:type="spellStart"/>
            <w:r w:rsidRPr="00DB61E1">
              <w:rPr>
                <w:rFonts w:eastAsia="Arial Unicode MS"/>
                <w:color w:val="000000" w:themeColor="text1"/>
                <w:sz w:val="20"/>
                <w:szCs w:val="20"/>
                <w:shd w:val="clear" w:color="auto" w:fill="FFFFFF"/>
                <w:lang w:val="en-US"/>
              </w:rPr>
              <w:t>adoptat</w:t>
            </w:r>
            <w:proofErr w:type="spellEnd"/>
            <w:r w:rsidRPr="00DB61E1">
              <w:rPr>
                <w:rFonts w:eastAsia="Arial Unicode MS"/>
                <w:color w:val="000000" w:themeColor="text1"/>
                <w:sz w:val="20"/>
                <w:szCs w:val="20"/>
                <w:shd w:val="clear" w:color="auto" w:fill="FFFFFF"/>
                <w:lang w:val="en-US"/>
              </w:rPr>
              <w:t xml:space="preserve"> în </w:t>
            </w:r>
            <w:proofErr w:type="spellStart"/>
            <w:r w:rsidRPr="00DB61E1">
              <w:rPr>
                <w:rFonts w:eastAsia="Arial Unicode MS"/>
                <w:color w:val="000000" w:themeColor="text1"/>
                <w:sz w:val="20"/>
                <w:szCs w:val="20"/>
                <w:shd w:val="clear" w:color="auto" w:fill="FFFFFF"/>
                <w:lang w:val="en-US"/>
              </w:rPr>
              <w:t>cadrul</w:t>
            </w:r>
            <w:proofErr w:type="spellEnd"/>
            <w:r w:rsidRPr="00DB61E1">
              <w:rPr>
                <w:rFonts w:eastAsia="Arial Unicode MS"/>
                <w:color w:val="000000" w:themeColor="text1"/>
                <w:sz w:val="20"/>
                <w:szCs w:val="20"/>
                <w:shd w:val="clear" w:color="auto" w:fill="FFFFFF"/>
                <w:lang w:val="en-US"/>
              </w:rPr>
              <w:t xml:space="preserve"> </w:t>
            </w:r>
            <w:proofErr w:type="spellStart"/>
            <w:r w:rsidRPr="00DB61E1">
              <w:rPr>
                <w:rFonts w:eastAsia="Arial Unicode MS"/>
                <w:color w:val="000000" w:themeColor="text1"/>
                <w:sz w:val="20"/>
                <w:szCs w:val="20"/>
                <w:shd w:val="clear" w:color="auto" w:fill="FFFFFF"/>
                <w:lang w:val="en-US"/>
              </w:rPr>
              <w:t>celei</w:t>
            </w:r>
            <w:proofErr w:type="spellEnd"/>
            <w:r w:rsidRPr="00DB61E1">
              <w:rPr>
                <w:rFonts w:eastAsia="Arial Unicode MS"/>
                <w:color w:val="000000" w:themeColor="text1"/>
                <w:sz w:val="20"/>
                <w:szCs w:val="20"/>
                <w:shd w:val="clear" w:color="auto" w:fill="FFFFFF"/>
                <w:lang w:val="en-US"/>
              </w:rPr>
              <w:t xml:space="preserve"> de a</w:t>
            </w:r>
            <w:r w:rsidR="00DB61E1" w:rsidRPr="00DB61E1">
              <w:rPr>
                <w:rFonts w:eastAsia="Arial Unicode MS"/>
                <w:color w:val="000000" w:themeColor="text1"/>
                <w:sz w:val="20"/>
                <w:szCs w:val="20"/>
                <w:shd w:val="clear" w:color="auto" w:fill="FFFFFF"/>
                <w:lang w:val="en-US"/>
              </w:rPr>
              <w:t xml:space="preserve"> </w:t>
            </w:r>
            <w:r w:rsidRPr="00DB61E1">
              <w:rPr>
                <w:rFonts w:eastAsia="Arial Unicode MS"/>
                <w:color w:val="000000" w:themeColor="text1"/>
                <w:sz w:val="20"/>
                <w:szCs w:val="20"/>
                <w:shd w:val="clear" w:color="auto" w:fill="FFFFFF"/>
                <w:lang w:val="en-US"/>
              </w:rPr>
              <w:t xml:space="preserve">41-a </w:t>
            </w:r>
            <w:proofErr w:type="spellStart"/>
            <w:r w:rsidRPr="00DB61E1">
              <w:rPr>
                <w:rFonts w:eastAsia="Arial Unicode MS"/>
                <w:color w:val="000000" w:themeColor="text1"/>
                <w:sz w:val="20"/>
                <w:szCs w:val="20"/>
                <w:shd w:val="clear" w:color="auto" w:fill="FFFFFF"/>
                <w:lang w:val="en-US"/>
              </w:rPr>
              <w:t>Adunări</w:t>
            </w:r>
            <w:proofErr w:type="spellEnd"/>
            <w:r w:rsidRPr="00DB61E1">
              <w:rPr>
                <w:rFonts w:eastAsia="Arial Unicode MS"/>
                <w:color w:val="000000" w:themeColor="text1"/>
                <w:sz w:val="20"/>
                <w:szCs w:val="20"/>
                <w:shd w:val="clear" w:color="auto" w:fill="FFFFFF"/>
                <w:lang w:val="en-US"/>
              </w:rPr>
              <w:t xml:space="preserve"> </w:t>
            </w:r>
            <w:proofErr w:type="gramStart"/>
            <w:r w:rsidRPr="00DB61E1">
              <w:rPr>
                <w:rFonts w:eastAsia="Arial Unicode MS"/>
                <w:color w:val="000000" w:themeColor="text1"/>
                <w:sz w:val="20"/>
                <w:szCs w:val="20"/>
                <w:shd w:val="clear" w:color="auto" w:fill="FFFFFF"/>
                <w:lang w:val="en-US"/>
              </w:rPr>
              <w:t>a</w:t>
            </w:r>
            <w:proofErr w:type="gramEnd"/>
            <w:r w:rsidRPr="00DB61E1">
              <w:rPr>
                <w:rFonts w:eastAsia="Arial Unicode MS"/>
                <w:color w:val="000000" w:themeColor="text1"/>
                <w:sz w:val="20"/>
                <w:szCs w:val="20"/>
                <w:shd w:val="clear" w:color="auto" w:fill="FFFFFF"/>
                <w:lang w:val="en-US"/>
              </w:rPr>
              <w:t xml:space="preserve"> OACI;</w:t>
            </w:r>
          </w:p>
          <w:p w14:paraId="38095BB0" w14:textId="77777777" w:rsidR="00124364" w:rsidRPr="004324CB" w:rsidRDefault="00000000" w:rsidP="004324CB">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recomandările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aprobate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Consiliul</w:t>
            </w:r>
            <w:proofErr w:type="spellEnd"/>
            <w:r w:rsidRPr="004324CB">
              <w:rPr>
                <w:rFonts w:eastAsia="Arial Unicode MS"/>
                <w:color w:val="000000" w:themeColor="text1"/>
                <w:sz w:val="20"/>
                <w:szCs w:val="20"/>
                <w:shd w:val="clear" w:color="auto" w:fill="FFFFFF"/>
                <w:lang w:val="en-US"/>
              </w:rPr>
              <w:t xml:space="preserve"> OACI, </w:t>
            </w:r>
            <w:proofErr w:type="spellStart"/>
            <w:r w:rsidRPr="004324CB">
              <w:rPr>
                <w:rFonts w:eastAsia="Arial Unicode MS"/>
                <w:color w:val="000000" w:themeColor="text1"/>
                <w:sz w:val="20"/>
                <w:szCs w:val="20"/>
                <w:shd w:val="clear" w:color="auto" w:fill="FFFFFF"/>
                <w:lang w:val="en-US"/>
              </w:rPr>
              <w:t>relevante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măsura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globală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bazată</w:t>
            </w:r>
            <w:proofErr w:type="spellEnd"/>
            <w:r w:rsidRPr="004324CB">
              <w:rPr>
                <w:rFonts w:eastAsia="Arial Unicode MS"/>
                <w:color w:val="000000" w:themeColor="text1"/>
                <w:sz w:val="20"/>
                <w:szCs w:val="20"/>
                <w:shd w:val="clear" w:color="auto" w:fill="FFFFFF"/>
                <w:lang w:val="en-US"/>
              </w:rPr>
              <w:t xml:space="preserve"> pe </w:t>
            </w:r>
            <w:proofErr w:type="spellStart"/>
            <w:r w:rsidRPr="004324CB">
              <w:rPr>
                <w:rFonts w:eastAsia="Arial Unicode MS"/>
                <w:color w:val="000000" w:themeColor="text1"/>
                <w:sz w:val="20"/>
                <w:szCs w:val="20"/>
                <w:shd w:val="clear" w:color="auto" w:fill="FFFFFF"/>
                <w:lang w:val="en-US"/>
              </w:rPr>
              <w:t>piață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inclusiv</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eventualele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modificări</w:t>
            </w:r>
            <w:proofErr w:type="spellEnd"/>
            <w:r w:rsidRPr="004324CB">
              <w:rPr>
                <w:rFonts w:eastAsia="Arial Unicode MS"/>
                <w:color w:val="000000" w:themeColor="text1"/>
                <w:sz w:val="20"/>
                <w:szCs w:val="20"/>
                <w:shd w:val="clear" w:color="auto" w:fill="FFFFFF"/>
                <w:lang w:val="en-US"/>
              </w:rPr>
              <w:t xml:space="preserve"> ale </w:t>
            </w:r>
            <w:proofErr w:type="spellStart"/>
            <w:r w:rsidRPr="004324CB">
              <w:rPr>
                <w:rFonts w:eastAsia="Arial Unicode MS"/>
                <w:color w:val="000000" w:themeColor="text1"/>
                <w:sz w:val="20"/>
                <w:szCs w:val="20"/>
                <w:shd w:val="clear" w:color="auto" w:fill="FFFFFF"/>
                <w:lang w:val="en-US"/>
              </w:rPr>
              <w:t>valorii</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referință</w:t>
            </w:r>
            <w:proofErr w:type="spellEnd"/>
            <w:r w:rsidRPr="004324CB">
              <w:rPr>
                <w:rFonts w:eastAsia="Arial Unicode MS"/>
                <w:color w:val="000000" w:themeColor="text1"/>
                <w:sz w:val="20"/>
                <w:szCs w:val="20"/>
                <w:shd w:val="clear" w:color="auto" w:fill="FFFFFF"/>
                <w:lang w:val="en-US"/>
              </w:rPr>
              <w:t>;</w:t>
            </w:r>
          </w:p>
          <w:p w14:paraId="5A0F501E" w14:textId="77777777" w:rsidR="00124364" w:rsidRPr="004324CB" w:rsidRDefault="00000000" w:rsidP="004324CB">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rPr>
              <w:lastRenderedPageBreak/>
              <w:t>înființarea</w:t>
            </w:r>
            <w:proofErr w:type="spellEnd"/>
            <w:r w:rsidRPr="004324CB">
              <w:rPr>
                <w:rFonts w:eastAsia="Arial Unicode MS"/>
                <w:color w:val="000000" w:themeColor="text1"/>
                <w:sz w:val="20"/>
                <w:szCs w:val="20"/>
                <w:shd w:val="clear" w:color="auto" w:fill="FFFFFF"/>
              </w:rPr>
              <w:t xml:space="preserve"> </w:t>
            </w:r>
            <w:proofErr w:type="spellStart"/>
            <w:r w:rsidRPr="004324CB">
              <w:rPr>
                <w:rFonts w:eastAsia="Arial Unicode MS"/>
                <w:color w:val="000000" w:themeColor="text1"/>
                <w:sz w:val="20"/>
                <w:szCs w:val="20"/>
                <w:shd w:val="clear" w:color="auto" w:fill="FFFFFF"/>
              </w:rPr>
              <w:t>unui</w:t>
            </w:r>
            <w:proofErr w:type="spellEnd"/>
            <w:r w:rsidRPr="004324CB">
              <w:rPr>
                <w:rFonts w:eastAsia="Arial Unicode MS"/>
                <w:color w:val="000000" w:themeColor="text1"/>
                <w:sz w:val="20"/>
                <w:szCs w:val="20"/>
                <w:shd w:val="clear" w:color="auto" w:fill="FFFFFF"/>
              </w:rPr>
              <w:t xml:space="preserve"> </w:t>
            </w:r>
            <w:proofErr w:type="spellStart"/>
            <w:r w:rsidRPr="004324CB">
              <w:rPr>
                <w:rFonts w:eastAsia="Arial Unicode MS"/>
                <w:color w:val="000000" w:themeColor="text1"/>
                <w:sz w:val="20"/>
                <w:szCs w:val="20"/>
                <w:shd w:val="clear" w:color="auto" w:fill="FFFFFF"/>
              </w:rPr>
              <w:t>registru</w:t>
            </w:r>
            <w:proofErr w:type="spellEnd"/>
            <w:r w:rsidRPr="004324CB">
              <w:rPr>
                <w:rFonts w:eastAsia="Arial Unicode MS"/>
                <w:color w:val="000000" w:themeColor="text1"/>
                <w:sz w:val="20"/>
                <w:szCs w:val="20"/>
                <w:shd w:val="clear" w:color="auto" w:fill="FFFFFF"/>
              </w:rPr>
              <w:t xml:space="preserve"> </w:t>
            </w:r>
            <w:proofErr w:type="spellStart"/>
            <w:r w:rsidRPr="004324CB">
              <w:rPr>
                <w:rFonts w:eastAsia="Arial Unicode MS"/>
                <w:color w:val="000000" w:themeColor="text1"/>
                <w:sz w:val="20"/>
                <w:szCs w:val="20"/>
                <w:shd w:val="clear" w:color="auto" w:fill="FFFFFF"/>
              </w:rPr>
              <w:t>global</w:t>
            </w:r>
            <w:proofErr w:type="spellEnd"/>
            <w:r w:rsidRPr="004324CB">
              <w:rPr>
                <w:rFonts w:eastAsia="Arial Unicode MS"/>
                <w:color w:val="000000" w:themeColor="text1"/>
                <w:sz w:val="20"/>
                <w:szCs w:val="20"/>
                <w:shd w:val="clear" w:color="auto" w:fill="FFFFFF"/>
              </w:rPr>
              <w:t>;</w:t>
            </w:r>
          </w:p>
          <w:p w14:paraId="18817F4B" w14:textId="77777777" w:rsidR="00124364" w:rsidRPr="004324CB" w:rsidRDefault="00000000" w:rsidP="004324CB">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măsurile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naționale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adoptate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țările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terțe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punerea</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aplicare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măsurii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globale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bazate</w:t>
            </w:r>
            <w:proofErr w:type="spellEnd"/>
            <w:r w:rsidRPr="004324CB">
              <w:rPr>
                <w:rFonts w:eastAsia="Arial Unicode MS"/>
                <w:color w:val="000000" w:themeColor="text1"/>
                <w:sz w:val="20"/>
                <w:szCs w:val="20"/>
                <w:shd w:val="clear" w:color="auto" w:fill="FFFFFF"/>
                <w:lang w:val="en-US"/>
              </w:rPr>
              <w:t xml:space="preserve"> pe </w:t>
            </w:r>
            <w:proofErr w:type="spellStart"/>
            <w:r w:rsidRPr="004324CB">
              <w:rPr>
                <w:rFonts w:eastAsia="Arial Unicode MS"/>
                <w:color w:val="000000" w:themeColor="text1"/>
                <w:sz w:val="20"/>
                <w:szCs w:val="20"/>
                <w:shd w:val="clear" w:color="auto" w:fill="FFFFFF"/>
                <w:lang w:val="en-US"/>
              </w:rPr>
              <w:t>piață</w:t>
            </w:r>
            <w:proofErr w:type="spellEnd"/>
            <w:r w:rsidRPr="004324CB">
              <w:rPr>
                <w:rFonts w:eastAsia="Arial Unicode MS"/>
                <w:color w:val="000000" w:themeColor="text1"/>
                <w:sz w:val="20"/>
                <w:szCs w:val="20"/>
                <w:shd w:val="clear" w:color="auto" w:fill="FFFFFF"/>
                <w:lang w:val="en-US"/>
              </w:rPr>
              <w:t xml:space="preserve"> care se </w:t>
            </w:r>
            <w:proofErr w:type="spellStart"/>
            <w:r w:rsidRPr="004324CB">
              <w:rPr>
                <w:rFonts w:eastAsia="Arial Unicode MS"/>
                <w:color w:val="000000" w:themeColor="text1"/>
                <w:sz w:val="20"/>
                <w:szCs w:val="20"/>
                <w:shd w:val="clear" w:color="auto" w:fill="FFFFFF"/>
                <w:lang w:val="en-US"/>
              </w:rPr>
              <w:t>va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aplica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emisiilor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începând</w:t>
            </w:r>
            <w:proofErr w:type="spellEnd"/>
            <w:r w:rsidRPr="004324CB">
              <w:rPr>
                <w:rFonts w:eastAsia="Arial Unicode MS"/>
                <w:color w:val="000000" w:themeColor="text1"/>
                <w:sz w:val="20"/>
                <w:szCs w:val="20"/>
                <w:shd w:val="clear" w:color="auto" w:fill="FFFFFF"/>
                <w:lang w:val="en-US"/>
              </w:rPr>
              <w:t xml:space="preserve"> din 2021;</w:t>
            </w:r>
          </w:p>
          <w:p w14:paraId="3AFD2568" w14:textId="77777777" w:rsidR="00124364" w:rsidRPr="004324CB" w:rsidRDefault="00000000" w:rsidP="004324CB">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nivelul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participare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țărilor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terțe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măsurile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compensare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temeiul</w:t>
            </w:r>
            <w:proofErr w:type="spellEnd"/>
            <w:r w:rsidRPr="004324CB">
              <w:rPr>
                <w:rFonts w:eastAsia="Arial Unicode MS"/>
                <w:color w:val="000000" w:themeColor="text1"/>
                <w:sz w:val="20"/>
                <w:szCs w:val="20"/>
                <w:shd w:val="clear" w:color="auto" w:fill="FFFFFF"/>
                <w:lang w:val="en-US"/>
              </w:rPr>
              <w:t xml:space="preserve"> CORSIA, </w:t>
            </w:r>
            <w:proofErr w:type="spellStart"/>
            <w:r w:rsidRPr="004324CB">
              <w:rPr>
                <w:rFonts w:eastAsia="Arial Unicode MS"/>
                <w:color w:val="000000" w:themeColor="text1"/>
                <w:sz w:val="20"/>
                <w:szCs w:val="20"/>
                <w:shd w:val="clear" w:color="auto" w:fill="FFFFFF"/>
                <w:lang w:val="en-US"/>
              </w:rPr>
              <w:t>inclusiv</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implicațiile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rezervelor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acestora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față</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această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participare</w:t>
            </w:r>
            <w:proofErr w:type="spellEnd"/>
            <w:r w:rsidRPr="004324CB">
              <w:rPr>
                <w:rFonts w:eastAsia="Arial Unicode MS"/>
                <w:color w:val="000000" w:themeColor="text1"/>
                <w:sz w:val="20"/>
                <w:szCs w:val="20"/>
                <w:shd w:val="clear" w:color="auto" w:fill="FFFFFF"/>
                <w:lang w:val="en-US"/>
              </w:rPr>
              <w:t>; și</w:t>
            </w:r>
          </w:p>
          <w:p w14:paraId="1C90D35C" w14:textId="77777777" w:rsidR="00124364" w:rsidRPr="004324CB" w:rsidRDefault="00000000" w:rsidP="004324CB">
            <w:pPr>
              <w:pStyle w:val="ti-art"/>
              <w:numPr>
                <w:ilvl w:val="0"/>
                <w:numId w:val="12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alte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evoluții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internaționale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relevante</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instrumente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aplicabile</w:t>
            </w:r>
            <w:proofErr w:type="spellEnd"/>
            <w:r w:rsidRPr="004324CB">
              <w:rPr>
                <w:rFonts w:eastAsia="Arial Unicode MS"/>
                <w:color w:val="000000" w:themeColor="text1"/>
                <w:sz w:val="20"/>
                <w:szCs w:val="20"/>
                <w:shd w:val="clear" w:color="auto" w:fill="FFFFFF"/>
                <w:lang w:val="en-US"/>
              </w:rPr>
              <w:t xml:space="preserve">, precum și </w:t>
            </w:r>
            <w:proofErr w:type="spellStart"/>
            <w:r w:rsidRPr="004324CB">
              <w:rPr>
                <w:rFonts w:eastAsia="Arial Unicode MS"/>
                <w:color w:val="000000" w:themeColor="text1"/>
                <w:sz w:val="20"/>
                <w:szCs w:val="20"/>
                <w:shd w:val="clear" w:color="auto" w:fill="FFFFFF"/>
                <w:lang w:val="en-US"/>
              </w:rPr>
              <w:t>progresele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înregistrate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reducerea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impactului</w:t>
            </w:r>
            <w:proofErr w:type="spellEnd"/>
            <w:r w:rsidRPr="004324CB">
              <w:rPr>
                <w:rFonts w:eastAsia="Arial Unicode MS"/>
                <w:color w:val="000000" w:themeColor="text1"/>
                <w:sz w:val="20"/>
                <w:szCs w:val="20"/>
                <w:shd w:val="clear" w:color="auto" w:fill="FFFFFF"/>
                <w:lang w:val="en-US"/>
              </w:rPr>
              <w:t xml:space="preserve"> total al </w:t>
            </w:r>
            <w:proofErr w:type="spellStart"/>
            <w:r w:rsidRPr="004324CB">
              <w:rPr>
                <w:rFonts w:eastAsia="Arial Unicode MS"/>
                <w:color w:val="000000" w:themeColor="text1"/>
                <w:sz w:val="20"/>
                <w:szCs w:val="20"/>
                <w:shd w:val="clear" w:color="auto" w:fill="FFFFFF"/>
                <w:lang w:val="en-US"/>
              </w:rPr>
              <w:t>aviației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asupra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schimbărilor</w:t>
            </w:r>
            <w:proofErr w:type="spellEnd"/>
            <w:r w:rsidRPr="004324CB">
              <w:rPr>
                <w:rFonts w:eastAsia="Arial Unicode MS"/>
                <w:color w:val="000000" w:themeColor="text1"/>
                <w:sz w:val="20"/>
                <w:szCs w:val="20"/>
                <w:shd w:val="clear" w:color="auto" w:fill="FFFFFF"/>
                <w:lang w:val="en-US"/>
              </w:rPr>
              <w:t xml:space="preserve"> climatice.</w:t>
            </w:r>
          </w:p>
          <w:p w14:paraId="7B093C52" w14:textId="77777777" w:rsidR="00124364" w:rsidRPr="004324CB" w:rsidRDefault="00000000" w:rsidP="004324C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324CB">
              <w:rPr>
                <w:rFonts w:eastAsia="Arial Unicode MS"/>
                <w:color w:val="000000" w:themeColor="text1"/>
                <w:sz w:val="20"/>
                <w:szCs w:val="20"/>
                <w:shd w:val="clear" w:color="auto" w:fill="FFFFFF"/>
                <w:lang w:val="en-US"/>
              </w:rPr>
              <w:t xml:space="preserve">În conformitate cu </w:t>
            </w:r>
            <w:proofErr w:type="spellStart"/>
            <w:r w:rsidRPr="004324CB">
              <w:rPr>
                <w:rFonts w:eastAsia="Arial Unicode MS"/>
                <w:color w:val="000000" w:themeColor="text1"/>
                <w:sz w:val="20"/>
                <w:szCs w:val="20"/>
                <w:shd w:val="clear" w:color="auto" w:fill="FFFFFF"/>
                <w:lang w:val="en-US"/>
              </w:rPr>
              <w:t>evaluarea</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nivel</w:t>
            </w:r>
            <w:proofErr w:type="spellEnd"/>
            <w:r w:rsidRPr="004324CB">
              <w:rPr>
                <w:rFonts w:eastAsia="Arial Unicode MS"/>
                <w:color w:val="000000" w:themeColor="text1"/>
                <w:sz w:val="20"/>
                <w:szCs w:val="20"/>
                <w:shd w:val="clear" w:color="auto" w:fill="FFFFFF"/>
                <w:lang w:val="en-US"/>
              </w:rPr>
              <w:t xml:space="preserve"> global în </w:t>
            </w:r>
            <w:proofErr w:type="spellStart"/>
            <w:r w:rsidRPr="004324CB">
              <w:rPr>
                <w:rFonts w:eastAsia="Arial Unicode MS"/>
                <w:color w:val="000000" w:themeColor="text1"/>
                <w:sz w:val="20"/>
                <w:szCs w:val="20"/>
                <w:shd w:val="clear" w:color="auto" w:fill="FFFFFF"/>
                <w:lang w:val="en-US"/>
              </w:rPr>
              <w:t>contextul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Acordului</w:t>
            </w:r>
            <w:proofErr w:type="spellEnd"/>
            <w:r w:rsidRPr="004324CB">
              <w:rPr>
                <w:rFonts w:eastAsia="Arial Unicode MS"/>
                <w:color w:val="000000" w:themeColor="text1"/>
                <w:sz w:val="20"/>
                <w:szCs w:val="20"/>
                <w:shd w:val="clear" w:color="auto" w:fill="FFFFFF"/>
                <w:lang w:val="en-US"/>
              </w:rPr>
              <w:t xml:space="preserve"> de la Paris, </w:t>
            </w:r>
            <w:proofErr w:type="spellStart"/>
            <w:r w:rsidRPr="004324CB">
              <w:rPr>
                <w:rFonts w:eastAsia="Arial Unicode MS"/>
                <w:color w:val="000000" w:themeColor="text1"/>
                <w:sz w:val="20"/>
                <w:szCs w:val="20"/>
                <w:shd w:val="clear" w:color="auto" w:fill="FFFFFF"/>
                <w:lang w:val="en-US"/>
              </w:rPr>
              <w:t>Comisia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prezintă</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asemenea</w:t>
            </w:r>
            <w:proofErr w:type="spellEnd"/>
            <w:r w:rsidRPr="004324CB">
              <w:rPr>
                <w:rFonts w:eastAsia="Arial Unicode MS"/>
                <w:color w:val="000000" w:themeColor="text1"/>
                <w:sz w:val="20"/>
                <w:szCs w:val="20"/>
                <w:shd w:val="clear" w:color="auto" w:fill="FFFFFF"/>
                <w:lang w:val="en-US"/>
              </w:rPr>
              <w:t xml:space="preserve">, un </w:t>
            </w:r>
            <w:proofErr w:type="spellStart"/>
            <w:r w:rsidRPr="004324CB">
              <w:rPr>
                <w:rFonts w:eastAsia="Arial Unicode MS"/>
                <w:color w:val="000000" w:themeColor="text1"/>
                <w:sz w:val="20"/>
                <w:szCs w:val="20"/>
                <w:shd w:val="clear" w:color="auto" w:fill="FFFFFF"/>
                <w:lang w:val="en-US"/>
              </w:rPr>
              <w:t>raport</w:t>
            </w:r>
            <w:proofErr w:type="spellEnd"/>
            <w:r w:rsidRPr="004324CB">
              <w:rPr>
                <w:rFonts w:eastAsia="Arial Unicode MS"/>
                <w:color w:val="000000" w:themeColor="text1"/>
                <w:sz w:val="20"/>
                <w:szCs w:val="20"/>
                <w:shd w:val="clear" w:color="auto" w:fill="FFFFFF"/>
                <w:lang w:val="en-US"/>
              </w:rPr>
              <w:t xml:space="preserve"> cu </w:t>
            </w:r>
            <w:proofErr w:type="spellStart"/>
            <w:r w:rsidRPr="004324CB">
              <w:rPr>
                <w:rFonts w:eastAsia="Arial Unicode MS"/>
                <w:color w:val="000000" w:themeColor="text1"/>
                <w:sz w:val="20"/>
                <w:szCs w:val="20"/>
                <w:shd w:val="clear" w:color="auto" w:fill="FFFFFF"/>
                <w:lang w:val="en-US"/>
              </w:rPr>
              <w:t>privire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eforturile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depuse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se </w:t>
            </w:r>
            <w:proofErr w:type="spellStart"/>
            <w:r w:rsidRPr="004324CB">
              <w:rPr>
                <w:rFonts w:eastAsia="Arial Unicode MS"/>
                <w:color w:val="000000" w:themeColor="text1"/>
                <w:sz w:val="20"/>
                <w:szCs w:val="20"/>
                <w:shd w:val="clear" w:color="auto" w:fill="FFFFFF"/>
                <w:lang w:val="en-US"/>
              </w:rPr>
              <w:t>îndeplini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obiectivul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ambițios</w:t>
            </w:r>
            <w:proofErr w:type="spellEnd"/>
            <w:r w:rsidRPr="004324CB">
              <w:rPr>
                <w:rFonts w:eastAsia="Arial Unicode MS"/>
                <w:color w:val="000000" w:themeColor="text1"/>
                <w:sz w:val="20"/>
                <w:szCs w:val="20"/>
                <w:shd w:val="clear" w:color="auto" w:fill="FFFFFF"/>
                <w:lang w:val="en-US"/>
              </w:rPr>
              <w:t xml:space="preserve"> global pe termen lung al </w:t>
            </w:r>
            <w:proofErr w:type="spellStart"/>
            <w:r w:rsidRPr="004324CB">
              <w:rPr>
                <w:rFonts w:eastAsia="Arial Unicode MS"/>
                <w:color w:val="000000" w:themeColor="text1"/>
                <w:sz w:val="20"/>
                <w:szCs w:val="20"/>
                <w:shd w:val="clear" w:color="auto" w:fill="FFFFFF"/>
                <w:lang w:val="en-US"/>
              </w:rPr>
              <w:t>sectorului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aviației</w:t>
            </w:r>
            <w:proofErr w:type="spellEnd"/>
            <w:r w:rsidRPr="004324CB">
              <w:rPr>
                <w:rFonts w:eastAsia="Arial Unicode MS"/>
                <w:color w:val="000000" w:themeColor="text1"/>
                <w:sz w:val="20"/>
                <w:szCs w:val="20"/>
                <w:shd w:val="clear" w:color="auto" w:fill="FFFFFF"/>
                <w:lang w:val="en-US"/>
              </w:rPr>
              <w:t xml:space="preserve"> de a reduce la zero net, </w:t>
            </w: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în 2050, </w:t>
            </w:r>
            <w:proofErr w:type="spellStart"/>
            <w:r w:rsidRPr="004324CB">
              <w:rPr>
                <w:rFonts w:eastAsia="Arial Unicode MS"/>
                <w:color w:val="000000" w:themeColor="text1"/>
                <w:sz w:val="20"/>
                <w:szCs w:val="20"/>
                <w:shd w:val="clear" w:color="auto" w:fill="FFFFFF"/>
                <w:lang w:val="en-US"/>
              </w:rPr>
              <w:t>emisiile</w:t>
            </w:r>
            <w:proofErr w:type="spellEnd"/>
            <w:r w:rsidRPr="004324CB">
              <w:rPr>
                <w:rFonts w:eastAsia="Arial Unicode MS"/>
                <w:color w:val="000000" w:themeColor="text1"/>
                <w:sz w:val="20"/>
                <w:szCs w:val="20"/>
                <w:shd w:val="clear" w:color="auto" w:fill="FFFFFF"/>
                <w:lang w:val="en-US"/>
              </w:rPr>
              <w:t xml:space="preserve"> de CO</w:t>
            </w:r>
            <w:r w:rsidRPr="004324CB">
              <w:rPr>
                <w:rStyle w:val="subscript"/>
                <w:rFonts w:eastAsia="Arial Unicode MS"/>
                <w:color w:val="000000" w:themeColor="text1"/>
                <w:sz w:val="20"/>
                <w:szCs w:val="20"/>
                <w:vertAlign w:val="subscript"/>
                <w:lang w:val="en-US"/>
              </w:rPr>
              <w:t>2</w:t>
            </w:r>
            <w:r w:rsidRPr="004324CB">
              <w:rPr>
                <w:rStyle w:val="apple-converted-space"/>
                <w:rFonts w:eastAsia="Arial Unicode MS"/>
                <w:color w:val="000000" w:themeColor="text1"/>
                <w:sz w:val="20"/>
                <w:szCs w:val="20"/>
                <w:shd w:val="clear" w:color="auto" w:fill="FFFFFF"/>
                <w:lang w:val="en-US"/>
              </w:rPr>
              <w:t> </w:t>
            </w:r>
            <w:r w:rsidRPr="004324CB">
              <w:rPr>
                <w:rFonts w:eastAsia="Arial Unicode MS"/>
                <w:color w:val="000000" w:themeColor="text1"/>
                <w:sz w:val="20"/>
                <w:szCs w:val="20"/>
                <w:shd w:val="clear" w:color="auto" w:fill="FFFFFF"/>
                <w:lang w:val="en-US"/>
              </w:rPr>
              <w:t xml:space="preserve">generate de </w:t>
            </w:r>
            <w:proofErr w:type="spellStart"/>
            <w:r w:rsidRPr="004324CB">
              <w:rPr>
                <w:rFonts w:eastAsia="Arial Unicode MS"/>
                <w:color w:val="000000" w:themeColor="text1"/>
                <w:sz w:val="20"/>
                <w:szCs w:val="20"/>
                <w:shd w:val="clear" w:color="auto" w:fill="FFFFFF"/>
                <w:lang w:val="en-US"/>
              </w:rPr>
              <w:t>activitățile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aviație</w:t>
            </w:r>
            <w:proofErr w:type="spellEnd"/>
            <w:r w:rsidRPr="004324CB">
              <w:rPr>
                <w:rFonts w:eastAsia="Arial Unicode MS"/>
                <w:color w:val="000000" w:themeColor="text1"/>
                <w:sz w:val="20"/>
                <w:szCs w:val="20"/>
                <w:shd w:val="clear" w:color="auto" w:fill="FFFFFF"/>
                <w:lang w:val="en-US"/>
              </w:rPr>
              <w:t xml:space="preserve">, evaluate în conformitate cu </w:t>
            </w:r>
            <w:proofErr w:type="spellStart"/>
            <w:r w:rsidRPr="004324CB">
              <w:rPr>
                <w:rFonts w:eastAsia="Arial Unicode MS"/>
                <w:color w:val="000000" w:themeColor="text1"/>
                <w:sz w:val="20"/>
                <w:szCs w:val="20"/>
                <w:shd w:val="clear" w:color="auto" w:fill="FFFFFF"/>
                <w:lang w:val="en-US"/>
              </w:rPr>
              <w:t>criteriile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menționate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literele</w:t>
            </w:r>
            <w:proofErr w:type="spellEnd"/>
            <w:r w:rsidRPr="004324CB">
              <w:rPr>
                <w:rFonts w:eastAsia="Arial Unicode MS"/>
                <w:color w:val="000000" w:themeColor="text1"/>
                <w:sz w:val="20"/>
                <w:szCs w:val="20"/>
                <w:shd w:val="clear" w:color="auto" w:fill="FFFFFF"/>
                <w:lang w:val="en-US"/>
              </w:rPr>
              <w:t xml:space="preserve"> (a)-(f) de la </w:t>
            </w:r>
            <w:proofErr w:type="spellStart"/>
            <w:r w:rsidRPr="004324CB">
              <w:rPr>
                <w:rFonts w:eastAsia="Arial Unicode MS"/>
                <w:color w:val="000000" w:themeColor="text1"/>
                <w:sz w:val="20"/>
                <w:szCs w:val="20"/>
                <w:shd w:val="clear" w:color="auto" w:fill="FFFFFF"/>
                <w:lang w:val="en-US"/>
              </w:rPr>
              <w:t>primul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paragraf</w:t>
            </w:r>
            <w:proofErr w:type="spellEnd"/>
            <w:r w:rsidRPr="004324CB">
              <w:rPr>
                <w:rFonts w:eastAsia="Arial Unicode MS"/>
                <w:color w:val="000000" w:themeColor="text1"/>
                <w:sz w:val="20"/>
                <w:szCs w:val="20"/>
                <w:shd w:val="clear" w:color="auto" w:fill="FFFFFF"/>
                <w:lang w:val="en-US"/>
              </w:rPr>
              <w:t>.</w:t>
            </w:r>
          </w:p>
          <w:p w14:paraId="2C5C1611" w14:textId="6FA31DD4" w:rsidR="00124364" w:rsidRPr="004324CB" w:rsidRDefault="00000000" w:rsidP="004324CB">
            <w:pPr>
              <w:pStyle w:val="ti-art"/>
              <w:numPr>
                <w:ilvl w:val="0"/>
                <w:numId w:val="12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la 1</w:t>
            </w:r>
            <w:r w:rsid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iulie</w:t>
            </w:r>
            <w:proofErr w:type="spellEnd"/>
            <w:r w:rsidRPr="004324CB">
              <w:rPr>
                <w:rFonts w:eastAsia="Arial Unicode MS"/>
                <w:color w:val="000000" w:themeColor="text1"/>
                <w:sz w:val="20"/>
                <w:szCs w:val="20"/>
                <w:shd w:val="clear" w:color="auto" w:fill="FFFFFF"/>
                <w:lang w:val="en-US"/>
              </w:rPr>
              <w:t xml:space="preserve"> 2026, </w:t>
            </w:r>
            <w:proofErr w:type="spellStart"/>
            <w:r w:rsidRPr="004324CB">
              <w:rPr>
                <w:rFonts w:eastAsia="Arial Unicode MS"/>
                <w:color w:val="000000" w:themeColor="text1"/>
                <w:sz w:val="20"/>
                <w:szCs w:val="20"/>
                <w:shd w:val="clear" w:color="auto" w:fill="FFFFFF"/>
                <w:lang w:val="en-US"/>
              </w:rPr>
              <w:t>Comisia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prezintă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Parlamentului</w:t>
            </w:r>
            <w:proofErr w:type="spellEnd"/>
            <w:r w:rsidRPr="004324CB">
              <w:rPr>
                <w:rFonts w:eastAsia="Arial Unicode MS"/>
                <w:color w:val="000000" w:themeColor="text1"/>
                <w:sz w:val="20"/>
                <w:szCs w:val="20"/>
                <w:shd w:val="clear" w:color="auto" w:fill="FFFFFF"/>
                <w:lang w:val="en-US"/>
              </w:rPr>
              <w:t xml:space="preserve"> European și </w:t>
            </w:r>
            <w:proofErr w:type="spellStart"/>
            <w:r w:rsidRPr="004324CB">
              <w:rPr>
                <w:rFonts w:eastAsia="Arial Unicode MS"/>
                <w:color w:val="000000" w:themeColor="text1"/>
                <w:sz w:val="20"/>
                <w:szCs w:val="20"/>
                <w:shd w:val="clear" w:color="auto" w:fill="FFFFFF"/>
                <w:lang w:val="en-US"/>
              </w:rPr>
              <w:t>Consiliului</w:t>
            </w:r>
            <w:proofErr w:type="spellEnd"/>
            <w:r w:rsidRPr="004324CB">
              <w:rPr>
                <w:rFonts w:eastAsia="Arial Unicode MS"/>
                <w:color w:val="000000" w:themeColor="text1"/>
                <w:sz w:val="20"/>
                <w:szCs w:val="20"/>
                <w:shd w:val="clear" w:color="auto" w:fill="FFFFFF"/>
                <w:lang w:val="en-US"/>
              </w:rPr>
              <w:t xml:space="preserve"> un </w:t>
            </w:r>
            <w:proofErr w:type="spellStart"/>
            <w:r w:rsidRPr="004324CB">
              <w:rPr>
                <w:rFonts w:eastAsia="Arial Unicode MS"/>
                <w:color w:val="000000" w:themeColor="text1"/>
                <w:sz w:val="20"/>
                <w:szCs w:val="20"/>
                <w:shd w:val="clear" w:color="auto" w:fill="FFFFFF"/>
                <w:lang w:val="en-US"/>
              </w:rPr>
              <w:t>raport</w:t>
            </w:r>
            <w:proofErr w:type="spellEnd"/>
            <w:r w:rsidRPr="004324CB">
              <w:rPr>
                <w:rFonts w:eastAsia="Arial Unicode MS"/>
                <w:color w:val="000000" w:themeColor="text1"/>
                <w:sz w:val="20"/>
                <w:szCs w:val="20"/>
                <w:shd w:val="clear" w:color="auto" w:fill="FFFFFF"/>
                <w:lang w:val="en-US"/>
              </w:rPr>
              <w:t xml:space="preserve"> în care </w:t>
            </w:r>
            <w:proofErr w:type="spellStart"/>
            <w:r w:rsidRPr="004324CB">
              <w:rPr>
                <w:rFonts w:eastAsia="Arial Unicode MS"/>
                <w:color w:val="000000" w:themeColor="text1"/>
                <w:sz w:val="20"/>
                <w:szCs w:val="20"/>
                <w:shd w:val="clear" w:color="auto" w:fill="FFFFFF"/>
                <w:lang w:val="en-US"/>
              </w:rPr>
              <w:t>evaluează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integritatea</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mediu</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măsurii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globale</w:t>
            </w:r>
            <w:proofErr w:type="spellEnd"/>
            <w:r w:rsidRPr="004324CB">
              <w:rPr>
                <w:rFonts w:eastAsia="Arial Unicode MS"/>
                <w:color w:val="000000" w:themeColor="text1"/>
                <w:sz w:val="20"/>
                <w:szCs w:val="20"/>
                <w:shd w:val="clear" w:color="auto" w:fill="FFFFFF"/>
                <w:lang w:val="en-US"/>
              </w:rPr>
              <w:t xml:space="preserve"> a OACI </w:t>
            </w:r>
            <w:proofErr w:type="spellStart"/>
            <w:r w:rsidRPr="004324CB">
              <w:rPr>
                <w:rFonts w:eastAsia="Arial Unicode MS"/>
                <w:color w:val="000000" w:themeColor="text1"/>
                <w:sz w:val="20"/>
                <w:szCs w:val="20"/>
                <w:shd w:val="clear" w:color="auto" w:fill="FFFFFF"/>
                <w:lang w:val="en-US"/>
              </w:rPr>
              <w:t>bazate</w:t>
            </w:r>
            <w:proofErr w:type="spellEnd"/>
            <w:r w:rsidRPr="004324CB">
              <w:rPr>
                <w:rFonts w:eastAsia="Arial Unicode MS"/>
                <w:color w:val="000000" w:themeColor="text1"/>
                <w:sz w:val="20"/>
                <w:szCs w:val="20"/>
                <w:shd w:val="clear" w:color="auto" w:fill="FFFFFF"/>
                <w:lang w:val="en-US"/>
              </w:rPr>
              <w:t xml:space="preserve"> pe </w:t>
            </w:r>
            <w:proofErr w:type="spellStart"/>
            <w:r w:rsidRPr="004324CB">
              <w:rPr>
                <w:rFonts w:eastAsia="Arial Unicode MS"/>
                <w:color w:val="000000" w:themeColor="text1"/>
                <w:sz w:val="20"/>
                <w:szCs w:val="20"/>
                <w:shd w:val="clear" w:color="auto" w:fill="FFFFFF"/>
                <w:lang w:val="en-US"/>
              </w:rPr>
              <w:t>piață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inclusiv</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nivelul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ambiție</w:t>
            </w:r>
            <w:proofErr w:type="spellEnd"/>
            <w:r w:rsidRPr="004324CB">
              <w:rPr>
                <w:rFonts w:eastAsia="Arial Unicode MS"/>
                <w:color w:val="000000" w:themeColor="text1"/>
                <w:sz w:val="20"/>
                <w:szCs w:val="20"/>
                <w:shd w:val="clear" w:color="auto" w:fill="FFFFFF"/>
                <w:lang w:val="en-US"/>
              </w:rPr>
              <w:t xml:space="preserve"> general în </w:t>
            </w:r>
            <w:proofErr w:type="spellStart"/>
            <w:r w:rsidRPr="004324CB">
              <w:rPr>
                <w:rFonts w:eastAsia="Arial Unicode MS"/>
                <w:color w:val="000000" w:themeColor="text1"/>
                <w:sz w:val="20"/>
                <w:szCs w:val="20"/>
                <w:shd w:val="clear" w:color="auto" w:fill="FFFFFF"/>
                <w:lang w:val="en-US"/>
              </w:rPr>
              <w:t>raport</w:t>
            </w:r>
            <w:proofErr w:type="spellEnd"/>
            <w:r w:rsidRPr="004324CB">
              <w:rPr>
                <w:rFonts w:eastAsia="Arial Unicode MS"/>
                <w:color w:val="000000" w:themeColor="text1"/>
                <w:sz w:val="20"/>
                <w:szCs w:val="20"/>
                <w:shd w:val="clear" w:color="auto" w:fill="FFFFFF"/>
                <w:lang w:val="en-US"/>
              </w:rPr>
              <w:t xml:space="preserve"> cu </w:t>
            </w:r>
            <w:proofErr w:type="spellStart"/>
            <w:r w:rsidRPr="004324CB">
              <w:rPr>
                <w:rFonts w:eastAsia="Arial Unicode MS"/>
                <w:color w:val="000000" w:themeColor="text1"/>
                <w:sz w:val="20"/>
                <w:szCs w:val="20"/>
                <w:shd w:val="clear" w:color="auto" w:fill="FFFFFF"/>
                <w:lang w:val="en-US"/>
              </w:rPr>
              <w:t>obiectivele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Acordului</w:t>
            </w:r>
            <w:proofErr w:type="spellEnd"/>
            <w:r w:rsidRPr="004324CB">
              <w:rPr>
                <w:rFonts w:eastAsia="Arial Unicode MS"/>
                <w:color w:val="000000" w:themeColor="text1"/>
                <w:sz w:val="20"/>
                <w:szCs w:val="20"/>
                <w:shd w:val="clear" w:color="auto" w:fill="FFFFFF"/>
                <w:lang w:val="en-US"/>
              </w:rPr>
              <w:t xml:space="preserve"> de la Paris, </w:t>
            </w:r>
            <w:proofErr w:type="spellStart"/>
            <w:r w:rsidRPr="004324CB">
              <w:rPr>
                <w:rFonts w:eastAsia="Arial Unicode MS"/>
                <w:color w:val="000000" w:themeColor="text1"/>
                <w:sz w:val="20"/>
                <w:szCs w:val="20"/>
                <w:shd w:val="clear" w:color="auto" w:fill="FFFFFF"/>
                <w:lang w:val="en-US"/>
              </w:rPr>
              <w:t>nivelul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participare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compensarea</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temeiul</w:t>
            </w:r>
            <w:proofErr w:type="spellEnd"/>
            <w:r w:rsidRPr="004324CB">
              <w:rPr>
                <w:rFonts w:eastAsia="Arial Unicode MS"/>
                <w:color w:val="000000" w:themeColor="text1"/>
                <w:sz w:val="20"/>
                <w:szCs w:val="20"/>
                <w:shd w:val="clear" w:color="auto" w:fill="FFFFFF"/>
                <w:lang w:val="en-US"/>
              </w:rPr>
              <w:t xml:space="preserve"> CORSIA, </w:t>
            </w:r>
            <w:proofErr w:type="spellStart"/>
            <w:r w:rsidRPr="004324CB">
              <w:rPr>
                <w:rFonts w:eastAsia="Arial Unicode MS"/>
                <w:color w:val="000000" w:themeColor="text1"/>
                <w:sz w:val="20"/>
                <w:szCs w:val="20"/>
                <w:shd w:val="clear" w:color="auto" w:fill="FFFFFF"/>
                <w:lang w:val="en-US"/>
              </w:rPr>
              <w:t>forța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juridică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obligatorie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acesteia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transparența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sancțiunile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neconformitate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procedurile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consultare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opiniei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publice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calitatea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creditelor</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compensare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monitorizarea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raportarea</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verificarea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emisiilor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registrele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responsabilitatea</w:t>
            </w:r>
            <w:proofErr w:type="spellEnd"/>
            <w:r w:rsidRPr="004324CB">
              <w:rPr>
                <w:rFonts w:eastAsia="Arial Unicode MS"/>
                <w:color w:val="000000" w:themeColor="text1"/>
                <w:sz w:val="20"/>
                <w:szCs w:val="20"/>
                <w:shd w:val="clear" w:color="auto" w:fill="FFFFFF"/>
                <w:lang w:val="en-US"/>
              </w:rPr>
              <w:t xml:space="preserve">, precum și </w:t>
            </w:r>
            <w:proofErr w:type="spellStart"/>
            <w:r w:rsidRPr="004324CB">
              <w:rPr>
                <w:rFonts w:eastAsia="Arial Unicode MS"/>
                <w:color w:val="000000" w:themeColor="text1"/>
                <w:sz w:val="20"/>
                <w:szCs w:val="20"/>
                <w:shd w:val="clear" w:color="auto" w:fill="FFFFFF"/>
                <w:lang w:val="en-US"/>
              </w:rPr>
              <w:t>normele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privind</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utilizarea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biocarburanților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Comisia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publică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raportul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respectiv</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asemenea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la 1</w:t>
            </w:r>
            <w:r w:rsidR="004324CB">
              <w:rPr>
                <w:rFonts w:eastAsia="Arial Unicode MS"/>
                <w:color w:val="000000" w:themeColor="text1"/>
                <w:sz w:val="20"/>
                <w:szCs w:val="20"/>
                <w:shd w:val="clear" w:color="auto" w:fill="FFFFFF"/>
                <w:lang w:val="ro-RO"/>
              </w:rPr>
              <w:t xml:space="preserve"> </w:t>
            </w:r>
            <w:proofErr w:type="spellStart"/>
            <w:r w:rsidRPr="004324CB">
              <w:rPr>
                <w:rFonts w:eastAsia="Arial Unicode MS"/>
                <w:color w:val="000000" w:themeColor="text1"/>
                <w:sz w:val="20"/>
                <w:szCs w:val="20"/>
                <w:shd w:val="clear" w:color="auto" w:fill="FFFFFF"/>
                <w:lang w:val="en-US"/>
              </w:rPr>
              <w:t>iulie</w:t>
            </w:r>
            <w:proofErr w:type="spellEnd"/>
            <w:r w:rsidRPr="004324CB">
              <w:rPr>
                <w:rFonts w:eastAsia="Arial Unicode MS"/>
                <w:color w:val="000000" w:themeColor="text1"/>
                <w:sz w:val="20"/>
                <w:szCs w:val="20"/>
                <w:shd w:val="clear" w:color="auto" w:fill="FFFFFF"/>
                <w:lang w:val="en-US"/>
              </w:rPr>
              <w:t xml:space="preserve"> 2026.</w:t>
            </w:r>
          </w:p>
          <w:p w14:paraId="63C762D0" w14:textId="77777777" w:rsidR="00124364" w:rsidRPr="004324CB" w:rsidRDefault="00000000" w:rsidP="004324CB">
            <w:pPr>
              <w:pStyle w:val="ti-art"/>
              <w:numPr>
                <w:ilvl w:val="0"/>
                <w:numId w:val="12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Raportul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Comisiei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menționat</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alineatul</w:t>
            </w:r>
            <w:proofErr w:type="spellEnd"/>
            <w:r w:rsidRPr="004324CB">
              <w:rPr>
                <w:rFonts w:eastAsia="Arial Unicode MS"/>
                <w:color w:val="000000" w:themeColor="text1"/>
                <w:sz w:val="20"/>
                <w:szCs w:val="20"/>
                <w:shd w:val="clear" w:color="auto" w:fill="FFFFFF"/>
                <w:lang w:val="en-US"/>
              </w:rPr>
              <w:t xml:space="preserve"> (2) </w:t>
            </w:r>
            <w:proofErr w:type="spellStart"/>
            <w:r w:rsidRPr="004324CB">
              <w:rPr>
                <w:rFonts w:eastAsia="Arial Unicode MS"/>
                <w:color w:val="000000" w:themeColor="text1"/>
                <w:sz w:val="20"/>
                <w:szCs w:val="20"/>
                <w:shd w:val="clear" w:color="auto" w:fill="FFFFFF"/>
                <w:lang w:val="en-US"/>
              </w:rPr>
              <w:t>este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însoțit</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după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caz</w:t>
            </w:r>
            <w:proofErr w:type="spellEnd"/>
            <w:r w:rsidRPr="004324CB">
              <w:rPr>
                <w:rFonts w:eastAsia="Arial Unicode MS"/>
                <w:color w:val="000000" w:themeColor="text1"/>
                <w:sz w:val="20"/>
                <w:szCs w:val="20"/>
                <w:shd w:val="clear" w:color="auto" w:fill="FFFFFF"/>
                <w:lang w:val="en-US"/>
              </w:rPr>
              <w:t xml:space="preserve">, de o </w:t>
            </w:r>
            <w:proofErr w:type="spellStart"/>
            <w:r w:rsidRPr="004324CB">
              <w:rPr>
                <w:rFonts w:eastAsia="Arial Unicode MS"/>
                <w:color w:val="000000" w:themeColor="text1"/>
                <w:sz w:val="20"/>
                <w:szCs w:val="20"/>
                <w:shd w:val="clear" w:color="auto" w:fill="FFFFFF"/>
                <w:lang w:val="en-US"/>
              </w:rPr>
              <w:t>propunere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legislativă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modifica</w:t>
            </w:r>
            <w:proofErr w:type="spellEnd"/>
            <w:r w:rsidRPr="004324CB">
              <w:rPr>
                <w:rFonts w:eastAsia="Arial Unicode MS"/>
                <w:color w:val="000000" w:themeColor="text1"/>
                <w:sz w:val="20"/>
                <w:szCs w:val="20"/>
                <w:shd w:val="clear" w:color="auto" w:fill="FFFFFF"/>
                <w:lang w:val="en-US"/>
              </w:rPr>
              <w:t xml:space="preserve"> prezenta </w:t>
            </w:r>
            <w:proofErr w:type="spellStart"/>
            <w:r w:rsidRPr="004324CB">
              <w:rPr>
                <w:rFonts w:eastAsia="Arial Unicode MS"/>
                <w:color w:val="000000" w:themeColor="text1"/>
                <w:sz w:val="20"/>
                <w:szCs w:val="20"/>
                <w:shd w:val="clear" w:color="auto" w:fill="FFFFFF"/>
                <w:lang w:val="en-US"/>
              </w:rPr>
              <w:t>directivă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într</w:t>
            </w:r>
            <w:proofErr w:type="spellEnd"/>
            <w:r w:rsidRPr="004324CB">
              <w:rPr>
                <w:rFonts w:eastAsia="Arial Unicode MS"/>
                <w:color w:val="000000" w:themeColor="text1"/>
                <w:sz w:val="20"/>
                <w:szCs w:val="20"/>
                <w:shd w:val="clear" w:color="auto" w:fill="FFFFFF"/>
                <w:lang w:val="en-US"/>
              </w:rPr>
              <w:t xml:space="preserve">-un mod în care </w:t>
            </w:r>
            <w:proofErr w:type="spellStart"/>
            <w:r w:rsidRPr="004324CB">
              <w:rPr>
                <w:rFonts w:eastAsia="Arial Unicode MS"/>
                <w:color w:val="000000" w:themeColor="text1"/>
                <w:sz w:val="20"/>
                <w:szCs w:val="20"/>
                <w:shd w:val="clear" w:color="auto" w:fill="FFFFFF"/>
                <w:lang w:val="en-US"/>
              </w:rPr>
              <w:t>să</w:t>
            </w:r>
            <w:proofErr w:type="spellEnd"/>
            <w:r w:rsidRPr="004324CB">
              <w:rPr>
                <w:rFonts w:eastAsia="Arial Unicode MS"/>
                <w:color w:val="000000" w:themeColor="text1"/>
                <w:sz w:val="20"/>
                <w:szCs w:val="20"/>
                <w:shd w:val="clear" w:color="auto" w:fill="FFFFFF"/>
                <w:lang w:val="en-US"/>
              </w:rPr>
              <w:t xml:space="preserve"> fie în </w:t>
            </w:r>
            <w:proofErr w:type="spellStart"/>
            <w:r w:rsidRPr="004324CB">
              <w:rPr>
                <w:rFonts w:eastAsia="Arial Unicode MS"/>
                <w:color w:val="000000" w:themeColor="text1"/>
                <w:sz w:val="20"/>
                <w:szCs w:val="20"/>
                <w:shd w:val="clear" w:color="auto" w:fill="FFFFFF"/>
                <w:lang w:val="en-US"/>
              </w:rPr>
              <w:t>concordanță</w:t>
            </w:r>
            <w:proofErr w:type="spellEnd"/>
            <w:r w:rsidRPr="004324CB">
              <w:rPr>
                <w:rFonts w:eastAsia="Arial Unicode MS"/>
                <w:color w:val="000000" w:themeColor="text1"/>
                <w:sz w:val="20"/>
                <w:szCs w:val="20"/>
                <w:shd w:val="clear" w:color="auto" w:fill="FFFFFF"/>
                <w:lang w:val="en-US"/>
              </w:rPr>
              <w:t xml:space="preserve"> cu </w:t>
            </w:r>
            <w:proofErr w:type="spellStart"/>
            <w:r w:rsidRPr="004324CB">
              <w:rPr>
                <w:rFonts w:eastAsia="Arial Unicode MS"/>
                <w:color w:val="000000" w:themeColor="text1"/>
                <w:sz w:val="20"/>
                <w:szCs w:val="20"/>
                <w:shd w:val="clear" w:color="auto" w:fill="FFFFFF"/>
                <w:lang w:val="en-US"/>
              </w:rPr>
              <w:t>obiectivul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Acordului</w:t>
            </w:r>
            <w:proofErr w:type="spellEnd"/>
            <w:r w:rsidRPr="004324CB">
              <w:rPr>
                <w:rFonts w:eastAsia="Arial Unicode MS"/>
                <w:color w:val="000000" w:themeColor="text1"/>
                <w:sz w:val="20"/>
                <w:szCs w:val="20"/>
                <w:shd w:val="clear" w:color="auto" w:fill="FFFFFF"/>
                <w:lang w:val="en-US"/>
              </w:rPr>
              <w:t xml:space="preserve"> de la Paris </w:t>
            </w:r>
            <w:proofErr w:type="spellStart"/>
            <w:r w:rsidRPr="004324CB">
              <w:rPr>
                <w:rFonts w:eastAsia="Arial Unicode MS"/>
                <w:color w:val="000000" w:themeColor="text1"/>
                <w:sz w:val="20"/>
                <w:szCs w:val="20"/>
                <w:shd w:val="clear" w:color="auto" w:fill="FFFFFF"/>
                <w:lang w:val="en-US"/>
              </w:rPr>
              <w:t>privind</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temperatura</w:t>
            </w:r>
            <w:proofErr w:type="spellEnd"/>
            <w:r w:rsidRPr="004324CB">
              <w:rPr>
                <w:rFonts w:eastAsia="Arial Unicode MS"/>
                <w:color w:val="000000" w:themeColor="text1"/>
                <w:sz w:val="20"/>
                <w:szCs w:val="20"/>
                <w:shd w:val="clear" w:color="auto" w:fill="FFFFFF"/>
                <w:lang w:val="en-US"/>
              </w:rPr>
              <w:t xml:space="preserve">, cu </w:t>
            </w:r>
            <w:proofErr w:type="spellStart"/>
            <w:r w:rsidRPr="004324CB">
              <w:rPr>
                <w:rFonts w:eastAsia="Arial Unicode MS"/>
                <w:color w:val="000000" w:themeColor="text1"/>
                <w:sz w:val="20"/>
                <w:szCs w:val="20"/>
                <w:shd w:val="clear" w:color="auto" w:fill="FFFFFF"/>
                <w:lang w:val="en-US"/>
              </w:rPr>
              <w:t>angajamentul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Uniunii</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reducere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emisiilor</w:t>
            </w:r>
            <w:proofErr w:type="spellEnd"/>
            <w:r w:rsidRPr="004324CB">
              <w:rPr>
                <w:rFonts w:eastAsia="Arial Unicode MS"/>
                <w:color w:val="000000" w:themeColor="text1"/>
                <w:sz w:val="20"/>
                <w:szCs w:val="20"/>
                <w:shd w:val="clear" w:color="auto" w:fill="FFFFFF"/>
                <w:lang w:val="en-US"/>
              </w:rPr>
              <w:t xml:space="preserve"> de gaze cu </w:t>
            </w:r>
            <w:proofErr w:type="spellStart"/>
            <w:r w:rsidRPr="004324CB">
              <w:rPr>
                <w:rFonts w:eastAsia="Arial Unicode MS"/>
                <w:color w:val="000000" w:themeColor="text1"/>
                <w:sz w:val="20"/>
                <w:szCs w:val="20"/>
                <w:shd w:val="clear" w:color="auto" w:fill="FFFFFF"/>
                <w:lang w:val="en-US"/>
              </w:rPr>
              <w:t>efect</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seră</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nivelul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întregii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economii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în 2030 și cu </w:t>
            </w:r>
            <w:proofErr w:type="spellStart"/>
            <w:r w:rsidRPr="004324CB">
              <w:rPr>
                <w:rFonts w:eastAsia="Arial Unicode MS"/>
                <w:color w:val="000000" w:themeColor="text1"/>
                <w:sz w:val="20"/>
                <w:szCs w:val="20"/>
                <w:shd w:val="clear" w:color="auto" w:fill="FFFFFF"/>
                <w:lang w:val="en-US"/>
              </w:rPr>
              <w:t>obiectivul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realizare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neutralității</w:t>
            </w:r>
            <w:proofErr w:type="spellEnd"/>
            <w:r w:rsidRPr="004324CB">
              <w:rPr>
                <w:rFonts w:eastAsia="Arial Unicode MS"/>
                <w:color w:val="000000" w:themeColor="text1"/>
                <w:sz w:val="20"/>
                <w:szCs w:val="20"/>
                <w:shd w:val="clear" w:color="auto" w:fill="FFFFFF"/>
                <w:lang w:val="en-US"/>
              </w:rPr>
              <w:t xml:space="preserve"> climatice </w:t>
            </w: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cel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târziu</w:t>
            </w:r>
            <w:proofErr w:type="spellEnd"/>
            <w:r w:rsidRPr="004324CB">
              <w:rPr>
                <w:rFonts w:eastAsia="Arial Unicode MS"/>
                <w:color w:val="000000" w:themeColor="text1"/>
                <w:sz w:val="20"/>
                <w:szCs w:val="20"/>
                <w:shd w:val="clear" w:color="auto" w:fill="FFFFFF"/>
                <w:lang w:val="en-US"/>
              </w:rPr>
              <w:t xml:space="preserve"> în 2050, </w:t>
            </w:r>
            <w:proofErr w:type="spellStart"/>
            <w:r w:rsidRPr="004324CB">
              <w:rPr>
                <w:rFonts w:eastAsia="Arial Unicode MS"/>
                <w:color w:val="000000" w:themeColor="text1"/>
                <w:sz w:val="20"/>
                <w:szCs w:val="20"/>
                <w:shd w:val="clear" w:color="auto" w:fill="FFFFFF"/>
                <w:lang w:val="en-US"/>
              </w:rPr>
              <w:t>scopul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fiind</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acela</w:t>
            </w:r>
            <w:proofErr w:type="spellEnd"/>
            <w:r w:rsidRPr="004324CB">
              <w:rPr>
                <w:rFonts w:eastAsia="Arial Unicode MS"/>
                <w:color w:val="000000" w:themeColor="text1"/>
                <w:sz w:val="20"/>
                <w:szCs w:val="20"/>
                <w:shd w:val="clear" w:color="auto" w:fill="FFFFFF"/>
                <w:lang w:val="en-US"/>
              </w:rPr>
              <w:t xml:space="preserve"> de a </w:t>
            </w:r>
            <w:proofErr w:type="spellStart"/>
            <w:r w:rsidRPr="004324CB">
              <w:rPr>
                <w:rFonts w:eastAsia="Arial Unicode MS"/>
                <w:color w:val="000000" w:themeColor="text1"/>
                <w:sz w:val="20"/>
                <w:szCs w:val="20"/>
                <w:shd w:val="clear" w:color="auto" w:fill="FFFFFF"/>
                <w:lang w:val="en-US"/>
              </w:rPr>
              <w:t>păstra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integritatea</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mediu</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eficacitatea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acțiunii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Uniunii</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domeniul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combaterii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schimbărilor</w:t>
            </w:r>
            <w:proofErr w:type="spellEnd"/>
            <w:r w:rsidRPr="004324CB">
              <w:rPr>
                <w:rFonts w:eastAsia="Arial Unicode MS"/>
                <w:color w:val="000000" w:themeColor="text1"/>
                <w:sz w:val="20"/>
                <w:szCs w:val="20"/>
                <w:shd w:val="clear" w:color="auto" w:fill="FFFFFF"/>
                <w:lang w:val="en-US"/>
              </w:rPr>
              <w:t xml:space="preserve"> climatice. O </w:t>
            </w:r>
            <w:proofErr w:type="spellStart"/>
            <w:r w:rsidRPr="004324CB">
              <w:rPr>
                <w:rFonts w:eastAsia="Arial Unicode MS"/>
                <w:color w:val="000000" w:themeColor="text1"/>
                <w:sz w:val="20"/>
                <w:szCs w:val="20"/>
                <w:shd w:val="clear" w:color="auto" w:fill="FFFFFF"/>
                <w:lang w:val="en-US"/>
              </w:rPr>
              <w:t>propunere</w:t>
            </w:r>
            <w:proofErr w:type="spellEnd"/>
            <w:r w:rsidRPr="004324CB">
              <w:rPr>
                <w:rFonts w:eastAsia="Arial Unicode MS"/>
                <w:color w:val="000000" w:themeColor="text1"/>
                <w:sz w:val="20"/>
                <w:szCs w:val="20"/>
                <w:shd w:val="clear" w:color="auto" w:fill="FFFFFF"/>
                <w:lang w:val="en-US"/>
              </w:rPr>
              <w:t xml:space="preserve"> care </w:t>
            </w:r>
            <w:proofErr w:type="spellStart"/>
            <w:r w:rsidRPr="004324CB">
              <w:rPr>
                <w:rFonts w:eastAsia="Arial Unicode MS"/>
                <w:color w:val="000000" w:themeColor="text1"/>
                <w:sz w:val="20"/>
                <w:szCs w:val="20"/>
                <w:shd w:val="clear" w:color="auto" w:fill="FFFFFF"/>
                <w:lang w:val="en-US"/>
              </w:rPr>
              <w:t>însoțește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raportul</w:t>
            </w:r>
            <w:proofErr w:type="spellEnd"/>
            <w:r w:rsidRPr="004324CB">
              <w:rPr>
                <w:rFonts w:eastAsia="Arial Unicode MS"/>
                <w:color w:val="000000" w:themeColor="text1"/>
                <w:sz w:val="20"/>
                <w:szCs w:val="20"/>
                <w:shd w:val="clear" w:color="auto" w:fill="FFFFFF"/>
                <w:lang w:val="en-US"/>
              </w:rPr>
              <w:t xml:space="preserve"> include, </w:t>
            </w:r>
            <w:proofErr w:type="spellStart"/>
            <w:r w:rsidRPr="004324CB">
              <w:rPr>
                <w:rFonts w:eastAsia="Arial Unicode MS"/>
                <w:color w:val="000000" w:themeColor="text1"/>
                <w:sz w:val="20"/>
                <w:szCs w:val="20"/>
                <w:shd w:val="clear" w:color="auto" w:fill="FFFFFF"/>
                <w:lang w:val="en-US"/>
              </w:rPr>
              <w:t>după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lastRenderedPageBreak/>
              <w:t>caz</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aplicarea</w:t>
            </w:r>
            <w:proofErr w:type="spellEnd"/>
            <w:r w:rsidRPr="004324CB">
              <w:rPr>
                <w:rFonts w:eastAsia="Arial Unicode MS"/>
                <w:color w:val="000000" w:themeColor="text1"/>
                <w:sz w:val="20"/>
                <w:szCs w:val="20"/>
                <w:shd w:val="clear" w:color="auto" w:fill="FFFFFF"/>
                <w:lang w:val="en-US"/>
              </w:rPr>
              <w:t xml:space="preserve"> EU ETS </w:t>
            </w:r>
            <w:proofErr w:type="spellStart"/>
            <w:r w:rsidRPr="004324CB">
              <w:rPr>
                <w:rFonts w:eastAsia="Arial Unicode MS"/>
                <w:color w:val="000000" w:themeColor="text1"/>
                <w:sz w:val="20"/>
                <w:szCs w:val="20"/>
                <w:shd w:val="clear" w:color="auto" w:fill="FFFFFF"/>
                <w:lang w:val="en-US"/>
              </w:rPr>
              <w:t>zborurilor</w:t>
            </w:r>
            <w:proofErr w:type="spellEnd"/>
            <w:r w:rsidRPr="004324CB">
              <w:rPr>
                <w:rFonts w:eastAsia="Arial Unicode MS"/>
                <w:color w:val="000000" w:themeColor="text1"/>
                <w:sz w:val="20"/>
                <w:szCs w:val="20"/>
                <w:shd w:val="clear" w:color="auto" w:fill="FFFFFF"/>
                <w:lang w:val="en-US"/>
              </w:rPr>
              <w:t xml:space="preserve"> care </w:t>
            </w:r>
            <w:proofErr w:type="spellStart"/>
            <w:r w:rsidRPr="004324CB">
              <w:rPr>
                <w:rFonts w:eastAsia="Arial Unicode MS"/>
                <w:color w:val="000000" w:themeColor="text1"/>
                <w:sz w:val="20"/>
                <w:szCs w:val="20"/>
                <w:shd w:val="clear" w:color="auto" w:fill="FFFFFF"/>
                <w:lang w:val="en-US"/>
              </w:rPr>
              <w:t>pleacă</w:t>
            </w:r>
            <w:proofErr w:type="spellEnd"/>
            <w:r w:rsidRPr="004324CB">
              <w:rPr>
                <w:rFonts w:eastAsia="Arial Unicode MS"/>
                <w:color w:val="000000" w:themeColor="text1"/>
                <w:sz w:val="20"/>
                <w:szCs w:val="20"/>
                <w:shd w:val="clear" w:color="auto" w:fill="FFFFFF"/>
                <w:lang w:val="en-US"/>
              </w:rPr>
              <w:t xml:space="preserve"> de pe </w:t>
            </w:r>
            <w:proofErr w:type="spellStart"/>
            <w:r w:rsidRPr="004324CB">
              <w:rPr>
                <w:rFonts w:eastAsia="Arial Unicode MS"/>
                <w:color w:val="000000" w:themeColor="text1"/>
                <w:sz w:val="20"/>
                <w:szCs w:val="20"/>
                <w:shd w:val="clear" w:color="auto" w:fill="FFFFFF"/>
                <w:lang w:val="en-US"/>
              </w:rPr>
              <w:t>aerodromuri</w:t>
            </w:r>
            <w:proofErr w:type="spellEnd"/>
            <w:r w:rsidRPr="004324CB">
              <w:rPr>
                <w:rFonts w:eastAsia="Arial Unicode MS"/>
                <w:color w:val="000000" w:themeColor="text1"/>
                <w:sz w:val="20"/>
                <w:szCs w:val="20"/>
                <w:shd w:val="clear" w:color="auto" w:fill="FFFFFF"/>
                <w:lang w:val="en-US"/>
              </w:rPr>
              <w:t xml:space="preserve"> situate în </w:t>
            </w:r>
            <w:proofErr w:type="spellStart"/>
            <w:r w:rsidRPr="004324CB">
              <w:rPr>
                <w:rFonts w:eastAsia="Arial Unicode MS"/>
                <w:color w:val="000000" w:themeColor="text1"/>
                <w:sz w:val="20"/>
                <w:szCs w:val="20"/>
                <w:shd w:val="clear" w:color="auto" w:fill="FFFFFF"/>
                <w:lang w:val="en-US"/>
              </w:rPr>
              <w:t>statele</w:t>
            </w:r>
            <w:proofErr w:type="spellEnd"/>
            <w:r w:rsidRPr="004324CB">
              <w:rPr>
                <w:rFonts w:eastAsia="Arial Unicode MS"/>
                <w:color w:val="000000" w:themeColor="text1"/>
                <w:sz w:val="20"/>
                <w:szCs w:val="20"/>
                <w:shd w:val="clear" w:color="auto" w:fill="FFFFFF"/>
                <w:lang w:val="en-US"/>
              </w:rPr>
              <w:t xml:space="preserve"> din SEE </w:t>
            </w:r>
            <w:proofErr w:type="spellStart"/>
            <w:r w:rsidRPr="004324CB">
              <w:rPr>
                <w:rFonts w:eastAsia="Arial Unicode MS"/>
                <w:color w:val="000000" w:themeColor="text1"/>
                <w:sz w:val="20"/>
                <w:szCs w:val="20"/>
                <w:shd w:val="clear" w:color="auto" w:fill="FFFFFF"/>
                <w:lang w:val="en-US"/>
              </w:rPr>
              <w:t>înspre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aerodromuri</w:t>
            </w:r>
            <w:proofErr w:type="spellEnd"/>
            <w:r w:rsidRPr="004324CB">
              <w:rPr>
                <w:rFonts w:eastAsia="Arial Unicode MS"/>
                <w:color w:val="000000" w:themeColor="text1"/>
                <w:sz w:val="20"/>
                <w:szCs w:val="20"/>
                <w:shd w:val="clear" w:color="auto" w:fill="FFFFFF"/>
                <w:lang w:val="en-US"/>
              </w:rPr>
              <w:t xml:space="preserve"> situate în afara SEE </w:t>
            </w:r>
            <w:proofErr w:type="spellStart"/>
            <w:r w:rsidRPr="004324CB">
              <w:rPr>
                <w:rFonts w:eastAsia="Arial Unicode MS"/>
                <w:color w:val="000000" w:themeColor="text1"/>
                <w:sz w:val="20"/>
                <w:szCs w:val="20"/>
                <w:shd w:val="clear" w:color="auto" w:fill="FFFFFF"/>
                <w:lang w:val="en-US"/>
              </w:rPr>
              <w:t>începând</w:t>
            </w:r>
            <w:proofErr w:type="spellEnd"/>
            <w:r w:rsidRPr="004324CB">
              <w:rPr>
                <w:rFonts w:eastAsia="Arial Unicode MS"/>
                <w:color w:val="000000" w:themeColor="text1"/>
                <w:sz w:val="20"/>
                <w:szCs w:val="20"/>
                <w:shd w:val="clear" w:color="auto" w:fill="FFFFFF"/>
                <w:lang w:val="en-US"/>
              </w:rPr>
              <w:t xml:space="preserve"> din </w:t>
            </w:r>
            <w:proofErr w:type="spellStart"/>
            <w:r w:rsidRPr="004324CB">
              <w:rPr>
                <w:rFonts w:eastAsia="Arial Unicode MS"/>
                <w:color w:val="000000" w:themeColor="text1"/>
                <w:sz w:val="20"/>
                <w:szCs w:val="20"/>
                <w:shd w:val="clear" w:color="auto" w:fill="FFFFFF"/>
                <w:lang w:val="en-US"/>
              </w:rPr>
              <w:t>ianuarie</w:t>
            </w:r>
            <w:proofErr w:type="spellEnd"/>
            <w:r w:rsidRPr="004324CB">
              <w:rPr>
                <w:rFonts w:eastAsia="Arial Unicode MS"/>
                <w:color w:val="000000" w:themeColor="text1"/>
                <w:sz w:val="20"/>
                <w:szCs w:val="20"/>
                <w:shd w:val="clear" w:color="auto" w:fill="FFFFFF"/>
                <w:lang w:val="en-US"/>
              </w:rPr>
              <w:t xml:space="preserve"> 2027 și exclude </w:t>
            </w:r>
            <w:proofErr w:type="spellStart"/>
            <w:r w:rsidRPr="004324CB">
              <w:rPr>
                <w:rFonts w:eastAsia="Arial Unicode MS"/>
                <w:color w:val="000000" w:themeColor="text1"/>
                <w:sz w:val="20"/>
                <w:szCs w:val="20"/>
                <w:shd w:val="clear" w:color="auto" w:fill="FFFFFF"/>
                <w:lang w:val="en-US"/>
              </w:rPr>
              <w:t>zborurile</w:t>
            </w:r>
            <w:proofErr w:type="spellEnd"/>
            <w:r w:rsidRPr="004324CB">
              <w:rPr>
                <w:rFonts w:eastAsia="Arial Unicode MS"/>
                <w:color w:val="000000" w:themeColor="text1"/>
                <w:sz w:val="20"/>
                <w:szCs w:val="20"/>
                <w:shd w:val="clear" w:color="auto" w:fill="FFFFFF"/>
                <w:lang w:val="en-US"/>
              </w:rPr>
              <w:t xml:space="preserve"> care </w:t>
            </w:r>
            <w:proofErr w:type="spellStart"/>
            <w:r w:rsidRPr="004324CB">
              <w:rPr>
                <w:rFonts w:eastAsia="Arial Unicode MS"/>
                <w:color w:val="000000" w:themeColor="text1"/>
                <w:sz w:val="20"/>
                <w:szCs w:val="20"/>
                <w:shd w:val="clear" w:color="auto" w:fill="FFFFFF"/>
                <w:lang w:val="en-US"/>
              </w:rPr>
              <w:t>sosesc</w:t>
            </w:r>
            <w:proofErr w:type="spellEnd"/>
            <w:r w:rsidRPr="004324CB">
              <w:rPr>
                <w:rFonts w:eastAsia="Arial Unicode MS"/>
                <w:color w:val="000000" w:themeColor="text1"/>
                <w:sz w:val="20"/>
                <w:szCs w:val="20"/>
                <w:shd w:val="clear" w:color="auto" w:fill="FFFFFF"/>
                <w:lang w:val="en-US"/>
              </w:rPr>
              <w:t xml:space="preserve"> de pe </w:t>
            </w:r>
            <w:proofErr w:type="spellStart"/>
            <w:r w:rsidRPr="004324CB">
              <w:rPr>
                <w:rFonts w:eastAsia="Arial Unicode MS"/>
                <w:color w:val="000000" w:themeColor="text1"/>
                <w:sz w:val="20"/>
                <w:szCs w:val="20"/>
                <w:shd w:val="clear" w:color="auto" w:fill="FFFFFF"/>
                <w:lang w:val="en-US"/>
              </w:rPr>
              <w:t>aerodromuri</w:t>
            </w:r>
            <w:proofErr w:type="spellEnd"/>
            <w:r w:rsidRPr="004324CB">
              <w:rPr>
                <w:rFonts w:eastAsia="Arial Unicode MS"/>
                <w:color w:val="000000" w:themeColor="text1"/>
                <w:sz w:val="20"/>
                <w:szCs w:val="20"/>
                <w:shd w:val="clear" w:color="auto" w:fill="FFFFFF"/>
                <w:lang w:val="en-US"/>
              </w:rPr>
              <w:t xml:space="preserve"> situate în afara SEE, în </w:t>
            </w:r>
            <w:proofErr w:type="spellStart"/>
            <w:r w:rsidRPr="004324CB">
              <w:rPr>
                <w:rFonts w:eastAsia="Arial Unicode MS"/>
                <w:color w:val="000000" w:themeColor="text1"/>
                <w:sz w:val="20"/>
                <w:szCs w:val="20"/>
                <w:shd w:val="clear" w:color="auto" w:fill="FFFFFF"/>
                <w:lang w:val="en-US"/>
              </w:rPr>
              <w:t>cazul</w:t>
            </w:r>
            <w:proofErr w:type="spellEnd"/>
            <w:r w:rsidRPr="004324CB">
              <w:rPr>
                <w:rFonts w:eastAsia="Arial Unicode MS"/>
                <w:color w:val="000000" w:themeColor="text1"/>
                <w:sz w:val="20"/>
                <w:szCs w:val="20"/>
                <w:shd w:val="clear" w:color="auto" w:fill="FFFFFF"/>
                <w:lang w:val="en-US"/>
              </w:rPr>
              <w:t xml:space="preserve"> în care </w:t>
            </w:r>
            <w:proofErr w:type="spellStart"/>
            <w:r w:rsidRPr="004324CB">
              <w:rPr>
                <w:rFonts w:eastAsia="Arial Unicode MS"/>
                <w:color w:val="000000" w:themeColor="text1"/>
                <w:sz w:val="20"/>
                <w:szCs w:val="20"/>
                <w:shd w:val="clear" w:color="auto" w:fill="FFFFFF"/>
                <w:lang w:val="en-US"/>
              </w:rPr>
              <w:t>raportul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menționat</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alineatul</w:t>
            </w:r>
            <w:proofErr w:type="spellEnd"/>
            <w:r w:rsidRPr="004324CB">
              <w:rPr>
                <w:rFonts w:eastAsia="Arial Unicode MS"/>
                <w:color w:val="000000" w:themeColor="text1"/>
                <w:sz w:val="20"/>
                <w:szCs w:val="20"/>
                <w:shd w:val="clear" w:color="auto" w:fill="FFFFFF"/>
                <w:lang w:val="en-US"/>
              </w:rPr>
              <w:t xml:space="preserve"> (2) </w:t>
            </w:r>
            <w:proofErr w:type="spellStart"/>
            <w:r w:rsidRPr="004324CB">
              <w:rPr>
                <w:rFonts w:eastAsia="Arial Unicode MS"/>
                <w:color w:val="000000" w:themeColor="text1"/>
                <w:sz w:val="20"/>
                <w:szCs w:val="20"/>
                <w:shd w:val="clear" w:color="auto" w:fill="FFFFFF"/>
                <w:lang w:val="en-US"/>
              </w:rPr>
              <w:t>arată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că</w:t>
            </w:r>
            <w:proofErr w:type="spellEnd"/>
            <w:r w:rsidRPr="004324CB">
              <w:rPr>
                <w:rFonts w:eastAsia="Arial Unicode MS"/>
                <w:color w:val="000000" w:themeColor="text1"/>
                <w:sz w:val="20"/>
                <w:szCs w:val="20"/>
                <w:shd w:val="clear" w:color="auto" w:fill="FFFFFF"/>
                <w:lang w:val="en-US"/>
              </w:rPr>
              <w:t>:</w:t>
            </w:r>
          </w:p>
          <w:p w14:paraId="7326C131" w14:textId="4F2ABE9F" w:rsidR="00124364" w:rsidRPr="004324CB" w:rsidRDefault="00000000" w:rsidP="004324CB">
            <w:pPr>
              <w:pStyle w:val="ti-art"/>
              <w:numPr>
                <w:ilvl w:val="0"/>
                <w:numId w:val="12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până</w:t>
            </w:r>
            <w:proofErr w:type="spellEnd"/>
            <w:r w:rsidRPr="004324CB">
              <w:rPr>
                <w:rFonts w:eastAsia="Arial Unicode MS"/>
                <w:color w:val="000000" w:themeColor="text1"/>
                <w:sz w:val="20"/>
                <w:szCs w:val="20"/>
                <w:shd w:val="clear" w:color="auto" w:fill="FFFFFF"/>
                <w:lang w:val="en-US"/>
              </w:rPr>
              <w:t xml:space="preserve"> la 31</w:t>
            </w:r>
            <w:r w:rsid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decembrie</w:t>
            </w:r>
            <w:proofErr w:type="spellEnd"/>
            <w:r w:rsidRPr="004324CB">
              <w:rPr>
                <w:rFonts w:eastAsia="Arial Unicode MS"/>
                <w:color w:val="000000" w:themeColor="text1"/>
                <w:sz w:val="20"/>
                <w:szCs w:val="20"/>
                <w:shd w:val="clear" w:color="auto" w:fill="FFFFFF"/>
                <w:lang w:val="en-US"/>
              </w:rPr>
              <w:t xml:space="preserve"> 2025, </w:t>
            </w:r>
            <w:proofErr w:type="spellStart"/>
            <w:r w:rsidRPr="004324CB">
              <w:rPr>
                <w:rFonts w:eastAsia="Arial Unicode MS"/>
                <w:color w:val="000000" w:themeColor="text1"/>
                <w:sz w:val="20"/>
                <w:szCs w:val="20"/>
                <w:shd w:val="clear" w:color="auto" w:fill="FFFFFF"/>
                <w:lang w:val="en-US"/>
              </w:rPr>
              <w:t>Adunarea</w:t>
            </w:r>
            <w:proofErr w:type="spellEnd"/>
            <w:r w:rsidRPr="004324CB">
              <w:rPr>
                <w:rFonts w:eastAsia="Arial Unicode MS"/>
                <w:color w:val="000000" w:themeColor="text1"/>
                <w:sz w:val="20"/>
                <w:szCs w:val="20"/>
                <w:shd w:val="clear" w:color="auto" w:fill="FFFFFF"/>
                <w:lang w:val="en-US"/>
              </w:rPr>
              <w:t xml:space="preserve"> OACI nu a </w:t>
            </w:r>
            <w:proofErr w:type="spellStart"/>
            <w:r w:rsidRPr="004324CB">
              <w:rPr>
                <w:rFonts w:eastAsia="Arial Unicode MS"/>
                <w:color w:val="000000" w:themeColor="text1"/>
                <w:sz w:val="20"/>
                <w:szCs w:val="20"/>
                <w:shd w:val="clear" w:color="auto" w:fill="FFFFFF"/>
                <w:lang w:val="en-US"/>
              </w:rPr>
              <w:t>consolidat</w:t>
            </w:r>
            <w:proofErr w:type="spellEnd"/>
            <w:r w:rsidRPr="004324CB">
              <w:rPr>
                <w:rFonts w:eastAsia="Arial Unicode MS"/>
                <w:color w:val="000000" w:themeColor="text1"/>
                <w:sz w:val="20"/>
                <w:szCs w:val="20"/>
                <w:shd w:val="clear" w:color="auto" w:fill="FFFFFF"/>
                <w:lang w:val="en-US"/>
              </w:rPr>
              <w:t xml:space="preserve"> CORSIA în conformitate cu </w:t>
            </w:r>
            <w:proofErr w:type="spellStart"/>
            <w:r w:rsidRPr="004324CB">
              <w:rPr>
                <w:rFonts w:eastAsia="Arial Unicode MS"/>
                <w:color w:val="000000" w:themeColor="text1"/>
                <w:sz w:val="20"/>
                <w:szCs w:val="20"/>
                <w:shd w:val="clear" w:color="auto" w:fill="FFFFFF"/>
                <w:lang w:val="en-US"/>
              </w:rPr>
              <w:t>obiectivul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său</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ambițios</w:t>
            </w:r>
            <w:proofErr w:type="spellEnd"/>
            <w:r w:rsidRPr="004324CB">
              <w:rPr>
                <w:rFonts w:eastAsia="Arial Unicode MS"/>
                <w:color w:val="000000" w:themeColor="text1"/>
                <w:sz w:val="20"/>
                <w:szCs w:val="20"/>
                <w:shd w:val="clear" w:color="auto" w:fill="FFFFFF"/>
                <w:lang w:val="en-US"/>
              </w:rPr>
              <w:t xml:space="preserve"> global pe termen lung, care </w:t>
            </w:r>
            <w:proofErr w:type="spellStart"/>
            <w:r w:rsidRPr="004324CB">
              <w:rPr>
                <w:rFonts w:eastAsia="Arial Unicode MS"/>
                <w:color w:val="000000" w:themeColor="text1"/>
                <w:sz w:val="20"/>
                <w:szCs w:val="20"/>
                <w:shd w:val="clear" w:color="auto" w:fill="FFFFFF"/>
                <w:lang w:val="en-US"/>
              </w:rPr>
              <w:t>vizează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îndeplinirea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obiectivelor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Acordului</w:t>
            </w:r>
            <w:proofErr w:type="spellEnd"/>
            <w:r w:rsidRPr="004324CB">
              <w:rPr>
                <w:rFonts w:eastAsia="Arial Unicode MS"/>
                <w:color w:val="000000" w:themeColor="text1"/>
                <w:sz w:val="20"/>
                <w:szCs w:val="20"/>
                <w:shd w:val="clear" w:color="auto" w:fill="FFFFFF"/>
                <w:lang w:val="en-US"/>
              </w:rPr>
              <w:t xml:space="preserve"> de la Paris; </w:t>
            </w:r>
            <w:proofErr w:type="spellStart"/>
            <w:r w:rsidRPr="004324CB">
              <w:rPr>
                <w:rFonts w:eastAsia="Arial Unicode MS"/>
                <w:color w:val="000000" w:themeColor="text1"/>
                <w:sz w:val="20"/>
                <w:szCs w:val="20"/>
                <w:shd w:val="clear" w:color="auto" w:fill="FFFFFF"/>
                <w:lang w:val="en-US"/>
              </w:rPr>
              <w:t>sau</w:t>
            </w:r>
            <w:proofErr w:type="spellEnd"/>
          </w:p>
          <w:p w14:paraId="30CE69C4" w14:textId="396272D1" w:rsidR="00124364" w:rsidRPr="004324CB" w:rsidRDefault="00000000" w:rsidP="004324CB">
            <w:pPr>
              <w:pStyle w:val="ti-art"/>
              <w:numPr>
                <w:ilvl w:val="0"/>
                <w:numId w:val="12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statele</w:t>
            </w:r>
            <w:proofErr w:type="spellEnd"/>
            <w:r w:rsidRPr="004324CB">
              <w:rPr>
                <w:rFonts w:eastAsia="Arial Unicode MS"/>
                <w:color w:val="000000" w:themeColor="text1"/>
                <w:sz w:val="20"/>
                <w:szCs w:val="20"/>
                <w:shd w:val="clear" w:color="auto" w:fill="FFFFFF"/>
                <w:lang w:val="en-US"/>
              </w:rPr>
              <w:t xml:space="preserve"> enumerate în </w:t>
            </w:r>
            <w:proofErr w:type="spellStart"/>
            <w:r w:rsidRPr="004324CB">
              <w:rPr>
                <w:rFonts w:eastAsia="Arial Unicode MS"/>
                <w:color w:val="000000" w:themeColor="text1"/>
                <w:sz w:val="20"/>
                <w:szCs w:val="20"/>
                <w:shd w:val="clear" w:color="auto" w:fill="FFFFFF"/>
                <w:lang w:val="en-US"/>
              </w:rPr>
              <w:t>actul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punere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aplicare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adoptat</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temeiul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articolului</w:t>
            </w:r>
            <w:proofErr w:type="spellEnd"/>
            <w:r w:rsid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25a </w:t>
            </w:r>
            <w:proofErr w:type="spellStart"/>
            <w:r w:rsidRPr="004324CB">
              <w:rPr>
                <w:rFonts w:eastAsia="Arial Unicode MS"/>
                <w:color w:val="000000" w:themeColor="text1"/>
                <w:sz w:val="20"/>
                <w:szCs w:val="20"/>
                <w:shd w:val="clear" w:color="auto" w:fill="FFFFFF"/>
                <w:lang w:val="en-US"/>
              </w:rPr>
              <w:t>alineatul</w:t>
            </w:r>
            <w:proofErr w:type="spellEnd"/>
            <w:r w:rsidRPr="004324CB">
              <w:rPr>
                <w:rFonts w:eastAsia="Arial Unicode MS"/>
                <w:color w:val="000000" w:themeColor="text1"/>
                <w:sz w:val="20"/>
                <w:szCs w:val="20"/>
                <w:shd w:val="clear" w:color="auto" w:fill="FFFFFF"/>
                <w:lang w:val="en-US"/>
              </w:rPr>
              <w:t xml:space="preserve"> (3) </w:t>
            </w:r>
            <w:proofErr w:type="spellStart"/>
            <w:r w:rsidRPr="004324CB">
              <w:rPr>
                <w:rFonts w:eastAsia="Arial Unicode MS"/>
                <w:color w:val="000000" w:themeColor="text1"/>
                <w:sz w:val="20"/>
                <w:szCs w:val="20"/>
                <w:shd w:val="clear" w:color="auto" w:fill="FFFFFF"/>
                <w:lang w:val="en-US"/>
              </w:rPr>
              <w:t>reprezintă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mai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puțin</w:t>
            </w:r>
            <w:proofErr w:type="spellEnd"/>
            <w:r w:rsidRPr="004324CB">
              <w:rPr>
                <w:rFonts w:eastAsia="Arial Unicode MS"/>
                <w:color w:val="000000" w:themeColor="text1"/>
                <w:sz w:val="20"/>
                <w:szCs w:val="20"/>
                <w:shd w:val="clear" w:color="auto" w:fill="FFFFFF"/>
                <w:lang w:val="en-US"/>
              </w:rPr>
              <w:t xml:space="preserve"> de 70</w:t>
            </w:r>
            <w:r w:rsid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 din </w:t>
            </w:r>
            <w:proofErr w:type="spellStart"/>
            <w:r w:rsidRPr="004324CB">
              <w:rPr>
                <w:rFonts w:eastAsia="Arial Unicode MS"/>
                <w:color w:val="000000" w:themeColor="text1"/>
                <w:sz w:val="20"/>
                <w:szCs w:val="20"/>
                <w:shd w:val="clear" w:color="auto" w:fill="FFFFFF"/>
                <w:lang w:val="en-US"/>
              </w:rPr>
              <w:t>emisiile</w:t>
            </w:r>
            <w:proofErr w:type="spellEnd"/>
            <w:r w:rsidRPr="004324CB">
              <w:rPr>
                <w:rFonts w:eastAsia="Arial Unicode MS"/>
                <w:color w:val="000000" w:themeColor="text1"/>
                <w:sz w:val="20"/>
                <w:szCs w:val="20"/>
                <w:shd w:val="clear" w:color="auto" w:fill="FFFFFF"/>
                <w:lang w:val="en-US"/>
              </w:rPr>
              <w:t xml:space="preserve"> generate de </w:t>
            </w:r>
            <w:proofErr w:type="spellStart"/>
            <w:r w:rsidRPr="004324CB">
              <w:rPr>
                <w:rFonts w:eastAsia="Arial Unicode MS"/>
                <w:color w:val="000000" w:themeColor="text1"/>
                <w:sz w:val="20"/>
                <w:szCs w:val="20"/>
                <w:shd w:val="clear" w:color="auto" w:fill="FFFFFF"/>
                <w:lang w:val="en-US"/>
              </w:rPr>
              <w:t>aviația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internațională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utilizându</w:t>
            </w:r>
            <w:proofErr w:type="spellEnd"/>
            <w:r w:rsidRPr="004324CB">
              <w:rPr>
                <w:rFonts w:eastAsia="Arial Unicode MS"/>
                <w:color w:val="000000" w:themeColor="text1"/>
                <w:sz w:val="20"/>
                <w:szCs w:val="20"/>
                <w:shd w:val="clear" w:color="auto" w:fill="FFFFFF"/>
                <w:lang w:val="en-US"/>
              </w:rPr>
              <w:t xml:space="preserve">-se </w:t>
            </w:r>
            <w:proofErr w:type="spellStart"/>
            <w:r w:rsidRPr="004324CB">
              <w:rPr>
                <w:rFonts w:eastAsia="Arial Unicode MS"/>
                <w:color w:val="000000" w:themeColor="text1"/>
                <w:sz w:val="20"/>
                <w:szCs w:val="20"/>
                <w:shd w:val="clear" w:color="auto" w:fill="FFFFFF"/>
                <w:lang w:val="en-US"/>
              </w:rPr>
              <w:t>cele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mai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recente</w:t>
            </w:r>
            <w:proofErr w:type="spellEnd"/>
            <w:r w:rsidRPr="004324CB">
              <w:rPr>
                <w:rFonts w:eastAsia="Arial Unicode MS"/>
                <w:color w:val="000000" w:themeColor="text1"/>
                <w:sz w:val="20"/>
                <w:szCs w:val="20"/>
                <w:shd w:val="clear" w:color="auto" w:fill="FFFFFF"/>
                <w:lang w:val="en-US"/>
              </w:rPr>
              <w:t xml:space="preserve"> date </w:t>
            </w:r>
            <w:proofErr w:type="spellStart"/>
            <w:r w:rsidRPr="004324CB">
              <w:rPr>
                <w:rFonts w:eastAsia="Arial Unicode MS"/>
                <w:color w:val="000000" w:themeColor="text1"/>
                <w:sz w:val="20"/>
                <w:szCs w:val="20"/>
                <w:shd w:val="clear" w:color="auto" w:fill="FFFFFF"/>
                <w:lang w:val="en-US"/>
              </w:rPr>
              <w:t>disponibile</w:t>
            </w:r>
            <w:proofErr w:type="spellEnd"/>
            <w:r w:rsidRPr="004324CB">
              <w:rPr>
                <w:rFonts w:eastAsia="Arial Unicode MS"/>
                <w:color w:val="000000" w:themeColor="text1"/>
                <w:sz w:val="20"/>
                <w:szCs w:val="20"/>
                <w:shd w:val="clear" w:color="auto" w:fill="FFFFFF"/>
                <w:lang w:val="en-US"/>
              </w:rPr>
              <w:t>.</w:t>
            </w:r>
          </w:p>
          <w:p w14:paraId="79BC4C81" w14:textId="12AADCB7" w:rsidR="00124364" w:rsidRDefault="00000000" w:rsidP="004324CB">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Propunerea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însoțitoare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permite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asemenea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după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caz</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operatorilor</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aeronave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deducă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eventualele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costuri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suportate</w:t>
            </w:r>
            <w:proofErr w:type="spellEnd"/>
            <w:r w:rsidRPr="004324CB">
              <w:rPr>
                <w:rFonts w:eastAsia="Arial Unicode MS"/>
                <w:color w:val="000000" w:themeColor="text1"/>
                <w:sz w:val="20"/>
                <w:szCs w:val="20"/>
                <w:shd w:val="clear" w:color="auto" w:fill="FFFFFF"/>
                <w:lang w:val="en-US"/>
              </w:rPr>
              <w:t xml:space="preserve"> din </w:t>
            </w:r>
            <w:proofErr w:type="spellStart"/>
            <w:r w:rsidRPr="004324CB">
              <w:rPr>
                <w:rFonts w:eastAsia="Arial Unicode MS"/>
                <w:color w:val="000000" w:themeColor="text1"/>
                <w:sz w:val="20"/>
                <w:szCs w:val="20"/>
                <w:shd w:val="clear" w:color="auto" w:fill="FFFFFF"/>
                <w:lang w:val="en-US"/>
              </w:rPr>
              <w:t>cauza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compensării</w:t>
            </w:r>
            <w:proofErr w:type="spellEnd"/>
            <w:r w:rsidRPr="004324CB">
              <w:rPr>
                <w:rFonts w:eastAsia="Arial Unicode MS"/>
                <w:color w:val="000000" w:themeColor="text1"/>
                <w:sz w:val="20"/>
                <w:szCs w:val="20"/>
                <w:shd w:val="clear" w:color="auto" w:fill="FFFFFF"/>
                <w:lang w:val="en-US"/>
              </w:rPr>
              <w:t xml:space="preserve"> CORSIA pe </w:t>
            </w:r>
            <w:proofErr w:type="spellStart"/>
            <w:r w:rsidRPr="004324CB">
              <w:rPr>
                <w:rFonts w:eastAsia="Arial Unicode MS"/>
                <w:color w:val="000000" w:themeColor="text1"/>
                <w:sz w:val="20"/>
                <w:szCs w:val="20"/>
                <w:shd w:val="clear" w:color="auto" w:fill="FFFFFF"/>
                <w:lang w:val="en-US"/>
              </w:rPr>
              <w:t>rutele</w:t>
            </w:r>
            <w:proofErr w:type="spellEnd"/>
            <w:r w:rsidRPr="004324CB">
              <w:rPr>
                <w:rFonts w:eastAsia="Arial Unicode MS"/>
                <w:color w:val="000000" w:themeColor="text1"/>
                <w:sz w:val="20"/>
                <w:szCs w:val="20"/>
                <w:shd w:val="clear" w:color="auto" w:fill="FFFFFF"/>
                <w:lang w:val="en-US"/>
              </w:rPr>
              <w:t xml:space="preserve"> respective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w:t>
            </w:r>
            <w:proofErr w:type="gramStart"/>
            <w:r w:rsidRPr="004324CB">
              <w:rPr>
                <w:rFonts w:eastAsia="Arial Unicode MS"/>
                <w:color w:val="000000" w:themeColor="text1"/>
                <w:sz w:val="20"/>
                <w:szCs w:val="20"/>
                <w:shd w:val="clear" w:color="auto" w:fill="FFFFFF"/>
                <w:lang w:val="en-US"/>
              </w:rPr>
              <w:t>a</w:t>
            </w:r>
            <w:proofErr w:type="gram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evita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dubla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taxare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cazul</w:t>
            </w:r>
            <w:proofErr w:type="spellEnd"/>
            <w:r w:rsidRPr="004324CB">
              <w:rPr>
                <w:rFonts w:eastAsia="Arial Unicode MS"/>
                <w:color w:val="000000" w:themeColor="text1"/>
                <w:sz w:val="20"/>
                <w:szCs w:val="20"/>
                <w:shd w:val="clear" w:color="auto" w:fill="FFFFFF"/>
                <w:lang w:val="en-US"/>
              </w:rPr>
              <w:t xml:space="preserve"> în care nu sunt </w:t>
            </w:r>
            <w:proofErr w:type="spellStart"/>
            <w:r w:rsidRPr="004324CB">
              <w:rPr>
                <w:rFonts w:eastAsia="Arial Unicode MS"/>
                <w:color w:val="000000" w:themeColor="text1"/>
                <w:sz w:val="20"/>
                <w:szCs w:val="20"/>
                <w:shd w:val="clear" w:color="auto" w:fill="FFFFFF"/>
                <w:lang w:val="en-US"/>
              </w:rPr>
              <w:t>îndeplinite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condițiile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menționate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literele</w:t>
            </w:r>
            <w:proofErr w:type="spellEnd"/>
            <w:r w:rsidRPr="004324CB">
              <w:rPr>
                <w:rFonts w:eastAsia="Arial Unicode MS"/>
                <w:color w:val="000000" w:themeColor="text1"/>
                <w:sz w:val="20"/>
                <w:szCs w:val="20"/>
                <w:shd w:val="clear" w:color="auto" w:fill="FFFFFF"/>
                <w:lang w:val="en-US"/>
              </w:rPr>
              <w:t xml:space="preserve"> (a) și (b) de la </w:t>
            </w:r>
            <w:proofErr w:type="spellStart"/>
            <w:r w:rsidRPr="004324CB">
              <w:rPr>
                <w:rFonts w:eastAsia="Arial Unicode MS"/>
                <w:color w:val="000000" w:themeColor="text1"/>
                <w:sz w:val="20"/>
                <w:szCs w:val="20"/>
                <w:shd w:val="clear" w:color="auto" w:fill="FFFFFF"/>
                <w:lang w:val="en-US"/>
              </w:rPr>
              <w:t>primul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paragraf</w:t>
            </w:r>
            <w:proofErr w:type="spellEnd"/>
            <w:r w:rsidRPr="004324CB">
              <w:rPr>
                <w:rFonts w:eastAsia="Arial Unicode MS"/>
                <w:color w:val="000000" w:themeColor="text1"/>
                <w:sz w:val="20"/>
                <w:szCs w:val="20"/>
                <w:shd w:val="clear" w:color="auto" w:fill="FFFFFF"/>
                <w:lang w:val="en-US"/>
              </w:rPr>
              <w:t xml:space="preserve"> al </w:t>
            </w:r>
            <w:proofErr w:type="spellStart"/>
            <w:r w:rsidRPr="004324CB">
              <w:rPr>
                <w:rFonts w:eastAsia="Arial Unicode MS"/>
                <w:color w:val="000000" w:themeColor="text1"/>
                <w:sz w:val="20"/>
                <w:szCs w:val="20"/>
                <w:shd w:val="clear" w:color="auto" w:fill="FFFFFF"/>
                <w:lang w:val="en-US"/>
              </w:rPr>
              <w:t>prezentului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alineat</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propunerea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modifică</w:t>
            </w:r>
            <w:proofErr w:type="spellEnd"/>
            <w:r w:rsidRPr="004324CB">
              <w:rPr>
                <w:rFonts w:eastAsia="Arial Unicode MS"/>
                <w:color w:val="000000" w:themeColor="text1"/>
                <w:sz w:val="20"/>
                <w:szCs w:val="20"/>
                <w:shd w:val="clear" w:color="auto" w:fill="FFFFFF"/>
                <w:lang w:val="en-US"/>
              </w:rPr>
              <w:t xml:space="preserve"> prezenta </w:t>
            </w:r>
            <w:proofErr w:type="spellStart"/>
            <w:r w:rsidRPr="004324CB">
              <w:rPr>
                <w:rFonts w:eastAsia="Arial Unicode MS"/>
                <w:color w:val="000000" w:themeColor="text1"/>
                <w:sz w:val="20"/>
                <w:szCs w:val="20"/>
                <w:shd w:val="clear" w:color="auto" w:fill="FFFFFF"/>
                <w:lang w:val="en-US"/>
              </w:rPr>
              <w:t>directivă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după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caz</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se continua </w:t>
            </w:r>
            <w:proofErr w:type="spellStart"/>
            <w:r w:rsidRPr="004324CB">
              <w:rPr>
                <w:rFonts w:eastAsia="Arial Unicode MS"/>
                <w:color w:val="000000" w:themeColor="text1"/>
                <w:sz w:val="20"/>
                <w:szCs w:val="20"/>
                <w:shd w:val="clear" w:color="auto" w:fill="FFFFFF"/>
                <w:lang w:val="en-US"/>
              </w:rPr>
              <w:t>aplicarea</w:t>
            </w:r>
            <w:proofErr w:type="spellEnd"/>
            <w:r w:rsidRPr="004324CB">
              <w:rPr>
                <w:rFonts w:eastAsia="Arial Unicode MS"/>
                <w:color w:val="000000" w:themeColor="text1"/>
                <w:sz w:val="20"/>
                <w:szCs w:val="20"/>
                <w:shd w:val="clear" w:color="auto" w:fill="FFFFFF"/>
                <w:lang w:val="en-US"/>
              </w:rPr>
              <w:t xml:space="preserve"> EU ETS </w:t>
            </w:r>
            <w:proofErr w:type="spellStart"/>
            <w:r w:rsidRPr="004324CB">
              <w:rPr>
                <w:rFonts w:eastAsia="Arial Unicode MS"/>
                <w:color w:val="000000" w:themeColor="text1"/>
                <w:sz w:val="20"/>
                <w:szCs w:val="20"/>
                <w:shd w:val="clear" w:color="auto" w:fill="FFFFFF"/>
                <w:lang w:val="en-US"/>
              </w:rPr>
              <w:t>numai</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cazul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zborurilor</w:t>
            </w:r>
            <w:proofErr w:type="spellEnd"/>
            <w:r w:rsidRPr="004324CB">
              <w:rPr>
                <w:rFonts w:eastAsia="Arial Unicode MS"/>
                <w:color w:val="000000" w:themeColor="text1"/>
                <w:sz w:val="20"/>
                <w:szCs w:val="20"/>
                <w:shd w:val="clear" w:color="auto" w:fill="FFFFFF"/>
                <w:lang w:val="en-US"/>
              </w:rPr>
              <w:t xml:space="preserve"> din </w:t>
            </w:r>
            <w:proofErr w:type="spellStart"/>
            <w:r w:rsidRPr="004324CB">
              <w:rPr>
                <w:rFonts w:eastAsia="Arial Unicode MS"/>
                <w:color w:val="000000" w:themeColor="text1"/>
                <w:sz w:val="20"/>
                <w:szCs w:val="20"/>
                <w:shd w:val="clear" w:color="auto" w:fill="FFFFFF"/>
                <w:lang w:val="en-US"/>
              </w:rPr>
              <w:t>interiorul</w:t>
            </w:r>
            <w:proofErr w:type="spellEnd"/>
            <w:r w:rsidRPr="004324CB">
              <w:rPr>
                <w:rFonts w:eastAsia="Arial Unicode MS"/>
                <w:color w:val="000000" w:themeColor="text1"/>
                <w:sz w:val="20"/>
                <w:szCs w:val="20"/>
                <w:shd w:val="clear" w:color="auto" w:fill="FFFFFF"/>
                <w:lang w:val="en-US"/>
              </w:rPr>
              <w:t xml:space="preserve"> SEE, al </w:t>
            </w:r>
            <w:proofErr w:type="spellStart"/>
            <w:r w:rsidRPr="004324CB">
              <w:rPr>
                <w:rFonts w:eastAsia="Arial Unicode MS"/>
                <w:color w:val="000000" w:themeColor="text1"/>
                <w:sz w:val="20"/>
                <w:szCs w:val="20"/>
                <w:shd w:val="clear" w:color="auto" w:fill="FFFFFF"/>
                <w:lang w:val="en-US"/>
              </w:rPr>
              <w:t>zborurilor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înspre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Elveția</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Regatul</w:t>
            </w:r>
            <w:proofErr w:type="spellEnd"/>
            <w:r w:rsidRPr="004324CB">
              <w:rPr>
                <w:rFonts w:eastAsia="Arial Unicode MS"/>
                <w:color w:val="000000" w:themeColor="text1"/>
                <w:sz w:val="20"/>
                <w:szCs w:val="20"/>
                <w:shd w:val="clear" w:color="auto" w:fill="FFFFFF"/>
                <w:lang w:val="en-US"/>
              </w:rPr>
              <w:t xml:space="preserve"> Unit și al </w:t>
            </w:r>
            <w:proofErr w:type="spellStart"/>
            <w:r w:rsidRPr="004324CB">
              <w:rPr>
                <w:rFonts w:eastAsia="Arial Unicode MS"/>
                <w:color w:val="000000" w:themeColor="text1"/>
                <w:sz w:val="20"/>
                <w:szCs w:val="20"/>
                <w:shd w:val="clear" w:color="auto" w:fill="FFFFFF"/>
                <w:lang w:val="en-US"/>
              </w:rPr>
              <w:t>zborurilor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înspre</w:t>
            </w:r>
            <w:proofErr w:type="spellEnd"/>
            <w:r w:rsidRPr="004324CB">
              <w:rPr>
                <w:rFonts w:eastAsia="Arial Unicode MS"/>
                <w:color w:val="000000" w:themeColor="text1"/>
                <w:sz w:val="20"/>
                <w:szCs w:val="20"/>
                <w:shd w:val="clear" w:color="auto" w:fill="FFFFFF"/>
                <w:lang w:val="en-US"/>
              </w:rPr>
              <w:t xml:space="preserve"> state care nu sunt enumerate în </w:t>
            </w:r>
            <w:proofErr w:type="spellStart"/>
            <w:r w:rsidRPr="004324CB">
              <w:rPr>
                <w:rFonts w:eastAsia="Arial Unicode MS"/>
                <w:color w:val="000000" w:themeColor="text1"/>
                <w:sz w:val="20"/>
                <w:szCs w:val="20"/>
                <w:shd w:val="clear" w:color="auto" w:fill="FFFFFF"/>
                <w:lang w:val="en-US"/>
              </w:rPr>
              <w:t>actul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punere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aplicare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adoptat</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temeiul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articolului</w:t>
            </w:r>
            <w:proofErr w:type="spellEnd"/>
            <w:r w:rsid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25a </w:t>
            </w:r>
            <w:proofErr w:type="spellStart"/>
            <w:r w:rsidRPr="004324CB">
              <w:rPr>
                <w:rFonts w:eastAsia="Arial Unicode MS"/>
                <w:color w:val="000000" w:themeColor="text1"/>
                <w:sz w:val="20"/>
                <w:szCs w:val="20"/>
                <w:shd w:val="clear" w:color="auto" w:fill="FFFFFF"/>
                <w:lang w:val="en-US"/>
              </w:rPr>
              <w:t>alineatul</w:t>
            </w:r>
            <w:proofErr w:type="spellEnd"/>
            <w:r w:rsidRPr="004324CB">
              <w:rPr>
                <w:rFonts w:eastAsia="Arial Unicode MS"/>
                <w:color w:val="000000" w:themeColor="text1"/>
                <w:sz w:val="20"/>
                <w:szCs w:val="20"/>
                <w:shd w:val="clear" w:color="auto" w:fill="FFFFFF"/>
                <w:lang w:val="en-US"/>
              </w:rPr>
              <w:t xml:space="preserve"> (3)</w:t>
            </w:r>
            <w:r>
              <w:rPr>
                <w:rFonts w:eastAsia="Arial Unicode MS"/>
                <w:color w:val="333333"/>
                <w:sz w:val="20"/>
                <w:szCs w:val="20"/>
                <w:shd w:val="clear" w:color="auto" w:fill="FFFFFF"/>
                <w:lang w:val="en-US"/>
              </w:rPr>
              <w:t>.</w:t>
            </w:r>
          </w:p>
          <w:p w14:paraId="47CFFBEE"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37"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1100B81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3A35A5E" w14:textId="1A29AE3B" w:rsidR="00124364" w:rsidRDefault="00DB61E1">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0CCEA656"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ECFF114"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A60832D" w14:textId="11253608" w:rsidR="00124364" w:rsidRDefault="00DB61E1">
            <w:pPr>
              <w:autoSpaceDE w:val="0"/>
              <w:spacing w:after="0" w:line="240" w:lineRule="auto"/>
              <w:rPr>
                <w:rFonts w:ascii="Times New Roman" w:eastAsia="Times New Roman" w:hAnsi="Times New Roman"/>
                <w:sz w:val="20"/>
                <w:szCs w:val="20"/>
                <w:lang w:val="ro-RO"/>
              </w:rPr>
            </w:pPr>
            <w:proofErr w:type="spellStart"/>
            <w:r w:rsidRPr="00DB61E1">
              <w:rPr>
                <w:rFonts w:ascii="Times New Roman" w:eastAsia="Times New Roman" w:hAnsi="Times New Roman"/>
                <w:sz w:val="20"/>
                <w:szCs w:val="20"/>
              </w:rPr>
              <w:t>Prevederile</w:t>
            </w:r>
            <w:proofErr w:type="spellEnd"/>
            <w:r w:rsidRPr="00DB61E1">
              <w:rPr>
                <w:rFonts w:ascii="Times New Roman" w:eastAsia="Times New Roman" w:hAnsi="Times New Roman"/>
                <w:sz w:val="20"/>
                <w:szCs w:val="20"/>
              </w:rPr>
              <w:t xml:space="preserve"> </w:t>
            </w:r>
            <w:proofErr w:type="spellStart"/>
            <w:r w:rsidRPr="00DB61E1">
              <w:rPr>
                <w:rFonts w:ascii="Times New Roman" w:eastAsia="Times New Roman" w:hAnsi="Times New Roman"/>
                <w:sz w:val="20"/>
                <w:szCs w:val="20"/>
              </w:rPr>
              <w:t>vor</w:t>
            </w:r>
            <w:proofErr w:type="spellEnd"/>
            <w:r w:rsidRPr="00DB61E1">
              <w:rPr>
                <w:rFonts w:ascii="Times New Roman" w:eastAsia="Times New Roman" w:hAnsi="Times New Roman"/>
                <w:sz w:val="20"/>
                <w:szCs w:val="20"/>
              </w:rPr>
              <w:t xml:space="preserve"> fi </w:t>
            </w:r>
            <w:proofErr w:type="spellStart"/>
            <w:r w:rsidRPr="00DB61E1">
              <w:rPr>
                <w:rFonts w:ascii="Times New Roman" w:eastAsia="Times New Roman" w:hAnsi="Times New Roman"/>
                <w:sz w:val="20"/>
                <w:szCs w:val="20"/>
              </w:rPr>
              <w:t>transpuse</w:t>
            </w:r>
            <w:proofErr w:type="spellEnd"/>
            <w:r w:rsidRPr="00DB61E1">
              <w:rPr>
                <w:rFonts w:ascii="Times New Roman" w:eastAsia="Times New Roman" w:hAnsi="Times New Roman"/>
                <w:sz w:val="20"/>
                <w:szCs w:val="20"/>
              </w:rPr>
              <w:t xml:space="preserve"> în </w:t>
            </w:r>
            <w:proofErr w:type="spellStart"/>
            <w:r w:rsidRPr="00DB61E1">
              <w:rPr>
                <w:rFonts w:ascii="Times New Roman" w:hAnsi="Times New Roman"/>
                <w:color w:val="000000" w:themeColor="text1"/>
                <w:sz w:val="20"/>
                <w:szCs w:val="20"/>
              </w:rPr>
              <w:t>Regulamentul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privind</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monitorizare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raportare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verificare</w:t>
            </w:r>
            <w:proofErr w:type="spellEnd"/>
            <w:r w:rsidRPr="00DB61E1">
              <w:rPr>
                <w:rFonts w:ascii="Times New Roman" w:hAnsi="Times New Roman"/>
                <w:color w:val="000000" w:themeColor="text1"/>
                <w:sz w:val="20"/>
                <w:szCs w:val="20"/>
              </w:rPr>
              <w:t xml:space="preserve"> </w:t>
            </w:r>
            <w:proofErr w:type="gramStart"/>
            <w:r w:rsidRPr="00DB61E1">
              <w:rPr>
                <w:rFonts w:ascii="Times New Roman" w:hAnsi="Times New Roman"/>
                <w:color w:val="000000" w:themeColor="text1"/>
                <w:sz w:val="20"/>
                <w:szCs w:val="20"/>
              </w:rPr>
              <w:t>a</w:t>
            </w:r>
            <w:proofErr w:type="gram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emisiilor</w:t>
            </w:r>
            <w:proofErr w:type="spellEnd"/>
            <w:r w:rsidRPr="00DB61E1">
              <w:rPr>
                <w:rFonts w:ascii="Times New Roman" w:hAnsi="Times New Roman"/>
                <w:color w:val="000000" w:themeColor="text1"/>
                <w:sz w:val="20"/>
                <w:szCs w:val="20"/>
              </w:rPr>
              <w:t xml:space="preserve"> de gaze cu </w:t>
            </w:r>
            <w:proofErr w:type="spellStart"/>
            <w:r w:rsidRPr="00DB61E1">
              <w:rPr>
                <w:rFonts w:ascii="Times New Roman" w:hAnsi="Times New Roman"/>
                <w:color w:val="000000" w:themeColor="text1"/>
                <w:sz w:val="20"/>
                <w:szCs w:val="20"/>
              </w:rPr>
              <w:t>efect</w:t>
            </w:r>
            <w:proofErr w:type="spellEnd"/>
            <w:r w:rsidRPr="00DB61E1">
              <w:rPr>
                <w:rFonts w:ascii="Times New Roman" w:hAnsi="Times New Roman"/>
                <w:color w:val="000000" w:themeColor="text1"/>
                <w:sz w:val="20"/>
                <w:szCs w:val="20"/>
              </w:rPr>
              <w:t xml:space="preserve"> de sera de la </w:t>
            </w:r>
            <w:proofErr w:type="spellStart"/>
            <w:r w:rsidRPr="00DB61E1">
              <w:rPr>
                <w:rFonts w:ascii="Times New Roman" w:hAnsi="Times New Roman"/>
                <w:color w:val="000000" w:themeColor="text1"/>
                <w:sz w:val="20"/>
                <w:szCs w:val="20"/>
              </w:rPr>
              <w:t>instalațiile</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staționare</w:t>
            </w:r>
            <w:proofErr w:type="spellEnd"/>
            <w:r w:rsidRPr="00DB61E1">
              <w:rPr>
                <w:rFonts w:ascii="Times New Roman" w:hAnsi="Times New Roman"/>
                <w:color w:val="000000" w:themeColor="text1"/>
                <w:sz w:val="20"/>
                <w:szCs w:val="20"/>
              </w:rPr>
              <w:t xml:space="preserve"> și </w:t>
            </w:r>
            <w:proofErr w:type="spellStart"/>
            <w:r w:rsidRPr="00DB61E1">
              <w:rPr>
                <w:rFonts w:ascii="Times New Roman" w:hAnsi="Times New Roman"/>
                <w:color w:val="000000" w:themeColor="text1"/>
                <w:sz w:val="20"/>
                <w:szCs w:val="20"/>
              </w:rPr>
              <w:t>activitățile</w:t>
            </w:r>
            <w:proofErr w:type="spellEnd"/>
            <w:r w:rsidRPr="00DB61E1">
              <w:rPr>
                <w:rFonts w:ascii="Times New Roman" w:hAnsi="Times New Roman"/>
                <w:color w:val="000000" w:themeColor="text1"/>
                <w:sz w:val="20"/>
                <w:szCs w:val="20"/>
              </w:rPr>
              <w:t xml:space="preserve"> din </w:t>
            </w:r>
            <w:proofErr w:type="spellStart"/>
            <w:r w:rsidRPr="00DB61E1">
              <w:rPr>
                <w:rFonts w:ascii="Times New Roman" w:hAnsi="Times New Roman"/>
                <w:color w:val="000000" w:themeColor="text1"/>
                <w:sz w:val="20"/>
                <w:szCs w:val="20"/>
              </w:rPr>
              <w:t>domeniul</w:t>
            </w:r>
            <w:proofErr w:type="spellEnd"/>
            <w:r w:rsidRPr="00DB61E1">
              <w:rPr>
                <w:rFonts w:ascii="Times New Roman" w:hAnsi="Times New Roman"/>
                <w:color w:val="000000" w:themeColor="text1"/>
                <w:sz w:val="20"/>
                <w:szCs w:val="20"/>
              </w:rPr>
              <w:t xml:space="preserve"> </w:t>
            </w:r>
            <w:proofErr w:type="spellStart"/>
            <w:r w:rsidRPr="00DB61E1">
              <w:rPr>
                <w:rFonts w:ascii="Times New Roman" w:hAnsi="Times New Roman"/>
                <w:color w:val="000000" w:themeColor="text1"/>
                <w:sz w:val="20"/>
                <w:szCs w:val="20"/>
              </w:rPr>
              <w:t>aviației</w:t>
            </w:r>
            <w:proofErr w:type="spellEnd"/>
            <w:r w:rsidRPr="00DB61E1">
              <w:rPr>
                <w:rFonts w:ascii="Times New Roman" w:hAnsi="Times New Roman"/>
                <w:color w:val="000000" w:themeColor="text1"/>
                <w:sz w:val="20"/>
                <w:szCs w:val="20"/>
              </w:rPr>
              <w:t>.</w:t>
            </w:r>
          </w:p>
        </w:tc>
        <w:tc>
          <w:tcPr>
            <w:tcW w:w="1464" w:type="dxa"/>
            <w:shd w:val="clear" w:color="auto" w:fill="auto"/>
          </w:tcPr>
          <w:p w14:paraId="2EC70486" w14:textId="77777777" w:rsidR="00124364" w:rsidRDefault="00124364" w:rsidP="00DB61E1">
            <w:pPr>
              <w:autoSpaceDE w:val="0"/>
              <w:spacing w:after="0" w:line="240" w:lineRule="auto"/>
              <w:rPr>
                <w:rFonts w:ascii="Times New Roman" w:hAnsi="Times New Roman"/>
                <w:sz w:val="20"/>
                <w:szCs w:val="20"/>
                <w:lang w:val="fr-FR"/>
              </w:rPr>
            </w:pPr>
          </w:p>
        </w:tc>
      </w:tr>
      <w:tr w:rsidR="00124364" w14:paraId="543C386E" w14:textId="77777777">
        <w:trPr>
          <w:trHeight w:val="558"/>
        </w:trPr>
        <w:tc>
          <w:tcPr>
            <w:tcW w:w="4957" w:type="dxa"/>
            <w:shd w:val="clear" w:color="auto" w:fill="auto"/>
          </w:tcPr>
          <w:p w14:paraId="7A0F431C" w14:textId="77777777"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Pr="00E34C2B">
              <w:rPr>
                <w:rFonts w:eastAsia="Arial Unicode MS"/>
                <w:i/>
                <w:iCs/>
                <w:color w:val="333333"/>
                <w:sz w:val="20"/>
                <w:szCs w:val="20"/>
                <w:shd w:val="clear" w:color="auto" w:fill="FFFFFF"/>
                <w:lang w:val="en-US"/>
              </w:rPr>
              <w:t xml:space="preserve"> 28c</w:t>
            </w:r>
          </w:p>
          <w:p w14:paraId="368E8F12" w14:textId="77777777" w:rsidR="00124364" w:rsidRPr="004324CB"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324CB">
              <w:rPr>
                <w:rFonts w:eastAsia="Arial Unicode MS"/>
                <w:b/>
                <w:bCs/>
                <w:color w:val="000000" w:themeColor="text1"/>
                <w:sz w:val="20"/>
                <w:szCs w:val="20"/>
                <w:shd w:val="clear" w:color="auto" w:fill="FFFFFF"/>
                <w:lang w:val="en-US"/>
              </w:rPr>
              <w:t>Dispoziții</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privind</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monitorizarea</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raportarea</w:t>
            </w:r>
            <w:proofErr w:type="spellEnd"/>
            <w:r w:rsidRPr="004324CB">
              <w:rPr>
                <w:rFonts w:eastAsia="Arial Unicode MS"/>
                <w:b/>
                <w:bCs/>
                <w:color w:val="000000" w:themeColor="text1"/>
                <w:sz w:val="20"/>
                <w:szCs w:val="20"/>
                <w:shd w:val="clear" w:color="auto" w:fill="FFFFFF"/>
                <w:lang w:val="en-US"/>
              </w:rPr>
              <w:t xml:space="preserve"> și </w:t>
            </w:r>
            <w:proofErr w:type="spellStart"/>
            <w:r w:rsidRPr="004324CB">
              <w:rPr>
                <w:rFonts w:eastAsia="Arial Unicode MS"/>
                <w:b/>
                <w:bCs/>
                <w:color w:val="000000" w:themeColor="text1"/>
                <w:sz w:val="20"/>
                <w:szCs w:val="20"/>
                <w:shd w:val="clear" w:color="auto" w:fill="FFFFFF"/>
                <w:lang w:val="en-US"/>
              </w:rPr>
              <w:t>verificarea</w:t>
            </w:r>
            <w:proofErr w:type="spellEnd"/>
            <w:r w:rsidRPr="004324CB">
              <w:rPr>
                <w:rFonts w:eastAsia="Arial Unicode MS"/>
                <w:b/>
                <w:bCs/>
                <w:color w:val="000000" w:themeColor="text1"/>
                <w:sz w:val="20"/>
                <w:szCs w:val="20"/>
                <w:shd w:val="clear" w:color="auto" w:fill="FFFFFF"/>
                <w:lang w:val="en-US"/>
              </w:rPr>
              <w:t xml:space="preserve"> în </w:t>
            </w:r>
            <w:proofErr w:type="spellStart"/>
            <w:r w:rsidRPr="004324CB">
              <w:rPr>
                <w:rFonts w:eastAsia="Arial Unicode MS"/>
                <w:b/>
                <w:bCs/>
                <w:color w:val="000000" w:themeColor="text1"/>
                <w:sz w:val="20"/>
                <w:szCs w:val="20"/>
                <w:shd w:val="clear" w:color="auto" w:fill="FFFFFF"/>
                <w:lang w:val="en-US"/>
              </w:rPr>
              <w:t>scopul</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punerii</w:t>
            </w:r>
            <w:proofErr w:type="spellEnd"/>
            <w:r w:rsidRPr="004324CB">
              <w:rPr>
                <w:rFonts w:eastAsia="Arial Unicode MS"/>
                <w:b/>
                <w:bCs/>
                <w:color w:val="000000" w:themeColor="text1"/>
                <w:sz w:val="20"/>
                <w:szCs w:val="20"/>
                <w:shd w:val="clear" w:color="auto" w:fill="FFFFFF"/>
                <w:lang w:val="en-US"/>
              </w:rPr>
              <w:t xml:space="preserve"> în </w:t>
            </w:r>
            <w:proofErr w:type="spellStart"/>
            <w:r w:rsidRPr="004324CB">
              <w:rPr>
                <w:rFonts w:eastAsia="Arial Unicode MS"/>
                <w:b/>
                <w:bCs/>
                <w:color w:val="000000" w:themeColor="text1"/>
                <w:sz w:val="20"/>
                <w:szCs w:val="20"/>
                <w:shd w:val="clear" w:color="auto" w:fill="FFFFFF"/>
                <w:lang w:val="en-US"/>
              </w:rPr>
              <w:t>aplicare</w:t>
            </w:r>
            <w:proofErr w:type="spellEnd"/>
            <w:r w:rsidRPr="004324CB">
              <w:rPr>
                <w:rFonts w:eastAsia="Arial Unicode MS"/>
                <w:b/>
                <w:bCs/>
                <w:color w:val="000000" w:themeColor="text1"/>
                <w:sz w:val="20"/>
                <w:szCs w:val="20"/>
                <w:shd w:val="clear" w:color="auto" w:fill="FFFFFF"/>
                <w:lang w:val="en-US"/>
              </w:rPr>
              <w:t xml:space="preserve"> a </w:t>
            </w:r>
            <w:proofErr w:type="spellStart"/>
            <w:r w:rsidRPr="004324CB">
              <w:rPr>
                <w:rFonts w:eastAsia="Arial Unicode MS"/>
                <w:b/>
                <w:bCs/>
                <w:color w:val="000000" w:themeColor="text1"/>
                <w:sz w:val="20"/>
                <w:szCs w:val="20"/>
                <w:shd w:val="clear" w:color="auto" w:fill="FFFFFF"/>
                <w:lang w:val="en-US"/>
              </w:rPr>
              <w:t>măsurii</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globale</w:t>
            </w:r>
            <w:proofErr w:type="spellEnd"/>
            <w:r w:rsidRPr="004324CB">
              <w:rPr>
                <w:rFonts w:eastAsia="Arial Unicode MS"/>
                <w:b/>
                <w:bCs/>
                <w:color w:val="000000" w:themeColor="text1"/>
                <w:sz w:val="20"/>
                <w:szCs w:val="20"/>
                <w:shd w:val="clear" w:color="auto" w:fill="FFFFFF"/>
                <w:lang w:val="en-US"/>
              </w:rPr>
              <w:t xml:space="preserve"> </w:t>
            </w:r>
            <w:proofErr w:type="spellStart"/>
            <w:r w:rsidRPr="004324CB">
              <w:rPr>
                <w:rFonts w:eastAsia="Arial Unicode MS"/>
                <w:b/>
                <w:bCs/>
                <w:color w:val="000000" w:themeColor="text1"/>
                <w:sz w:val="20"/>
                <w:szCs w:val="20"/>
                <w:shd w:val="clear" w:color="auto" w:fill="FFFFFF"/>
                <w:lang w:val="en-US"/>
              </w:rPr>
              <w:t>bazate</w:t>
            </w:r>
            <w:proofErr w:type="spellEnd"/>
            <w:r w:rsidRPr="004324CB">
              <w:rPr>
                <w:rFonts w:eastAsia="Arial Unicode MS"/>
                <w:b/>
                <w:bCs/>
                <w:color w:val="000000" w:themeColor="text1"/>
                <w:sz w:val="20"/>
                <w:szCs w:val="20"/>
                <w:shd w:val="clear" w:color="auto" w:fill="FFFFFF"/>
                <w:lang w:val="en-US"/>
              </w:rPr>
              <w:t xml:space="preserve"> pe </w:t>
            </w:r>
            <w:proofErr w:type="spellStart"/>
            <w:r w:rsidRPr="004324CB">
              <w:rPr>
                <w:rFonts w:eastAsia="Arial Unicode MS"/>
                <w:b/>
                <w:bCs/>
                <w:color w:val="000000" w:themeColor="text1"/>
                <w:sz w:val="20"/>
                <w:szCs w:val="20"/>
                <w:shd w:val="clear" w:color="auto" w:fill="FFFFFF"/>
                <w:lang w:val="en-US"/>
              </w:rPr>
              <w:t>piață</w:t>
            </w:r>
            <w:proofErr w:type="spellEnd"/>
          </w:p>
          <w:p w14:paraId="16136FCC" w14:textId="332ED165" w:rsidR="00124364" w:rsidRPr="004324CB" w:rsidRDefault="00000000" w:rsidP="009B5D3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Comisia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este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împuternicită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adopte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acte</w:t>
            </w:r>
            <w:proofErr w:type="spellEnd"/>
            <w:r w:rsidRPr="004324CB">
              <w:rPr>
                <w:rFonts w:eastAsia="Arial Unicode MS"/>
                <w:color w:val="000000" w:themeColor="text1"/>
                <w:sz w:val="20"/>
                <w:szCs w:val="20"/>
                <w:shd w:val="clear" w:color="auto" w:fill="FFFFFF"/>
                <w:lang w:val="en-US"/>
              </w:rPr>
              <w:t xml:space="preserve"> delegate în conformitate cu </w:t>
            </w:r>
            <w:proofErr w:type="spellStart"/>
            <w:r w:rsidRPr="004324CB">
              <w:rPr>
                <w:rFonts w:eastAsia="Arial Unicode MS"/>
                <w:color w:val="000000" w:themeColor="text1"/>
                <w:sz w:val="20"/>
                <w:szCs w:val="20"/>
                <w:shd w:val="clear" w:color="auto" w:fill="FFFFFF"/>
                <w:lang w:val="en-US"/>
              </w:rPr>
              <w:t>articolul</w:t>
            </w:r>
            <w:proofErr w:type="spellEnd"/>
            <w:r w:rsidR="009B5D3D" w:rsidRP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23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completa</w:t>
            </w:r>
            <w:proofErr w:type="spellEnd"/>
            <w:r w:rsidRPr="004324CB">
              <w:rPr>
                <w:rFonts w:eastAsia="Arial Unicode MS"/>
                <w:color w:val="000000" w:themeColor="text1"/>
                <w:sz w:val="20"/>
                <w:szCs w:val="20"/>
                <w:shd w:val="clear" w:color="auto" w:fill="FFFFFF"/>
                <w:lang w:val="en-US"/>
              </w:rPr>
              <w:t xml:space="preserve"> prezenta </w:t>
            </w:r>
            <w:proofErr w:type="spellStart"/>
            <w:r w:rsidRPr="004324CB">
              <w:rPr>
                <w:rFonts w:eastAsia="Arial Unicode MS"/>
                <w:color w:val="000000" w:themeColor="text1"/>
                <w:sz w:val="20"/>
                <w:szCs w:val="20"/>
                <w:shd w:val="clear" w:color="auto" w:fill="FFFFFF"/>
                <w:lang w:val="en-US"/>
              </w:rPr>
              <w:t>directivă</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ceea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privește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monitorizarea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raportarea</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verificarea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adecvate</w:t>
            </w:r>
            <w:proofErr w:type="spellEnd"/>
            <w:r w:rsidRPr="004324CB">
              <w:rPr>
                <w:rFonts w:eastAsia="Arial Unicode MS"/>
                <w:color w:val="000000" w:themeColor="text1"/>
                <w:sz w:val="20"/>
                <w:szCs w:val="20"/>
                <w:shd w:val="clear" w:color="auto" w:fill="FFFFFF"/>
                <w:lang w:val="en-US"/>
              </w:rPr>
              <w:t xml:space="preserve"> ale </w:t>
            </w:r>
            <w:proofErr w:type="spellStart"/>
            <w:r w:rsidRPr="004324CB">
              <w:rPr>
                <w:rFonts w:eastAsia="Arial Unicode MS"/>
                <w:color w:val="000000" w:themeColor="text1"/>
                <w:sz w:val="20"/>
                <w:szCs w:val="20"/>
                <w:shd w:val="clear" w:color="auto" w:fill="FFFFFF"/>
                <w:lang w:val="en-US"/>
              </w:rPr>
              <w:t>emisiilor</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scopul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punerii</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aplicare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măsurii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globale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bazate</w:t>
            </w:r>
            <w:proofErr w:type="spellEnd"/>
            <w:r w:rsidRPr="004324CB">
              <w:rPr>
                <w:rFonts w:eastAsia="Arial Unicode MS"/>
                <w:color w:val="000000" w:themeColor="text1"/>
                <w:sz w:val="20"/>
                <w:szCs w:val="20"/>
                <w:shd w:val="clear" w:color="auto" w:fill="FFFFFF"/>
                <w:lang w:val="en-US"/>
              </w:rPr>
              <w:t xml:space="preserve"> pe </w:t>
            </w:r>
            <w:proofErr w:type="spellStart"/>
            <w:r w:rsidRPr="004324CB">
              <w:rPr>
                <w:rFonts w:eastAsia="Arial Unicode MS"/>
                <w:color w:val="000000" w:themeColor="text1"/>
                <w:sz w:val="20"/>
                <w:szCs w:val="20"/>
                <w:shd w:val="clear" w:color="auto" w:fill="FFFFFF"/>
                <w:lang w:val="en-US"/>
              </w:rPr>
              <w:t>piață</w:t>
            </w:r>
            <w:proofErr w:type="spellEnd"/>
            <w:r w:rsidRPr="004324CB">
              <w:rPr>
                <w:rFonts w:eastAsia="Arial Unicode MS"/>
                <w:color w:val="000000" w:themeColor="text1"/>
                <w:sz w:val="20"/>
                <w:szCs w:val="20"/>
                <w:shd w:val="clear" w:color="auto" w:fill="FFFFFF"/>
                <w:lang w:val="en-US"/>
              </w:rPr>
              <w:t xml:space="preserve"> a OACI cu </w:t>
            </w:r>
            <w:proofErr w:type="spellStart"/>
            <w:r w:rsidRPr="004324CB">
              <w:rPr>
                <w:rFonts w:eastAsia="Arial Unicode MS"/>
                <w:color w:val="000000" w:themeColor="text1"/>
                <w:sz w:val="20"/>
                <w:szCs w:val="20"/>
                <w:shd w:val="clear" w:color="auto" w:fill="FFFFFF"/>
                <w:lang w:val="en-US"/>
              </w:rPr>
              <w:t>privire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toate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rutele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acoperite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aceasta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Actele</w:t>
            </w:r>
            <w:proofErr w:type="spellEnd"/>
            <w:r w:rsidRPr="004324CB">
              <w:rPr>
                <w:rFonts w:eastAsia="Arial Unicode MS"/>
                <w:color w:val="000000" w:themeColor="text1"/>
                <w:sz w:val="20"/>
                <w:szCs w:val="20"/>
                <w:shd w:val="clear" w:color="auto" w:fill="FFFFFF"/>
                <w:lang w:val="en-US"/>
              </w:rPr>
              <w:t xml:space="preserve"> delegate respective se </w:t>
            </w:r>
            <w:proofErr w:type="spellStart"/>
            <w:r w:rsidRPr="004324CB">
              <w:rPr>
                <w:rFonts w:eastAsia="Arial Unicode MS"/>
                <w:color w:val="000000" w:themeColor="text1"/>
                <w:sz w:val="20"/>
                <w:szCs w:val="20"/>
                <w:shd w:val="clear" w:color="auto" w:fill="FFFFFF"/>
                <w:lang w:val="en-US"/>
              </w:rPr>
              <w:t>bazează</w:t>
            </w:r>
            <w:proofErr w:type="spellEnd"/>
            <w:r w:rsidRPr="004324CB">
              <w:rPr>
                <w:rFonts w:eastAsia="Arial Unicode MS"/>
                <w:color w:val="000000" w:themeColor="text1"/>
                <w:sz w:val="20"/>
                <w:szCs w:val="20"/>
                <w:shd w:val="clear" w:color="auto" w:fill="FFFFFF"/>
                <w:lang w:val="en-US"/>
              </w:rPr>
              <w:t xml:space="preserve"> pe </w:t>
            </w:r>
            <w:proofErr w:type="spellStart"/>
            <w:r w:rsidRPr="004324CB">
              <w:rPr>
                <w:rFonts w:eastAsia="Arial Unicode MS"/>
                <w:color w:val="000000" w:themeColor="text1"/>
                <w:sz w:val="20"/>
                <w:szCs w:val="20"/>
                <w:shd w:val="clear" w:color="auto" w:fill="FFFFFF"/>
                <w:lang w:val="en-US"/>
              </w:rPr>
              <w:t>instrumentele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relevante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adoptate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cadrul</w:t>
            </w:r>
            <w:proofErr w:type="spellEnd"/>
            <w:r w:rsidRPr="004324CB">
              <w:rPr>
                <w:rFonts w:eastAsia="Arial Unicode MS"/>
                <w:color w:val="000000" w:themeColor="text1"/>
                <w:sz w:val="20"/>
                <w:szCs w:val="20"/>
                <w:shd w:val="clear" w:color="auto" w:fill="FFFFFF"/>
                <w:lang w:val="en-US"/>
              </w:rPr>
              <w:t xml:space="preserve"> OACI, </w:t>
            </w:r>
            <w:proofErr w:type="spellStart"/>
            <w:r w:rsidRPr="004324CB">
              <w:rPr>
                <w:rFonts w:eastAsia="Arial Unicode MS"/>
                <w:color w:val="000000" w:themeColor="text1"/>
                <w:sz w:val="20"/>
                <w:szCs w:val="20"/>
                <w:shd w:val="clear" w:color="auto" w:fill="FFFFFF"/>
                <w:lang w:val="en-US"/>
              </w:rPr>
              <w:t>evită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orice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denaturare</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concurenței</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respectă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principiile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cuprinse</w:t>
            </w:r>
            <w:proofErr w:type="spellEnd"/>
            <w:r w:rsidRPr="004324CB">
              <w:rPr>
                <w:rFonts w:eastAsia="Arial Unicode MS"/>
                <w:color w:val="000000" w:themeColor="text1"/>
                <w:sz w:val="20"/>
                <w:szCs w:val="20"/>
                <w:shd w:val="clear" w:color="auto" w:fill="FFFFFF"/>
                <w:lang w:val="en-US"/>
              </w:rPr>
              <w:t xml:space="preserve"> în </w:t>
            </w:r>
            <w:proofErr w:type="spellStart"/>
            <w:r w:rsidRPr="004324CB">
              <w:rPr>
                <w:rFonts w:eastAsia="Arial Unicode MS"/>
                <w:color w:val="000000" w:themeColor="text1"/>
                <w:sz w:val="20"/>
                <w:szCs w:val="20"/>
                <w:shd w:val="clear" w:color="auto" w:fill="FFFFFF"/>
                <w:lang w:val="en-US"/>
              </w:rPr>
              <w:t>actele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menționate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articolul</w:t>
            </w:r>
            <w:proofErr w:type="spellEnd"/>
            <w:r w:rsidRPr="004324CB">
              <w:rPr>
                <w:rFonts w:eastAsia="Arial Unicode MS"/>
                <w:color w:val="000000" w:themeColor="text1"/>
                <w:sz w:val="20"/>
                <w:szCs w:val="20"/>
                <w:shd w:val="clear" w:color="auto" w:fill="FFFFFF"/>
                <w:lang w:val="en-US"/>
              </w:rPr>
              <w:t xml:space="preserve"> 14 </w:t>
            </w:r>
            <w:proofErr w:type="spellStart"/>
            <w:r w:rsidRPr="004324CB">
              <w:rPr>
                <w:rFonts w:eastAsia="Arial Unicode MS"/>
                <w:color w:val="000000" w:themeColor="text1"/>
                <w:sz w:val="20"/>
                <w:szCs w:val="20"/>
                <w:shd w:val="clear" w:color="auto" w:fill="FFFFFF"/>
                <w:lang w:val="en-US"/>
              </w:rPr>
              <w:t>alineatul</w:t>
            </w:r>
            <w:proofErr w:type="spellEnd"/>
            <w:r w:rsidRPr="004324CB">
              <w:rPr>
                <w:rFonts w:eastAsia="Arial Unicode MS"/>
                <w:color w:val="000000" w:themeColor="text1"/>
                <w:sz w:val="20"/>
                <w:szCs w:val="20"/>
                <w:shd w:val="clear" w:color="auto" w:fill="FFFFFF"/>
                <w:lang w:val="en-US"/>
              </w:rPr>
              <w:t xml:space="preserve"> (1) și </w:t>
            </w:r>
            <w:proofErr w:type="spellStart"/>
            <w:r w:rsidRPr="004324CB">
              <w:rPr>
                <w:rFonts w:eastAsia="Arial Unicode MS"/>
                <w:color w:val="000000" w:themeColor="text1"/>
                <w:sz w:val="20"/>
                <w:szCs w:val="20"/>
                <w:shd w:val="clear" w:color="auto" w:fill="FFFFFF"/>
                <w:lang w:val="en-US"/>
              </w:rPr>
              <w:t>asigură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verificarea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rapoartelor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transmise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privind</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emisiile</w:t>
            </w:r>
            <w:proofErr w:type="spellEnd"/>
            <w:r w:rsidRPr="004324CB">
              <w:rPr>
                <w:rFonts w:eastAsia="Arial Unicode MS"/>
                <w:color w:val="000000" w:themeColor="text1"/>
                <w:sz w:val="20"/>
                <w:szCs w:val="20"/>
                <w:shd w:val="clear" w:color="auto" w:fill="FFFFFF"/>
                <w:lang w:val="en-US"/>
              </w:rPr>
              <w:t xml:space="preserve"> în conformitate cu </w:t>
            </w:r>
            <w:proofErr w:type="spellStart"/>
            <w:r w:rsidRPr="004324CB">
              <w:rPr>
                <w:rFonts w:eastAsia="Arial Unicode MS"/>
                <w:color w:val="000000" w:themeColor="text1"/>
                <w:sz w:val="20"/>
                <w:szCs w:val="20"/>
                <w:shd w:val="clear" w:color="auto" w:fill="FFFFFF"/>
                <w:lang w:val="en-US"/>
              </w:rPr>
              <w:t>principiile</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criteriile</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verificare</w:t>
            </w:r>
            <w:proofErr w:type="spellEnd"/>
            <w:r w:rsidRPr="004324CB">
              <w:rPr>
                <w:rFonts w:eastAsia="Arial Unicode MS"/>
                <w:color w:val="000000" w:themeColor="text1"/>
                <w:sz w:val="20"/>
                <w:szCs w:val="20"/>
                <w:shd w:val="clear" w:color="auto" w:fill="FFFFFF"/>
                <w:lang w:val="en-US"/>
              </w:rPr>
              <w:t xml:space="preserve"> de la </w:t>
            </w:r>
            <w:proofErr w:type="spellStart"/>
            <w:r w:rsidRPr="004324CB">
              <w:rPr>
                <w:rFonts w:eastAsia="Arial Unicode MS"/>
                <w:color w:val="000000" w:themeColor="text1"/>
                <w:sz w:val="20"/>
                <w:szCs w:val="20"/>
                <w:shd w:val="clear" w:color="auto" w:fill="FFFFFF"/>
                <w:lang w:val="en-US"/>
              </w:rPr>
              <w:t>articolul</w:t>
            </w:r>
            <w:proofErr w:type="spellEnd"/>
            <w:r w:rsidRPr="004324CB">
              <w:rPr>
                <w:rFonts w:eastAsia="Arial Unicode MS"/>
                <w:color w:val="000000" w:themeColor="text1"/>
                <w:sz w:val="20"/>
                <w:szCs w:val="20"/>
                <w:shd w:val="clear" w:color="auto" w:fill="FFFFFF"/>
                <w:lang w:val="en-US"/>
              </w:rPr>
              <w:t xml:space="preserve"> 15.</w:t>
            </w:r>
          </w:p>
          <w:p w14:paraId="02B498D0"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38" w:tooltip="32023L0959: REPLACED" w:history="1">
              <w:r>
                <w:rPr>
                  <w:rStyle w:val="af3"/>
                  <w:rFonts w:eastAsia="Arial Unicode MS"/>
                  <w:b/>
                  <w:bCs/>
                  <w:color w:val="4472C4" w:themeColor="accent1"/>
                  <w:sz w:val="20"/>
                  <w:szCs w:val="20"/>
                </w:rPr>
                <w:t>▼M15</w:t>
              </w:r>
            </w:hyperlink>
          </w:p>
        </w:tc>
        <w:tc>
          <w:tcPr>
            <w:tcW w:w="4394" w:type="dxa"/>
            <w:shd w:val="clear" w:color="auto" w:fill="auto"/>
          </w:tcPr>
          <w:p w14:paraId="655723C6"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0706E24" w14:textId="1E929544" w:rsidR="00124364" w:rsidRDefault="004324CB" w:rsidP="004324C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Prevederi UE neaplicabile</w:t>
            </w:r>
          </w:p>
        </w:tc>
        <w:tc>
          <w:tcPr>
            <w:tcW w:w="1275" w:type="dxa"/>
            <w:shd w:val="clear" w:color="auto" w:fill="auto"/>
          </w:tcPr>
          <w:p w14:paraId="043E3991"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622C84E" w14:textId="77777777" w:rsidR="004324CB" w:rsidRPr="000643DF" w:rsidRDefault="004324CB" w:rsidP="004324C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62332506"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2E848C2" w14:textId="77777777" w:rsidR="00124364" w:rsidRDefault="00124364" w:rsidP="004324CB">
            <w:pPr>
              <w:autoSpaceDE w:val="0"/>
              <w:spacing w:after="0" w:line="240" w:lineRule="auto"/>
              <w:rPr>
                <w:rFonts w:ascii="Times New Roman" w:hAnsi="Times New Roman"/>
                <w:sz w:val="20"/>
                <w:szCs w:val="20"/>
                <w:lang w:val="fr-FR"/>
              </w:rPr>
            </w:pPr>
          </w:p>
        </w:tc>
      </w:tr>
      <w:tr w:rsidR="00124364" w14:paraId="4717A9FD" w14:textId="77777777">
        <w:trPr>
          <w:trHeight w:val="558"/>
        </w:trPr>
        <w:tc>
          <w:tcPr>
            <w:tcW w:w="4957" w:type="dxa"/>
            <w:shd w:val="clear" w:color="auto" w:fill="auto"/>
          </w:tcPr>
          <w:p w14:paraId="254DBAD7" w14:textId="46508B4B" w:rsidR="00124364" w:rsidRPr="009B5D3D"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9B5D3D">
              <w:rPr>
                <w:rFonts w:eastAsia="Arial Unicode MS"/>
                <w:i/>
                <w:iCs/>
                <w:color w:val="000000" w:themeColor="text1"/>
                <w:sz w:val="20"/>
                <w:szCs w:val="20"/>
                <w:shd w:val="clear" w:color="auto" w:fill="FFFFFF"/>
                <w:lang w:val="en-US"/>
              </w:rPr>
              <w:lastRenderedPageBreak/>
              <w:t>Articolul</w:t>
            </w:r>
            <w:proofErr w:type="spellEnd"/>
            <w:r w:rsidR="009B5D3D" w:rsidRPr="009B5D3D">
              <w:rPr>
                <w:rFonts w:eastAsia="Arial Unicode MS"/>
                <w:i/>
                <w:iCs/>
                <w:color w:val="000000" w:themeColor="text1"/>
                <w:sz w:val="20"/>
                <w:szCs w:val="20"/>
                <w:shd w:val="clear" w:color="auto" w:fill="FFFFFF"/>
                <w:lang w:val="en-US"/>
              </w:rPr>
              <w:t xml:space="preserve"> </w:t>
            </w:r>
            <w:r w:rsidRPr="009B5D3D">
              <w:rPr>
                <w:rFonts w:eastAsia="Arial Unicode MS"/>
                <w:i/>
                <w:iCs/>
                <w:color w:val="000000" w:themeColor="text1"/>
                <w:sz w:val="20"/>
                <w:szCs w:val="20"/>
                <w:shd w:val="clear" w:color="auto" w:fill="FFFFFF"/>
                <w:lang w:val="en-US"/>
              </w:rPr>
              <w:t>29</w:t>
            </w:r>
          </w:p>
          <w:p w14:paraId="32058CA5" w14:textId="77777777" w:rsidR="00124364" w:rsidRPr="009B5D3D"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9B5D3D">
              <w:rPr>
                <w:rFonts w:eastAsia="Arial Unicode MS"/>
                <w:b/>
                <w:bCs/>
                <w:color w:val="000000" w:themeColor="text1"/>
                <w:sz w:val="20"/>
                <w:szCs w:val="20"/>
                <w:shd w:val="clear" w:color="auto" w:fill="FFFFFF"/>
                <w:lang w:val="en-US"/>
              </w:rPr>
              <w:t>Raport</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privind</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asigurarea</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unei</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mai</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bune</w:t>
            </w:r>
            <w:proofErr w:type="spellEnd"/>
            <w:r w:rsidRPr="009B5D3D">
              <w:rPr>
                <w:rFonts w:eastAsia="Arial Unicode MS"/>
                <w:b/>
                <w:bCs/>
                <w:color w:val="000000" w:themeColor="text1"/>
                <w:sz w:val="20"/>
                <w:szCs w:val="20"/>
                <w:shd w:val="clear" w:color="auto" w:fill="FFFFFF"/>
                <w:lang w:val="en-US"/>
              </w:rPr>
              <w:t xml:space="preserve"> </w:t>
            </w:r>
            <w:proofErr w:type="spellStart"/>
            <w:r w:rsidRPr="009B5D3D">
              <w:rPr>
                <w:rFonts w:eastAsia="Arial Unicode MS"/>
                <w:b/>
                <w:bCs/>
                <w:color w:val="000000" w:themeColor="text1"/>
                <w:sz w:val="20"/>
                <w:szCs w:val="20"/>
                <w:shd w:val="clear" w:color="auto" w:fill="FFFFFF"/>
                <w:lang w:val="en-US"/>
              </w:rPr>
              <w:t>funcționări</w:t>
            </w:r>
            <w:proofErr w:type="spellEnd"/>
            <w:r w:rsidRPr="009B5D3D">
              <w:rPr>
                <w:rFonts w:eastAsia="Arial Unicode MS"/>
                <w:b/>
                <w:bCs/>
                <w:color w:val="000000" w:themeColor="text1"/>
                <w:sz w:val="20"/>
                <w:szCs w:val="20"/>
                <w:shd w:val="clear" w:color="auto" w:fill="FFFFFF"/>
                <w:lang w:val="en-US"/>
              </w:rPr>
              <w:t xml:space="preserve"> a </w:t>
            </w:r>
            <w:proofErr w:type="spellStart"/>
            <w:r w:rsidRPr="009B5D3D">
              <w:rPr>
                <w:rFonts w:eastAsia="Arial Unicode MS"/>
                <w:b/>
                <w:bCs/>
                <w:color w:val="000000" w:themeColor="text1"/>
                <w:sz w:val="20"/>
                <w:szCs w:val="20"/>
                <w:shd w:val="clear" w:color="auto" w:fill="FFFFFF"/>
                <w:lang w:val="en-US"/>
              </w:rPr>
              <w:t>pieței</w:t>
            </w:r>
            <w:proofErr w:type="spellEnd"/>
            <w:r w:rsidRPr="009B5D3D">
              <w:rPr>
                <w:rFonts w:eastAsia="Arial Unicode MS"/>
                <w:b/>
                <w:bCs/>
                <w:color w:val="000000" w:themeColor="text1"/>
                <w:sz w:val="20"/>
                <w:szCs w:val="20"/>
                <w:shd w:val="clear" w:color="auto" w:fill="FFFFFF"/>
                <w:lang w:val="en-US"/>
              </w:rPr>
              <w:t xml:space="preserve"> carbonului</w:t>
            </w:r>
          </w:p>
          <w:p w14:paraId="19F154CF" w14:textId="7FB3D002" w:rsidR="00124364" w:rsidRDefault="00000000" w:rsidP="009B5D3D">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324CB">
              <w:rPr>
                <w:rFonts w:eastAsia="Arial Unicode MS"/>
                <w:color w:val="000000" w:themeColor="text1"/>
                <w:sz w:val="20"/>
                <w:szCs w:val="20"/>
                <w:shd w:val="clear" w:color="auto" w:fill="FFFFFF"/>
                <w:lang w:val="en-US"/>
              </w:rPr>
              <w:t>Dacă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rapoartele</w:t>
            </w:r>
            <w:proofErr w:type="spellEnd"/>
            <w:r w:rsidRPr="004324CB">
              <w:rPr>
                <w:rFonts w:eastAsia="Arial Unicode MS"/>
                <w:color w:val="000000" w:themeColor="text1"/>
                <w:sz w:val="20"/>
                <w:szCs w:val="20"/>
                <w:shd w:val="clear" w:color="auto" w:fill="FFFFFF"/>
                <w:lang w:val="en-US"/>
              </w:rPr>
              <w:t xml:space="preserve"> regulate </w:t>
            </w:r>
            <w:proofErr w:type="spellStart"/>
            <w:r w:rsidRPr="004324CB">
              <w:rPr>
                <w:rFonts w:eastAsia="Arial Unicode MS"/>
                <w:color w:val="000000" w:themeColor="text1"/>
                <w:sz w:val="20"/>
                <w:szCs w:val="20"/>
                <w:shd w:val="clear" w:color="auto" w:fill="FFFFFF"/>
                <w:lang w:val="en-US"/>
              </w:rPr>
              <w:t>privind</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piața</w:t>
            </w:r>
            <w:proofErr w:type="spellEnd"/>
            <w:r w:rsidRPr="004324CB">
              <w:rPr>
                <w:rFonts w:eastAsia="Arial Unicode MS"/>
                <w:color w:val="000000" w:themeColor="text1"/>
                <w:sz w:val="20"/>
                <w:szCs w:val="20"/>
                <w:shd w:val="clear" w:color="auto" w:fill="FFFFFF"/>
                <w:lang w:val="en-US"/>
              </w:rPr>
              <w:t xml:space="preserve"> carbonului </w:t>
            </w:r>
            <w:proofErr w:type="spellStart"/>
            <w:r w:rsidRPr="004324CB">
              <w:rPr>
                <w:rFonts w:eastAsia="Arial Unicode MS"/>
                <w:color w:val="000000" w:themeColor="text1"/>
                <w:sz w:val="20"/>
                <w:szCs w:val="20"/>
                <w:shd w:val="clear" w:color="auto" w:fill="FFFFFF"/>
                <w:lang w:val="en-US"/>
              </w:rPr>
              <w:t>menționate</w:t>
            </w:r>
            <w:proofErr w:type="spellEnd"/>
            <w:r w:rsidRPr="004324CB">
              <w:rPr>
                <w:rFonts w:eastAsia="Arial Unicode MS"/>
                <w:color w:val="000000" w:themeColor="text1"/>
                <w:sz w:val="20"/>
                <w:szCs w:val="20"/>
                <w:shd w:val="clear" w:color="auto" w:fill="FFFFFF"/>
                <w:lang w:val="en-US"/>
              </w:rPr>
              <w:t xml:space="preserve"> la </w:t>
            </w:r>
            <w:proofErr w:type="spellStart"/>
            <w:r w:rsidRPr="004324CB">
              <w:rPr>
                <w:rFonts w:eastAsia="Arial Unicode MS"/>
                <w:color w:val="000000" w:themeColor="text1"/>
                <w:sz w:val="20"/>
                <w:szCs w:val="20"/>
                <w:shd w:val="clear" w:color="auto" w:fill="FFFFFF"/>
                <w:lang w:val="en-US"/>
              </w:rPr>
              <w:t>articolul</w:t>
            </w:r>
            <w:proofErr w:type="spellEnd"/>
            <w:r w:rsidR="009B5D3D" w:rsidRP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10 </w:t>
            </w:r>
            <w:proofErr w:type="spellStart"/>
            <w:r w:rsidRPr="004324CB">
              <w:rPr>
                <w:rFonts w:eastAsia="Arial Unicode MS"/>
                <w:color w:val="000000" w:themeColor="text1"/>
                <w:sz w:val="20"/>
                <w:szCs w:val="20"/>
                <w:shd w:val="clear" w:color="auto" w:fill="FFFFFF"/>
                <w:lang w:val="en-US"/>
              </w:rPr>
              <w:t>alineatele</w:t>
            </w:r>
            <w:proofErr w:type="spellEnd"/>
            <w:r w:rsidR="009B5D3D" w:rsidRP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(5) și</w:t>
            </w:r>
            <w:r w:rsidR="009B5D3D" w:rsidRPr="004324CB">
              <w:rPr>
                <w:rFonts w:eastAsia="Arial Unicode MS"/>
                <w:color w:val="000000" w:themeColor="text1"/>
                <w:sz w:val="20"/>
                <w:szCs w:val="20"/>
                <w:shd w:val="clear" w:color="auto" w:fill="FFFFFF"/>
                <w:lang w:val="en-US"/>
              </w:rPr>
              <w:t xml:space="preserve"> </w:t>
            </w:r>
            <w:r w:rsidRPr="004324CB">
              <w:rPr>
                <w:rFonts w:eastAsia="Arial Unicode MS"/>
                <w:color w:val="000000" w:themeColor="text1"/>
                <w:sz w:val="20"/>
                <w:szCs w:val="20"/>
                <w:shd w:val="clear" w:color="auto" w:fill="FFFFFF"/>
                <w:lang w:val="en-US"/>
              </w:rPr>
              <w:t xml:space="preserve">(6) </w:t>
            </w:r>
            <w:proofErr w:type="spellStart"/>
            <w:r w:rsidRPr="004324CB">
              <w:rPr>
                <w:rFonts w:eastAsia="Arial Unicode MS"/>
                <w:color w:val="000000" w:themeColor="text1"/>
                <w:sz w:val="20"/>
                <w:szCs w:val="20"/>
                <w:shd w:val="clear" w:color="auto" w:fill="FFFFFF"/>
                <w:lang w:val="en-US"/>
              </w:rPr>
              <w:t>conțin</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dovezi</w:t>
            </w:r>
            <w:proofErr w:type="spellEnd"/>
            <w:r w:rsidRPr="004324CB">
              <w:rPr>
                <w:rFonts w:eastAsia="Arial Unicode MS"/>
                <w:color w:val="000000" w:themeColor="text1"/>
                <w:sz w:val="20"/>
                <w:szCs w:val="20"/>
                <w:shd w:val="clear" w:color="auto" w:fill="FFFFFF"/>
                <w:lang w:val="en-US"/>
              </w:rPr>
              <w:t xml:space="preserve"> ale </w:t>
            </w:r>
            <w:proofErr w:type="spellStart"/>
            <w:r w:rsidRPr="004324CB">
              <w:rPr>
                <w:rFonts w:eastAsia="Arial Unicode MS"/>
                <w:color w:val="000000" w:themeColor="text1"/>
                <w:sz w:val="20"/>
                <w:szCs w:val="20"/>
                <w:shd w:val="clear" w:color="auto" w:fill="FFFFFF"/>
                <w:lang w:val="en-US"/>
              </w:rPr>
              <w:t>faptului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piața</w:t>
            </w:r>
            <w:proofErr w:type="spellEnd"/>
            <w:r w:rsidRPr="004324CB">
              <w:rPr>
                <w:rFonts w:eastAsia="Arial Unicode MS"/>
                <w:color w:val="000000" w:themeColor="text1"/>
                <w:sz w:val="20"/>
                <w:szCs w:val="20"/>
                <w:shd w:val="clear" w:color="auto" w:fill="FFFFFF"/>
                <w:lang w:val="en-US"/>
              </w:rPr>
              <w:t xml:space="preserve"> carbonului nu </w:t>
            </w:r>
            <w:proofErr w:type="spellStart"/>
            <w:r w:rsidRPr="004324CB">
              <w:rPr>
                <w:rFonts w:eastAsia="Arial Unicode MS"/>
                <w:color w:val="000000" w:themeColor="text1"/>
                <w:sz w:val="20"/>
                <w:szCs w:val="20"/>
                <w:shd w:val="clear" w:color="auto" w:fill="FFFFFF"/>
                <w:lang w:val="en-US"/>
              </w:rPr>
              <w:t>funcționează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corespunzător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Comisia</w:t>
            </w:r>
            <w:proofErr w:type="spellEnd"/>
            <w:r w:rsidRPr="004324CB">
              <w:rPr>
                <w:rFonts w:eastAsia="Arial Unicode MS"/>
                <w:color w:val="000000" w:themeColor="text1"/>
                <w:sz w:val="20"/>
                <w:szCs w:val="20"/>
                <w:shd w:val="clear" w:color="auto" w:fill="FFFFFF"/>
                <w:lang w:val="en-US"/>
              </w:rPr>
              <w:t xml:space="preserve">, în termen de </w:t>
            </w:r>
            <w:proofErr w:type="spellStart"/>
            <w:r w:rsidRPr="004324CB">
              <w:rPr>
                <w:rFonts w:eastAsia="Arial Unicode MS"/>
                <w:color w:val="000000" w:themeColor="text1"/>
                <w:sz w:val="20"/>
                <w:szCs w:val="20"/>
                <w:shd w:val="clear" w:color="auto" w:fill="FFFFFF"/>
                <w:lang w:val="en-US"/>
              </w:rPr>
              <w:t>trei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luni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prezintă</w:t>
            </w:r>
            <w:proofErr w:type="spellEnd"/>
            <w:r w:rsidRPr="004324CB">
              <w:rPr>
                <w:rFonts w:eastAsia="Arial Unicode MS"/>
                <w:color w:val="000000" w:themeColor="text1"/>
                <w:sz w:val="20"/>
                <w:szCs w:val="20"/>
                <w:shd w:val="clear" w:color="auto" w:fill="FFFFFF"/>
                <w:lang w:val="en-US"/>
              </w:rPr>
              <w:t xml:space="preserve"> un </w:t>
            </w:r>
            <w:proofErr w:type="spellStart"/>
            <w:r w:rsidRPr="004324CB">
              <w:rPr>
                <w:rFonts w:eastAsia="Arial Unicode MS"/>
                <w:color w:val="000000" w:themeColor="text1"/>
                <w:sz w:val="20"/>
                <w:szCs w:val="20"/>
                <w:shd w:val="clear" w:color="auto" w:fill="FFFFFF"/>
                <w:lang w:val="en-US"/>
              </w:rPr>
              <w:t>raport</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Parlamentului</w:t>
            </w:r>
            <w:proofErr w:type="spellEnd"/>
            <w:r w:rsidRPr="004324CB">
              <w:rPr>
                <w:rFonts w:eastAsia="Arial Unicode MS"/>
                <w:color w:val="000000" w:themeColor="text1"/>
                <w:sz w:val="20"/>
                <w:szCs w:val="20"/>
                <w:shd w:val="clear" w:color="auto" w:fill="FFFFFF"/>
                <w:lang w:val="en-US"/>
              </w:rPr>
              <w:t xml:space="preserve"> European și </w:t>
            </w:r>
            <w:proofErr w:type="spellStart"/>
            <w:r w:rsidRPr="004324CB">
              <w:rPr>
                <w:rFonts w:eastAsia="Arial Unicode MS"/>
                <w:color w:val="000000" w:themeColor="text1"/>
                <w:sz w:val="20"/>
                <w:szCs w:val="20"/>
                <w:shd w:val="clear" w:color="auto" w:fill="FFFFFF"/>
                <w:lang w:val="en-US"/>
              </w:rPr>
              <w:t>Consiliului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Raportul</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poate</w:t>
            </w:r>
            <w:proofErr w:type="spellEnd"/>
            <w:r w:rsidRPr="004324CB">
              <w:rPr>
                <w:rFonts w:eastAsia="Arial Unicode MS"/>
                <w:color w:val="000000" w:themeColor="text1"/>
                <w:sz w:val="20"/>
                <w:szCs w:val="20"/>
                <w:shd w:val="clear" w:color="auto" w:fill="FFFFFF"/>
                <w:lang w:val="en-US"/>
              </w:rPr>
              <w:t xml:space="preserve"> fi </w:t>
            </w:r>
            <w:proofErr w:type="spellStart"/>
            <w:r w:rsidRPr="004324CB">
              <w:rPr>
                <w:rFonts w:eastAsia="Arial Unicode MS"/>
                <w:color w:val="000000" w:themeColor="text1"/>
                <w:sz w:val="20"/>
                <w:szCs w:val="20"/>
                <w:shd w:val="clear" w:color="auto" w:fill="FFFFFF"/>
                <w:lang w:val="en-US"/>
              </w:rPr>
              <w:t>însoțit</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dacă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este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cazul</w:t>
            </w:r>
            <w:proofErr w:type="spellEnd"/>
            <w:r w:rsidRPr="004324CB">
              <w:rPr>
                <w:rFonts w:eastAsia="Arial Unicode MS"/>
                <w:color w:val="000000" w:themeColor="text1"/>
                <w:sz w:val="20"/>
                <w:szCs w:val="20"/>
                <w:shd w:val="clear" w:color="auto" w:fill="FFFFFF"/>
                <w:lang w:val="en-US"/>
              </w:rPr>
              <w:t xml:space="preserve">, de </w:t>
            </w:r>
            <w:proofErr w:type="spellStart"/>
            <w:r w:rsidRPr="004324CB">
              <w:rPr>
                <w:rFonts w:eastAsia="Arial Unicode MS"/>
                <w:color w:val="000000" w:themeColor="text1"/>
                <w:sz w:val="20"/>
                <w:szCs w:val="20"/>
                <w:shd w:val="clear" w:color="auto" w:fill="FFFFFF"/>
                <w:lang w:val="en-US"/>
              </w:rPr>
              <w:t>propuneri</w:t>
            </w:r>
            <w:proofErr w:type="spellEnd"/>
            <w:r w:rsidRPr="004324CB">
              <w:rPr>
                <w:rFonts w:eastAsia="Arial Unicode MS"/>
                <w:color w:val="000000" w:themeColor="text1"/>
                <w:sz w:val="20"/>
                <w:szCs w:val="20"/>
                <w:shd w:val="clear" w:color="auto" w:fill="FFFFFF"/>
                <w:lang w:val="en-US"/>
              </w:rPr>
              <w:t xml:space="preserve"> legislative </w:t>
            </w:r>
            <w:proofErr w:type="spellStart"/>
            <w:r w:rsidRPr="004324CB">
              <w:rPr>
                <w:rFonts w:eastAsia="Arial Unicode MS"/>
                <w:color w:val="000000" w:themeColor="text1"/>
                <w:sz w:val="20"/>
                <w:szCs w:val="20"/>
                <w:shd w:val="clear" w:color="auto" w:fill="FFFFFF"/>
                <w:lang w:val="en-US"/>
              </w:rPr>
              <w:t>menite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să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mărească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transparența</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integritatea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pieței</w:t>
            </w:r>
            <w:proofErr w:type="spellEnd"/>
            <w:r w:rsidRPr="004324CB">
              <w:rPr>
                <w:rFonts w:eastAsia="Arial Unicode MS"/>
                <w:color w:val="000000" w:themeColor="text1"/>
                <w:sz w:val="20"/>
                <w:szCs w:val="20"/>
                <w:shd w:val="clear" w:color="auto" w:fill="FFFFFF"/>
                <w:lang w:val="en-US"/>
              </w:rPr>
              <w:t xml:space="preserve"> carbonului, </w:t>
            </w:r>
            <w:proofErr w:type="spellStart"/>
            <w:r w:rsidRPr="004324CB">
              <w:rPr>
                <w:rFonts w:eastAsia="Arial Unicode MS"/>
                <w:color w:val="000000" w:themeColor="text1"/>
                <w:sz w:val="20"/>
                <w:szCs w:val="20"/>
                <w:shd w:val="clear" w:color="auto" w:fill="FFFFFF"/>
                <w:lang w:val="en-US"/>
              </w:rPr>
              <w:t>inclusiv</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piețelor</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instrumentelor</w:t>
            </w:r>
            <w:proofErr w:type="spellEnd"/>
            <w:r w:rsidRPr="004324CB">
              <w:rPr>
                <w:rFonts w:eastAsia="Arial Unicode MS"/>
                <w:color w:val="000000" w:themeColor="text1"/>
                <w:sz w:val="20"/>
                <w:szCs w:val="20"/>
                <w:shd w:val="clear" w:color="auto" w:fill="FFFFFF"/>
                <w:lang w:val="en-US"/>
              </w:rPr>
              <w:t xml:space="preserve"> derivate </w:t>
            </w:r>
            <w:proofErr w:type="spellStart"/>
            <w:r w:rsidRPr="004324CB">
              <w:rPr>
                <w:rFonts w:eastAsia="Arial Unicode MS"/>
                <w:color w:val="000000" w:themeColor="text1"/>
                <w:sz w:val="20"/>
                <w:szCs w:val="20"/>
                <w:shd w:val="clear" w:color="auto" w:fill="FFFFFF"/>
                <w:lang w:val="en-US"/>
              </w:rPr>
              <w:t>conexe</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să</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abordeze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măsurile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corective</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îmbunătăți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funcționarea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acesteia</w:t>
            </w:r>
            <w:proofErr w:type="spellEnd"/>
            <w:r w:rsidRPr="004324CB">
              <w:rPr>
                <w:rFonts w:eastAsia="Arial Unicode MS"/>
                <w:color w:val="000000" w:themeColor="text1"/>
                <w:sz w:val="20"/>
                <w:szCs w:val="20"/>
                <w:shd w:val="clear" w:color="auto" w:fill="FFFFFF"/>
                <w:lang w:val="en-US"/>
              </w:rPr>
              <w:t xml:space="preserve">, precum și </w:t>
            </w:r>
            <w:proofErr w:type="spellStart"/>
            <w:r w:rsidRPr="004324CB">
              <w:rPr>
                <w:rFonts w:eastAsia="Arial Unicode MS"/>
                <w:color w:val="000000" w:themeColor="text1"/>
                <w:sz w:val="20"/>
                <w:szCs w:val="20"/>
                <w:shd w:val="clear" w:color="auto" w:fill="FFFFFF"/>
                <w:lang w:val="en-US"/>
              </w:rPr>
              <w:t>pentru</w:t>
            </w:r>
            <w:proofErr w:type="spellEnd"/>
            <w:r w:rsidRPr="004324CB">
              <w:rPr>
                <w:rFonts w:eastAsia="Arial Unicode MS"/>
                <w:color w:val="000000" w:themeColor="text1"/>
                <w:sz w:val="20"/>
                <w:szCs w:val="20"/>
                <w:shd w:val="clear" w:color="auto" w:fill="FFFFFF"/>
                <w:lang w:val="en-US"/>
              </w:rPr>
              <w:t xml:space="preserve"> a </w:t>
            </w:r>
            <w:proofErr w:type="spellStart"/>
            <w:r w:rsidRPr="004324CB">
              <w:rPr>
                <w:rFonts w:eastAsia="Arial Unicode MS"/>
                <w:color w:val="000000" w:themeColor="text1"/>
                <w:sz w:val="20"/>
                <w:szCs w:val="20"/>
                <w:shd w:val="clear" w:color="auto" w:fill="FFFFFF"/>
                <w:lang w:val="en-US"/>
              </w:rPr>
              <w:t>îmbunătăți</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prevenirea</w:t>
            </w:r>
            <w:proofErr w:type="spellEnd"/>
            <w:r w:rsidRPr="004324CB">
              <w:rPr>
                <w:rFonts w:eastAsia="Arial Unicode MS"/>
                <w:color w:val="000000" w:themeColor="text1"/>
                <w:sz w:val="20"/>
                <w:szCs w:val="20"/>
                <w:shd w:val="clear" w:color="auto" w:fill="FFFFFF"/>
                <w:lang w:val="en-US"/>
              </w:rPr>
              <w:t xml:space="preserve"> și </w:t>
            </w:r>
            <w:proofErr w:type="spellStart"/>
            <w:r w:rsidRPr="004324CB">
              <w:rPr>
                <w:rFonts w:eastAsia="Arial Unicode MS"/>
                <w:color w:val="000000" w:themeColor="text1"/>
                <w:sz w:val="20"/>
                <w:szCs w:val="20"/>
                <w:shd w:val="clear" w:color="auto" w:fill="FFFFFF"/>
                <w:lang w:val="en-US"/>
              </w:rPr>
              <w:t>detectarea</w:t>
            </w:r>
            <w:proofErr w:type="spellEnd"/>
            <w:r w:rsidRPr="004324CB">
              <w:rPr>
                <w:rFonts w:eastAsia="Arial Unicode MS"/>
                <w:color w:val="000000" w:themeColor="text1"/>
                <w:sz w:val="20"/>
                <w:szCs w:val="20"/>
                <w:shd w:val="clear" w:color="auto" w:fill="FFFFFF"/>
                <w:lang w:val="en-US"/>
              </w:rPr>
              <w:t xml:space="preserve"> </w:t>
            </w:r>
            <w:proofErr w:type="spellStart"/>
            <w:r w:rsidRPr="004324CB">
              <w:rPr>
                <w:rFonts w:eastAsia="Arial Unicode MS"/>
                <w:color w:val="000000" w:themeColor="text1"/>
                <w:sz w:val="20"/>
                <w:szCs w:val="20"/>
                <w:shd w:val="clear" w:color="auto" w:fill="FFFFFF"/>
                <w:lang w:val="en-US"/>
              </w:rPr>
              <w:t>abuzurilor</w:t>
            </w:r>
            <w:proofErr w:type="spellEnd"/>
            <w:r w:rsidRPr="004324CB">
              <w:rPr>
                <w:rFonts w:eastAsia="Arial Unicode MS"/>
                <w:color w:val="000000" w:themeColor="text1"/>
                <w:sz w:val="20"/>
                <w:szCs w:val="20"/>
                <w:shd w:val="clear" w:color="auto" w:fill="FFFFFF"/>
                <w:lang w:val="en-US"/>
              </w:rPr>
              <w:t xml:space="preserve"> de pe </w:t>
            </w:r>
            <w:proofErr w:type="spellStart"/>
            <w:r w:rsidRPr="004324CB">
              <w:rPr>
                <w:rFonts w:eastAsia="Arial Unicode MS"/>
                <w:color w:val="000000" w:themeColor="text1"/>
                <w:sz w:val="20"/>
                <w:szCs w:val="20"/>
                <w:shd w:val="clear" w:color="auto" w:fill="FFFFFF"/>
                <w:lang w:val="en-US"/>
              </w:rPr>
              <w:t>piață</w:t>
            </w:r>
            <w:proofErr w:type="spellEnd"/>
            <w:r w:rsidRPr="004324CB">
              <w:rPr>
                <w:rFonts w:eastAsia="Arial Unicode MS"/>
                <w:color w:val="000000" w:themeColor="text1"/>
                <w:sz w:val="20"/>
                <w:szCs w:val="20"/>
                <w:shd w:val="clear" w:color="auto" w:fill="FFFFFF"/>
                <w:lang w:val="en-US"/>
              </w:rPr>
              <w:t>.</w:t>
            </w:r>
          </w:p>
        </w:tc>
        <w:tc>
          <w:tcPr>
            <w:tcW w:w="4394" w:type="dxa"/>
            <w:shd w:val="clear" w:color="auto" w:fill="auto"/>
          </w:tcPr>
          <w:p w14:paraId="5A4F4BE2"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5BFE182" w14:textId="7E1B685F" w:rsidR="00124364" w:rsidRDefault="004324CB" w:rsidP="004324C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Prevederi UE neaplicabile</w:t>
            </w:r>
          </w:p>
        </w:tc>
        <w:tc>
          <w:tcPr>
            <w:tcW w:w="1275" w:type="dxa"/>
            <w:shd w:val="clear" w:color="auto" w:fill="auto"/>
          </w:tcPr>
          <w:p w14:paraId="3D3B2C24"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31ED89A" w14:textId="096CAF45" w:rsidR="004324CB" w:rsidRPr="000643DF" w:rsidRDefault="004324CB" w:rsidP="004324C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w:t>
            </w:r>
            <w:r>
              <w:rPr>
                <w:rFonts w:ascii="Times New Roman" w:hAnsi="Times New Roman"/>
                <w:sz w:val="20"/>
                <w:szCs w:val="20"/>
                <w:lang w:val="ro-RO" w:eastAsia="zh-CN"/>
              </w:rPr>
              <w:t xml:space="preserve">și statele-membre </w:t>
            </w:r>
            <w:r w:rsidRPr="000643DF">
              <w:rPr>
                <w:rFonts w:ascii="Times New Roman" w:hAnsi="Times New Roman"/>
                <w:sz w:val="20"/>
                <w:szCs w:val="20"/>
                <w:lang w:val="ro-RO" w:eastAsia="zh-CN"/>
              </w:rPr>
              <w:t>din cadrul UE</w:t>
            </w:r>
          </w:p>
          <w:p w14:paraId="22193AD8"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A31E47E" w14:textId="77777777" w:rsidR="00124364" w:rsidRDefault="00124364" w:rsidP="004324CB">
            <w:pPr>
              <w:autoSpaceDE w:val="0"/>
              <w:spacing w:after="0" w:line="240" w:lineRule="auto"/>
              <w:rPr>
                <w:rFonts w:ascii="Times New Roman" w:hAnsi="Times New Roman"/>
                <w:sz w:val="20"/>
                <w:szCs w:val="20"/>
                <w:lang w:val="fr-FR"/>
              </w:rPr>
            </w:pPr>
          </w:p>
        </w:tc>
      </w:tr>
      <w:tr w:rsidR="00124364" w14:paraId="4208C131" w14:textId="77777777">
        <w:trPr>
          <w:trHeight w:val="558"/>
        </w:trPr>
        <w:tc>
          <w:tcPr>
            <w:tcW w:w="4957" w:type="dxa"/>
            <w:shd w:val="clear" w:color="auto" w:fill="auto"/>
          </w:tcPr>
          <w:p w14:paraId="71E11E2E" w14:textId="4131CFE9"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2137FB">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29a</w:t>
            </w:r>
          </w:p>
          <w:p w14:paraId="644FD1A8"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Măsuri</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luat</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eventualitatea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unor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fluctuații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excesive</w:t>
            </w:r>
            <w:proofErr w:type="spellEnd"/>
            <w:r>
              <w:rPr>
                <w:rFonts w:eastAsia="Arial Unicode MS"/>
                <w:b/>
                <w:bCs/>
                <w:color w:val="333333"/>
                <w:sz w:val="20"/>
                <w:szCs w:val="20"/>
                <w:shd w:val="clear" w:color="auto" w:fill="FFFFFF"/>
                <w:lang w:val="en-US"/>
              </w:rPr>
              <w:t xml:space="preserve"> ale </w:t>
            </w:r>
            <w:proofErr w:type="spellStart"/>
            <w:r>
              <w:rPr>
                <w:rFonts w:eastAsia="Arial Unicode MS"/>
                <w:b/>
                <w:bCs/>
                <w:color w:val="333333"/>
                <w:sz w:val="20"/>
                <w:szCs w:val="20"/>
                <w:shd w:val="clear" w:color="auto" w:fill="FFFFFF"/>
                <w:lang w:val="en-US"/>
              </w:rPr>
              <w:t>prețurilor</w:t>
            </w:r>
            <w:proofErr w:type="spellEnd"/>
          </w:p>
          <w:p w14:paraId="652AF91D" w14:textId="646E17E1" w:rsidR="00124364" w:rsidRPr="002137FB" w:rsidRDefault="00000000" w:rsidP="002137FB">
            <w:pPr>
              <w:pStyle w:val="ti-art"/>
              <w:numPr>
                <w:ilvl w:val="0"/>
                <w:numId w:val="12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w:t>
            </w:r>
            <w:proofErr w:type="spellStart"/>
            <w:r w:rsidRPr="002137FB">
              <w:rPr>
                <w:rFonts w:eastAsia="Arial Unicode MS"/>
                <w:color w:val="000000" w:themeColor="text1"/>
                <w:sz w:val="20"/>
                <w:szCs w:val="20"/>
                <w:shd w:val="clear" w:color="auto" w:fill="FFFFFF"/>
                <w:lang w:val="en-US"/>
              </w:rPr>
              <w:t>cazul</w:t>
            </w:r>
            <w:proofErr w:type="spellEnd"/>
            <w:r w:rsidRPr="002137FB">
              <w:rPr>
                <w:rFonts w:eastAsia="Arial Unicode MS"/>
                <w:color w:val="000000" w:themeColor="text1"/>
                <w:sz w:val="20"/>
                <w:szCs w:val="20"/>
                <w:shd w:val="clear" w:color="auto" w:fill="FFFFFF"/>
                <w:lang w:val="en-US"/>
              </w:rPr>
              <w:t xml:space="preserve"> în care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șase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calendaristice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precedente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peste</w:t>
            </w:r>
            <w:proofErr w:type="spellEnd"/>
            <w:r w:rsidRPr="002137FB">
              <w:rPr>
                <w:rFonts w:eastAsia="Arial Unicode MS"/>
                <w:color w:val="000000" w:themeColor="text1"/>
                <w:sz w:val="20"/>
                <w:szCs w:val="20"/>
                <w:shd w:val="clear" w:color="auto" w:fill="FFFFFF"/>
                <w:lang w:val="en-US"/>
              </w:rPr>
              <w:t xml:space="preserve"> 2,4</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mai</w:t>
            </w:r>
            <w:proofErr w:type="spellEnd"/>
            <w:r w:rsidRPr="002137FB">
              <w:rPr>
                <w:rFonts w:eastAsia="Arial Unicode MS"/>
                <w:color w:val="000000" w:themeColor="text1"/>
                <w:sz w:val="20"/>
                <w:szCs w:val="20"/>
                <w:shd w:val="clear" w:color="auto" w:fill="FFFFFF"/>
                <w:lang w:val="en-US"/>
              </w:rPr>
              <w:t xml:space="preserve"> mare </w:t>
            </w:r>
            <w:proofErr w:type="spellStart"/>
            <w:r w:rsidRPr="002137FB">
              <w:rPr>
                <w:rFonts w:eastAsia="Arial Unicode MS"/>
                <w:color w:val="000000" w:themeColor="text1"/>
                <w:sz w:val="20"/>
                <w:szCs w:val="20"/>
                <w:shd w:val="clear" w:color="auto" w:fill="FFFFFF"/>
                <w:lang w:val="en-US"/>
              </w:rPr>
              <w:t>decât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perioada de </w:t>
            </w:r>
            <w:proofErr w:type="spellStart"/>
            <w:r w:rsidRPr="002137FB">
              <w:rPr>
                <w:rFonts w:eastAsia="Arial Unicode MS"/>
                <w:color w:val="000000" w:themeColor="text1"/>
                <w:sz w:val="20"/>
                <w:szCs w:val="20"/>
                <w:shd w:val="clear" w:color="auto" w:fill="FFFFFF"/>
                <w:lang w:val="en-US"/>
              </w:rPr>
              <w:t>referință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doi</w:t>
            </w:r>
            <w:proofErr w:type="spellEnd"/>
            <w:r w:rsidRPr="002137FB">
              <w:rPr>
                <w:rFonts w:eastAsia="Arial Unicode MS"/>
                <w:color w:val="000000" w:themeColor="text1"/>
                <w:sz w:val="20"/>
                <w:szCs w:val="20"/>
                <w:shd w:val="clear" w:color="auto" w:fill="FFFFFF"/>
                <w:lang w:val="en-US"/>
              </w:rPr>
              <w:t xml:space="preserve"> ani </w:t>
            </w:r>
            <w:proofErr w:type="spellStart"/>
            <w:r w:rsidRPr="002137FB">
              <w:rPr>
                <w:rFonts w:eastAsia="Arial Unicode MS"/>
                <w:color w:val="000000" w:themeColor="text1"/>
                <w:sz w:val="20"/>
                <w:szCs w:val="20"/>
                <w:shd w:val="clear" w:color="auto" w:fill="FFFFFF"/>
                <w:lang w:val="en-US"/>
              </w:rPr>
              <w:t>precedenți</w:t>
            </w:r>
            <w:proofErr w:type="spellEnd"/>
            <w:r w:rsidRPr="002137FB">
              <w:rPr>
                <w:rFonts w:eastAsia="Arial Unicode MS"/>
                <w:color w:val="000000" w:themeColor="text1"/>
                <w:sz w:val="20"/>
                <w:szCs w:val="20"/>
                <w:shd w:val="clear" w:color="auto" w:fill="FFFFFF"/>
                <w:lang w:val="en-US"/>
              </w:rPr>
              <w:t>, 75</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de </w:t>
            </w:r>
            <w:proofErr w:type="spellStart"/>
            <w:r w:rsidRPr="002137FB">
              <w:rPr>
                <w:rFonts w:eastAsia="Arial Unicode MS"/>
                <w:color w:val="000000" w:themeColor="text1"/>
                <w:sz w:val="20"/>
                <w:szCs w:val="20"/>
                <w:shd w:val="clear" w:color="auto" w:fill="FFFFFF"/>
                <w:lang w:val="en-US"/>
              </w:rPr>
              <w:t>milioane</w:t>
            </w:r>
            <w:proofErr w:type="spellEnd"/>
            <w:r w:rsidRPr="002137FB">
              <w:rPr>
                <w:rFonts w:eastAsia="Arial Unicode MS"/>
                <w:color w:val="000000" w:themeColor="text1"/>
                <w:sz w:val="20"/>
                <w:szCs w:val="20"/>
                <w:shd w:val="clear" w:color="auto" w:fill="FFFFFF"/>
                <w:lang w:val="en-US"/>
              </w:rPr>
              <w:t xml:space="preserve"> de certificate sunt </w:t>
            </w:r>
            <w:proofErr w:type="spellStart"/>
            <w:r w:rsidRPr="002137FB">
              <w:rPr>
                <w:rFonts w:eastAsia="Arial Unicode MS"/>
                <w:color w:val="000000" w:themeColor="text1"/>
                <w:sz w:val="20"/>
                <w:szCs w:val="20"/>
                <w:shd w:val="clear" w:color="auto" w:fill="FFFFFF"/>
                <w:lang w:val="en-US"/>
              </w:rPr>
              <w:t>eliberate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rezerva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stabilitatea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pieței</w:t>
            </w:r>
            <w:proofErr w:type="spellEnd"/>
            <w:r w:rsidRPr="002137FB">
              <w:rPr>
                <w:rFonts w:eastAsia="Arial Unicode MS"/>
                <w:color w:val="000000" w:themeColor="text1"/>
                <w:sz w:val="20"/>
                <w:szCs w:val="20"/>
                <w:shd w:val="clear" w:color="auto" w:fill="FFFFFF"/>
                <w:lang w:val="en-US"/>
              </w:rPr>
              <w:t xml:space="preserve">, în conformitate cu </w:t>
            </w:r>
            <w:proofErr w:type="spellStart"/>
            <w:r w:rsidRPr="002137FB">
              <w:rPr>
                <w:rFonts w:eastAsia="Arial Unicode MS"/>
                <w:color w:val="000000" w:themeColor="text1"/>
                <w:sz w:val="20"/>
                <w:szCs w:val="20"/>
                <w:shd w:val="clear" w:color="auto" w:fill="FFFFFF"/>
                <w:lang w:val="en-US"/>
              </w:rPr>
              <w:t>articolul</w:t>
            </w:r>
            <w:proofErr w:type="spellEnd"/>
            <w:r w:rsidRPr="002137FB">
              <w:rPr>
                <w:rFonts w:eastAsia="Arial Unicode MS"/>
                <w:color w:val="000000" w:themeColor="text1"/>
                <w:sz w:val="20"/>
                <w:szCs w:val="20"/>
                <w:shd w:val="clear" w:color="auto" w:fill="FFFFFF"/>
                <w:lang w:val="en-US"/>
              </w:rPr>
              <w:t xml:space="preserve"> 1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(7) din </w:t>
            </w:r>
            <w:proofErr w:type="spellStart"/>
            <w:r w:rsidRPr="002137FB">
              <w:rPr>
                <w:rFonts w:eastAsia="Arial Unicode MS"/>
                <w:color w:val="000000" w:themeColor="text1"/>
                <w:sz w:val="20"/>
                <w:szCs w:val="20"/>
                <w:shd w:val="clear" w:color="auto" w:fill="FFFFFF"/>
                <w:lang w:val="en-US"/>
              </w:rPr>
              <w:t>Decizia</w:t>
            </w:r>
            <w:proofErr w:type="spellEnd"/>
            <w:r w:rsidRPr="002137FB">
              <w:rPr>
                <w:rFonts w:eastAsia="Arial Unicode MS"/>
                <w:color w:val="000000" w:themeColor="text1"/>
                <w:sz w:val="20"/>
                <w:szCs w:val="20"/>
                <w:shd w:val="clear" w:color="auto" w:fill="FFFFFF"/>
                <w:lang w:val="en-US"/>
              </w:rPr>
              <w:t xml:space="preserve"> (UE)</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2015/1814.</w:t>
            </w:r>
          </w:p>
          <w:p w14:paraId="3CA3BAA2" w14:textId="5ED11A11"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vizate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capitolele</w:t>
            </w:r>
            <w:proofErr w:type="spellEnd"/>
            <w:r w:rsidRPr="002137FB">
              <w:rPr>
                <w:rFonts w:eastAsia="Arial Unicode MS"/>
                <w:color w:val="000000" w:themeColor="text1"/>
                <w:sz w:val="20"/>
                <w:szCs w:val="20"/>
                <w:shd w:val="clear" w:color="auto" w:fill="FFFFFF"/>
                <w:lang w:val="en-US"/>
              </w:rPr>
              <w:t xml:space="preserve"> II și III,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paragraf</w:t>
            </w:r>
            <w:proofErr w:type="spellEnd"/>
            <w:r w:rsidRPr="002137FB">
              <w:rPr>
                <w:rFonts w:eastAsia="Arial Unicode MS"/>
                <w:color w:val="000000" w:themeColor="text1"/>
                <w:sz w:val="20"/>
                <w:szCs w:val="20"/>
                <w:shd w:val="clear" w:color="auto" w:fill="FFFFFF"/>
                <w:lang w:val="en-US"/>
              </w:rPr>
              <w:t xml:space="preserve"> de la </w:t>
            </w:r>
            <w:proofErr w:type="spellStart"/>
            <w:r w:rsidRPr="002137FB">
              <w:rPr>
                <w:rFonts w:eastAsia="Arial Unicode MS"/>
                <w:color w:val="000000" w:themeColor="text1"/>
                <w:sz w:val="20"/>
                <w:szCs w:val="20"/>
                <w:shd w:val="clear" w:color="auto" w:fill="FFFFFF"/>
                <w:lang w:val="en-US"/>
              </w:rPr>
              <w:t>prezentul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alineat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licitațiilor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desfășurate</w:t>
            </w:r>
            <w:proofErr w:type="spellEnd"/>
            <w:r w:rsidRPr="002137FB">
              <w:rPr>
                <w:rFonts w:eastAsia="Arial Unicode MS"/>
                <w:color w:val="000000" w:themeColor="text1"/>
                <w:sz w:val="20"/>
                <w:szCs w:val="20"/>
                <w:shd w:val="clear" w:color="auto" w:fill="FFFFFF"/>
                <w:lang w:val="en-US"/>
              </w:rPr>
              <w:t xml:space="preserve"> în conformitate cu </w:t>
            </w:r>
            <w:proofErr w:type="spellStart"/>
            <w:r w:rsidRPr="002137FB">
              <w:rPr>
                <w:rFonts w:eastAsia="Arial Unicode MS"/>
                <w:color w:val="000000" w:themeColor="text1"/>
                <w:sz w:val="20"/>
                <w:szCs w:val="20"/>
                <w:shd w:val="clear" w:color="auto" w:fill="FFFFFF"/>
                <w:lang w:val="en-US"/>
              </w:rPr>
              <w:t>actele</w:t>
            </w:r>
            <w:proofErr w:type="spellEnd"/>
            <w:r w:rsidRPr="002137FB">
              <w:rPr>
                <w:rFonts w:eastAsia="Arial Unicode MS"/>
                <w:color w:val="000000" w:themeColor="text1"/>
                <w:sz w:val="20"/>
                <w:szCs w:val="20"/>
                <w:shd w:val="clear" w:color="auto" w:fill="FFFFFF"/>
                <w:lang w:val="en-US"/>
              </w:rPr>
              <w:t xml:space="preserve"> delegate </w:t>
            </w:r>
            <w:proofErr w:type="spellStart"/>
            <w:r w:rsidRPr="002137FB">
              <w:rPr>
                <w:rFonts w:eastAsia="Arial Unicode MS"/>
                <w:color w:val="000000" w:themeColor="text1"/>
                <w:sz w:val="20"/>
                <w:szCs w:val="20"/>
                <w:shd w:val="clear" w:color="auto" w:fill="FFFFFF"/>
                <w:lang w:val="en-US"/>
              </w:rPr>
              <w:t>adoptate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temeiul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articolului</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10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(4).</w:t>
            </w:r>
          </w:p>
          <w:p w14:paraId="703B9E4F"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Perioada de </w:t>
            </w:r>
            <w:proofErr w:type="spellStart"/>
            <w:r w:rsidRPr="002137FB">
              <w:rPr>
                <w:rFonts w:eastAsia="Arial Unicode MS"/>
                <w:color w:val="000000" w:themeColor="text1"/>
                <w:sz w:val="20"/>
                <w:szCs w:val="20"/>
                <w:shd w:val="clear" w:color="auto" w:fill="FFFFFF"/>
                <w:lang w:val="en-US"/>
              </w:rPr>
              <w:t>referință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doi</w:t>
            </w:r>
            <w:proofErr w:type="spellEnd"/>
            <w:r w:rsidRPr="002137FB">
              <w:rPr>
                <w:rFonts w:eastAsia="Arial Unicode MS"/>
                <w:color w:val="000000" w:themeColor="text1"/>
                <w:sz w:val="20"/>
                <w:szCs w:val="20"/>
                <w:shd w:val="clear" w:color="auto" w:fill="FFFFFF"/>
                <w:lang w:val="en-US"/>
              </w:rPr>
              <w:t xml:space="preserve"> ani </w:t>
            </w:r>
            <w:proofErr w:type="spellStart"/>
            <w:r w:rsidRPr="002137FB">
              <w:rPr>
                <w:rFonts w:eastAsia="Arial Unicode MS"/>
                <w:color w:val="000000" w:themeColor="text1"/>
                <w:sz w:val="20"/>
                <w:szCs w:val="20"/>
                <w:shd w:val="clear" w:color="auto" w:fill="FFFFFF"/>
                <w:lang w:val="en-US"/>
              </w:rPr>
              <w:t>precedenți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paragraf</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reprezintă</w:t>
            </w:r>
            <w:proofErr w:type="spellEnd"/>
            <w:r w:rsidRPr="002137FB">
              <w:rPr>
                <w:rFonts w:eastAsia="Arial Unicode MS"/>
                <w:color w:val="000000" w:themeColor="text1"/>
                <w:sz w:val="20"/>
                <w:szCs w:val="20"/>
                <w:shd w:val="clear" w:color="auto" w:fill="FFFFFF"/>
                <w:lang w:val="en-US"/>
              </w:rPr>
              <w:t xml:space="preserve"> perioada de </w:t>
            </w:r>
            <w:proofErr w:type="spellStart"/>
            <w:r w:rsidRPr="002137FB">
              <w:rPr>
                <w:rFonts w:eastAsia="Arial Unicode MS"/>
                <w:color w:val="000000" w:themeColor="text1"/>
                <w:sz w:val="20"/>
                <w:szCs w:val="20"/>
                <w:shd w:val="clear" w:color="auto" w:fill="FFFFFF"/>
                <w:lang w:val="en-US"/>
              </w:rPr>
              <w:t>doi</w:t>
            </w:r>
            <w:proofErr w:type="spellEnd"/>
            <w:r w:rsidRPr="002137FB">
              <w:rPr>
                <w:rFonts w:eastAsia="Arial Unicode MS"/>
                <w:color w:val="000000" w:themeColor="text1"/>
                <w:sz w:val="20"/>
                <w:szCs w:val="20"/>
                <w:shd w:val="clear" w:color="auto" w:fill="FFFFFF"/>
                <w:lang w:val="en-US"/>
              </w:rPr>
              <w:t xml:space="preserve"> ani care se </w:t>
            </w:r>
            <w:proofErr w:type="spellStart"/>
            <w:r w:rsidRPr="002137FB">
              <w:rPr>
                <w:rFonts w:eastAsia="Arial Unicode MS"/>
                <w:color w:val="000000" w:themeColor="text1"/>
                <w:sz w:val="20"/>
                <w:szCs w:val="20"/>
                <w:shd w:val="clear" w:color="auto" w:fill="FFFFFF"/>
                <w:lang w:val="en-US"/>
              </w:rPr>
              <w:t>încheie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înainte</w:t>
            </w:r>
            <w:proofErr w:type="spellEnd"/>
            <w:r w:rsidRPr="002137FB">
              <w:rPr>
                <w:rFonts w:eastAsia="Arial Unicode MS"/>
                <w:color w:val="000000" w:themeColor="text1"/>
                <w:sz w:val="20"/>
                <w:szCs w:val="20"/>
                <w:shd w:val="clear" w:color="auto" w:fill="FFFFFF"/>
                <w:lang w:val="en-US"/>
              </w:rPr>
              <w:t xml:space="preserve"> de prima </w:t>
            </w:r>
            <w:proofErr w:type="spellStart"/>
            <w:r w:rsidRPr="002137FB">
              <w:rPr>
                <w:rFonts w:eastAsia="Arial Unicode MS"/>
                <w:color w:val="000000" w:themeColor="text1"/>
                <w:sz w:val="20"/>
                <w:szCs w:val="20"/>
                <w:shd w:val="clear" w:color="auto" w:fill="FFFFFF"/>
                <w:lang w:val="en-US"/>
              </w:rPr>
              <w:t>lună</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perioadei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șase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calendaristice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paragraful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w:t>
            </w:r>
          </w:p>
          <w:p w14:paraId="3A352526" w14:textId="33D4B7CE"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w:t>
            </w:r>
            <w:proofErr w:type="spellStart"/>
            <w:r w:rsidRPr="002137FB">
              <w:rPr>
                <w:rFonts w:eastAsia="Arial Unicode MS"/>
                <w:color w:val="000000" w:themeColor="text1"/>
                <w:sz w:val="20"/>
                <w:szCs w:val="20"/>
                <w:shd w:val="clear" w:color="auto" w:fill="FFFFFF"/>
                <w:lang w:val="en-US"/>
              </w:rPr>
              <w:t>cazul</w:t>
            </w:r>
            <w:proofErr w:type="spellEnd"/>
            <w:r w:rsidRPr="002137FB">
              <w:rPr>
                <w:rFonts w:eastAsia="Arial Unicode MS"/>
                <w:color w:val="000000" w:themeColor="text1"/>
                <w:sz w:val="20"/>
                <w:szCs w:val="20"/>
                <w:shd w:val="clear" w:color="auto" w:fill="FFFFFF"/>
                <w:lang w:val="en-US"/>
              </w:rPr>
              <w:t xml:space="preserve"> în care </w:t>
            </w:r>
            <w:proofErr w:type="spellStart"/>
            <w:r w:rsidRPr="002137FB">
              <w:rPr>
                <w:rFonts w:eastAsia="Arial Unicode MS"/>
                <w:color w:val="000000" w:themeColor="text1"/>
                <w:sz w:val="20"/>
                <w:szCs w:val="20"/>
                <w:shd w:val="clear" w:color="auto" w:fill="FFFFFF"/>
                <w:lang w:val="en-US"/>
              </w:rPr>
              <w:t>condiția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paragraf</w:t>
            </w:r>
            <w:proofErr w:type="spellEnd"/>
            <w:r w:rsidRPr="002137FB">
              <w:rPr>
                <w:rFonts w:eastAsia="Arial Unicode MS"/>
                <w:color w:val="000000" w:themeColor="text1"/>
                <w:sz w:val="20"/>
                <w:szCs w:val="20"/>
                <w:shd w:val="clear" w:color="auto" w:fill="FFFFFF"/>
                <w:lang w:val="en-US"/>
              </w:rPr>
              <w:t xml:space="preserve"> de la </w:t>
            </w:r>
            <w:proofErr w:type="spellStart"/>
            <w:r w:rsidRPr="002137FB">
              <w:rPr>
                <w:rFonts w:eastAsia="Arial Unicode MS"/>
                <w:color w:val="000000" w:themeColor="text1"/>
                <w:sz w:val="20"/>
                <w:szCs w:val="20"/>
                <w:shd w:val="clear" w:color="auto" w:fill="FFFFFF"/>
                <w:lang w:val="en-US"/>
              </w:rPr>
              <w:t>prezentul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alineat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îndeplinită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 nu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aplicabil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publică</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aviz</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acest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sens</w:t>
            </w:r>
            <w:proofErr w:type="spellEnd"/>
            <w:r w:rsidRPr="002137FB">
              <w:rPr>
                <w:rFonts w:eastAsia="Arial Unicode MS"/>
                <w:color w:val="000000" w:themeColor="text1"/>
                <w:sz w:val="20"/>
                <w:szCs w:val="20"/>
                <w:shd w:val="clear" w:color="auto" w:fill="FFFFFF"/>
                <w:lang w:val="en-US"/>
              </w:rPr>
              <w:t xml:space="preserve"> în</w:t>
            </w:r>
            <w:r w:rsidR="002137FB">
              <w:rPr>
                <w:rStyle w:val="apple-converted-space"/>
                <w:rFonts w:eastAsia="Arial Unicode MS"/>
                <w:color w:val="000000" w:themeColor="text1"/>
                <w:sz w:val="20"/>
                <w:szCs w:val="20"/>
                <w:shd w:val="clear" w:color="auto" w:fill="FFFFFF"/>
                <w:lang w:val="en-US"/>
              </w:rPr>
              <w:t xml:space="preserve"> </w:t>
            </w:r>
            <w:proofErr w:type="spellStart"/>
            <w:r w:rsidRPr="002137FB">
              <w:rPr>
                <w:rStyle w:val="italics"/>
                <w:rFonts w:eastAsia="Arial Unicode MS"/>
                <w:i/>
                <w:iCs/>
                <w:color w:val="000000" w:themeColor="text1"/>
                <w:sz w:val="20"/>
                <w:szCs w:val="20"/>
                <w:lang w:val="en-US"/>
              </w:rPr>
              <w:t>Jurnalul</w:t>
            </w:r>
            <w:proofErr w:type="spellEnd"/>
            <w:r w:rsidRPr="002137FB">
              <w:rPr>
                <w:rStyle w:val="italics"/>
                <w:rFonts w:eastAsia="Arial Unicode MS"/>
                <w:i/>
                <w:iCs/>
                <w:color w:val="000000" w:themeColor="text1"/>
                <w:sz w:val="20"/>
                <w:szCs w:val="20"/>
                <w:lang w:val="en-US"/>
              </w:rPr>
              <w:t xml:space="preserve"> </w:t>
            </w:r>
            <w:proofErr w:type="spellStart"/>
            <w:r w:rsidRPr="002137FB">
              <w:rPr>
                <w:rStyle w:val="italics"/>
                <w:rFonts w:eastAsia="Arial Unicode MS"/>
                <w:i/>
                <w:iCs/>
                <w:color w:val="000000" w:themeColor="text1"/>
                <w:sz w:val="20"/>
                <w:szCs w:val="20"/>
                <w:lang w:val="en-US"/>
              </w:rPr>
              <w:t>Oficial</w:t>
            </w:r>
            <w:proofErr w:type="spellEnd"/>
            <w:r w:rsidRPr="002137FB">
              <w:rPr>
                <w:rStyle w:val="italics"/>
                <w:rFonts w:eastAsia="Arial Unicode MS"/>
                <w:i/>
                <w:iCs/>
                <w:color w:val="000000" w:themeColor="text1"/>
                <w:sz w:val="20"/>
                <w:szCs w:val="20"/>
                <w:lang w:val="en-US"/>
              </w:rPr>
              <w:t xml:space="preserve"> al </w:t>
            </w:r>
            <w:proofErr w:type="spellStart"/>
            <w:r w:rsidRPr="002137FB">
              <w:rPr>
                <w:rStyle w:val="italics"/>
                <w:rFonts w:eastAsia="Arial Unicode MS"/>
                <w:i/>
                <w:iCs/>
                <w:color w:val="000000" w:themeColor="text1"/>
                <w:sz w:val="20"/>
                <w:szCs w:val="20"/>
                <w:lang w:val="en-US"/>
              </w:rPr>
              <w:t>Uniunii</w:t>
            </w:r>
            <w:proofErr w:type="spellEnd"/>
            <w:r w:rsidRPr="002137FB">
              <w:rPr>
                <w:rStyle w:val="italics"/>
                <w:rFonts w:eastAsia="Arial Unicode MS"/>
                <w:i/>
                <w:iCs/>
                <w:color w:val="000000" w:themeColor="text1"/>
                <w:sz w:val="20"/>
                <w:szCs w:val="20"/>
                <w:lang w:val="en-US"/>
              </w:rPr>
              <w:t xml:space="preserve"> </w:t>
            </w:r>
            <w:proofErr w:type="spellStart"/>
            <w:r w:rsidRPr="002137FB">
              <w:rPr>
                <w:rStyle w:val="italics"/>
                <w:rFonts w:eastAsia="Arial Unicode MS"/>
                <w:i/>
                <w:iCs/>
                <w:color w:val="000000" w:themeColor="text1"/>
                <w:sz w:val="20"/>
                <w:szCs w:val="20"/>
                <w:lang w:val="en-US"/>
              </w:rPr>
              <w:t>Europene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indicând</w:t>
            </w:r>
            <w:proofErr w:type="spellEnd"/>
            <w:r w:rsidRPr="002137FB">
              <w:rPr>
                <w:rFonts w:eastAsia="Arial Unicode MS"/>
                <w:color w:val="000000" w:themeColor="text1"/>
                <w:sz w:val="20"/>
                <w:szCs w:val="20"/>
                <w:shd w:val="clear" w:color="auto" w:fill="FFFFFF"/>
                <w:lang w:val="en-US"/>
              </w:rPr>
              <w:t xml:space="preserve"> data la care </w:t>
            </w:r>
            <w:proofErr w:type="spellStart"/>
            <w:r w:rsidRPr="002137FB">
              <w:rPr>
                <w:rFonts w:eastAsia="Arial Unicode MS"/>
                <w:color w:val="000000" w:themeColor="text1"/>
                <w:sz w:val="20"/>
                <w:szCs w:val="20"/>
                <w:shd w:val="clear" w:color="auto" w:fill="FFFFFF"/>
                <w:lang w:val="en-US"/>
              </w:rPr>
              <w:t>condiția</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fost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îndeplinită</w:t>
            </w:r>
            <w:proofErr w:type="spellEnd"/>
            <w:r w:rsidRPr="002137FB">
              <w:rPr>
                <w:rFonts w:eastAsia="Arial Unicode MS"/>
                <w:color w:val="000000" w:themeColor="text1"/>
                <w:sz w:val="20"/>
                <w:szCs w:val="20"/>
                <w:shd w:val="clear" w:color="auto" w:fill="FFFFFF"/>
                <w:lang w:val="en-US"/>
              </w:rPr>
              <w:t>.</w:t>
            </w:r>
          </w:p>
          <w:p w14:paraId="23DF0497"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publică</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primele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zile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lucrătoare</w:t>
            </w:r>
            <w:proofErr w:type="spellEnd"/>
            <w:r w:rsidRPr="002137FB">
              <w:rPr>
                <w:rFonts w:eastAsia="Arial Unicode MS"/>
                <w:color w:val="000000" w:themeColor="text1"/>
                <w:sz w:val="20"/>
                <w:szCs w:val="20"/>
                <w:shd w:val="clear" w:color="auto" w:fill="FFFFFF"/>
                <w:lang w:val="en-US"/>
              </w:rPr>
              <w:t xml:space="preserve"> ale </w:t>
            </w:r>
            <w:proofErr w:type="spellStart"/>
            <w:r w:rsidRPr="002137FB">
              <w:rPr>
                <w:rFonts w:eastAsia="Arial Unicode MS"/>
                <w:color w:val="000000" w:themeColor="text1"/>
                <w:sz w:val="20"/>
                <w:szCs w:val="20"/>
                <w:shd w:val="clear" w:color="auto" w:fill="FFFFFF"/>
                <w:lang w:val="en-US"/>
              </w:rPr>
              <w:t>fiecărei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ultimele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șase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calendaristice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perioada de </w:t>
            </w:r>
            <w:proofErr w:type="spellStart"/>
            <w:r w:rsidRPr="002137FB">
              <w:rPr>
                <w:rFonts w:eastAsia="Arial Unicode MS"/>
                <w:color w:val="000000" w:themeColor="text1"/>
                <w:sz w:val="20"/>
                <w:szCs w:val="20"/>
                <w:shd w:val="clear" w:color="auto" w:fill="FFFFFF"/>
                <w:lang w:val="en-US"/>
              </w:rPr>
              <w:t>referință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doi</w:t>
            </w:r>
            <w:proofErr w:type="spellEnd"/>
            <w:r w:rsidRPr="002137FB">
              <w:rPr>
                <w:rFonts w:eastAsia="Arial Unicode MS"/>
                <w:color w:val="000000" w:themeColor="text1"/>
                <w:sz w:val="20"/>
                <w:szCs w:val="20"/>
                <w:shd w:val="clear" w:color="auto" w:fill="FFFFFF"/>
                <w:lang w:val="en-US"/>
              </w:rPr>
              <w:t xml:space="preserve"> ani </w:t>
            </w:r>
            <w:proofErr w:type="spellStart"/>
            <w:r w:rsidRPr="002137FB">
              <w:rPr>
                <w:rFonts w:eastAsia="Arial Unicode MS"/>
                <w:color w:val="000000" w:themeColor="text1"/>
                <w:sz w:val="20"/>
                <w:szCs w:val="20"/>
                <w:shd w:val="clear" w:color="auto" w:fill="FFFFFF"/>
                <w:lang w:val="en-US"/>
              </w:rPr>
              <w:t>precedenți</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cazul</w:t>
            </w:r>
            <w:proofErr w:type="spellEnd"/>
            <w:r w:rsidRPr="002137FB">
              <w:rPr>
                <w:rFonts w:eastAsia="Arial Unicode MS"/>
                <w:color w:val="000000" w:themeColor="text1"/>
                <w:sz w:val="20"/>
                <w:szCs w:val="20"/>
                <w:shd w:val="clear" w:color="auto" w:fill="FFFFFF"/>
                <w:lang w:val="en-US"/>
              </w:rPr>
              <w:t xml:space="preserve"> în care nu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îndeplinită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condiția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paragraf</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publică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nivelul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prețului</w:t>
            </w:r>
            <w:proofErr w:type="spellEnd"/>
            <w:r w:rsidRPr="002137FB">
              <w:rPr>
                <w:rFonts w:eastAsia="Arial Unicode MS"/>
                <w:color w:val="000000" w:themeColor="text1"/>
                <w:sz w:val="20"/>
                <w:szCs w:val="20"/>
                <w:shd w:val="clear" w:color="auto" w:fill="FFFFFF"/>
                <w:lang w:val="en-US"/>
              </w:rPr>
              <w:t xml:space="preserve"> pe care </w:t>
            </w:r>
            <w:proofErr w:type="spellStart"/>
            <w:r w:rsidRPr="002137FB">
              <w:rPr>
                <w:rFonts w:eastAsia="Arial Unicode MS"/>
                <w:color w:val="000000" w:themeColor="text1"/>
                <w:sz w:val="20"/>
                <w:szCs w:val="20"/>
                <w:shd w:val="clear" w:color="auto" w:fill="FFFFFF"/>
                <w:lang w:val="en-US"/>
              </w:rPr>
              <w:t>prețul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trebui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atingă</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luna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următoare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îndeplini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condiția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paragraful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w:t>
            </w:r>
          </w:p>
          <w:p w14:paraId="3DBFC9E8" w14:textId="3E5D38AD" w:rsidR="00124364" w:rsidRPr="002137FB" w:rsidRDefault="00000000" w:rsidP="002137FB">
            <w:pPr>
              <w:pStyle w:val="af8"/>
              <w:numPr>
                <w:ilvl w:val="0"/>
                <w:numId w:val="125"/>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2137FB">
              <w:rPr>
                <w:rFonts w:ascii="Times New Roman" w:eastAsia="Arial Unicode MS" w:hAnsi="Times New Roman"/>
                <w:color w:val="000000" w:themeColor="text1"/>
                <w:sz w:val="20"/>
                <w:szCs w:val="20"/>
              </w:rPr>
              <w:lastRenderedPageBreak/>
              <w:t>Atunci</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când</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este</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îndeplinită</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condiția</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pentru</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eliberarea</w:t>
            </w:r>
            <w:proofErr w:type="spellEnd"/>
            <w:r w:rsidRPr="002137FB">
              <w:rPr>
                <w:rFonts w:ascii="Times New Roman" w:eastAsia="Arial Unicode MS" w:hAnsi="Times New Roman"/>
                <w:color w:val="000000" w:themeColor="text1"/>
                <w:sz w:val="20"/>
                <w:szCs w:val="20"/>
              </w:rPr>
              <w:t xml:space="preserve"> de certificate din </w:t>
            </w:r>
            <w:proofErr w:type="spellStart"/>
            <w:r w:rsidRPr="002137FB">
              <w:rPr>
                <w:rFonts w:ascii="Times New Roman" w:eastAsia="Arial Unicode MS" w:hAnsi="Times New Roman"/>
                <w:color w:val="000000" w:themeColor="text1"/>
                <w:sz w:val="20"/>
                <w:szCs w:val="20"/>
              </w:rPr>
              <w:t>rezerva</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pentru</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stabilitatea</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pieței</w:t>
            </w:r>
            <w:proofErr w:type="spellEnd"/>
            <w:r w:rsidRPr="002137FB">
              <w:rPr>
                <w:rFonts w:ascii="Times New Roman" w:eastAsia="Arial Unicode MS" w:hAnsi="Times New Roman"/>
                <w:color w:val="000000" w:themeColor="text1"/>
                <w:sz w:val="20"/>
                <w:szCs w:val="20"/>
              </w:rPr>
              <w:t xml:space="preserve"> în </w:t>
            </w:r>
            <w:proofErr w:type="spellStart"/>
            <w:r w:rsidRPr="002137FB">
              <w:rPr>
                <w:rFonts w:ascii="Times New Roman" w:eastAsia="Arial Unicode MS" w:hAnsi="Times New Roman"/>
                <w:color w:val="000000" w:themeColor="text1"/>
                <w:sz w:val="20"/>
                <w:szCs w:val="20"/>
              </w:rPr>
              <w:t>temeiul</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alineatului</w:t>
            </w:r>
            <w:proofErr w:type="spellEnd"/>
            <w:r w:rsidR="002137FB">
              <w:rPr>
                <w:rFonts w:ascii="Times New Roman" w:eastAsia="Arial Unicode MS" w:hAnsi="Times New Roman"/>
                <w:color w:val="000000" w:themeColor="text1"/>
                <w:sz w:val="20"/>
                <w:szCs w:val="20"/>
              </w:rPr>
              <w:t xml:space="preserve"> </w:t>
            </w:r>
            <w:r w:rsidRPr="002137FB">
              <w:rPr>
                <w:rFonts w:ascii="Times New Roman" w:eastAsia="Arial Unicode MS" w:hAnsi="Times New Roman"/>
                <w:color w:val="000000" w:themeColor="text1"/>
                <w:sz w:val="20"/>
                <w:szCs w:val="20"/>
              </w:rPr>
              <w:t xml:space="preserve">(1), </w:t>
            </w:r>
            <w:proofErr w:type="spellStart"/>
            <w:r w:rsidRPr="002137FB">
              <w:rPr>
                <w:rFonts w:ascii="Times New Roman" w:eastAsia="Arial Unicode MS" w:hAnsi="Times New Roman"/>
                <w:color w:val="000000" w:themeColor="text1"/>
                <w:sz w:val="20"/>
                <w:szCs w:val="20"/>
              </w:rPr>
              <w:t>condiția</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menționată</w:t>
            </w:r>
            <w:proofErr w:type="spellEnd"/>
            <w:r w:rsidRPr="002137FB">
              <w:rPr>
                <w:rFonts w:ascii="Times New Roman" w:eastAsia="Arial Unicode MS" w:hAnsi="Times New Roman"/>
                <w:color w:val="000000" w:themeColor="text1"/>
                <w:sz w:val="20"/>
                <w:szCs w:val="20"/>
              </w:rPr>
              <w:t xml:space="preserve"> la </w:t>
            </w:r>
            <w:proofErr w:type="spellStart"/>
            <w:r w:rsidRPr="002137FB">
              <w:rPr>
                <w:rFonts w:ascii="Times New Roman" w:eastAsia="Arial Unicode MS" w:hAnsi="Times New Roman"/>
                <w:color w:val="000000" w:themeColor="text1"/>
                <w:sz w:val="20"/>
                <w:szCs w:val="20"/>
              </w:rPr>
              <w:t>respectivul</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alineat</w:t>
            </w:r>
            <w:proofErr w:type="spellEnd"/>
            <w:r w:rsidRPr="002137FB">
              <w:rPr>
                <w:rFonts w:ascii="Times New Roman" w:eastAsia="Arial Unicode MS" w:hAnsi="Times New Roman"/>
                <w:color w:val="000000" w:themeColor="text1"/>
                <w:sz w:val="20"/>
                <w:szCs w:val="20"/>
              </w:rPr>
              <w:t xml:space="preserve"> nu se </w:t>
            </w:r>
            <w:proofErr w:type="spellStart"/>
            <w:r w:rsidRPr="002137FB">
              <w:rPr>
                <w:rFonts w:ascii="Times New Roman" w:eastAsia="Arial Unicode MS" w:hAnsi="Times New Roman"/>
                <w:color w:val="000000" w:themeColor="text1"/>
                <w:sz w:val="20"/>
                <w:szCs w:val="20"/>
              </w:rPr>
              <w:t>consideră</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îndeplinită</w:t>
            </w:r>
            <w:proofErr w:type="spellEnd"/>
            <w:r w:rsidRPr="002137FB">
              <w:rPr>
                <w:rFonts w:ascii="Times New Roman" w:eastAsia="Arial Unicode MS" w:hAnsi="Times New Roman"/>
                <w:color w:val="000000" w:themeColor="text1"/>
                <w:sz w:val="20"/>
                <w:szCs w:val="20"/>
              </w:rPr>
              <w:t xml:space="preserve"> din </w:t>
            </w:r>
            <w:proofErr w:type="spellStart"/>
            <w:r w:rsidRPr="002137FB">
              <w:rPr>
                <w:rFonts w:ascii="Times New Roman" w:eastAsia="Arial Unicode MS" w:hAnsi="Times New Roman"/>
                <w:color w:val="000000" w:themeColor="text1"/>
                <w:sz w:val="20"/>
                <w:szCs w:val="20"/>
              </w:rPr>
              <w:t>nou</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decât</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după</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cel</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puțin</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douăsprezece</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luni</w:t>
            </w:r>
            <w:proofErr w:type="spellEnd"/>
            <w:r w:rsidRPr="002137FB">
              <w:rPr>
                <w:rFonts w:ascii="Times New Roman" w:eastAsia="Arial Unicode MS" w:hAnsi="Times New Roman"/>
                <w:color w:val="000000" w:themeColor="text1"/>
                <w:sz w:val="20"/>
                <w:szCs w:val="20"/>
              </w:rPr>
              <w:t xml:space="preserve"> de la </w:t>
            </w:r>
            <w:proofErr w:type="spellStart"/>
            <w:r w:rsidRPr="002137FB">
              <w:rPr>
                <w:rFonts w:ascii="Times New Roman" w:eastAsia="Arial Unicode MS" w:hAnsi="Times New Roman"/>
                <w:color w:val="000000" w:themeColor="text1"/>
                <w:sz w:val="20"/>
                <w:szCs w:val="20"/>
              </w:rPr>
              <w:t>încheierea</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operațiunii</w:t>
            </w:r>
            <w:proofErr w:type="spellEnd"/>
            <w:r w:rsidRPr="002137FB">
              <w:rPr>
                <w:rFonts w:ascii="Times New Roman" w:eastAsia="Arial Unicode MS" w:hAnsi="Times New Roman"/>
                <w:color w:val="000000" w:themeColor="text1"/>
                <w:sz w:val="20"/>
                <w:szCs w:val="20"/>
              </w:rPr>
              <w:t xml:space="preserve"> </w:t>
            </w:r>
            <w:proofErr w:type="spellStart"/>
            <w:r w:rsidRPr="002137FB">
              <w:rPr>
                <w:rFonts w:ascii="Times New Roman" w:eastAsia="Arial Unicode MS" w:hAnsi="Times New Roman"/>
                <w:color w:val="000000" w:themeColor="text1"/>
                <w:sz w:val="20"/>
                <w:szCs w:val="20"/>
              </w:rPr>
              <w:t>anterioare</w:t>
            </w:r>
            <w:proofErr w:type="spellEnd"/>
            <w:r w:rsidRPr="002137FB">
              <w:rPr>
                <w:rFonts w:ascii="Times New Roman" w:eastAsia="Arial Unicode MS" w:hAnsi="Times New Roman"/>
                <w:color w:val="000000" w:themeColor="text1"/>
                <w:sz w:val="20"/>
                <w:szCs w:val="20"/>
              </w:rPr>
              <w:t xml:space="preserve"> de </w:t>
            </w:r>
            <w:proofErr w:type="spellStart"/>
            <w:r w:rsidRPr="002137FB">
              <w:rPr>
                <w:rFonts w:ascii="Times New Roman" w:eastAsia="Arial Unicode MS" w:hAnsi="Times New Roman"/>
                <w:color w:val="000000" w:themeColor="text1"/>
                <w:sz w:val="20"/>
                <w:szCs w:val="20"/>
              </w:rPr>
              <w:t>eliberare</w:t>
            </w:r>
            <w:proofErr w:type="spellEnd"/>
            <w:r w:rsidRPr="002137FB">
              <w:rPr>
                <w:rFonts w:ascii="Times New Roman" w:eastAsia="Arial Unicode MS" w:hAnsi="Times New Roman"/>
                <w:color w:val="000000" w:themeColor="text1"/>
                <w:sz w:val="20"/>
                <w:szCs w:val="20"/>
              </w:rPr>
              <w:t xml:space="preserve"> din </w:t>
            </w:r>
            <w:proofErr w:type="spellStart"/>
            <w:r w:rsidRPr="002137FB">
              <w:rPr>
                <w:rFonts w:ascii="Times New Roman" w:eastAsia="Arial Unicode MS" w:hAnsi="Times New Roman"/>
                <w:color w:val="000000" w:themeColor="text1"/>
                <w:sz w:val="20"/>
                <w:szCs w:val="20"/>
              </w:rPr>
              <w:t>rezervă</w:t>
            </w:r>
            <w:proofErr w:type="spellEnd"/>
            <w:r w:rsidRPr="002137FB">
              <w:rPr>
                <w:rFonts w:ascii="Times New Roman" w:eastAsia="Arial Unicode MS" w:hAnsi="Times New Roman"/>
                <w:color w:val="000000" w:themeColor="text1"/>
                <w:sz w:val="20"/>
                <w:szCs w:val="20"/>
              </w:rPr>
              <w:t>.</w:t>
            </w:r>
          </w:p>
          <w:p w14:paraId="01B193D7" w14:textId="33A1F500" w:rsidR="00124364" w:rsidRPr="002137FB" w:rsidRDefault="00000000" w:rsidP="002137FB">
            <w:pPr>
              <w:pStyle w:val="af8"/>
              <w:numPr>
                <w:ilvl w:val="0"/>
                <w:numId w:val="125"/>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2137FB">
              <w:rPr>
                <w:rFonts w:ascii="Times New Roman" w:eastAsia="Arial Unicode MS" w:hAnsi="Times New Roman"/>
                <w:color w:val="000000" w:themeColor="text1"/>
                <w:sz w:val="20"/>
                <w:szCs w:val="20"/>
                <w:shd w:val="clear" w:color="auto" w:fill="FFFFFF"/>
              </w:rPr>
              <w:t>Normele</w:t>
            </w:r>
            <w:proofErr w:type="spellEnd"/>
            <w:r w:rsidRPr="002137FB">
              <w:rPr>
                <w:rFonts w:ascii="Times New Roman" w:eastAsia="Arial Unicode MS" w:hAnsi="Times New Roman"/>
                <w:color w:val="000000" w:themeColor="text1"/>
                <w:sz w:val="20"/>
                <w:szCs w:val="20"/>
                <w:shd w:val="clear" w:color="auto" w:fill="FFFFFF"/>
              </w:rPr>
              <w:t xml:space="preserve"> </w:t>
            </w:r>
            <w:proofErr w:type="spellStart"/>
            <w:r w:rsidRPr="002137FB">
              <w:rPr>
                <w:rFonts w:ascii="Times New Roman" w:eastAsia="Arial Unicode MS" w:hAnsi="Times New Roman"/>
                <w:color w:val="000000" w:themeColor="text1"/>
                <w:sz w:val="20"/>
                <w:szCs w:val="20"/>
                <w:shd w:val="clear" w:color="auto" w:fill="FFFFFF"/>
              </w:rPr>
              <w:t>detaliate</w:t>
            </w:r>
            <w:proofErr w:type="spellEnd"/>
            <w:r w:rsidRPr="002137FB">
              <w:rPr>
                <w:rFonts w:ascii="Times New Roman" w:eastAsia="Arial Unicode MS" w:hAnsi="Times New Roman"/>
                <w:color w:val="000000" w:themeColor="text1"/>
                <w:sz w:val="20"/>
                <w:szCs w:val="20"/>
                <w:shd w:val="clear" w:color="auto" w:fill="FFFFFF"/>
              </w:rPr>
              <w:t xml:space="preserve"> de </w:t>
            </w:r>
            <w:proofErr w:type="spellStart"/>
            <w:r w:rsidRPr="002137FB">
              <w:rPr>
                <w:rFonts w:ascii="Times New Roman" w:eastAsia="Arial Unicode MS" w:hAnsi="Times New Roman"/>
                <w:color w:val="000000" w:themeColor="text1"/>
                <w:sz w:val="20"/>
                <w:szCs w:val="20"/>
                <w:shd w:val="clear" w:color="auto" w:fill="FFFFFF"/>
              </w:rPr>
              <w:t>aplicare</w:t>
            </w:r>
            <w:proofErr w:type="spellEnd"/>
            <w:r w:rsidRPr="002137FB">
              <w:rPr>
                <w:rFonts w:ascii="Times New Roman" w:eastAsia="Arial Unicode MS" w:hAnsi="Times New Roman"/>
                <w:color w:val="000000" w:themeColor="text1"/>
                <w:sz w:val="20"/>
                <w:szCs w:val="20"/>
                <w:shd w:val="clear" w:color="auto" w:fill="FFFFFF"/>
              </w:rPr>
              <w:t xml:space="preserve"> a </w:t>
            </w:r>
            <w:proofErr w:type="spellStart"/>
            <w:r w:rsidRPr="002137FB">
              <w:rPr>
                <w:rFonts w:ascii="Times New Roman" w:eastAsia="Arial Unicode MS" w:hAnsi="Times New Roman"/>
                <w:color w:val="000000" w:themeColor="text1"/>
                <w:sz w:val="20"/>
                <w:szCs w:val="20"/>
                <w:shd w:val="clear" w:color="auto" w:fill="FFFFFF"/>
              </w:rPr>
              <w:t>măsurilor</w:t>
            </w:r>
            <w:proofErr w:type="spellEnd"/>
            <w:r w:rsidRPr="002137FB">
              <w:rPr>
                <w:rFonts w:ascii="Times New Roman" w:eastAsia="Arial Unicode MS" w:hAnsi="Times New Roman"/>
                <w:color w:val="000000" w:themeColor="text1"/>
                <w:sz w:val="20"/>
                <w:szCs w:val="20"/>
                <w:shd w:val="clear" w:color="auto" w:fill="FFFFFF"/>
              </w:rPr>
              <w:t xml:space="preserve"> </w:t>
            </w:r>
            <w:proofErr w:type="spellStart"/>
            <w:r w:rsidRPr="002137FB">
              <w:rPr>
                <w:rFonts w:ascii="Times New Roman" w:eastAsia="Arial Unicode MS" w:hAnsi="Times New Roman"/>
                <w:color w:val="000000" w:themeColor="text1"/>
                <w:sz w:val="20"/>
                <w:szCs w:val="20"/>
                <w:shd w:val="clear" w:color="auto" w:fill="FFFFFF"/>
              </w:rPr>
              <w:t>menționate</w:t>
            </w:r>
            <w:proofErr w:type="spellEnd"/>
            <w:r w:rsidRPr="002137FB">
              <w:rPr>
                <w:rFonts w:ascii="Times New Roman" w:eastAsia="Arial Unicode MS" w:hAnsi="Times New Roman"/>
                <w:color w:val="000000" w:themeColor="text1"/>
                <w:sz w:val="20"/>
                <w:szCs w:val="20"/>
                <w:shd w:val="clear" w:color="auto" w:fill="FFFFFF"/>
              </w:rPr>
              <w:t xml:space="preserve"> la </w:t>
            </w:r>
            <w:proofErr w:type="spellStart"/>
            <w:proofErr w:type="gramStart"/>
            <w:r w:rsidRPr="002137FB">
              <w:rPr>
                <w:rFonts w:ascii="Times New Roman" w:eastAsia="Arial Unicode MS" w:hAnsi="Times New Roman"/>
                <w:color w:val="000000" w:themeColor="text1"/>
                <w:sz w:val="20"/>
                <w:szCs w:val="20"/>
                <w:shd w:val="clear" w:color="auto" w:fill="FFFFFF"/>
              </w:rPr>
              <w:t>alineatele</w:t>
            </w:r>
            <w:proofErr w:type="spellEnd"/>
            <w:r w:rsidRPr="002137FB">
              <w:rPr>
                <w:rFonts w:ascii="Times New Roman" w:eastAsia="Arial Unicode MS" w:hAnsi="Times New Roman"/>
                <w:color w:val="000000" w:themeColor="text1"/>
                <w:sz w:val="20"/>
                <w:szCs w:val="20"/>
                <w:shd w:val="clear" w:color="auto" w:fill="FFFFFF"/>
              </w:rPr>
              <w:t>(</w:t>
            </w:r>
            <w:proofErr w:type="gramEnd"/>
            <w:r w:rsidRPr="002137FB">
              <w:rPr>
                <w:rFonts w:ascii="Times New Roman" w:eastAsia="Arial Unicode MS" w:hAnsi="Times New Roman"/>
                <w:color w:val="000000" w:themeColor="text1"/>
                <w:sz w:val="20"/>
                <w:szCs w:val="20"/>
                <w:shd w:val="clear" w:color="auto" w:fill="FFFFFF"/>
              </w:rPr>
              <w:t>1) și</w:t>
            </w:r>
            <w:r w:rsidR="002137FB">
              <w:rPr>
                <w:rFonts w:ascii="Times New Roman" w:eastAsia="Arial Unicode MS" w:hAnsi="Times New Roman"/>
                <w:color w:val="000000" w:themeColor="text1"/>
                <w:sz w:val="20"/>
                <w:szCs w:val="20"/>
                <w:shd w:val="clear" w:color="auto" w:fill="FFFFFF"/>
              </w:rPr>
              <w:t xml:space="preserve"> </w:t>
            </w:r>
            <w:r w:rsidRPr="002137FB">
              <w:rPr>
                <w:rFonts w:ascii="Times New Roman" w:eastAsia="Arial Unicode MS" w:hAnsi="Times New Roman"/>
                <w:color w:val="000000" w:themeColor="text1"/>
                <w:sz w:val="20"/>
                <w:szCs w:val="20"/>
                <w:shd w:val="clear" w:color="auto" w:fill="FFFFFF"/>
              </w:rPr>
              <w:t xml:space="preserve">(2) de la </w:t>
            </w:r>
            <w:proofErr w:type="spellStart"/>
            <w:r w:rsidRPr="002137FB">
              <w:rPr>
                <w:rFonts w:ascii="Times New Roman" w:eastAsia="Arial Unicode MS" w:hAnsi="Times New Roman"/>
                <w:color w:val="000000" w:themeColor="text1"/>
                <w:sz w:val="20"/>
                <w:szCs w:val="20"/>
                <w:shd w:val="clear" w:color="auto" w:fill="FFFFFF"/>
              </w:rPr>
              <w:t>prezentul</w:t>
            </w:r>
            <w:proofErr w:type="spellEnd"/>
            <w:r w:rsidRPr="002137FB">
              <w:rPr>
                <w:rFonts w:ascii="Times New Roman" w:eastAsia="Arial Unicode MS" w:hAnsi="Times New Roman"/>
                <w:color w:val="000000" w:themeColor="text1"/>
                <w:sz w:val="20"/>
                <w:szCs w:val="20"/>
                <w:shd w:val="clear" w:color="auto" w:fill="FFFFFF"/>
              </w:rPr>
              <w:t xml:space="preserve"> </w:t>
            </w:r>
            <w:proofErr w:type="spellStart"/>
            <w:r w:rsidRPr="002137FB">
              <w:rPr>
                <w:rFonts w:ascii="Times New Roman" w:eastAsia="Arial Unicode MS" w:hAnsi="Times New Roman"/>
                <w:color w:val="000000" w:themeColor="text1"/>
                <w:sz w:val="20"/>
                <w:szCs w:val="20"/>
                <w:shd w:val="clear" w:color="auto" w:fill="FFFFFF"/>
              </w:rPr>
              <w:t>articol</w:t>
            </w:r>
            <w:proofErr w:type="spellEnd"/>
            <w:r w:rsidRPr="002137FB">
              <w:rPr>
                <w:rFonts w:ascii="Times New Roman" w:eastAsia="Arial Unicode MS" w:hAnsi="Times New Roman"/>
                <w:color w:val="000000" w:themeColor="text1"/>
                <w:sz w:val="20"/>
                <w:szCs w:val="20"/>
                <w:shd w:val="clear" w:color="auto" w:fill="FFFFFF"/>
              </w:rPr>
              <w:t xml:space="preserve"> se </w:t>
            </w:r>
            <w:proofErr w:type="spellStart"/>
            <w:r w:rsidRPr="002137FB">
              <w:rPr>
                <w:rFonts w:ascii="Times New Roman" w:eastAsia="Arial Unicode MS" w:hAnsi="Times New Roman"/>
                <w:color w:val="000000" w:themeColor="text1"/>
                <w:sz w:val="20"/>
                <w:szCs w:val="20"/>
                <w:shd w:val="clear" w:color="auto" w:fill="FFFFFF"/>
              </w:rPr>
              <w:t>stabilesc</w:t>
            </w:r>
            <w:proofErr w:type="spellEnd"/>
            <w:r w:rsidRPr="002137FB">
              <w:rPr>
                <w:rFonts w:ascii="Times New Roman" w:eastAsia="Arial Unicode MS" w:hAnsi="Times New Roman"/>
                <w:color w:val="000000" w:themeColor="text1"/>
                <w:sz w:val="20"/>
                <w:szCs w:val="20"/>
                <w:shd w:val="clear" w:color="auto" w:fill="FFFFFF"/>
              </w:rPr>
              <w:t xml:space="preserve"> </w:t>
            </w:r>
            <w:proofErr w:type="spellStart"/>
            <w:r w:rsidRPr="002137FB">
              <w:rPr>
                <w:rFonts w:ascii="Times New Roman" w:eastAsia="Arial Unicode MS" w:hAnsi="Times New Roman"/>
                <w:color w:val="000000" w:themeColor="text1"/>
                <w:sz w:val="20"/>
                <w:szCs w:val="20"/>
                <w:shd w:val="clear" w:color="auto" w:fill="FFFFFF"/>
              </w:rPr>
              <w:t>prin</w:t>
            </w:r>
            <w:proofErr w:type="spellEnd"/>
            <w:r w:rsidRPr="002137FB">
              <w:rPr>
                <w:rFonts w:ascii="Times New Roman" w:eastAsia="Arial Unicode MS" w:hAnsi="Times New Roman"/>
                <w:color w:val="000000" w:themeColor="text1"/>
                <w:sz w:val="20"/>
                <w:szCs w:val="20"/>
                <w:shd w:val="clear" w:color="auto" w:fill="FFFFFF"/>
              </w:rPr>
              <w:t xml:space="preserve"> </w:t>
            </w:r>
            <w:proofErr w:type="spellStart"/>
            <w:r w:rsidRPr="002137FB">
              <w:rPr>
                <w:rFonts w:ascii="Times New Roman" w:eastAsia="Arial Unicode MS" w:hAnsi="Times New Roman"/>
                <w:color w:val="000000" w:themeColor="text1"/>
                <w:sz w:val="20"/>
                <w:szCs w:val="20"/>
                <w:shd w:val="clear" w:color="auto" w:fill="FFFFFF"/>
              </w:rPr>
              <w:t>actele</w:t>
            </w:r>
            <w:proofErr w:type="spellEnd"/>
            <w:r w:rsidRPr="002137FB">
              <w:rPr>
                <w:rFonts w:ascii="Times New Roman" w:eastAsia="Arial Unicode MS" w:hAnsi="Times New Roman"/>
                <w:color w:val="000000" w:themeColor="text1"/>
                <w:sz w:val="20"/>
                <w:szCs w:val="20"/>
                <w:shd w:val="clear" w:color="auto" w:fill="FFFFFF"/>
              </w:rPr>
              <w:t xml:space="preserve"> delegate </w:t>
            </w:r>
            <w:proofErr w:type="spellStart"/>
            <w:r w:rsidRPr="002137FB">
              <w:rPr>
                <w:rFonts w:ascii="Times New Roman" w:eastAsia="Arial Unicode MS" w:hAnsi="Times New Roman"/>
                <w:color w:val="000000" w:themeColor="text1"/>
                <w:sz w:val="20"/>
                <w:szCs w:val="20"/>
                <w:shd w:val="clear" w:color="auto" w:fill="FFFFFF"/>
              </w:rPr>
              <w:t>menționate</w:t>
            </w:r>
            <w:proofErr w:type="spellEnd"/>
            <w:r w:rsidRPr="002137FB">
              <w:rPr>
                <w:rFonts w:ascii="Times New Roman" w:eastAsia="Arial Unicode MS" w:hAnsi="Times New Roman"/>
                <w:color w:val="000000" w:themeColor="text1"/>
                <w:sz w:val="20"/>
                <w:szCs w:val="20"/>
                <w:shd w:val="clear" w:color="auto" w:fill="FFFFFF"/>
              </w:rPr>
              <w:t xml:space="preserve"> la </w:t>
            </w:r>
            <w:proofErr w:type="spellStart"/>
            <w:r w:rsidRPr="002137FB">
              <w:rPr>
                <w:rFonts w:ascii="Times New Roman" w:eastAsia="Arial Unicode MS" w:hAnsi="Times New Roman"/>
                <w:color w:val="000000" w:themeColor="text1"/>
                <w:sz w:val="20"/>
                <w:szCs w:val="20"/>
                <w:shd w:val="clear" w:color="auto" w:fill="FFFFFF"/>
              </w:rPr>
              <w:t>articolul</w:t>
            </w:r>
            <w:proofErr w:type="spellEnd"/>
            <w:r w:rsidR="002137FB">
              <w:rPr>
                <w:rFonts w:ascii="Times New Roman" w:eastAsia="Arial Unicode MS" w:hAnsi="Times New Roman"/>
                <w:color w:val="000000" w:themeColor="text1"/>
                <w:sz w:val="20"/>
                <w:szCs w:val="20"/>
                <w:shd w:val="clear" w:color="auto" w:fill="FFFFFF"/>
              </w:rPr>
              <w:t xml:space="preserve"> </w:t>
            </w:r>
            <w:r w:rsidRPr="002137FB">
              <w:rPr>
                <w:rFonts w:ascii="Times New Roman" w:eastAsia="Arial Unicode MS" w:hAnsi="Times New Roman"/>
                <w:color w:val="000000" w:themeColor="text1"/>
                <w:sz w:val="20"/>
                <w:szCs w:val="20"/>
                <w:shd w:val="clear" w:color="auto" w:fill="FFFFFF"/>
              </w:rPr>
              <w:t xml:space="preserve">10 </w:t>
            </w:r>
            <w:proofErr w:type="spellStart"/>
            <w:r w:rsidRPr="002137FB">
              <w:rPr>
                <w:rFonts w:ascii="Times New Roman" w:eastAsia="Arial Unicode MS" w:hAnsi="Times New Roman"/>
                <w:color w:val="000000" w:themeColor="text1"/>
                <w:sz w:val="20"/>
                <w:szCs w:val="20"/>
                <w:shd w:val="clear" w:color="auto" w:fill="FFFFFF"/>
              </w:rPr>
              <w:t>alineatul</w:t>
            </w:r>
            <w:proofErr w:type="spellEnd"/>
            <w:r w:rsidR="002137FB">
              <w:rPr>
                <w:rFonts w:ascii="Times New Roman" w:eastAsia="Arial Unicode MS" w:hAnsi="Times New Roman"/>
                <w:color w:val="000000" w:themeColor="text1"/>
                <w:sz w:val="20"/>
                <w:szCs w:val="20"/>
                <w:shd w:val="clear" w:color="auto" w:fill="FFFFFF"/>
              </w:rPr>
              <w:t xml:space="preserve"> </w:t>
            </w:r>
            <w:r w:rsidRPr="002137FB">
              <w:rPr>
                <w:rFonts w:ascii="Times New Roman" w:eastAsia="Arial Unicode MS" w:hAnsi="Times New Roman"/>
                <w:color w:val="000000" w:themeColor="text1"/>
                <w:sz w:val="20"/>
                <w:szCs w:val="20"/>
                <w:shd w:val="clear" w:color="auto" w:fill="FFFFFF"/>
              </w:rPr>
              <w:t>(4).</w:t>
            </w:r>
          </w:p>
          <w:p w14:paraId="14814852" w14:textId="77777777" w:rsidR="00124364"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339" w:tooltip="32003L008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3EC0218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1A2CD08" w14:textId="57C01CDE" w:rsidR="00124364" w:rsidRDefault="002137FB" w:rsidP="002137F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2DA0683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DCB3502" w14:textId="53423655" w:rsidR="00124364" w:rsidRDefault="002137FB" w:rsidP="002137F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3FC6A084"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1D027FF8" w14:textId="77777777">
        <w:trPr>
          <w:trHeight w:val="558"/>
        </w:trPr>
        <w:tc>
          <w:tcPr>
            <w:tcW w:w="4957" w:type="dxa"/>
            <w:shd w:val="clear" w:color="auto" w:fill="auto"/>
          </w:tcPr>
          <w:p w14:paraId="64E85B73" w14:textId="77777777" w:rsidR="00124364" w:rsidRPr="002137FB" w:rsidRDefault="00000000" w:rsidP="002137FB">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37FB">
              <w:rPr>
                <w:rFonts w:eastAsia="Arial Unicode MS"/>
                <w:i/>
                <w:iCs/>
                <w:color w:val="000000" w:themeColor="text1"/>
                <w:sz w:val="20"/>
                <w:szCs w:val="20"/>
                <w:shd w:val="clear" w:color="auto" w:fill="FFFFFF"/>
                <w:lang w:val="en-US"/>
              </w:rPr>
              <w:t>Articolul</w:t>
            </w:r>
            <w:proofErr w:type="spellEnd"/>
            <w:r w:rsidRPr="002137FB">
              <w:rPr>
                <w:rFonts w:eastAsia="Arial Unicode MS"/>
                <w:i/>
                <w:iCs/>
                <w:color w:val="000000" w:themeColor="text1"/>
                <w:sz w:val="20"/>
                <w:szCs w:val="20"/>
                <w:shd w:val="clear" w:color="auto" w:fill="FFFFFF"/>
                <w:lang w:val="en-US"/>
              </w:rPr>
              <w:t xml:space="preserve"> 30</w:t>
            </w:r>
          </w:p>
          <w:p w14:paraId="41094523" w14:textId="77777777" w:rsidR="00124364" w:rsidRPr="002137FB" w:rsidRDefault="00000000" w:rsidP="002137FB">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2137FB">
              <w:rPr>
                <w:rFonts w:eastAsia="Arial Unicode MS"/>
                <w:b/>
                <w:bCs/>
                <w:color w:val="000000" w:themeColor="text1"/>
                <w:sz w:val="20"/>
                <w:szCs w:val="20"/>
                <w:shd w:val="clear" w:color="auto" w:fill="FFFFFF"/>
                <w:lang w:val="en-US"/>
              </w:rPr>
              <w:t>Revizuirea</w:t>
            </w:r>
            <w:proofErr w:type="spellEnd"/>
            <w:r w:rsidRPr="002137FB">
              <w:rPr>
                <w:rFonts w:eastAsia="Arial Unicode MS"/>
                <w:b/>
                <w:bCs/>
                <w:color w:val="000000" w:themeColor="text1"/>
                <w:sz w:val="20"/>
                <w:szCs w:val="20"/>
                <w:shd w:val="clear" w:color="auto" w:fill="FFFFFF"/>
                <w:lang w:val="en-US"/>
              </w:rPr>
              <w:t xml:space="preserve"> în </w:t>
            </w:r>
            <w:proofErr w:type="spellStart"/>
            <w:r w:rsidRPr="002137FB">
              <w:rPr>
                <w:rFonts w:eastAsia="Arial Unicode MS"/>
                <w:b/>
                <w:bCs/>
                <w:color w:val="000000" w:themeColor="text1"/>
                <w:sz w:val="20"/>
                <w:szCs w:val="20"/>
                <w:shd w:val="clear" w:color="auto" w:fill="FFFFFF"/>
                <w:lang w:val="en-US"/>
              </w:rPr>
              <w:t>contextul</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punerii</w:t>
            </w:r>
            <w:proofErr w:type="spellEnd"/>
            <w:r w:rsidRPr="002137FB">
              <w:rPr>
                <w:rFonts w:eastAsia="Arial Unicode MS"/>
                <w:b/>
                <w:bCs/>
                <w:color w:val="000000" w:themeColor="text1"/>
                <w:sz w:val="20"/>
                <w:szCs w:val="20"/>
                <w:shd w:val="clear" w:color="auto" w:fill="FFFFFF"/>
                <w:lang w:val="en-US"/>
              </w:rPr>
              <w:t xml:space="preserve"> în </w:t>
            </w:r>
            <w:proofErr w:type="spellStart"/>
            <w:r w:rsidRPr="002137FB">
              <w:rPr>
                <w:rFonts w:eastAsia="Arial Unicode MS"/>
                <w:b/>
                <w:bCs/>
                <w:color w:val="000000" w:themeColor="text1"/>
                <w:sz w:val="20"/>
                <w:szCs w:val="20"/>
                <w:shd w:val="clear" w:color="auto" w:fill="FFFFFF"/>
                <w:lang w:val="en-US"/>
              </w:rPr>
              <w:t>aplicare</w:t>
            </w:r>
            <w:proofErr w:type="spellEnd"/>
            <w:r w:rsidRPr="002137FB">
              <w:rPr>
                <w:rFonts w:eastAsia="Arial Unicode MS"/>
                <w:b/>
                <w:bCs/>
                <w:color w:val="000000" w:themeColor="text1"/>
                <w:sz w:val="20"/>
                <w:szCs w:val="20"/>
                <w:shd w:val="clear" w:color="auto" w:fill="FFFFFF"/>
                <w:lang w:val="en-US"/>
              </w:rPr>
              <w:t xml:space="preserve"> a </w:t>
            </w:r>
            <w:proofErr w:type="spellStart"/>
            <w:r w:rsidRPr="002137FB">
              <w:rPr>
                <w:rFonts w:eastAsia="Arial Unicode MS"/>
                <w:b/>
                <w:bCs/>
                <w:color w:val="000000" w:themeColor="text1"/>
                <w:sz w:val="20"/>
                <w:szCs w:val="20"/>
                <w:shd w:val="clear" w:color="auto" w:fill="FFFFFF"/>
                <w:lang w:val="en-US"/>
              </w:rPr>
              <w:t>Acordului</w:t>
            </w:r>
            <w:proofErr w:type="spellEnd"/>
            <w:r w:rsidRPr="002137FB">
              <w:rPr>
                <w:rFonts w:eastAsia="Arial Unicode MS"/>
                <w:b/>
                <w:bCs/>
                <w:color w:val="000000" w:themeColor="text1"/>
                <w:sz w:val="20"/>
                <w:szCs w:val="20"/>
                <w:shd w:val="clear" w:color="auto" w:fill="FFFFFF"/>
                <w:lang w:val="en-US"/>
              </w:rPr>
              <w:t xml:space="preserve"> de la Paris și al </w:t>
            </w:r>
            <w:proofErr w:type="spellStart"/>
            <w:r w:rsidRPr="002137FB">
              <w:rPr>
                <w:rFonts w:eastAsia="Arial Unicode MS"/>
                <w:b/>
                <w:bCs/>
                <w:color w:val="000000" w:themeColor="text1"/>
                <w:sz w:val="20"/>
                <w:szCs w:val="20"/>
                <w:shd w:val="clear" w:color="auto" w:fill="FFFFFF"/>
                <w:lang w:val="en-US"/>
              </w:rPr>
              <w:t>dezvoltării</w:t>
            </w:r>
            <w:proofErr w:type="spellEnd"/>
            <w:r w:rsidRPr="002137FB">
              <w:rPr>
                <w:rFonts w:eastAsia="Arial Unicode MS"/>
                <w:b/>
                <w:bCs/>
                <w:color w:val="000000" w:themeColor="text1"/>
                <w:sz w:val="20"/>
                <w:szCs w:val="20"/>
                <w:shd w:val="clear" w:color="auto" w:fill="FFFFFF"/>
                <w:lang w:val="en-US"/>
              </w:rPr>
              <w:t xml:space="preserve"> de </w:t>
            </w:r>
            <w:proofErr w:type="spellStart"/>
            <w:r w:rsidRPr="002137FB">
              <w:rPr>
                <w:rFonts w:eastAsia="Arial Unicode MS"/>
                <w:b/>
                <w:bCs/>
                <w:color w:val="000000" w:themeColor="text1"/>
                <w:sz w:val="20"/>
                <w:szCs w:val="20"/>
                <w:shd w:val="clear" w:color="auto" w:fill="FFFFFF"/>
                <w:lang w:val="en-US"/>
              </w:rPr>
              <w:t>piețe</w:t>
            </w:r>
            <w:proofErr w:type="spellEnd"/>
            <w:r w:rsidRPr="002137FB">
              <w:rPr>
                <w:rFonts w:eastAsia="Arial Unicode MS"/>
                <w:b/>
                <w:bCs/>
                <w:color w:val="000000" w:themeColor="text1"/>
                <w:sz w:val="20"/>
                <w:szCs w:val="20"/>
                <w:shd w:val="clear" w:color="auto" w:fill="FFFFFF"/>
                <w:lang w:val="en-US"/>
              </w:rPr>
              <w:t xml:space="preserve"> ale carbonului în </w:t>
            </w:r>
            <w:proofErr w:type="spellStart"/>
            <w:r w:rsidRPr="002137FB">
              <w:rPr>
                <w:rFonts w:eastAsia="Arial Unicode MS"/>
                <w:b/>
                <w:bCs/>
                <w:color w:val="000000" w:themeColor="text1"/>
                <w:sz w:val="20"/>
                <w:szCs w:val="20"/>
                <w:shd w:val="clear" w:color="auto" w:fill="FFFFFF"/>
                <w:lang w:val="en-US"/>
              </w:rPr>
              <w:t>alte</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economii</w:t>
            </w:r>
            <w:proofErr w:type="spellEnd"/>
            <w:r w:rsidRPr="002137FB">
              <w:rPr>
                <w:rFonts w:eastAsia="Arial Unicode MS"/>
                <w:b/>
                <w:bCs/>
                <w:color w:val="000000" w:themeColor="text1"/>
                <w:sz w:val="20"/>
                <w:szCs w:val="20"/>
                <w:shd w:val="clear" w:color="auto" w:fill="FFFFFF"/>
                <w:lang w:val="en-US"/>
              </w:rPr>
              <w:t xml:space="preserve"> </w:t>
            </w:r>
            <w:proofErr w:type="spellStart"/>
            <w:r w:rsidRPr="002137FB">
              <w:rPr>
                <w:rFonts w:eastAsia="Arial Unicode MS"/>
                <w:b/>
                <w:bCs/>
                <w:color w:val="000000" w:themeColor="text1"/>
                <w:sz w:val="20"/>
                <w:szCs w:val="20"/>
                <w:shd w:val="clear" w:color="auto" w:fill="FFFFFF"/>
                <w:lang w:val="en-US"/>
              </w:rPr>
              <w:t>majore</w:t>
            </w:r>
            <w:proofErr w:type="spellEnd"/>
          </w:p>
          <w:p w14:paraId="1BAE1AF2" w14:textId="77777777" w:rsidR="00124364" w:rsidRPr="002137FB" w:rsidRDefault="00000000" w:rsidP="002137FB">
            <w:pPr>
              <w:pStyle w:val="ti-art"/>
              <w:shd w:val="clear" w:color="auto" w:fill="FFFFFF"/>
              <w:spacing w:before="0" w:beforeAutospacing="0" w:after="0" w:afterAutospacing="0"/>
              <w:jc w:val="both"/>
              <w:rPr>
                <w:color w:val="000000" w:themeColor="text1"/>
                <w:sz w:val="20"/>
                <w:szCs w:val="20"/>
              </w:rPr>
            </w:pPr>
            <w:hyperlink r:id="rId340" w:tooltip="32023L0959: REPLACED" w:history="1">
              <w:r w:rsidRPr="002137FB">
                <w:rPr>
                  <w:rStyle w:val="af3"/>
                  <w:rFonts w:eastAsia="Arial Unicode MS"/>
                  <w:b/>
                  <w:bCs/>
                  <w:color w:val="000000" w:themeColor="text1"/>
                  <w:sz w:val="20"/>
                  <w:szCs w:val="20"/>
                </w:rPr>
                <w:t>▼M15</w:t>
              </w:r>
            </w:hyperlink>
          </w:p>
          <w:p w14:paraId="014C777B" w14:textId="77777777" w:rsidR="00124364" w:rsidRPr="002137FB" w:rsidRDefault="00000000" w:rsidP="002137FB">
            <w:pPr>
              <w:pStyle w:val="ti-art"/>
              <w:numPr>
                <w:ilvl w:val="0"/>
                <w:numId w:val="12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face </w:t>
            </w:r>
            <w:proofErr w:type="spellStart"/>
            <w:r w:rsidRPr="002137FB">
              <w:rPr>
                <w:rFonts w:eastAsia="Arial Unicode MS"/>
                <w:color w:val="000000" w:themeColor="text1"/>
                <w:sz w:val="20"/>
                <w:szCs w:val="20"/>
                <w:shd w:val="clear" w:color="auto" w:fill="FFFFFF"/>
                <w:lang w:val="en-US"/>
              </w:rPr>
              <w:t>obiectul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revizuiri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permanente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contextul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evoluțiilor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internaționale</w:t>
            </w:r>
            <w:proofErr w:type="spellEnd"/>
            <w:r w:rsidRPr="002137FB">
              <w:rPr>
                <w:rFonts w:eastAsia="Arial Unicode MS"/>
                <w:color w:val="000000" w:themeColor="text1"/>
                <w:sz w:val="20"/>
                <w:szCs w:val="20"/>
                <w:shd w:val="clear" w:color="auto" w:fill="FFFFFF"/>
                <w:lang w:val="en-US"/>
              </w:rPr>
              <w:t xml:space="preserve"> și al </w:t>
            </w:r>
            <w:proofErr w:type="spellStart"/>
            <w:r w:rsidRPr="002137FB">
              <w:rPr>
                <w:rFonts w:eastAsia="Arial Unicode MS"/>
                <w:color w:val="000000" w:themeColor="text1"/>
                <w:sz w:val="20"/>
                <w:szCs w:val="20"/>
                <w:shd w:val="clear" w:color="auto" w:fill="FFFFFF"/>
                <w:lang w:val="en-US"/>
              </w:rPr>
              <w:t>eforturilor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întreprinse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îndeplinirea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obiectivelor</w:t>
            </w:r>
            <w:proofErr w:type="spellEnd"/>
            <w:r w:rsidRPr="002137FB">
              <w:rPr>
                <w:rFonts w:eastAsia="Arial Unicode MS"/>
                <w:color w:val="000000" w:themeColor="text1"/>
                <w:sz w:val="20"/>
                <w:szCs w:val="20"/>
                <w:shd w:val="clear" w:color="auto" w:fill="FFFFFF"/>
                <w:lang w:val="en-US"/>
              </w:rPr>
              <w:t xml:space="preserve"> pe termen lung ale </w:t>
            </w:r>
            <w:proofErr w:type="spellStart"/>
            <w:r w:rsidRPr="002137FB">
              <w:rPr>
                <w:rFonts w:eastAsia="Arial Unicode MS"/>
                <w:color w:val="000000" w:themeColor="text1"/>
                <w:sz w:val="20"/>
                <w:szCs w:val="20"/>
                <w:shd w:val="clear" w:color="auto" w:fill="FFFFFF"/>
                <w:lang w:val="en-US"/>
              </w:rPr>
              <w:t>Acordului</w:t>
            </w:r>
            <w:proofErr w:type="spellEnd"/>
            <w:r w:rsidRPr="002137FB">
              <w:rPr>
                <w:rFonts w:eastAsia="Arial Unicode MS"/>
                <w:color w:val="000000" w:themeColor="text1"/>
                <w:sz w:val="20"/>
                <w:szCs w:val="20"/>
                <w:shd w:val="clear" w:color="auto" w:fill="FFFFFF"/>
                <w:lang w:val="en-US"/>
              </w:rPr>
              <w:t xml:space="preserve"> de la Paris și a </w:t>
            </w:r>
            <w:proofErr w:type="spellStart"/>
            <w:r w:rsidRPr="002137FB">
              <w:rPr>
                <w:rFonts w:eastAsia="Arial Unicode MS"/>
                <w:color w:val="000000" w:themeColor="text1"/>
                <w:sz w:val="20"/>
                <w:szCs w:val="20"/>
                <w:shd w:val="clear" w:color="auto" w:fill="FFFFFF"/>
                <w:lang w:val="en-US"/>
              </w:rPr>
              <w:t>tuturor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angajamentelor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relevante</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rezultă</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urma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Conferinței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părților</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Convenția-cadru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Națiunilor</w:t>
            </w:r>
            <w:proofErr w:type="spellEnd"/>
            <w:r w:rsidRPr="002137FB">
              <w:rPr>
                <w:rFonts w:eastAsia="Arial Unicode MS"/>
                <w:color w:val="000000" w:themeColor="text1"/>
                <w:sz w:val="20"/>
                <w:szCs w:val="20"/>
                <w:shd w:val="clear" w:color="auto" w:fill="FFFFFF"/>
                <w:lang w:val="en-US"/>
              </w:rPr>
              <w:t xml:space="preserve"> Unite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schimbărilor</w:t>
            </w:r>
            <w:proofErr w:type="spellEnd"/>
            <w:r w:rsidRPr="002137FB">
              <w:rPr>
                <w:rFonts w:eastAsia="Arial Unicode MS"/>
                <w:color w:val="000000" w:themeColor="text1"/>
                <w:sz w:val="20"/>
                <w:szCs w:val="20"/>
                <w:shd w:val="clear" w:color="auto" w:fill="FFFFFF"/>
                <w:lang w:val="en-US"/>
              </w:rPr>
              <w:t xml:space="preserve"> climatice.</w:t>
            </w:r>
          </w:p>
          <w:p w14:paraId="6D905AAF" w14:textId="460A9FA8" w:rsidR="00124364" w:rsidRPr="002137FB" w:rsidRDefault="00000000" w:rsidP="002137FB">
            <w:pPr>
              <w:pStyle w:val="ti-art"/>
              <w:numPr>
                <w:ilvl w:val="0"/>
                <w:numId w:val="12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Măsurile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sprijinire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anumitor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industrii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mari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consumatoare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energie</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putea</w:t>
            </w:r>
            <w:proofErr w:type="spellEnd"/>
            <w:r w:rsidRPr="002137FB">
              <w:rPr>
                <w:rFonts w:eastAsia="Arial Unicode MS"/>
                <w:color w:val="000000" w:themeColor="text1"/>
                <w:sz w:val="20"/>
                <w:szCs w:val="20"/>
                <w:shd w:val="clear" w:color="auto" w:fill="FFFFFF"/>
                <w:lang w:val="en-US"/>
              </w:rPr>
              <w:t xml:space="preserve"> face </w:t>
            </w:r>
            <w:proofErr w:type="spellStart"/>
            <w:r w:rsidRPr="002137FB">
              <w:rPr>
                <w:rFonts w:eastAsia="Arial Unicode MS"/>
                <w:color w:val="000000" w:themeColor="text1"/>
                <w:sz w:val="20"/>
                <w:szCs w:val="20"/>
                <w:shd w:val="clear" w:color="auto" w:fill="FFFFFF"/>
                <w:lang w:val="en-US"/>
              </w:rPr>
              <w:t>obiectul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relocării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carbon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articolele</w:t>
            </w:r>
            <w:proofErr w:type="spellEnd"/>
            <w:r w:rsidRPr="002137FB">
              <w:rPr>
                <w:rFonts w:eastAsia="Arial Unicode MS"/>
                <w:color w:val="000000" w:themeColor="text1"/>
                <w:sz w:val="20"/>
                <w:szCs w:val="20"/>
                <w:shd w:val="clear" w:color="auto" w:fill="FFFFFF"/>
                <w:lang w:val="en-US"/>
              </w:rPr>
              <w:t xml:space="preserve"> 10a și</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10b din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fac și </w:t>
            </w:r>
            <w:proofErr w:type="spellStart"/>
            <w:r w:rsidRPr="002137FB">
              <w:rPr>
                <w:rFonts w:eastAsia="Arial Unicode MS"/>
                <w:color w:val="000000" w:themeColor="text1"/>
                <w:sz w:val="20"/>
                <w:szCs w:val="20"/>
                <w:shd w:val="clear" w:color="auto" w:fill="FFFFFF"/>
                <w:lang w:val="en-US"/>
              </w:rPr>
              <w: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obiectul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revizuiri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permanente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având</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vedere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politică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clima</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alte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economii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majore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acest</w:t>
            </w:r>
            <w:proofErr w:type="spellEnd"/>
            <w:r w:rsidRPr="002137FB">
              <w:rPr>
                <w:rFonts w:eastAsia="Arial Unicode MS"/>
                <w:color w:val="000000" w:themeColor="text1"/>
                <w:sz w:val="20"/>
                <w:szCs w:val="20"/>
                <w:shd w:val="clear" w:color="auto" w:fill="FFFFFF"/>
                <w:lang w:val="en-US"/>
              </w:rPr>
              <w:t xml:space="preserve"> context,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analizează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dacă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măsurile</w:t>
            </w:r>
            <w:proofErr w:type="spellEnd"/>
            <w:r w:rsidRPr="002137FB">
              <w:rPr>
                <w:rFonts w:eastAsia="Arial Unicode MS"/>
                <w:color w:val="000000" w:themeColor="text1"/>
                <w:sz w:val="20"/>
                <w:szCs w:val="20"/>
                <w:shd w:val="clear" w:color="auto" w:fill="FFFFFF"/>
                <w:lang w:val="en-US"/>
              </w:rPr>
              <w:t xml:space="preserve"> legate de </w:t>
            </w:r>
            <w:proofErr w:type="spellStart"/>
            <w:r w:rsidRPr="002137FB">
              <w:rPr>
                <w:rFonts w:eastAsia="Arial Unicode MS"/>
                <w:color w:val="000000" w:themeColor="text1"/>
                <w:sz w:val="20"/>
                <w:szCs w:val="20"/>
                <w:shd w:val="clear" w:color="auto" w:fill="FFFFFF"/>
                <w:lang w:val="en-US"/>
              </w:rPr>
              <w:t>compensarea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costurilor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indirecte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trebui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fie </w:t>
            </w:r>
            <w:proofErr w:type="spellStart"/>
            <w:r w:rsidRPr="002137FB">
              <w:rPr>
                <w:rFonts w:eastAsia="Arial Unicode MS"/>
                <w:color w:val="000000" w:themeColor="text1"/>
                <w:sz w:val="20"/>
                <w:szCs w:val="20"/>
                <w:shd w:val="clear" w:color="auto" w:fill="FFFFFF"/>
                <w:lang w:val="en-US"/>
              </w:rPr>
              <w:t>armonizate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continuare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aplicabile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sectoarelor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vizate</w:t>
            </w:r>
            <w:proofErr w:type="spellEnd"/>
            <w:r w:rsidRPr="002137FB">
              <w:rPr>
                <w:rFonts w:eastAsia="Arial Unicode MS"/>
                <w:color w:val="000000" w:themeColor="text1"/>
                <w:sz w:val="20"/>
                <w:szCs w:val="20"/>
                <w:shd w:val="clear" w:color="auto" w:fill="FFFFFF"/>
                <w:lang w:val="en-US"/>
              </w:rPr>
              <w:t xml:space="preserve"> de CBAM sunt </w:t>
            </w:r>
            <w:proofErr w:type="spellStart"/>
            <w:r w:rsidRPr="002137FB">
              <w:rPr>
                <w:rFonts w:eastAsia="Arial Unicode MS"/>
                <w:color w:val="000000" w:themeColor="text1"/>
                <w:sz w:val="20"/>
                <w:szCs w:val="20"/>
                <w:shd w:val="clear" w:color="auto" w:fill="FFFFFF"/>
                <w:lang w:val="en-US"/>
              </w:rPr>
              <w:t>reexaminate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contextul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aplicării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Regulamentului</w:t>
            </w:r>
            <w:proofErr w:type="spellEnd"/>
            <w:r w:rsidRPr="002137FB">
              <w:rPr>
                <w:rFonts w:eastAsia="Arial Unicode MS"/>
                <w:color w:val="000000" w:themeColor="text1"/>
                <w:sz w:val="20"/>
                <w:szCs w:val="20"/>
                <w:shd w:val="clear" w:color="auto" w:fill="FFFFFF"/>
                <w:lang w:val="en-US"/>
              </w:rPr>
              <w:t xml:space="preserve"> (UE) 2023/956 </w:t>
            </w:r>
            <w:proofErr w:type="spellStart"/>
            <w:r w:rsidRPr="002137FB">
              <w:rPr>
                <w:rFonts w:eastAsia="Arial Unicode MS"/>
                <w:color w:val="000000" w:themeColor="text1"/>
                <w:sz w:val="20"/>
                <w:szCs w:val="20"/>
                <w:shd w:val="clear" w:color="auto" w:fill="FFFFFF"/>
                <w:lang w:val="en-US"/>
              </w:rPr>
              <w:t>Înainte</w:t>
            </w:r>
            <w:proofErr w:type="spellEnd"/>
            <w:r w:rsidRPr="002137FB">
              <w:rPr>
                <w:rFonts w:eastAsia="Arial Unicode MS"/>
                <w:color w:val="000000" w:themeColor="text1"/>
                <w:sz w:val="20"/>
                <w:szCs w:val="20"/>
                <w:shd w:val="clear" w:color="auto" w:fill="FFFFFF"/>
                <w:lang w:val="en-US"/>
              </w:rPr>
              <w:t xml:space="preserve"> de 1</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ianuarie</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2028 și, ulterior, la </w:t>
            </w:r>
            <w:proofErr w:type="spellStart"/>
            <w:r w:rsidRPr="002137FB">
              <w:rPr>
                <w:rFonts w:eastAsia="Arial Unicode MS"/>
                <w:color w:val="000000" w:themeColor="text1"/>
                <w:sz w:val="20"/>
                <w:szCs w:val="20"/>
                <w:shd w:val="clear" w:color="auto" w:fill="FFFFFF"/>
                <w:lang w:val="en-US"/>
              </w:rPr>
              <w:t>fiecare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doi</w:t>
            </w:r>
            <w:proofErr w:type="spellEnd"/>
            <w:r w:rsidRPr="002137FB">
              <w:rPr>
                <w:rFonts w:eastAsia="Arial Unicode MS"/>
                <w:color w:val="000000" w:themeColor="text1"/>
                <w:sz w:val="20"/>
                <w:szCs w:val="20"/>
                <w:shd w:val="clear" w:color="auto" w:fill="FFFFFF"/>
                <w:lang w:val="en-US"/>
              </w:rPr>
              <w:t xml:space="preserve"> ani, ca </w:t>
            </w:r>
            <w:proofErr w:type="spellStart"/>
            <w:r w:rsidRPr="002137FB">
              <w:rPr>
                <w:rFonts w:eastAsia="Arial Unicode MS"/>
                <w:color w:val="000000" w:themeColor="text1"/>
                <w:sz w:val="20"/>
                <w:szCs w:val="20"/>
                <w:shd w:val="clear" w:color="auto" w:fill="FFFFFF"/>
                <w:lang w:val="en-US"/>
              </w:rPr>
              <w:t>parte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rapoartelor</w:t>
            </w:r>
            <w:proofErr w:type="spellEnd"/>
            <w:r w:rsidRPr="002137FB">
              <w:rPr>
                <w:rFonts w:eastAsia="Arial Unicode MS"/>
                <w:color w:val="000000" w:themeColor="text1"/>
                <w:sz w:val="20"/>
                <w:szCs w:val="20"/>
                <w:shd w:val="clear" w:color="auto" w:fill="FFFFFF"/>
                <w:lang w:val="en-US"/>
              </w:rPr>
              <w:t xml:space="preserve"> sale </w:t>
            </w:r>
            <w:proofErr w:type="spellStart"/>
            <w:r w:rsidRPr="002137FB">
              <w:rPr>
                <w:rFonts w:eastAsia="Arial Unicode MS"/>
                <w:color w:val="000000" w:themeColor="text1"/>
                <w:sz w:val="20"/>
                <w:szCs w:val="20"/>
                <w:shd w:val="clear" w:color="auto" w:fill="FFFFFF"/>
                <w:lang w:val="en-US"/>
              </w:rPr>
              <w:t>către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Parlamentul</w:t>
            </w:r>
            <w:proofErr w:type="spellEnd"/>
            <w:r w:rsidRPr="002137FB">
              <w:rPr>
                <w:rFonts w:eastAsia="Arial Unicode MS"/>
                <w:color w:val="000000" w:themeColor="text1"/>
                <w:sz w:val="20"/>
                <w:szCs w:val="20"/>
                <w:shd w:val="clear" w:color="auto" w:fill="FFFFFF"/>
                <w:lang w:val="en-US"/>
              </w:rPr>
              <w:t xml:space="preserve"> European și </w:t>
            </w:r>
            <w:proofErr w:type="spellStart"/>
            <w:r w:rsidRPr="002137FB">
              <w:rPr>
                <w:rFonts w:eastAsia="Arial Unicode MS"/>
                <w:color w:val="000000" w:themeColor="text1"/>
                <w:sz w:val="20"/>
                <w:szCs w:val="20"/>
                <w:shd w:val="clear" w:color="auto" w:fill="FFFFFF"/>
                <w:lang w:val="en-US"/>
              </w:rPr>
              <w:t>către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Consiliu</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temeiul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articolului</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30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(6) din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evaluează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impactul</w:t>
            </w:r>
            <w:proofErr w:type="spellEnd"/>
            <w:r w:rsidRPr="002137FB">
              <w:rPr>
                <w:rFonts w:eastAsia="Arial Unicode MS"/>
                <w:color w:val="000000" w:themeColor="text1"/>
                <w:sz w:val="20"/>
                <w:szCs w:val="20"/>
                <w:shd w:val="clear" w:color="auto" w:fill="FFFFFF"/>
                <w:lang w:val="en-US"/>
              </w:rPr>
              <w:t xml:space="preserve"> CBAM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riscului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relocare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dioxid</w:t>
            </w:r>
            <w:proofErr w:type="spellEnd"/>
            <w:r w:rsidRPr="002137FB">
              <w:rPr>
                <w:rFonts w:eastAsia="Arial Unicode MS"/>
                <w:color w:val="000000" w:themeColor="text1"/>
                <w:sz w:val="20"/>
                <w:szCs w:val="20"/>
                <w:shd w:val="clear" w:color="auto" w:fill="FFFFFF"/>
                <w:lang w:val="en-US"/>
              </w:rPr>
              <w:t xml:space="preserve"> de carbon,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exporturile</w:t>
            </w:r>
            <w:proofErr w:type="spellEnd"/>
            <w:r w:rsidRPr="002137FB">
              <w:rPr>
                <w:rFonts w:eastAsia="Arial Unicode MS"/>
                <w:color w:val="000000" w:themeColor="text1"/>
                <w:sz w:val="20"/>
                <w:szCs w:val="20"/>
                <w:shd w:val="clear" w:color="auto" w:fill="FFFFFF"/>
                <w:lang w:val="en-US"/>
              </w:rPr>
              <w:t>.</w:t>
            </w:r>
          </w:p>
          <w:p w14:paraId="55F3E3D6" w14:textId="77777777" w:rsidR="00124364" w:rsidRPr="002137FB" w:rsidRDefault="00000000" w:rsidP="002137F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evaluează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necesitatea</w:t>
            </w:r>
            <w:proofErr w:type="spellEnd"/>
            <w:r w:rsidRPr="002137FB">
              <w:rPr>
                <w:rFonts w:eastAsia="Arial Unicode MS"/>
                <w:color w:val="000000" w:themeColor="text1"/>
                <w:sz w:val="20"/>
                <w:szCs w:val="20"/>
                <w:shd w:val="clear" w:color="auto" w:fill="FFFFFF"/>
                <w:lang w:val="en-US"/>
              </w:rPr>
              <w:t xml:space="preserve"> de a se </w:t>
            </w:r>
            <w:proofErr w:type="spellStart"/>
            <w:r w:rsidRPr="002137FB">
              <w:rPr>
                <w:rFonts w:eastAsia="Arial Unicode MS"/>
                <w:color w:val="000000" w:themeColor="text1"/>
                <w:sz w:val="20"/>
                <w:szCs w:val="20"/>
                <w:shd w:val="clear" w:color="auto" w:fill="FFFFFF"/>
                <w:lang w:val="en-US"/>
              </w:rPr>
              <w:t>lua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suplimentare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măsuri</w:t>
            </w:r>
            <w:proofErr w:type="spellEnd"/>
            <w:r w:rsidRPr="002137FB">
              <w:rPr>
                <w:rFonts w:eastAsia="Arial Unicode MS"/>
                <w:color w:val="000000" w:themeColor="text1"/>
                <w:sz w:val="20"/>
                <w:szCs w:val="20"/>
                <w:shd w:val="clear" w:color="auto" w:fill="FFFFFF"/>
                <w:lang w:val="en-US"/>
              </w:rPr>
              <w:t xml:space="preserve"> legislative,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se </w:t>
            </w:r>
            <w:proofErr w:type="spellStart"/>
            <w:r w:rsidRPr="002137FB">
              <w:rPr>
                <w:rFonts w:eastAsia="Arial Unicode MS"/>
                <w:color w:val="000000" w:themeColor="text1"/>
                <w:sz w:val="20"/>
                <w:szCs w:val="20"/>
                <w:shd w:val="clear" w:color="auto" w:fill="FFFFFF"/>
                <w:lang w:val="en-US"/>
              </w:rPr>
              <w:t>aborda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riscurile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relocare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dioxid</w:t>
            </w:r>
            <w:proofErr w:type="spellEnd"/>
            <w:r w:rsidRPr="002137FB">
              <w:rPr>
                <w:rFonts w:eastAsia="Arial Unicode MS"/>
                <w:color w:val="000000" w:themeColor="text1"/>
                <w:sz w:val="20"/>
                <w:szCs w:val="20"/>
                <w:shd w:val="clear" w:color="auto" w:fill="FFFFFF"/>
                <w:lang w:val="en-US"/>
              </w:rPr>
              <w:t xml:space="preserve"> de carbon.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însoțit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dacă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cazul</w:t>
            </w:r>
            <w:proofErr w:type="spellEnd"/>
            <w:r w:rsidRPr="002137FB">
              <w:rPr>
                <w:rFonts w:eastAsia="Arial Unicode MS"/>
                <w:color w:val="000000" w:themeColor="text1"/>
                <w:sz w:val="20"/>
                <w:szCs w:val="20"/>
                <w:shd w:val="clear" w:color="auto" w:fill="FFFFFF"/>
                <w:lang w:val="en-US"/>
              </w:rPr>
              <w:t xml:space="preserve">, de o </w:t>
            </w:r>
            <w:proofErr w:type="spellStart"/>
            <w:r w:rsidRPr="002137FB">
              <w:rPr>
                <w:rFonts w:eastAsia="Arial Unicode MS"/>
                <w:color w:val="000000" w:themeColor="text1"/>
                <w:sz w:val="20"/>
                <w:szCs w:val="20"/>
                <w:shd w:val="clear" w:color="auto" w:fill="FFFFFF"/>
                <w:lang w:val="en-US"/>
              </w:rPr>
              <w:t>propunere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legislativă</w:t>
            </w:r>
            <w:proofErr w:type="spellEnd"/>
            <w:r w:rsidRPr="002137FB">
              <w:rPr>
                <w:rFonts w:eastAsia="Arial Unicode MS"/>
                <w:color w:val="000000" w:themeColor="text1"/>
                <w:sz w:val="20"/>
                <w:szCs w:val="20"/>
                <w:shd w:val="clear" w:color="auto" w:fill="FFFFFF"/>
                <w:lang w:val="en-US"/>
              </w:rPr>
              <w:t>.</w:t>
            </w:r>
          </w:p>
          <w:p w14:paraId="08785C24" w14:textId="78B3A565" w:rsidR="00124364" w:rsidRPr="002137FB" w:rsidRDefault="00000000" w:rsidP="002137FB">
            <w:pPr>
              <w:pStyle w:val="ti-art"/>
              <w:numPr>
                <w:ilvl w:val="0"/>
                <w:numId w:val="126"/>
              </w:numPr>
              <w:shd w:val="clear" w:color="auto" w:fill="FFFFFF"/>
              <w:spacing w:before="0" w:beforeAutospacing="0" w:after="0" w:afterAutospacing="0"/>
              <w:jc w:val="both"/>
              <w:rPr>
                <w:rStyle w:val="apple-converted-space"/>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lastRenderedPageBreak/>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Parlamentului</w:t>
            </w:r>
            <w:proofErr w:type="spellEnd"/>
            <w:r w:rsidRPr="002137FB">
              <w:rPr>
                <w:rFonts w:eastAsia="Arial Unicode MS"/>
                <w:color w:val="000000" w:themeColor="text1"/>
                <w:sz w:val="20"/>
                <w:szCs w:val="20"/>
                <w:shd w:val="clear" w:color="auto" w:fill="FFFFFF"/>
                <w:lang w:val="en-US"/>
              </w:rPr>
              <w:t xml:space="preserve"> European și </w:t>
            </w:r>
            <w:proofErr w:type="spellStart"/>
            <w:r w:rsidRPr="002137FB">
              <w:rPr>
                <w:rFonts w:eastAsia="Arial Unicode MS"/>
                <w:color w:val="000000" w:themeColor="text1"/>
                <w:sz w:val="20"/>
                <w:szCs w:val="20"/>
                <w:shd w:val="clear" w:color="auto" w:fill="FFFFFF"/>
                <w:lang w:val="en-US"/>
              </w:rPr>
              <w:t>Consiliului</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contextul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fiecărui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bilanț</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nivel</w:t>
            </w:r>
            <w:proofErr w:type="spellEnd"/>
            <w:r w:rsidRPr="002137FB">
              <w:rPr>
                <w:rFonts w:eastAsia="Arial Unicode MS"/>
                <w:color w:val="000000" w:themeColor="text1"/>
                <w:sz w:val="20"/>
                <w:szCs w:val="20"/>
                <w:shd w:val="clear" w:color="auto" w:fill="FFFFFF"/>
                <w:lang w:val="en-US"/>
              </w:rPr>
              <w:t xml:space="preserve"> global </w:t>
            </w:r>
            <w:proofErr w:type="spellStart"/>
            <w:r w:rsidRPr="002137FB">
              <w:rPr>
                <w:rFonts w:eastAsia="Arial Unicode MS"/>
                <w:color w:val="000000" w:themeColor="text1"/>
                <w:sz w:val="20"/>
                <w:szCs w:val="20"/>
                <w:shd w:val="clear" w:color="auto" w:fill="FFFFFF"/>
                <w:lang w:val="en-US"/>
              </w:rPr>
              <w:t>convenit</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temeiul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Acordului</w:t>
            </w:r>
            <w:proofErr w:type="spellEnd"/>
            <w:r w:rsidRPr="002137FB">
              <w:rPr>
                <w:rFonts w:eastAsia="Arial Unicode MS"/>
                <w:color w:val="000000" w:themeColor="text1"/>
                <w:sz w:val="20"/>
                <w:szCs w:val="20"/>
                <w:shd w:val="clear" w:color="auto" w:fill="FFFFFF"/>
                <w:lang w:val="en-US"/>
              </w:rPr>
              <w:t xml:space="preserve"> de la Paris, în special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necesitatea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politici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măsuri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suplimentare</w:t>
            </w:r>
            <w:proofErr w:type="spellEnd"/>
            <w:r w:rsidRPr="002137FB">
              <w:rPr>
                <w:rFonts w:eastAsia="Arial Unicode MS"/>
                <w:color w:val="000000" w:themeColor="text1"/>
                <w:sz w:val="20"/>
                <w:szCs w:val="20"/>
                <w:shd w:val="clear" w:color="auto" w:fill="FFFFFF"/>
                <w:lang w:val="en-US"/>
              </w:rPr>
              <w:t xml:space="preserve"> ale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vederea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reducerilor</w:t>
            </w:r>
            <w:proofErr w:type="spellEnd"/>
            <w:r w:rsidRPr="002137FB">
              <w:rPr>
                <w:rFonts w:eastAsia="Arial Unicode MS"/>
                <w:color w:val="000000" w:themeColor="text1"/>
                <w:sz w:val="20"/>
                <w:szCs w:val="20"/>
                <w:shd w:val="clear" w:color="auto" w:fill="FFFFFF"/>
                <w:lang w:val="en-US"/>
              </w:rPr>
              <w:t xml:space="preserve"> de gaze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necesare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partea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și a </w:t>
            </w:r>
            <w:proofErr w:type="spellStart"/>
            <w:r w:rsidRPr="002137FB">
              <w:rPr>
                <w:rFonts w:eastAsia="Arial Unicode MS"/>
                <w:color w:val="000000" w:themeColor="text1"/>
                <w:sz w:val="20"/>
                <w:szCs w:val="20"/>
                <w:shd w:val="clear" w:color="auto" w:fill="FFFFFF"/>
                <w:lang w:val="en-US"/>
              </w:rPr>
              <w:t>statelor</w:t>
            </w:r>
            <w:proofErr w:type="spellEnd"/>
            <w:r w:rsidRPr="002137FB">
              <w:rPr>
                <w:rFonts w:eastAsia="Arial Unicode MS"/>
                <w:color w:val="000000" w:themeColor="text1"/>
                <w:sz w:val="20"/>
                <w:szCs w:val="20"/>
                <w:shd w:val="clear" w:color="auto" w:fill="FFFFFF"/>
                <w:lang w:val="en-US"/>
              </w:rPr>
              <w:t xml:space="preserve"> sale </w:t>
            </w:r>
            <w:proofErr w:type="spellStart"/>
            <w:r w:rsidRPr="002137FB">
              <w:rPr>
                <w:rFonts w:eastAsia="Arial Unicode MS"/>
                <w:color w:val="000000" w:themeColor="text1"/>
                <w:sz w:val="20"/>
                <w:szCs w:val="20"/>
                <w:shd w:val="clear" w:color="auto" w:fill="FFFFFF"/>
                <w:lang w:val="en-US"/>
              </w:rPr>
              <w:t>membre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factorul</w:t>
            </w:r>
            <w:proofErr w:type="spellEnd"/>
            <w:r w:rsidRPr="002137FB">
              <w:rPr>
                <w:rFonts w:eastAsia="Arial Unicode MS"/>
                <w:color w:val="000000" w:themeColor="text1"/>
                <w:sz w:val="20"/>
                <w:szCs w:val="20"/>
                <w:shd w:val="clear" w:color="auto" w:fill="FFFFFF"/>
                <w:lang w:val="en-US"/>
              </w:rPr>
              <w:t xml:space="preserve"> linear </w:t>
            </w:r>
            <w:proofErr w:type="spellStart"/>
            <w:r w:rsidRPr="002137FB">
              <w:rPr>
                <w:rFonts w:eastAsia="Arial Unicode MS"/>
                <w:color w:val="000000" w:themeColor="text1"/>
                <w:sz w:val="20"/>
                <w:szCs w:val="20"/>
                <w:shd w:val="clear" w:color="auto" w:fill="FFFFFF"/>
                <w:lang w:val="en-US"/>
              </w:rPr>
              <w:t>menționat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Pr="002137FB">
              <w:rPr>
                <w:rFonts w:eastAsia="Arial Unicode MS"/>
                <w:color w:val="000000" w:themeColor="text1"/>
                <w:sz w:val="20"/>
                <w:szCs w:val="20"/>
                <w:shd w:val="clear" w:color="auto" w:fill="FFFFFF"/>
                <w:lang w:val="en-US"/>
              </w:rPr>
              <w:t xml:space="preserve"> 9 din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prezenta </w:t>
            </w:r>
            <w:proofErr w:type="spellStart"/>
            <w:r w:rsidRPr="002137FB">
              <w:rPr>
                <w:rFonts w:eastAsia="Arial Unicode MS"/>
                <w:color w:val="000000" w:themeColor="text1"/>
                <w:sz w:val="20"/>
                <w:szCs w:val="20"/>
                <w:shd w:val="clear" w:color="auto" w:fill="FFFFFF"/>
                <w:lang w:val="en-US"/>
              </w:rPr>
              <w:t>propuneri</w:t>
            </w:r>
            <w:proofErr w:type="spellEnd"/>
            <w:r w:rsidRPr="002137FB">
              <w:rPr>
                <w:rFonts w:eastAsia="Arial Unicode MS"/>
                <w:color w:val="000000" w:themeColor="text1"/>
                <w:sz w:val="20"/>
                <w:szCs w:val="20"/>
                <w:shd w:val="clear" w:color="auto" w:fill="FFFFFF"/>
                <w:lang w:val="en-US"/>
              </w:rPr>
              <w:t xml:space="preserve"> legislative </w:t>
            </w:r>
            <w:proofErr w:type="spellStart"/>
            <w:r w:rsidRPr="002137FB">
              <w:rPr>
                <w:rFonts w:eastAsia="Arial Unicode MS"/>
                <w:color w:val="000000" w:themeColor="text1"/>
                <w:sz w:val="20"/>
                <w:szCs w:val="20"/>
                <w:shd w:val="clear" w:color="auto" w:fill="FFFFFF"/>
                <w:lang w:val="en-US"/>
              </w:rPr>
              <w:t>Parlamentului</w:t>
            </w:r>
            <w:proofErr w:type="spellEnd"/>
            <w:r w:rsidRPr="002137FB">
              <w:rPr>
                <w:rFonts w:eastAsia="Arial Unicode MS"/>
                <w:color w:val="000000" w:themeColor="text1"/>
                <w:sz w:val="20"/>
                <w:szCs w:val="20"/>
                <w:shd w:val="clear" w:color="auto" w:fill="FFFFFF"/>
                <w:lang w:val="en-US"/>
              </w:rPr>
              <w:t xml:space="preserve"> European și </w:t>
            </w:r>
            <w:proofErr w:type="spellStart"/>
            <w:r w:rsidRPr="002137FB">
              <w:rPr>
                <w:rFonts w:eastAsia="Arial Unicode MS"/>
                <w:color w:val="000000" w:themeColor="text1"/>
                <w:sz w:val="20"/>
                <w:szCs w:val="20"/>
                <w:shd w:val="clear" w:color="auto" w:fill="FFFFFF"/>
                <w:lang w:val="en-US"/>
              </w:rPr>
              <w:t>Consiliului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modificare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 în special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asigura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obiectivului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neutralității</w:t>
            </w:r>
            <w:proofErr w:type="spellEnd"/>
            <w:r w:rsidRPr="002137FB">
              <w:rPr>
                <w:rFonts w:eastAsia="Arial Unicode MS"/>
                <w:color w:val="000000" w:themeColor="text1"/>
                <w:sz w:val="20"/>
                <w:szCs w:val="20"/>
                <w:shd w:val="clear" w:color="auto" w:fill="FFFFFF"/>
                <w:lang w:val="en-US"/>
              </w:rPr>
              <w:t xml:space="preserve"> climatice, </w:t>
            </w:r>
            <w:proofErr w:type="spellStart"/>
            <w:r w:rsidRPr="002137FB">
              <w:rPr>
                <w:rFonts w:eastAsia="Arial Unicode MS"/>
                <w:color w:val="000000" w:themeColor="text1"/>
                <w:sz w:val="20"/>
                <w:szCs w:val="20"/>
                <w:shd w:val="clear" w:color="auto" w:fill="FFFFFF"/>
                <w:lang w:val="en-US"/>
              </w:rPr>
              <w:t>astfel</w:t>
            </w:r>
            <w:proofErr w:type="spellEnd"/>
            <w:r w:rsidRPr="002137FB">
              <w:rPr>
                <w:rFonts w:eastAsia="Arial Unicode MS"/>
                <w:color w:val="000000" w:themeColor="text1"/>
                <w:sz w:val="20"/>
                <w:szCs w:val="20"/>
                <w:shd w:val="clear" w:color="auto" w:fill="FFFFFF"/>
                <w:lang w:val="en-US"/>
              </w:rPr>
              <w:t xml:space="preserve"> cum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 din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(UE) 2021/1119, și a </w:t>
            </w:r>
            <w:proofErr w:type="spellStart"/>
            <w:r w:rsidRPr="002137FB">
              <w:rPr>
                <w:rFonts w:eastAsia="Arial Unicode MS"/>
                <w:color w:val="000000" w:themeColor="text1"/>
                <w:sz w:val="20"/>
                <w:szCs w:val="20"/>
                <w:shd w:val="clear" w:color="auto" w:fill="FFFFFF"/>
                <w:lang w:val="en-US"/>
              </w:rPr>
              <w:t>obiectivelor</w:t>
            </w:r>
            <w:proofErr w:type="spellEnd"/>
            <w:r w:rsidRPr="002137FB">
              <w:rPr>
                <w:rFonts w:eastAsia="Arial Unicode MS"/>
                <w:color w:val="000000" w:themeColor="text1"/>
                <w:sz w:val="20"/>
                <w:szCs w:val="20"/>
                <w:shd w:val="clear" w:color="auto" w:fill="FFFFFF"/>
                <w:lang w:val="en-US"/>
              </w:rPr>
              <w:t xml:space="preserve"> climatice ale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4 din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w:t>
            </w:r>
            <w:r w:rsidRPr="002137FB">
              <w:rPr>
                <w:rStyle w:val="apple-converted-space"/>
                <w:rFonts w:eastAsia="Arial Unicode MS"/>
                <w:color w:val="000000" w:themeColor="text1"/>
                <w:sz w:val="20"/>
                <w:szCs w:val="20"/>
                <w:shd w:val="clear" w:color="auto" w:fill="FFFFFF"/>
                <w:lang w:val="en-US"/>
              </w:rPr>
              <w:t> </w:t>
            </w:r>
          </w:p>
          <w:p w14:paraId="0C738AED" w14:textId="751AB828"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La </w:t>
            </w:r>
            <w:proofErr w:type="spellStart"/>
            <w:r w:rsidRPr="002137FB">
              <w:rPr>
                <w:rFonts w:eastAsia="Arial Unicode MS"/>
                <w:color w:val="000000" w:themeColor="text1"/>
                <w:sz w:val="20"/>
                <w:szCs w:val="20"/>
                <w:shd w:val="clear" w:color="auto" w:fill="FFFFFF"/>
                <w:lang w:val="en-US"/>
              </w:rPr>
              <w:t>prezentarea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propunerilor</w:t>
            </w:r>
            <w:proofErr w:type="spellEnd"/>
            <w:r w:rsidRPr="002137FB">
              <w:rPr>
                <w:rFonts w:eastAsia="Arial Unicode MS"/>
                <w:color w:val="000000" w:themeColor="text1"/>
                <w:sz w:val="20"/>
                <w:szCs w:val="20"/>
                <w:shd w:val="clear" w:color="auto" w:fill="FFFFFF"/>
                <w:lang w:val="en-US"/>
              </w:rPr>
              <w:t xml:space="preserve"> sale legislative,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ia</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considerare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printre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bugetul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orientativ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preconizat</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gazele</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perioada 2030-2050, </w:t>
            </w:r>
            <w:proofErr w:type="spellStart"/>
            <w:r w:rsidRPr="002137FB">
              <w:rPr>
                <w:rFonts w:eastAsia="Arial Unicode MS"/>
                <w:color w:val="000000" w:themeColor="text1"/>
                <w:sz w:val="20"/>
                <w:szCs w:val="20"/>
                <w:shd w:val="clear" w:color="auto" w:fill="FFFFFF"/>
                <w:lang w:val="en-US"/>
              </w:rPr>
              <w:t>astfel</w:t>
            </w:r>
            <w:proofErr w:type="spellEnd"/>
            <w:r w:rsidRPr="002137FB">
              <w:rPr>
                <w:rFonts w:eastAsia="Arial Unicode MS"/>
                <w:color w:val="000000" w:themeColor="text1"/>
                <w:sz w:val="20"/>
                <w:szCs w:val="20"/>
                <w:shd w:val="clear" w:color="auto" w:fill="FFFFFF"/>
                <w:lang w:val="en-US"/>
              </w:rPr>
              <w:t xml:space="preserve"> cum se </w:t>
            </w:r>
            <w:proofErr w:type="spellStart"/>
            <w:r w:rsidRPr="002137FB">
              <w:rPr>
                <w:rFonts w:eastAsia="Arial Unicode MS"/>
                <w:color w:val="000000" w:themeColor="text1"/>
                <w:sz w:val="20"/>
                <w:szCs w:val="20"/>
                <w:shd w:val="clear" w:color="auto" w:fill="FFFFFF"/>
                <w:lang w:val="en-US"/>
              </w:rPr>
              <w:t>menționează</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4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(4) din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w:t>
            </w:r>
          </w:p>
          <w:p w14:paraId="47A56244" w14:textId="77777777" w:rsidR="00124364" w:rsidRPr="002137FB" w:rsidRDefault="00000000" w:rsidP="002137FB">
            <w:pPr>
              <w:pStyle w:val="ti-art"/>
              <w:shd w:val="clear" w:color="auto" w:fill="FFFFFF"/>
              <w:spacing w:before="0" w:beforeAutospacing="0" w:after="0" w:afterAutospacing="0"/>
              <w:jc w:val="both"/>
              <w:rPr>
                <w:color w:val="000000" w:themeColor="text1"/>
                <w:sz w:val="20"/>
                <w:szCs w:val="20"/>
              </w:rPr>
            </w:pPr>
            <w:hyperlink r:id="rId341" w:tooltip="32003L0087" w:history="1">
              <w:r w:rsidRPr="002137FB">
                <w:rPr>
                  <w:rStyle w:val="af3"/>
                  <w:rFonts w:eastAsia="Arial Unicode MS"/>
                  <w:b/>
                  <w:bCs/>
                  <w:color w:val="000000" w:themeColor="text1"/>
                  <w:sz w:val="20"/>
                  <w:szCs w:val="20"/>
                </w:rPr>
                <w:t>▼B</w:t>
              </w:r>
            </w:hyperlink>
          </w:p>
          <w:p w14:paraId="2EB79F13" w14:textId="141BC409" w:rsidR="00124364" w:rsidRPr="002137FB" w:rsidRDefault="00000000" w:rsidP="002137FB">
            <w:pPr>
              <w:pStyle w:val="ti-art"/>
              <w:numPr>
                <w:ilvl w:val="0"/>
                <w:numId w:val="12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Înainte</w:t>
            </w:r>
            <w:proofErr w:type="spellEnd"/>
            <w:r w:rsidRPr="002137FB">
              <w:rPr>
                <w:rFonts w:eastAsia="Arial Unicode MS"/>
                <w:color w:val="000000" w:themeColor="text1"/>
                <w:sz w:val="20"/>
                <w:szCs w:val="20"/>
                <w:shd w:val="clear" w:color="auto" w:fill="FFFFFF"/>
                <w:lang w:val="en-US"/>
              </w:rPr>
              <w:t xml:space="preserve"> de 1</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ianuarie</w:t>
            </w:r>
            <w:proofErr w:type="spellEnd"/>
            <w:r w:rsidRPr="002137FB">
              <w:rPr>
                <w:rFonts w:eastAsia="Arial Unicode MS"/>
                <w:color w:val="000000" w:themeColor="text1"/>
                <w:sz w:val="20"/>
                <w:szCs w:val="20"/>
                <w:shd w:val="clear" w:color="auto" w:fill="FFFFFF"/>
                <w:lang w:val="en-US"/>
              </w:rPr>
              <w:t xml:space="preserve"> 2020,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prezintă</w:t>
            </w:r>
            <w:proofErr w:type="spellEnd"/>
            <w:r w:rsidRPr="002137FB">
              <w:rPr>
                <w:rFonts w:eastAsia="Arial Unicode MS"/>
                <w:color w:val="000000" w:themeColor="text1"/>
                <w:sz w:val="20"/>
                <w:szCs w:val="20"/>
                <w:shd w:val="clear" w:color="auto" w:fill="FFFFFF"/>
                <w:lang w:val="en-US"/>
              </w:rPr>
              <w:t xml:space="preserve"> o </w:t>
            </w:r>
            <w:proofErr w:type="spellStart"/>
            <w:r w:rsidRPr="002137FB">
              <w:rPr>
                <w:rFonts w:eastAsia="Arial Unicode MS"/>
                <w:color w:val="000000" w:themeColor="text1"/>
                <w:sz w:val="20"/>
                <w:szCs w:val="20"/>
                <w:shd w:val="clear" w:color="auto" w:fill="FFFFFF"/>
                <w:lang w:val="en-US"/>
              </w:rPr>
              <w:t>analiză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actualizată</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efectelor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aviației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altele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decât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cele</w:t>
            </w:r>
            <w:proofErr w:type="spellEnd"/>
            <w:r w:rsidRPr="002137FB">
              <w:rPr>
                <w:rFonts w:eastAsia="Arial Unicode MS"/>
                <w:color w:val="000000" w:themeColor="text1"/>
                <w:sz w:val="20"/>
                <w:szCs w:val="20"/>
                <w:shd w:val="clear" w:color="auto" w:fill="FFFFFF"/>
                <w:lang w:val="en-US"/>
              </w:rPr>
              <w:t xml:space="preserve"> de CO</w:t>
            </w:r>
            <w:r w:rsidRPr="002137FB">
              <w:rPr>
                <w:rStyle w:val="subscript"/>
                <w:rFonts w:eastAsia="Arial Unicode MS"/>
                <w:color w:val="000000" w:themeColor="text1"/>
                <w:sz w:val="20"/>
                <w:szCs w:val="20"/>
                <w:vertAlign w:val="subscript"/>
                <w:lang w:val="en-US"/>
              </w:rPr>
              <w:t>2</w:t>
            </w:r>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însoțită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de o </w:t>
            </w:r>
            <w:proofErr w:type="spellStart"/>
            <w:r w:rsidRPr="002137FB">
              <w:rPr>
                <w:rFonts w:eastAsia="Arial Unicode MS"/>
                <w:color w:val="000000" w:themeColor="text1"/>
                <w:sz w:val="20"/>
                <w:szCs w:val="20"/>
                <w:shd w:val="clear" w:color="auto" w:fill="FFFFFF"/>
                <w:lang w:val="en-US"/>
              </w:rPr>
              <w:t>propunere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mai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bune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modalități</w:t>
            </w:r>
            <w:proofErr w:type="spellEnd"/>
            <w:r w:rsidRPr="002137FB">
              <w:rPr>
                <w:rFonts w:eastAsia="Arial Unicode MS"/>
                <w:color w:val="000000" w:themeColor="text1"/>
                <w:sz w:val="20"/>
                <w:szCs w:val="20"/>
                <w:shd w:val="clear" w:color="auto" w:fill="FFFFFF"/>
                <w:lang w:val="en-US"/>
              </w:rPr>
              <w:t xml:space="preserve"> de a </w:t>
            </w:r>
            <w:proofErr w:type="spellStart"/>
            <w:r w:rsidRPr="002137FB">
              <w:rPr>
                <w:rFonts w:eastAsia="Arial Unicode MS"/>
                <w:color w:val="000000" w:themeColor="text1"/>
                <w:sz w:val="20"/>
                <w:szCs w:val="20"/>
                <w:shd w:val="clear" w:color="auto" w:fill="FFFFFF"/>
                <w:lang w:val="en-US"/>
              </w:rPr>
              <w:t>aborda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efecte</w:t>
            </w:r>
            <w:proofErr w:type="spellEnd"/>
            <w:r w:rsidRPr="002137FB">
              <w:rPr>
                <w:rFonts w:eastAsia="Arial Unicode MS"/>
                <w:color w:val="000000" w:themeColor="text1"/>
                <w:sz w:val="20"/>
                <w:szCs w:val="20"/>
                <w:shd w:val="clear" w:color="auto" w:fill="FFFFFF"/>
                <w:lang w:val="en-US"/>
              </w:rPr>
              <w:t>.</w:t>
            </w:r>
          </w:p>
          <w:p w14:paraId="555E639C" w14:textId="77777777" w:rsidR="00124364" w:rsidRPr="002137FB" w:rsidRDefault="00000000" w:rsidP="002137FB">
            <w:pPr>
              <w:pStyle w:val="ti-art"/>
              <w:shd w:val="clear" w:color="auto" w:fill="FFFFFF"/>
              <w:spacing w:before="0" w:beforeAutospacing="0" w:after="0" w:afterAutospacing="0"/>
              <w:ind w:left="720"/>
              <w:jc w:val="both"/>
              <w:rPr>
                <w:rFonts w:eastAsia="Arial Unicode MS"/>
                <w:b/>
                <w:bCs/>
                <w:color w:val="000000" w:themeColor="text1"/>
                <w:sz w:val="20"/>
                <w:szCs w:val="20"/>
                <w:shd w:val="clear" w:color="auto" w:fill="FFFFFF"/>
                <w:lang w:val="en-US"/>
              </w:rPr>
            </w:pPr>
            <w:hyperlink r:id="rId342" w:tooltip="32023L0959: INSERTED" w:history="1">
              <w:r w:rsidRPr="002137FB">
                <w:rPr>
                  <w:rStyle w:val="af3"/>
                  <w:rFonts w:eastAsia="Arial Unicode MS"/>
                  <w:b/>
                  <w:bCs/>
                  <w:color w:val="000000" w:themeColor="text1"/>
                  <w:sz w:val="20"/>
                  <w:szCs w:val="20"/>
                </w:rPr>
                <w:t>▼M15</w:t>
              </w:r>
            </w:hyperlink>
          </w:p>
          <w:p w14:paraId="21202AFF" w14:textId="10D416C5" w:rsidR="00124364" w:rsidRPr="002137FB" w:rsidRDefault="00000000" w:rsidP="002137FB">
            <w:pPr>
              <w:pStyle w:val="ti-art"/>
              <w:numPr>
                <w:ilvl w:val="0"/>
                <w:numId w:val="12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Până</w:t>
            </w:r>
            <w:proofErr w:type="spellEnd"/>
            <w:r w:rsidRPr="002137FB">
              <w:rPr>
                <w:rFonts w:eastAsia="Arial Unicode MS"/>
                <w:color w:val="000000" w:themeColor="text1"/>
                <w:sz w:val="20"/>
                <w:szCs w:val="20"/>
                <w:shd w:val="clear" w:color="auto" w:fill="FFFFFF"/>
                <w:lang w:val="en-US"/>
              </w:rPr>
              <w:t xml:space="preserve"> la 31</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iulie</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2026,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prezintă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Parlamentului</w:t>
            </w:r>
            <w:proofErr w:type="spellEnd"/>
            <w:r w:rsidRPr="002137FB">
              <w:rPr>
                <w:rFonts w:eastAsia="Arial Unicode MS"/>
                <w:color w:val="000000" w:themeColor="text1"/>
                <w:sz w:val="20"/>
                <w:szCs w:val="20"/>
                <w:shd w:val="clear" w:color="auto" w:fill="FFFFFF"/>
                <w:lang w:val="en-US"/>
              </w:rPr>
              <w:t xml:space="preserve"> European și </w:t>
            </w:r>
            <w:proofErr w:type="spellStart"/>
            <w:r w:rsidRPr="002137FB">
              <w:rPr>
                <w:rFonts w:eastAsia="Arial Unicode MS"/>
                <w:color w:val="000000" w:themeColor="text1"/>
                <w:sz w:val="20"/>
                <w:szCs w:val="20"/>
                <w:shd w:val="clear" w:color="auto" w:fill="FFFFFF"/>
                <w:lang w:val="en-US"/>
              </w:rPr>
              <w:t>Consiliului</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privire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următoarele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aspecte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însoțit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de o </w:t>
            </w:r>
            <w:proofErr w:type="spellStart"/>
            <w:r w:rsidRPr="002137FB">
              <w:rPr>
                <w:rFonts w:eastAsia="Arial Unicode MS"/>
                <w:color w:val="000000" w:themeColor="text1"/>
                <w:sz w:val="20"/>
                <w:szCs w:val="20"/>
                <w:shd w:val="clear" w:color="auto" w:fill="FFFFFF"/>
                <w:lang w:val="en-US"/>
              </w:rPr>
              <w:t>propunere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legislativă</w:t>
            </w:r>
            <w:proofErr w:type="spellEnd"/>
            <w:r w:rsidRPr="002137FB">
              <w:rPr>
                <w:rFonts w:eastAsia="Arial Unicode MS"/>
                <w:color w:val="000000" w:themeColor="text1"/>
                <w:sz w:val="20"/>
                <w:szCs w:val="20"/>
                <w:shd w:val="clear" w:color="auto" w:fill="FFFFFF"/>
                <w:lang w:val="en-US"/>
              </w:rPr>
              <w:t xml:space="preserve"> și de o </w:t>
            </w:r>
            <w:proofErr w:type="spellStart"/>
            <w:r w:rsidRPr="002137FB">
              <w:rPr>
                <w:rFonts w:eastAsia="Arial Unicode MS"/>
                <w:color w:val="000000" w:themeColor="text1"/>
                <w:sz w:val="20"/>
                <w:szCs w:val="20"/>
                <w:shd w:val="clear" w:color="auto" w:fill="FFFFFF"/>
                <w:lang w:val="en-US"/>
              </w:rPr>
              <w:t>evaluare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impactului</w:t>
            </w:r>
            <w:proofErr w:type="spellEnd"/>
            <w:r w:rsidRPr="002137FB">
              <w:rPr>
                <w:rFonts w:eastAsia="Arial Unicode MS"/>
                <w:color w:val="000000" w:themeColor="text1"/>
                <w:sz w:val="20"/>
                <w:szCs w:val="20"/>
                <w:shd w:val="clear" w:color="auto" w:fill="FFFFFF"/>
                <w:lang w:val="en-US"/>
              </w:rPr>
              <w:t>:</w:t>
            </w:r>
          </w:p>
          <w:p w14:paraId="6A1E2B83" w14:textId="77777777" w:rsidR="00124364" w:rsidRPr="002137FB" w:rsidRDefault="00000000" w:rsidP="002137FB">
            <w:pPr>
              <w:pStyle w:val="ti-art"/>
              <w:numPr>
                <w:ilvl w:val="0"/>
                <w:numId w:val="12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modul</w:t>
            </w:r>
            <w:proofErr w:type="spellEnd"/>
            <w:r w:rsidRPr="002137FB">
              <w:rPr>
                <w:rFonts w:eastAsia="Arial Unicode MS"/>
                <w:color w:val="000000" w:themeColor="text1"/>
                <w:sz w:val="20"/>
                <w:szCs w:val="20"/>
                <w:shd w:val="clear" w:color="auto" w:fill="FFFFFF"/>
                <w:lang w:val="en-US"/>
              </w:rPr>
              <w:t xml:space="preserve"> în care </w:t>
            </w:r>
            <w:proofErr w:type="spellStart"/>
            <w:r w:rsidRPr="002137FB">
              <w:rPr>
                <w:rFonts w:eastAsia="Arial Unicode MS"/>
                <w:color w:val="000000" w:themeColor="text1"/>
                <w:sz w:val="20"/>
                <w:szCs w:val="20"/>
                <w:shd w:val="clear" w:color="auto" w:fill="FFFFFF"/>
                <w:lang w:val="en-US"/>
              </w:rPr>
              <w:t>ar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putea</w:t>
            </w:r>
            <w:proofErr w:type="spellEnd"/>
            <w:r w:rsidRPr="002137FB">
              <w:rPr>
                <w:rFonts w:eastAsia="Arial Unicode MS"/>
                <w:color w:val="000000" w:themeColor="text1"/>
                <w:sz w:val="20"/>
                <w:szCs w:val="20"/>
                <w:shd w:val="clear" w:color="auto" w:fill="FFFFFF"/>
                <w:lang w:val="en-US"/>
              </w:rPr>
              <w:t xml:space="preserve"> fi </w:t>
            </w:r>
            <w:proofErr w:type="spellStart"/>
            <w:r w:rsidRPr="002137FB">
              <w:rPr>
                <w:rFonts w:eastAsia="Arial Unicode MS"/>
                <w:color w:val="000000" w:themeColor="text1"/>
                <w:sz w:val="20"/>
                <w:szCs w:val="20"/>
                <w:shd w:val="clear" w:color="auto" w:fill="FFFFFF"/>
                <w:lang w:val="en-US"/>
              </w:rPr>
              <w:t>contabilizate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emisiile</w:t>
            </w:r>
            <w:proofErr w:type="spellEnd"/>
            <w:r w:rsidRPr="002137FB">
              <w:rPr>
                <w:rFonts w:eastAsia="Arial Unicode MS"/>
                <w:color w:val="000000" w:themeColor="text1"/>
                <w:sz w:val="20"/>
                <w:szCs w:val="20"/>
                <w:shd w:val="clear" w:color="auto" w:fill="FFFFFF"/>
                <w:lang w:val="en-US"/>
              </w:rPr>
              <w:t xml:space="preserve"> negative </w:t>
            </w:r>
            <w:proofErr w:type="spellStart"/>
            <w:r w:rsidRPr="002137FB">
              <w:rPr>
                <w:rFonts w:eastAsia="Arial Unicode MS"/>
                <w:color w:val="000000" w:themeColor="text1"/>
                <w:sz w:val="20"/>
                <w:szCs w:val="20"/>
                <w:shd w:val="clear" w:color="auto" w:fill="FFFFFF"/>
                <w:lang w:val="en-US"/>
              </w:rPr>
              <w:t>rezultate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gazele</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care sunt eliminate din </w:t>
            </w:r>
            <w:proofErr w:type="spellStart"/>
            <w:r w:rsidRPr="002137FB">
              <w:rPr>
                <w:rFonts w:eastAsia="Arial Unicode MS"/>
                <w:color w:val="000000" w:themeColor="text1"/>
                <w:sz w:val="20"/>
                <w:szCs w:val="20"/>
                <w:shd w:val="clear" w:color="auto" w:fill="FFFFFF"/>
                <w:lang w:val="en-US"/>
              </w:rPr>
              <w:t>atmosferă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stocate</w:t>
            </w:r>
            <w:proofErr w:type="spellEnd"/>
            <w:r w:rsidRPr="002137FB">
              <w:rPr>
                <w:rFonts w:eastAsia="Arial Unicode MS"/>
                <w:color w:val="000000" w:themeColor="text1"/>
                <w:sz w:val="20"/>
                <w:szCs w:val="20"/>
                <w:shd w:val="clear" w:color="auto" w:fill="FFFFFF"/>
                <w:lang w:val="en-US"/>
              </w:rPr>
              <w:t xml:space="preserve"> permanent și în </w:t>
            </w:r>
            <w:proofErr w:type="spellStart"/>
            <w:r w:rsidRPr="002137FB">
              <w:rPr>
                <w:rFonts w:eastAsia="Arial Unicode MS"/>
                <w:color w:val="000000" w:themeColor="text1"/>
                <w:sz w:val="20"/>
                <w:szCs w:val="20"/>
                <w:shd w:val="clear" w:color="auto" w:fill="FFFFFF"/>
                <w:lang w:val="en-US"/>
              </w:rPr>
              <w:t>condiții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siguranță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modul</w:t>
            </w:r>
            <w:proofErr w:type="spellEnd"/>
            <w:r w:rsidRPr="002137FB">
              <w:rPr>
                <w:rFonts w:eastAsia="Arial Unicode MS"/>
                <w:color w:val="000000" w:themeColor="text1"/>
                <w:sz w:val="20"/>
                <w:szCs w:val="20"/>
                <w:shd w:val="clear" w:color="auto" w:fill="FFFFFF"/>
                <w:lang w:val="en-US"/>
              </w:rPr>
              <w:t xml:space="preserve"> în care </w:t>
            </w:r>
            <w:proofErr w:type="spellStart"/>
            <w:r w:rsidRPr="002137FB">
              <w:rPr>
                <w:rFonts w:eastAsia="Arial Unicode MS"/>
                <w:color w:val="000000" w:themeColor="text1"/>
                <w:sz w:val="20"/>
                <w:szCs w:val="20"/>
                <w:shd w:val="clear" w:color="auto" w:fill="FFFFFF"/>
                <w:lang w:val="en-US"/>
              </w:rPr>
              <w:t>emisiile</w:t>
            </w:r>
            <w:proofErr w:type="spellEnd"/>
            <w:r w:rsidRPr="002137FB">
              <w:rPr>
                <w:rFonts w:eastAsia="Arial Unicode MS"/>
                <w:color w:val="000000" w:themeColor="text1"/>
                <w:sz w:val="20"/>
                <w:szCs w:val="20"/>
                <w:shd w:val="clear" w:color="auto" w:fill="FFFFFF"/>
                <w:lang w:val="en-US"/>
              </w:rPr>
              <w:t xml:space="preserve"> negative respective pot fi </w:t>
            </w:r>
            <w:proofErr w:type="spellStart"/>
            <w:r w:rsidRPr="002137FB">
              <w:rPr>
                <w:rFonts w:eastAsia="Arial Unicode MS"/>
                <w:color w:val="000000" w:themeColor="text1"/>
                <w:sz w:val="20"/>
                <w:szCs w:val="20"/>
                <w:shd w:val="clear" w:color="auto" w:fill="FFFFFF"/>
                <w:lang w:val="en-US"/>
              </w:rPr>
              <w:t>acoperite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comercializarea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incluzând</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domeniu</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aplicare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clar</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criterii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stricte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o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acoperire</w:t>
            </w:r>
            <w:proofErr w:type="spellEnd"/>
            <w:r w:rsidRPr="002137FB">
              <w:rPr>
                <w:rFonts w:eastAsia="Arial Unicode MS"/>
                <w:color w:val="000000" w:themeColor="text1"/>
                <w:sz w:val="20"/>
                <w:szCs w:val="20"/>
                <w:shd w:val="clear" w:color="auto" w:fill="FFFFFF"/>
                <w:lang w:val="en-US"/>
              </w:rPr>
              <w:t xml:space="preserve">, precum și </w:t>
            </w:r>
            <w:proofErr w:type="spellStart"/>
            <w:r w:rsidRPr="002137FB">
              <w:rPr>
                <w:rFonts w:eastAsia="Arial Unicode MS"/>
                <w:color w:val="000000" w:themeColor="text1"/>
                <w:sz w:val="20"/>
                <w:szCs w:val="20"/>
                <w:shd w:val="clear" w:color="auto" w:fill="FFFFFF"/>
                <w:lang w:val="en-US"/>
              </w:rPr>
              <w:t>garanții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se </w:t>
            </w:r>
            <w:proofErr w:type="spellStart"/>
            <w:r w:rsidRPr="002137FB">
              <w:rPr>
                <w:rFonts w:eastAsia="Arial Unicode MS"/>
                <w:color w:val="000000" w:themeColor="text1"/>
                <w:sz w:val="20"/>
                <w:szCs w:val="20"/>
                <w:shd w:val="clear" w:color="auto" w:fill="FFFFFF"/>
                <w:lang w:val="en-US"/>
              </w:rPr>
              <w:t>asigura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absorbții</w:t>
            </w:r>
            <w:proofErr w:type="spellEnd"/>
            <w:r w:rsidRPr="002137FB">
              <w:rPr>
                <w:rFonts w:eastAsia="Arial Unicode MS"/>
                <w:color w:val="000000" w:themeColor="text1"/>
                <w:sz w:val="20"/>
                <w:szCs w:val="20"/>
                <w:shd w:val="clear" w:color="auto" w:fill="FFFFFF"/>
                <w:lang w:val="en-US"/>
              </w:rPr>
              <w:t xml:space="preserve"> nu </w:t>
            </w:r>
            <w:proofErr w:type="spellStart"/>
            <w:r w:rsidRPr="002137FB">
              <w:rPr>
                <w:rFonts w:eastAsia="Arial Unicode MS"/>
                <w:color w:val="000000" w:themeColor="text1"/>
                <w:sz w:val="20"/>
                <w:szCs w:val="20"/>
                <w:shd w:val="clear" w:color="auto" w:fill="FFFFFF"/>
                <w:lang w:val="en-US"/>
              </w:rPr>
              <w:t>compensează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reducerile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necesare</w:t>
            </w:r>
            <w:proofErr w:type="spellEnd"/>
            <w:r w:rsidRPr="002137FB">
              <w:rPr>
                <w:rFonts w:eastAsia="Arial Unicode MS"/>
                <w:color w:val="000000" w:themeColor="text1"/>
                <w:sz w:val="20"/>
                <w:szCs w:val="20"/>
                <w:shd w:val="clear" w:color="auto" w:fill="FFFFFF"/>
                <w:lang w:val="en-US"/>
              </w:rPr>
              <w:t xml:space="preserve"> în conformitate cu </w:t>
            </w:r>
            <w:proofErr w:type="spellStart"/>
            <w:r w:rsidRPr="002137FB">
              <w:rPr>
                <w:rFonts w:eastAsia="Arial Unicode MS"/>
                <w:color w:val="000000" w:themeColor="text1"/>
                <w:sz w:val="20"/>
                <w:szCs w:val="20"/>
                <w:shd w:val="clear" w:color="auto" w:fill="FFFFFF"/>
                <w:lang w:val="en-US"/>
              </w:rPr>
              <w:t>obiectivele</w:t>
            </w:r>
            <w:proofErr w:type="spellEnd"/>
            <w:r w:rsidRPr="002137FB">
              <w:rPr>
                <w:rFonts w:eastAsia="Arial Unicode MS"/>
                <w:color w:val="000000" w:themeColor="text1"/>
                <w:sz w:val="20"/>
                <w:szCs w:val="20"/>
                <w:shd w:val="clear" w:color="auto" w:fill="FFFFFF"/>
                <w:lang w:val="en-US"/>
              </w:rPr>
              <w:t xml:space="preserve"> climatice ale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astfel</w:t>
            </w:r>
            <w:proofErr w:type="spellEnd"/>
            <w:r w:rsidRPr="002137FB">
              <w:rPr>
                <w:rFonts w:eastAsia="Arial Unicode MS"/>
                <w:color w:val="000000" w:themeColor="text1"/>
                <w:sz w:val="20"/>
                <w:szCs w:val="20"/>
                <w:shd w:val="clear" w:color="auto" w:fill="FFFFFF"/>
                <w:lang w:val="en-US"/>
              </w:rPr>
              <w:t xml:space="preserve"> cum sunt </w:t>
            </w:r>
            <w:proofErr w:type="spellStart"/>
            <w:r w:rsidRPr="002137FB">
              <w:rPr>
                <w:rFonts w:eastAsia="Arial Unicode MS"/>
                <w:color w:val="000000" w:themeColor="text1"/>
                <w:sz w:val="20"/>
                <w:szCs w:val="20"/>
                <w:shd w:val="clear" w:color="auto" w:fill="FFFFFF"/>
                <w:lang w:val="en-US"/>
              </w:rPr>
              <w:lastRenderedPageBreak/>
              <w:t>prevăzute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(UE) 2021/1119;</w:t>
            </w:r>
          </w:p>
          <w:p w14:paraId="2278273E" w14:textId="4CC450F4" w:rsidR="00124364" w:rsidRPr="002137FB" w:rsidRDefault="00000000" w:rsidP="002137FB">
            <w:pPr>
              <w:pStyle w:val="ti-art"/>
              <w:numPr>
                <w:ilvl w:val="0"/>
                <w:numId w:val="12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fezabilitatea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reducerii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pragurilor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putere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termică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instalată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totală</w:t>
            </w:r>
            <w:proofErr w:type="spellEnd"/>
            <w:r w:rsidRPr="002137FB">
              <w:rPr>
                <w:rFonts w:eastAsia="Arial Unicode MS"/>
                <w:color w:val="000000" w:themeColor="text1"/>
                <w:sz w:val="20"/>
                <w:szCs w:val="20"/>
                <w:shd w:val="clear" w:color="auto" w:fill="FFFFFF"/>
                <w:lang w:val="en-US"/>
              </w:rPr>
              <w:t xml:space="preserve"> de 20</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MW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activitățile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anexa</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I </w:t>
            </w:r>
            <w:proofErr w:type="spellStart"/>
            <w:r w:rsidRPr="002137FB">
              <w:rPr>
                <w:rFonts w:eastAsia="Arial Unicode MS"/>
                <w:color w:val="000000" w:themeColor="text1"/>
                <w:sz w:val="20"/>
                <w:szCs w:val="20"/>
                <w:shd w:val="clear" w:color="auto" w:fill="FFFFFF"/>
                <w:lang w:val="en-US"/>
              </w:rPr>
              <w:t>începând</w:t>
            </w:r>
            <w:proofErr w:type="spellEnd"/>
            <w:r w:rsidRPr="002137FB">
              <w:rPr>
                <w:rFonts w:eastAsia="Arial Unicode MS"/>
                <w:color w:val="000000" w:themeColor="text1"/>
                <w:sz w:val="20"/>
                <w:szCs w:val="20"/>
                <w:shd w:val="clear" w:color="auto" w:fill="FFFFFF"/>
                <w:lang w:val="en-US"/>
              </w:rPr>
              <w:t xml:space="preserve"> cu anul 2031;</w:t>
            </w:r>
          </w:p>
          <w:p w14:paraId="76864984" w14:textId="5311C045" w:rsidR="00124364" w:rsidRPr="002137FB" w:rsidRDefault="00000000" w:rsidP="002137FB">
            <w:pPr>
              <w:pStyle w:val="ti-art"/>
              <w:numPr>
                <w:ilvl w:val="0"/>
                <w:numId w:val="12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dacă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toate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emisiile</w:t>
            </w:r>
            <w:proofErr w:type="spellEnd"/>
            <w:r w:rsidRPr="002137FB">
              <w:rPr>
                <w:rFonts w:eastAsia="Arial Unicode MS"/>
                <w:color w:val="000000" w:themeColor="text1"/>
                <w:sz w:val="20"/>
                <w:szCs w:val="20"/>
                <w:shd w:val="clear" w:color="auto" w:fill="FFFFFF"/>
                <w:lang w:val="en-US"/>
              </w:rPr>
              <w:t xml:space="preserve"> de gaze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reglementate</w:t>
            </w:r>
            <w:proofErr w:type="spellEnd"/>
            <w:r w:rsidRPr="002137FB">
              <w:rPr>
                <w:rFonts w:eastAsia="Arial Unicode MS"/>
                <w:color w:val="000000" w:themeColor="text1"/>
                <w:sz w:val="20"/>
                <w:szCs w:val="20"/>
                <w:shd w:val="clear" w:color="auto" w:fill="FFFFFF"/>
                <w:lang w:val="en-US"/>
              </w:rPr>
              <w:t xml:space="preserve"> de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sunt </w:t>
            </w:r>
            <w:proofErr w:type="spellStart"/>
            <w:r w:rsidRPr="002137FB">
              <w:rPr>
                <w:rFonts w:eastAsia="Arial Unicode MS"/>
                <w:color w:val="000000" w:themeColor="text1"/>
                <w:sz w:val="20"/>
                <w:szCs w:val="20"/>
                <w:shd w:val="clear" w:color="auto" w:fill="FFFFFF"/>
                <w:lang w:val="en-US"/>
              </w:rPr>
              <w:t>contabilizate</w:t>
            </w:r>
            <w:proofErr w:type="spellEnd"/>
            <w:r w:rsidRPr="002137FB">
              <w:rPr>
                <w:rFonts w:eastAsia="Arial Unicode MS"/>
                <w:color w:val="000000" w:themeColor="text1"/>
                <w:sz w:val="20"/>
                <w:szCs w:val="20"/>
                <w:shd w:val="clear" w:color="auto" w:fill="FFFFFF"/>
                <w:lang w:val="en-US"/>
              </w:rPr>
              <w:t xml:space="preserve"> în mod </w:t>
            </w:r>
            <w:proofErr w:type="spellStart"/>
            <w:r w:rsidRPr="002137FB">
              <w:rPr>
                <w:rFonts w:eastAsia="Arial Unicode MS"/>
                <w:color w:val="000000" w:themeColor="text1"/>
                <w:sz w:val="20"/>
                <w:szCs w:val="20"/>
                <w:shd w:val="clear" w:color="auto" w:fill="FFFFFF"/>
                <w:lang w:val="en-US"/>
              </w:rPr>
              <w:t>eficient</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dacă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dubla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contabilizare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evitată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efectiv</w:t>
            </w:r>
            <w:proofErr w:type="spellEnd"/>
            <w:r w:rsidRPr="002137FB">
              <w:rPr>
                <w:rFonts w:eastAsia="Arial Unicode MS"/>
                <w:color w:val="000000" w:themeColor="text1"/>
                <w:sz w:val="20"/>
                <w:szCs w:val="20"/>
                <w:shd w:val="clear" w:color="auto" w:fill="FFFFFF"/>
                <w:lang w:val="en-US"/>
              </w:rPr>
              <w:t xml:space="preserve">; în special,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evaluează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contabilizarea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gaze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care sunt considerate a fi </w:t>
            </w:r>
            <w:proofErr w:type="spellStart"/>
            <w:r w:rsidRPr="002137FB">
              <w:rPr>
                <w:rFonts w:eastAsia="Arial Unicode MS"/>
                <w:color w:val="000000" w:themeColor="text1"/>
                <w:sz w:val="20"/>
                <w:szCs w:val="20"/>
                <w:shd w:val="clear" w:color="auto" w:fill="FFFFFF"/>
                <w:lang w:val="en-US"/>
              </w:rPr>
              <w:t>fost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captate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utilizate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într</w:t>
            </w:r>
            <w:proofErr w:type="spellEnd"/>
            <w:r w:rsidRPr="002137FB">
              <w:rPr>
                <w:rFonts w:eastAsia="Arial Unicode MS"/>
                <w:color w:val="000000" w:themeColor="text1"/>
                <w:sz w:val="20"/>
                <w:szCs w:val="20"/>
                <w:shd w:val="clear" w:color="auto" w:fill="FFFFFF"/>
                <w:lang w:val="en-US"/>
              </w:rPr>
              <w:t xml:space="preserve">-un </w:t>
            </w:r>
            <w:proofErr w:type="spellStart"/>
            <w:r w:rsidRPr="002137FB">
              <w:rPr>
                <w:rFonts w:eastAsia="Arial Unicode MS"/>
                <w:color w:val="000000" w:themeColor="text1"/>
                <w:sz w:val="20"/>
                <w:szCs w:val="20"/>
                <w:shd w:val="clear" w:color="auto" w:fill="FFFFFF"/>
                <w:lang w:val="en-US"/>
              </w:rPr>
              <w:t>produs</w:t>
            </w:r>
            <w:proofErr w:type="spellEnd"/>
            <w:r w:rsidRPr="002137FB">
              <w:rPr>
                <w:rFonts w:eastAsia="Arial Unicode MS"/>
                <w:color w:val="000000" w:themeColor="text1"/>
                <w:sz w:val="20"/>
                <w:szCs w:val="20"/>
                <w:shd w:val="clear" w:color="auto" w:fill="FFFFFF"/>
                <w:lang w:val="en-US"/>
              </w:rPr>
              <w:t xml:space="preserve"> în alt mod </w:t>
            </w:r>
            <w:proofErr w:type="spellStart"/>
            <w:r w:rsidRPr="002137FB">
              <w:rPr>
                <w:rFonts w:eastAsia="Arial Unicode MS"/>
                <w:color w:val="000000" w:themeColor="text1"/>
                <w:sz w:val="20"/>
                <w:szCs w:val="20"/>
                <w:shd w:val="clear" w:color="auto" w:fill="FFFFFF"/>
                <w:lang w:val="en-US"/>
              </w:rPr>
              <w:t>decât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12 </w:t>
            </w:r>
            <w:proofErr w:type="spellStart"/>
            <w:r w:rsidRPr="002137FB">
              <w:rPr>
                <w:rFonts w:eastAsia="Arial Unicode MS"/>
                <w:color w:val="000000" w:themeColor="text1"/>
                <w:sz w:val="20"/>
                <w:szCs w:val="20"/>
                <w:shd w:val="clear" w:color="auto" w:fill="FFFFFF"/>
                <w:lang w:val="en-US"/>
              </w:rPr>
              <w:t>alineatul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(3b).</w:t>
            </w:r>
          </w:p>
          <w:p w14:paraId="18BF3E8C" w14:textId="78F2B45D" w:rsidR="00124364" w:rsidRPr="002137FB" w:rsidRDefault="00000000" w:rsidP="002137FB">
            <w:pPr>
              <w:pStyle w:val="ti-art"/>
              <w:numPr>
                <w:ilvl w:val="0"/>
                <w:numId w:val="129"/>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Atunci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când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revizuiește</w:t>
            </w:r>
            <w:proofErr w:type="spellEnd"/>
            <w:r w:rsidRPr="002137FB">
              <w:rPr>
                <w:rFonts w:eastAsia="Arial Unicode MS"/>
                <w:color w:val="000000" w:themeColor="text1"/>
                <w:sz w:val="20"/>
                <w:szCs w:val="20"/>
                <w:shd w:val="clear" w:color="auto" w:fill="FFFFFF"/>
                <w:lang w:val="en-US"/>
              </w:rPr>
              <w:t xml:space="preserve"> prezenta </w:t>
            </w:r>
            <w:proofErr w:type="spellStart"/>
            <w:r w:rsidRPr="002137FB">
              <w:rPr>
                <w:rFonts w:eastAsia="Arial Unicode MS"/>
                <w:color w:val="000000" w:themeColor="text1"/>
                <w:sz w:val="20"/>
                <w:szCs w:val="20"/>
                <w:shd w:val="clear" w:color="auto" w:fill="FFFFFF"/>
                <w:lang w:val="en-US"/>
              </w:rPr>
              <w:t>directivă</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concordanță</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alineatele</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(1), (2) și</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(3) de la </w:t>
            </w:r>
            <w:proofErr w:type="spellStart"/>
            <w:r w:rsidRPr="002137FB">
              <w:rPr>
                <w:rFonts w:eastAsia="Arial Unicode MS"/>
                <w:color w:val="000000" w:themeColor="text1"/>
                <w:sz w:val="20"/>
                <w:szCs w:val="20"/>
                <w:shd w:val="clear" w:color="auto" w:fill="FFFFFF"/>
                <w:lang w:val="en-US"/>
              </w:rPr>
              <w:t>prezentul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articol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analizează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modul</w:t>
            </w:r>
            <w:proofErr w:type="spellEnd"/>
            <w:r w:rsidRPr="002137FB">
              <w:rPr>
                <w:rFonts w:eastAsia="Arial Unicode MS"/>
                <w:color w:val="000000" w:themeColor="text1"/>
                <w:sz w:val="20"/>
                <w:szCs w:val="20"/>
                <w:shd w:val="clear" w:color="auto" w:fill="FFFFFF"/>
                <w:lang w:val="en-US"/>
              </w:rPr>
              <w:t xml:space="preserve"> în care pot fi </w:t>
            </w:r>
            <w:proofErr w:type="spellStart"/>
            <w:r w:rsidRPr="002137FB">
              <w:rPr>
                <w:rFonts w:eastAsia="Arial Unicode MS"/>
                <w:color w:val="000000" w:themeColor="text1"/>
                <w:sz w:val="20"/>
                <w:szCs w:val="20"/>
                <w:shd w:val="clear" w:color="auto" w:fill="FFFFFF"/>
                <w:lang w:val="en-US"/>
              </w:rPr>
              <w:t>stabilite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legăturile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dintre</w:t>
            </w:r>
            <w:proofErr w:type="spellEnd"/>
            <w:r w:rsidRPr="002137FB">
              <w:rPr>
                <w:rFonts w:eastAsia="Arial Unicode MS"/>
                <w:color w:val="000000" w:themeColor="text1"/>
                <w:sz w:val="20"/>
                <w:szCs w:val="20"/>
                <w:shd w:val="clear" w:color="auto" w:fill="FFFFFF"/>
                <w:lang w:val="en-US"/>
              </w:rPr>
              <w:t xml:space="preserve"> EU ETS și </w:t>
            </w:r>
            <w:proofErr w:type="spellStart"/>
            <w:r w:rsidRPr="002137FB">
              <w:rPr>
                <w:rFonts w:eastAsia="Arial Unicode MS"/>
                <w:color w:val="000000" w:themeColor="text1"/>
                <w:sz w:val="20"/>
                <w:szCs w:val="20"/>
                <w:shd w:val="clear" w:color="auto" w:fill="FFFFFF"/>
                <w:lang w:val="en-US"/>
              </w:rPr>
              <w:t>alte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piețe</w:t>
            </w:r>
            <w:proofErr w:type="spellEnd"/>
            <w:r w:rsidRPr="002137FB">
              <w:rPr>
                <w:rFonts w:eastAsia="Arial Unicode MS"/>
                <w:color w:val="000000" w:themeColor="text1"/>
                <w:sz w:val="20"/>
                <w:szCs w:val="20"/>
                <w:shd w:val="clear" w:color="auto" w:fill="FFFFFF"/>
                <w:lang w:val="en-US"/>
              </w:rPr>
              <w:t xml:space="preserve"> ale carbonului, </w:t>
            </w:r>
            <w:proofErr w:type="spellStart"/>
            <w:r w:rsidRPr="002137FB">
              <w:rPr>
                <w:rFonts w:eastAsia="Arial Unicode MS"/>
                <w:color w:val="000000" w:themeColor="text1"/>
                <w:sz w:val="20"/>
                <w:szCs w:val="20"/>
                <w:shd w:val="clear" w:color="auto" w:fill="FFFFFF"/>
                <w:lang w:val="en-US"/>
              </w:rPr>
              <w:t>fără</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împiedica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realizarea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obiectivului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neutralității</w:t>
            </w:r>
            <w:proofErr w:type="spellEnd"/>
            <w:r w:rsidRPr="002137FB">
              <w:rPr>
                <w:rFonts w:eastAsia="Arial Unicode MS"/>
                <w:color w:val="000000" w:themeColor="text1"/>
                <w:sz w:val="20"/>
                <w:szCs w:val="20"/>
                <w:shd w:val="clear" w:color="auto" w:fill="FFFFFF"/>
                <w:lang w:val="en-US"/>
              </w:rPr>
              <w:t xml:space="preserve"> climatice și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obiectivelor</w:t>
            </w:r>
            <w:proofErr w:type="spellEnd"/>
            <w:r w:rsidRPr="002137FB">
              <w:rPr>
                <w:rFonts w:eastAsia="Arial Unicode MS"/>
                <w:color w:val="000000" w:themeColor="text1"/>
                <w:sz w:val="20"/>
                <w:szCs w:val="20"/>
                <w:shd w:val="clear" w:color="auto" w:fill="FFFFFF"/>
                <w:lang w:val="en-US"/>
              </w:rPr>
              <w:t xml:space="preserve"> climatice ale </w:t>
            </w:r>
            <w:proofErr w:type="spellStart"/>
            <w:r w:rsidRPr="002137FB">
              <w:rPr>
                <w:rFonts w:eastAsia="Arial Unicode MS"/>
                <w:color w:val="000000" w:themeColor="text1"/>
                <w:sz w:val="20"/>
                <w:szCs w:val="20"/>
                <w:shd w:val="clear" w:color="auto" w:fill="FFFFFF"/>
                <w:lang w:val="en-US"/>
              </w:rPr>
              <w:t>Uniunii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Regulamentul</w:t>
            </w:r>
            <w:proofErr w:type="spellEnd"/>
            <w:r w:rsidRPr="002137FB">
              <w:rPr>
                <w:rFonts w:eastAsia="Arial Unicode MS"/>
                <w:color w:val="000000" w:themeColor="text1"/>
                <w:sz w:val="20"/>
                <w:szCs w:val="20"/>
                <w:shd w:val="clear" w:color="auto" w:fill="FFFFFF"/>
                <w:lang w:val="en-US"/>
              </w:rPr>
              <w:t xml:space="preserve"> (UE)</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2021/1119.</w:t>
            </w:r>
          </w:p>
          <w:p w14:paraId="7BCF426B" w14:textId="6F7C867C" w:rsidR="00124364" w:rsidRPr="002137FB" w:rsidRDefault="00000000" w:rsidP="002137FB">
            <w:pPr>
              <w:pStyle w:val="ti-art"/>
              <w:numPr>
                <w:ilvl w:val="0"/>
                <w:numId w:val="129"/>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Până</w:t>
            </w:r>
            <w:proofErr w:type="spellEnd"/>
            <w:r w:rsidRPr="002137FB">
              <w:rPr>
                <w:rFonts w:eastAsia="Arial Unicode MS"/>
                <w:color w:val="000000" w:themeColor="text1"/>
                <w:sz w:val="20"/>
                <w:szCs w:val="20"/>
                <w:shd w:val="clear" w:color="auto" w:fill="FFFFFF"/>
                <w:lang w:val="en-US"/>
              </w:rPr>
              <w:t xml:space="preserve"> la 31</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iulie</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2026,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prezintă</w:t>
            </w:r>
            <w:proofErr w:type="spellEnd"/>
            <w:r w:rsidRPr="002137FB">
              <w:rPr>
                <w:rFonts w:eastAsia="Arial Unicode MS"/>
                <w:color w:val="000000" w:themeColor="text1"/>
                <w:sz w:val="20"/>
                <w:szCs w:val="20"/>
                <w:shd w:val="clear" w:color="auto" w:fill="FFFFFF"/>
                <w:lang w:val="en-US"/>
              </w:rPr>
              <w:t xml:space="preserve"> un </w:t>
            </w:r>
            <w:proofErr w:type="spellStart"/>
            <w:r w:rsidRPr="002137FB">
              <w:rPr>
                <w:rFonts w:eastAsia="Arial Unicode MS"/>
                <w:color w:val="000000" w:themeColor="text1"/>
                <w:sz w:val="20"/>
                <w:szCs w:val="20"/>
                <w:shd w:val="clear" w:color="auto" w:fill="FFFFFF"/>
                <w:lang w:val="en-US"/>
              </w:rPr>
              <w:t>raport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Parlamentului</w:t>
            </w:r>
            <w:proofErr w:type="spellEnd"/>
            <w:r w:rsidRPr="002137FB">
              <w:rPr>
                <w:rFonts w:eastAsia="Arial Unicode MS"/>
                <w:color w:val="000000" w:themeColor="text1"/>
                <w:sz w:val="20"/>
                <w:szCs w:val="20"/>
                <w:shd w:val="clear" w:color="auto" w:fill="FFFFFF"/>
                <w:lang w:val="en-US"/>
              </w:rPr>
              <w:t xml:space="preserve"> European și </w:t>
            </w:r>
            <w:proofErr w:type="spellStart"/>
            <w:r w:rsidRPr="002137FB">
              <w:rPr>
                <w:rFonts w:eastAsia="Arial Unicode MS"/>
                <w:color w:val="000000" w:themeColor="text1"/>
                <w:sz w:val="20"/>
                <w:szCs w:val="20"/>
                <w:shd w:val="clear" w:color="auto" w:fill="FFFFFF"/>
                <w:lang w:val="en-US"/>
              </w:rPr>
              <w:t>Consiliului</w:t>
            </w:r>
            <w:proofErr w:type="spellEnd"/>
            <w:r w:rsidRPr="002137FB">
              <w:rPr>
                <w:rFonts w:eastAsia="Arial Unicode MS"/>
                <w:color w:val="000000" w:themeColor="text1"/>
                <w:sz w:val="20"/>
                <w:szCs w:val="20"/>
                <w:shd w:val="clear" w:color="auto" w:fill="FFFFFF"/>
                <w:lang w:val="en-US"/>
              </w:rPr>
              <w:t xml:space="preserve"> în care </w:t>
            </w:r>
            <w:proofErr w:type="spellStart"/>
            <w:r w:rsidRPr="002137FB">
              <w:rPr>
                <w:rFonts w:eastAsia="Arial Unicode MS"/>
                <w:color w:val="000000" w:themeColor="text1"/>
                <w:sz w:val="20"/>
                <w:szCs w:val="20"/>
                <w:shd w:val="clear" w:color="auto" w:fill="FFFFFF"/>
                <w:lang w:val="en-US"/>
              </w:rPr>
              <w:t>evaluează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fezabilitatea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includerii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instalațiilor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incinerare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deșeurilor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municipale</w:t>
            </w:r>
            <w:proofErr w:type="spellEnd"/>
            <w:r w:rsidRPr="002137FB">
              <w:rPr>
                <w:rFonts w:eastAsia="Arial Unicode MS"/>
                <w:color w:val="000000" w:themeColor="text1"/>
                <w:sz w:val="20"/>
                <w:szCs w:val="20"/>
                <w:shd w:val="clear" w:color="auto" w:fill="FFFFFF"/>
                <w:lang w:val="en-US"/>
              </w:rPr>
              <w:t xml:space="preserve"> în EU ETS,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vederea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includerii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acestora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începând</w:t>
            </w:r>
            <w:proofErr w:type="spellEnd"/>
            <w:r w:rsidRPr="002137FB">
              <w:rPr>
                <w:rFonts w:eastAsia="Arial Unicode MS"/>
                <w:color w:val="000000" w:themeColor="text1"/>
                <w:sz w:val="20"/>
                <w:szCs w:val="20"/>
                <w:shd w:val="clear" w:color="auto" w:fill="FFFFFF"/>
                <w:lang w:val="en-US"/>
              </w:rPr>
              <w:t xml:space="preserve"> cu anul 2028, și </w:t>
            </w:r>
            <w:proofErr w:type="spellStart"/>
            <w:r w:rsidRPr="002137FB">
              <w:rPr>
                <w:rFonts w:eastAsia="Arial Unicode MS"/>
                <w:color w:val="000000" w:themeColor="text1"/>
                <w:sz w:val="20"/>
                <w:szCs w:val="20"/>
                <w:shd w:val="clear" w:color="auto" w:fill="FFFFFF"/>
                <w:lang w:val="en-US"/>
              </w:rPr>
              <w:t>eventuala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necesitate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privind</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opțiunea</w:t>
            </w:r>
            <w:proofErr w:type="spellEnd"/>
            <w:r w:rsidRPr="002137FB">
              <w:rPr>
                <w:rFonts w:eastAsia="Arial Unicode MS"/>
                <w:color w:val="000000" w:themeColor="text1"/>
                <w:sz w:val="20"/>
                <w:szCs w:val="20"/>
                <w:shd w:val="clear" w:color="auto" w:fill="FFFFFF"/>
                <w:lang w:val="en-US"/>
              </w:rPr>
              <w:t xml:space="preserve"> ca un stat </w:t>
            </w:r>
            <w:proofErr w:type="spellStart"/>
            <w:r w:rsidRPr="002137FB">
              <w:rPr>
                <w:rFonts w:eastAsia="Arial Unicode MS"/>
                <w:color w:val="000000" w:themeColor="text1"/>
                <w:sz w:val="20"/>
                <w:szCs w:val="20"/>
                <w:shd w:val="clear" w:color="auto" w:fill="FFFFFF"/>
                <w:lang w:val="en-US"/>
              </w:rPr>
              <w:t>membru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renunțe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până</w:t>
            </w:r>
            <w:proofErr w:type="spellEnd"/>
            <w:r w:rsidRPr="002137FB">
              <w:rPr>
                <w:rFonts w:eastAsia="Arial Unicode MS"/>
                <w:color w:val="000000" w:themeColor="text1"/>
                <w:sz w:val="20"/>
                <w:szCs w:val="20"/>
                <w:shd w:val="clear" w:color="auto" w:fill="FFFFFF"/>
                <w:lang w:val="en-US"/>
              </w:rPr>
              <w:t xml:space="preserve"> la 31</w:t>
            </w:r>
            <w:r w:rsid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decembrie</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2030. În </w:t>
            </w:r>
            <w:proofErr w:type="spellStart"/>
            <w:r w:rsidRPr="002137FB">
              <w:rPr>
                <w:rFonts w:eastAsia="Arial Unicode MS"/>
                <w:color w:val="000000" w:themeColor="text1"/>
                <w:sz w:val="20"/>
                <w:szCs w:val="20"/>
                <w:shd w:val="clear" w:color="auto" w:fill="FFFFFF"/>
                <w:lang w:val="en-US"/>
              </w:rPr>
              <w:t>această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privință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ține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seama</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importanța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tuturor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sectoarelor</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contribuie</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reducerea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și de </w:t>
            </w:r>
            <w:proofErr w:type="spellStart"/>
            <w:r w:rsidRPr="002137FB">
              <w:rPr>
                <w:rFonts w:eastAsia="Arial Unicode MS"/>
                <w:color w:val="000000" w:themeColor="text1"/>
                <w:sz w:val="20"/>
                <w:szCs w:val="20"/>
                <w:shd w:val="clear" w:color="auto" w:fill="FFFFFF"/>
                <w:lang w:val="en-US"/>
              </w:rPr>
              <w:t>posibila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deturnare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deșeurilor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către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eliminarea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prin</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depozitarea</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Uniune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prin</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exporturile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deșeuri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către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țări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terțe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ține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seama</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criterii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relevante</w:t>
            </w:r>
            <w:proofErr w:type="spellEnd"/>
            <w:r w:rsidRPr="002137FB">
              <w:rPr>
                <w:rFonts w:eastAsia="Arial Unicode MS"/>
                <w:color w:val="000000" w:themeColor="text1"/>
                <w:sz w:val="20"/>
                <w:szCs w:val="20"/>
                <w:shd w:val="clear" w:color="auto" w:fill="FFFFFF"/>
                <w:lang w:val="en-US"/>
              </w:rPr>
              <w:t xml:space="preserve">, cum </w:t>
            </w:r>
            <w:proofErr w:type="spellStart"/>
            <w:r w:rsidRPr="002137FB">
              <w:rPr>
                <w:rFonts w:eastAsia="Arial Unicode MS"/>
                <w:color w:val="000000" w:themeColor="text1"/>
                <w:sz w:val="20"/>
                <w:szCs w:val="20"/>
                <w:shd w:val="clear" w:color="auto" w:fill="FFFFFF"/>
                <w:lang w:val="en-US"/>
              </w:rPr>
              <w:t>ar</w:t>
            </w:r>
            <w:proofErr w:type="spellEnd"/>
            <w:r w:rsidRPr="002137FB">
              <w:rPr>
                <w:rFonts w:eastAsia="Arial Unicode MS"/>
                <w:color w:val="000000" w:themeColor="text1"/>
                <w:sz w:val="20"/>
                <w:szCs w:val="20"/>
                <w:shd w:val="clear" w:color="auto" w:fill="FFFFFF"/>
                <w:lang w:val="en-US"/>
              </w:rPr>
              <w:t xml:space="preserve"> fi efectele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pieței</w:t>
            </w:r>
            <w:proofErr w:type="spellEnd"/>
            <w:r w:rsidRPr="002137FB">
              <w:rPr>
                <w:rFonts w:eastAsia="Arial Unicode MS"/>
                <w:color w:val="000000" w:themeColor="text1"/>
                <w:sz w:val="20"/>
                <w:szCs w:val="20"/>
                <w:shd w:val="clear" w:color="auto" w:fill="FFFFFF"/>
                <w:lang w:val="en-US"/>
              </w:rPr>
              <w:t xml:space="preserve"> interne, </w:t>
            </w:r>
            <w:proofErr w:type="spellStart"/>
            <w:r w:rsidRPr="002137FB">
              <w:rPr>
                <w:rFonts w:eastAsia="Arial Unicode MS"/>
                <w:color w:val="000000" w:themeColor="text1"/>
                <w:sz w:val="20"/>
                <w:szCs w:val="20"/>
                <w:shd w:val="clear" w:color="auto" w:fill="FFFFFF"/>
                <w:lang w:val="en-US"/>
              </w:rPr>
              <w:t>potențialele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denaturări</w:t>
            </w:r>
            <w:proofErr w:type="spellEnd"/>
            <w:r w:rsidRPr="002137FB">
              <w:rPr>
                <w:rFonts w:eastAsia="Arial Unicode MS"/>
                <w:color w:val="000000" w:themeColor="text1"/>
                <w:sz w:val="20"/>
                <w:szCs w:val="20"/>
                <w:shd w:val="clear" w:color="auto" w:fill="FFFFFF"/>
                <w:lang w:val="en-US"/>
              </w:rPr>
              <w:t xml:space="preserve"> ale </w:t>
            </w:r>
            <w:proofErr w:type="spellStart"/>
            <w:r w:rsidRPr="002137FB">
              <w:rPr>
                <w:rFonts w:eastAsia="Arial Unicode MS"/>
                <w:color w:val="000000" w:themeColor="text1"/>
                <w:sz w:val="20"/>
                <w:szCs w:val="20"/>
                <w:shd w:val="clear" w:color="auto" w:fill="FFFFFF"/>
                <w:lang w:val="en-US"/>
              </w:rPr>
              <w:t>concurenței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integritatea</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mediu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alinierea</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obiectivele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Directivei</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2008/98/CE a </w:t>
            </w:r>
            <w:proofErr w:type="spellStart"/>
            <w:r w:rsidRPr="002137FB">
              <w:rPr>
                <w:rFonts w:eastAsia="Arial Unicode MS"/>
                <w:color w:val="000000" w:themeColor="text1"/>
                <w:sz w:val="20"/>
                <w:szCs w:val="20"/>
                <w:shd w:val="clear" w:color="auto" w:fill="FFFFFF"/>
                <w:lang w:val="en-US"/>
              </w:rPr>
              <w:t>Parlamentului</w:t>
            </w:r>
            <w:proofErr w:type="spellEnd"/>
            <w:r w:rsidRPr="002137FB">
              <w:rPr>
                <w:rFonts w:eastAsia="Arial Unicode MS"/>
                <w:color w:val="000000" w:themeColor="text1"/>
                <w:sz w:val="20"/>
                <w:szCs w:val="20"/>
                <w:shd w:val="clear" w:color="auto" w:fill="FFFFFF"/>
                <w:lang w:val="en-US"/>
              </w:rPr>
              <w:t xml:space="preserve"> European și a </w:t>
            </w:r>
            <w:proofErr w:type="spellStart"/>
            <w:r w:rsidRPr="002137FB">
              <w:rPr>
                <w:rFonts w:eastAsia="Arial Unicode MS"/>
                <w:color w:val="000000" w:themeColor="text1"/>
                <w:sz w:val="20"/>
                <w:szCs w:val="20"/>
                <w:shd w:val="clear" w:color="auto" w:fill="FFFFFF"/>
                <w:lang w:val="en-US"/>
              </w:rPr>
              <w:t>Consiliului</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w:t>
            </w:r>
            <w:hyperlink r:id="rId343" w:anchor="E0038" w:history="1">
              <w:r w:rsidRPr="002137FB">
                <w:rPr>
                  <w:rStyle w:val="superscript"/>
                  <w:rFonts w:eastAsia="Arial Unicode MS"/>
                  <w:color w:val="000000" w:themeColor="text1"/>
                  <w:sz w:val="20"/>
                  <w:szCs w:val="20"/>
                  <w:vertAlign w:val="superscript"/>
                  <w:lang w:val="en-US"/>
                </w:rPr>
                <w:t>37</w:t>
              </w:r>
              <w:r w:rsidRPr="002137FB">
                <w:rPr>
                  <w:rStyle w:val="apple-converted-space"/>
                  <w:rFonts w:eastAsia="Arial Unicode MS"/>
                  <w:color w:val="000000" w:themeColor="text1"/>
                  <w:sz w:val="20"/>
                  <w:szCs w:val="20"/>
                  <w:lang w:val="en-US"/>
                </w:rPr>
                <w:t> </w:t>
              </w:r>
            </w:hyperlink>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robustețea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acuratețea</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monitorizarea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calcularea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prezintă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fără</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aduce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atingere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articolului</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4 din </w:t>
            </w:r>
            <w:proofErr w:type="spellStart"/>
            <w:r w:rsidRPr="002137FB">
              <w:rPr>
                <w:rFonts w:eastAsia="Arial Unicode MS"/>
                <w:color w:val="000000" w:themeColor="text1"/>
                <w:sz w:val="20"/>
                <w:szCs w:val="20"/>
                <w:shd w:val="clear" w:color="auto" w:fill="FFFFFF"/>
                <w:lang w:val="en-US"/>
              </w:rPr>
              <w:t>directiva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respectivă</w:t>
            </w:r>
            <w:proofErr w:type="spellEnd"/>
            <w:r w:rsidRPr="002137FB">
              <w:rPr>
                <w:rFonts w:eastAsia="Arial Unicode MS"/>
                <w:color w:val="000000" w:themeColor="text1"/>
                <w:sz w:val="20"/>
                <w:szCs w:val="20"/>
                <w:shd w:val="clear" w:color="auto" w:fill="FFFFFF"/>
                <w:lang w:val="en-US"/>
              </w:rPr>
              <w:t xml:space="preserve">, o </w:t>
            </w:r>
            <w:proofErr w:type="spellStart"/>
            <w:r w:rsidRPr="002137FB">
              <w:rPr>
                <w:rFonts w:eastAsia="Arial Unicode MS"/>
                <w:color w:val="000000" w:themeColor="text1"/>
                <w:sz w:val="20"/>
                <w:szCs w:val="20"/>
                <w:shd w:val="clear" w:color="auto" w:fill="FFFFFF"/>
                <w:lang w:val="en-US"/>
              </w:rPr>
              <w:t>propunere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legislativă</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însoțește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aplica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dispozițiile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prezentului</w:t>
            </w:r>
            <w:proofErr w:type="spellEnd"/>
            <w:r w:rsidRPr="002137FB">
              <w:rPr>
                <w:rFonts w:eastAsia="Arial Unicode MS"/>
                <w:color w:val="000000" w:themeColor="text1"/>
                <w:sz w:val="20"/>
                <w:szCs w:val="20"/>
                <w:shd w:val="clear" w:color="auto" w:fill="FFFFFF"/>
                <w:lang w:val="en-US"/>
              </w:rPr>
              <w:t xml:space="preserve"> capitol </w:t>
            </w:r>
            <w:proofErr w:type="spellStart"/>
            <w:r w:rsidRPr="002137FB">
              <w:rPr>
                <w:rFonts w:eastAsia="Arial Unicode MS"/>
                <w:color w:val="000000" w:themeColor="text1"/>
                <w:sz w:val="20"/>
                <w:szCs w:val="20"/>
                <w:shd w:val="clear" w:color="auto" w:fill="FFFFFF"/>
                <w:lang w:val="en-US"/>
              </w:rPr>
              <w:t>autorizațiilor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de gaze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alocării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emiterii</w:t>
            </w:r>
            <w:proofErr w:type="spellEnd"/>
            <w:r w:rsidRP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lastRenderedPageBreak/>
              <w:t xml:space="preserve">de certificate </w:t>
            </w:r>
            <w:proofErr w:type="spellStart"/>
            <w:r w:rsidRPr="002137FB">
              <w:rPr>
                <w:rFonts w:eastAsia="Arial Unicode MS"/>
                <w:color w:val="000000" w:themeColor="text1"/>
                <w:sz w:val="20"/>
                <w:szCs w:val="20"/>
                <w:shd w:val="clear" w:color="auto" w:fill="FFFFFF"/>
                <w:lang w:val="en-US"/>
              </w:rPr>
              <w:t>suplimentare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instalațiile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incinerare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deșeurilor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municipale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preveni</w:t>
            </w:r>
            <w:proofErr w:type="spellEnd"/>
            <w:r w:rsidRPr="002137FB">
              <w:rPr>
                <w:rFonts w:eastAsia="Arial Unicode MS"/>
                <w:color w:val="000000" w:themeColor="text1"/>
                <w:sz w:val="20"/>
                <w:szCs w:val="20"/>
                <w:shd w:val="clear" w:color="auto" w:fill="FFFFFF"/>
                <w:lang w:val="en-US"/>
              </w:rPr>
              <w:t xml:space="preserve"> o </w:t>
            </w:r>
            <w:proofErr w:type="spellStart"/>
            <w:r w:rsidRPr="002137FB">
              <w:rPr>
                <w:rFonts w:eastAsia="Arial Unicode MS"/>
                <w:color w:val="000000" w:themeColor="text1"/>
                <w:sz w:val="20"/>
                <w:szCs w:val="20"/>
                <w:shd w:val="clear" w:color="auto" w:fill="FFFFFF"/>
                <w:lang w:val="en-US"/>
              </w:rPr>
              <w:t>eventuală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deturnare</w:t>
            </w:r>
            <w:proofErr w:type="spellEnd"/>
            <w:r w:rsidRPr="002137FB">
              <w:rPr>
                <w:rFonts w:eastAsia="Arial Unicode MS"/>
                <w:color w:val="000000" w:themeColor="text1"/>
                <w:sz w:val="20"/>
                <w:szCs w:val="20"/>
                <w:shd w:val="clear" w:color="auto" w:fill="FFFFFF"/>
                <w:lang w:val="en-US"/>
              </w:rPr>
              <w:t>.</w:t>
            </w:r>
          </w:p>
          <w:p w14:paraId="59340099" w14:textId="77777777"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primul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paragraf</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analizează</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posibilitatea</w:t>
            </w:r>
            <w:proofErr w:type="spellEnd"/>
            <w:r w:rsidRPr="002137FB">
              <w:rPr>
                <w:rFonts w:eastAsia="Arial Unicode MS"/>
                <w:color w:val="000000" w:themeColor="text1"/>
                <w:sz w:val="20"/>
                <w:szCs w:val="20"/>
                <w:shd w:val="clear" w:color="auto" w:fill="FFFFFF"/>
                <w:lang w:val="en-US"/>
              </w:rPr>
              <w:t xml:space="preserve"> de a include în EU ETS și </w:t>
            </w:r>
            <w:proofErr w:type="spellStart"/>
            <w:r w:rsidRPr="002137FB">
              <w:rPr>
                <w:rFonts w:eastAsia="Arial Unicode MS"/>
                <w:color w:val="000000" w:themeColor="text1"/>
                <w:sz w:val="20"/>
                <w:szCs w:val="20"/>
                <w:shd w:val="clear" w:color="auto" w:fill="FFFFFF"/>
                <w:lang w:val="en-US"/>
              </w:rPr>
              <w:t>alte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procese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gestionare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deșeurilor</w:t>
            </w:r>
            <w:proofErr w:type="spellEnd"/>
            <w:r w:rsidRPr="002137FB">
              <w:rPr>
                <w:rFonts w:eastAsia="Arial Unicode MS"/>
                <w:color w:val="000000" w:themeColor="text1"/>
                <w:sz w:val="20"/>
                <w:szCs w:val="20"/>
                <w:shd w:val="clear" w:color="auto" w:fill="FFFFFF"/>
                <w:lang w:val="en-US"/>
              </w:rPr>
              <w:t xml:space="preserve">, în special </w:t>
            </w:r>
            <w:proofErr w:type="spellStart"/>
            <w:r w:rsidRPr="002137FB">
              <w:rPr>
                <w:rFonts w:eastAsia="Arial Unicode MS"/>
                <w:color w:val="000000" w:themeColor="text1"/>
                <w:sz w:val="20"/>
                <w:szCs w:val="20"/>
                <w:shd w:val="clear" w:color="auto" w:fill="FFFFFF"/>
                <w:lang w:val="en-US"/>
              </w:rPr>
              <w:t>depozitele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deșeuri</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Uniune</w:t>
            </w:r>
            <w:proofErr w:type="spellEnd"/>
            <w:r w:rsidRPr="002137FB">
              <w:rPr>
                <w:rFonts w:eastAsia="Arial Unicode MS"/>
                <w:color w:val="000000" w:themeColor="text1"/>
                <w:sz w:val="20"/>
                <w:szCs w:val="20"/>
                <w:shd w:val="clear" w:color="auto" w:fill="FFFFFF"/>
                <w:lang w:val="en-US"/>
              </w:rPr>
              <w:t xml:space="preserve">, care </w:t>
            </w:r>
            <w:proofErr w:type="spellStart"/>
            <w:r w:rsidRPr="002137FB">
              <w:rPr>
                <w:rFonts w:eastAsia="Arial Unicode MS"/>
                <w:color w:val="000000" w:themeColor="text1"/>
                <w:sz w:val="20"/>
                <w:szCs w:val="20"/>
                <w:shd w:val="clear" w:color="auto" w:fill="FFFFFF"/>
                <w:lang w:val="en-US"/>
              </w:rPr>
              <w:t>generează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metan</w:t>
            </w:r>
            <w:proofErr w:type="spellEnd"/>
            <w:r w:rsidRPr="002137FB">
              <w:rPr>
                <w:rFonts w:eastAsia="Arial Unicode MS"/>
                <w:color w:val="000000" w:themeColor="text1"/>
                <w:sz w:val="20"/>
                <w:szCs w:val="20"/>
                <w:shd w:val="clear" w:color="auto" w:fill="FFFFFF"/>
                <w:lang w:val="en-US"/>
              </w:rPr>
              <w:t xml:space="preserve"> și de </w:t>
            </w:r>
            <w:proofErr w:type="spellStart"/>
            <w:r w:rsidRPr="002137FB">
              <w:rPr>
                <w:rFonts w:eastAsia="Arial Unicode MS"/>
                <w:color w:val="000000" w:themeColor="text1"/>
                <w:sz w:val="20"/>
                <w:szCs w:val="20"/>
                <w:shd w:val="clear" w:color="auto" w:fill="FFFFFF"/>
                <w:lang w:val="en-US"/>
              </w:rPr>
              <w:t>protoxid</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azot</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poate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însoțească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 xml:space="preserve"> cu o </w:t>
            </w:r>
            <w:proofErr w:type="spellStart"/>
            <w:r w:rsidRPr="002137FB">
              <w:rPr>
                <w:rFonts w:eastAsia="Arial Unicode MS"/>
                <w:color w:val="000000" w:themeColor="text1"/>
                <w:sz w:val="20"/>
                <w:szCs w:val="20"/>
                <w:shd w:val="clear" w:color="auto" w:fill="FFFFFF"/>
                <w:lang w:val="en-US"/>
              </w:rPr>
              <w:t>propunere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legislativă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a include </w:t>
            </w:r>
            <w:proofErr w:type="spellStart"/>
            <w:r w:rsidRPr="002137FB">
              <w:rPr>
                <w:rFonts w:eastAsia="Arial Unicode MS"/>
                <w:color w:val="000000" w:themeColor="text1"/>
                <w:sz w:val="20"/>
                <w:szCs w:val="20"/>
                <w:shd w:val="clear" w:color="auto" w:fill="FFFFFF"/>
                <w:lang w:val="en-US"/>
              </w:rPr>
              <w:t>astfel</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alte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procese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gestionare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deșeurilor</w:t>
            </w:r>
            <w:proofErr w:type="spellEnd"/>
            <w:r w:rsidRPr="002137FB">
              <w:rPr>
                <w:rFonts w:eastAsia="Arial Unicode MS"/>
                <w:color w:val="000000" w:themeColor="text1"/>
                <w:sz w:val="20"/>
                <w:szCs w:val="20"/>
                <w:shd w:val="clear" w:color="auto" w:fill="FFFFFF"/>
                <w:lang w:val="en-US"/>
              </w:rPr>
              <w:t xml:space="preserve"> în EU ETS.</w:t>
            </w:r>
          </w:p>
          <w:p w14:paraId="3B07E5D8" w14:textId="77777777" w:rsidR="00124364" w:rsidRPr="002137FB" w:rsidRDefault="00000000" w:rsidP="002137FB">
            <w:pPr>
              <w:pStyle w:val="ti-art"/>
              <w:shd w:val="clear" w:color="auto" w:fill="FFFFFF"/>
              <w:spacing w:before="0" w:beforeAutospacing="0" w:after="0" w:afterAutospacing="0"/>
              <w:jc w:val="both"/>
              <w:rPr>
                <w:color w:val="000000" w:themeColor="text1"/>
                <w:sz w:val="20"/>
                <w:szCs w:val="20"/>
              </w:rPr>
            </w:pPr>
            <w:hyperlink r:id="rId344" w:tooltip="32023L0958: INSERTED" w:history="1">
              <w:r w:rsidRPr="002137FB">
                <w:rPr>
                  <w:rStyle w:val="af3"/>
                  <w:rFonts w:eastAsia="Arial Unicode MS"/>
                  <w:b/>
                  <w:bCs/>
                  <w:color w:val="000000" w:themeColor="text1"/>
                  <w:sz w:val="20"/>
                  <w:szCs w:val="20"/>
                </w:rPr>
                <w:t>▼M14</w:t>
              </w:r>
            </w:hyperlink>
          </w:p>
          <w:p w14:paraId="39095767" w14:textId="079977C7" w:rsidR="00124364" w:rsidRPr="002137FB" w:rsidRDefault="00000000" w:rsidP="002137FB">
            <w:pPr>
              <w:pStyle w:val="ti-art"/>
              <w:numPr>
                <w:ilvl w:val="0"/>
                <w:numId w:val="130"/>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În 2026, </w:t>
            </w:r>
            <w:proofErr w:type="spellStart"/>
            <w:r w:rsidRPr="002137FB">
              <w:rPr>
                <w:rFonts w:eastAsia="Arial Unicode MS"/>
                <w:color w:val="000000" w:themeColor="text1"/>
                <w:sz w:val="20"/>
                <w:szCs w:val="20"/>
                <w:shd w:val="clear" w:color="auto" w:fill="FFFFFF"/>
                <w:lang w:val="en-US"/>
              </w:rPr>
              <w:t>Comisia</w:t>
            </w:r>
            <w:proofErr w:type="spellEnd"/>
            <w:r w:rsidRPr="002137FB">
              <w:rPr>
                <w:rFonts w:eastAsia="Arial Unicode MS"/>
                <w:color w:val="000000" w:themeColor="text1"/>
                <w:sz w:val="20"/>
                <w:szCs w:val="20"/>
                <w:shd w:val="clear" w:color="auto" w:fill="FFFFFF"/>
                <w:lang w:val="en-US"/>
              </w:rPr>
              <w:t xml:space="preserve"> include în </w:t>
            </w: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10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(5) </w:t>
            </w:r>
            <w:proofErr w:type="spellStart"/>
            <w:r w:rsidRPr="002137FB">
              <w:rPr>
                <w:rFonts w:eastAsia="Arial Unicode MS"/>
                <w:color w:val="000000" w:themeColor="text1"/>
                <w:sz w:val="20"/>
                <w:szCs w:val="20"/>
                <w:shd w:val="clear" w:color="auto" w:fill="FFFFFF"/>
                <w:lang w:val="en-US"/>
              </w:rPr>
              <w:t>următoarele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elemente</w:t>
            </w:r>
            <w:proofErr w:type="spellEnd"/>
            <w:r w:rsidRPr="002137FB">
              <w:rPr>
                <w:rFonts w:eastAsia="Arial Unicode MS"/>
                <w:color w:val="000000" w:themeColor="text1"/>
                <w:sz w:val="20"/>
                <w:szCs w:val="20"/>
                <w:shd w:val="clear" w:color="auto" w:fill="FFFFFF"/>
                <w:lang w:val="en-US"/>
              </w:rPr>
              <w:t>:</w:t>
            </w:r>
          </w:p>
          <w:p w14:paraId="366ACC48" w14:textId="2150888B" w:rsidR="00124364" w:rsidRPr="002137FB" w:rsidRDefault="00000000" w:rsidP="002137FB">
            <w:pPr>
              <w:pStyle w:val="ti-art"/>
              <w:numPr>
                <w:ilvl w:val="0"/>
                <w:numId w:val="13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o </w:t>
            </w:r>
            <w:proofErr w:type="spellStart"/>
            <w:r w:rsidRPr="002137FB">
              <w:rPr>
                <w:rFonts w:eastAsia="Arial Unicode MS"/>
                <w:color w:val="000000" w:themeColor="text1"/>
                <w:sz w:val="20"/>
                <w:szCs w:val="20"/>
                <w:shd w:val="clear" w:color="auto" w:fill="FFFFFF"/>
                <w:lang w:val="en-US"/>
              </w:rPr>
              <w:t>evaluare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impactului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mediului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climei</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zborurilor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mai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puțin</w:t>
            </w:r>
            <w:proofErr w:type="spellEnd"/>
            <w:r w:rsidRPr="002137FB">
              <w:rPr>
                <w:rFonts w:eastAsia="Arial Unicode MS"/>
                <w:color w:val="000000" w:themeColor="text1"/>
                <w:sz w:val="20"/>
                <w:szCs w:val="20"/>
                <w:shd w:val="clear" w:color="auto" w:fill="FFFFFF"/>
                <w:lang w:val="en-US"/>
              </w:rPr>
              <w:t xml:space="preserve"> de 1</w:t>
            </w:r>
            <w:r w:rsid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 xml:space="preserve">000 </w:t>
            </w:r>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km</w:t>
            </w:r>
            <w:proofErr w:type="gram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examinarea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opțiunilor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reducerea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acestui</w:t>
            </w:r>
            <w:proofErr w:type="spellEnd"/>
            <w:r w:rsidRPr="002137FB">
              <w:rPr>
                <w:rFonts w:eastAsia="Arial Unicode MS"/>
                <w:color w:val="000000" w:themeColor="text1"/>
                <w:sz w:val="20"/>
                <w:szCs w:val="20"/>
                <w:shd w:val="clear" w:color="auto" w:fill="FFFFFF"/>
                <w:lang w:val="en-US"/>
              </w:rPr>
              <w:t xml:space="preserve"> impact,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examinarea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modurilor</w:t>
            </w:r>
            <w:proofErr w:type="spellEnd"/>
            <w:r w:rsidRPr="002137FB">
              <w:rPr>
                <w:rFonts w:eastAsia="Arial Unicode MS"/>
                <w:color w:val="000000" w:themeColor="text1"/>
                <w:sz w:val="20"/>
                <w:szCs w:val="20"/>
                <w:shd w:val="clear" w:color="auto" w:fill="FFFFFF"/>
                <w:lang w:val="en-US"/>
              </w:rPr>
              <w:t xml:space="preserve"> alternative de transport public </w:t>
            </w:r>
            <w:proofErr w:type="spellStart"/>
            <w:r w:rsidRPr="002137FB">
              <w:rPr>
                <w:rFonts w:eastAsia="Arial Unicode MS"/>
                <w:color w:val="000000" w:themeColor="text1"/>
                <w:sz w:val="20"/>
                <w:szCs w:val="20"/>
                <w:shd w:val="clear" w:color="auto" w:fill="FFFFFF"/>
                <w:lang w:val="en-US"/>
              </w:rPr>
              <w:t>disponibile</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utilizarea</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mai</w:t>
            </w:r>
            <w:proofErr w:type="spellEnd"/>
            <w:r w:rsidRPr="002137FB">
              <w:rPr>
                <w:rFonts w:eastAsia="Arial Unicode MS"/>
                <w:color w:val="000000" w:themeColor="text1"/>
                <w:sz w:val="20"/>
                <w:szCs w:val="20"/>
                <w:shd w:val="clear" w:color="auto" w:fill="FFFFFF"/>
                <w:lang w:val="en-US"/>
              </w:rPr>
              <w:t xml:space="preserve"> mare </w:t>
            </w:r>
            <w:proofErr w:type="spellStart"/>
            <w:r w:rsidRPr="002137FB">
              <w:rPr>
                <w:rFonts w:eastAsia="Arial Unicode MS"/>
                <w:color w:val="000000" w:themeColor="text1"/>
                <w:sz w:val="20"/>
                <w:szCs w:val="20"/>
                <w:shd w:val="clear" w:color="auto" w:fill="FFFFFF"/>
                <w:lang w:val="en-US"/>
              </w:rPr>
              <w:t>măsură</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combustibililor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aviație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durabili</w:t>
            </w:r>
            <w:proofErr w:type="spellEnd"/>
            <w:r w:rsidRPr="002137FB">
              <w:rPr>
                <w:rFonts w:eastAsia="Arial Unicode MS"/>
                <w:color w:val="000000" w:themeColor="text1"/>
                <w:sz w:val="20"/>
                <w:szCs w:val="20"/>
                <w:shd w:val="clear" w:color="auto" w:fill="FFFFFF"/>
                <w:lang w:val="en-US"/>
              </w:rPr>
              <w:t>;</w:t>
            </w:r>
          </w:p>
          <w:p w14:paraId="3A2BB309" w14:textId="77777777" w:rsidR="00124364" w:rsidRPr="002137FB" w:rsidRDefault="00000000" w:rsidP="002137FB">
            <w:pPr>
              <w:pStyle w:val="ti-art"/>
              <w:numPr>
                <w:ilvl w:val="0"/>
                <w:numId w:val="13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o </w:t>
            </w:r>
            <w:proofErr w:type="spellStart"/>
            <w:r w:rsidRPr="002137FB">
              <w:rPr>
                <w:rFonts w:eastAsia="Arial Unicode MS"/>
                <w:color w:val="000000" w:themeColor="text1"/>
                <w:sz w:val="20"/>
                <w:szCs w:val="20"/>
                <w:shd w:val="clear" w:color="auto" w:fill="FFFFFF"/>
                <w:lang w:val="en-US"/>
              </w:rPr>
              <w:t>evaluare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impactului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mediului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climei</w:t>
            </w:r>
            <w:proofErr w:type="spellEnd"/>
            <w:r w:rsidRPr="002137FB">
              <w:rPr>
                <w:rFonts w:eastAsia="Arial Unicode MS"/>
                <w:color w:val="000000" w:themeColor="text1"/>
                <w:sz w:val="20"/>
                <w:szCs w:val="20"/>
                <w:shd w:val="clear" w:color="auto" w:fill="FFFFFF"/>
                <w:lang w:val="en-US"/>
              </w:rPr>
              <w:t xml:space="preserve"> al </w:t>
            </w:r>
            <w:proofErr w:type="spellStart"/>
            <w:r w:rsidRPr="002137FB">
              <w:rPr>
                <w:rFonts w:eastAsia="Arial Unicode MS"/>
                <w:color w:val="000000" w:themeColor="text1"/>
                <w:sz w:val="20"/>
                <w:szCs w:val="20"/>
                <w:shd w:val="clear" w:color="auto" w:fill="FFFFFF"/>
                <w:lang w:val="en-US"/>
              </w:rPr>
              <w:t>zborurilor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efectuate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operatori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scutiți</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temeiul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literei</w:t>
            </w:r>
            <w:proofErr w:type="spellEnd"/>
            <w:r w:rsidRPr="002137FB">
              <w:rPr>
                <w:rFonts w:eastAsia="Arial Unicode MS"/>
                <w:color w:val="000000" w:themeColor="text1"/>
                <w:sz w:val="20"/>
                <w:szCs w:val="20"/>
                <w:shd w:val="clear" w:color="auto" w:fill="FFFFFF"/>
                <w:lang w:val="en-US"/>
              </w:rPr>
              <w:t xml:space="preserve"> (h) </w:t>
            </w:r>
            <w:proofErr w:type="spellStart"/>
            <w:r w:rsidRPr="002137FB">
              <w:rPr>
                <w:rFonts w:eastAsia="Arial Unicode MS"/>
                <w:color w:val="000000" w:themeColor="text1"/>
                <w:sz w:val="20"/>
                <w:szCs w:val="20"/>
                <w:shd w:val="clear" w:color="auto" w:fill="FFFFFF"/>
                <w:lang w:val="en-US"/>
              </w:rPr>
              <w:t>sau</w:t>
            </w:r>
            <w:proofErr w:type="spellEnd"/>
            <w:r w:rsidRPr="002137FB">
              <w:rPr>
                <w:rFonts w:eastAsia="Arial Unicode MS"/>
                <w:color w:val="000000" w:themeColor="text1"/>
                <w:sz w:val="20"/>
                <w:szCs w:val="20"/>
                <w:shd w:val="clear" w:color="auto" w:fill="FFFFFF"/>
                <w:lang w:val="en-US"/>
              </w:rPr>
              <w:t xml:space="preserve"> (k) de la </w:t>
            </w:r>
            <w:proofErr w:type="spellStart"/>
            <w:r w:rsidRPr="002137FB">
              <w:rPr>
                <w:rFonts w:eastAsia="Arial Unicode MS"/>
                <w:color w:val="000000" w:themeColor="text1"/>
                <w:sz w:val="20"/>
                <w:szCs w:val="20"/>
                <w:shd w:val="clear" w:color="auto" w:fill="FFFFFF"/>
                <w:lang w:val="en-US"/>
              </w:rPr>
              <w:t>rubrica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Aviație</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coloana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Activități</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tabelul</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anexa</w:t>
            </w:r>
            <w:proofErr w:type="spellEnd"/>
            <w:r w:rsidRPr="002137FB">
              <w:rPr>
                <w:rFonts w:eastAsia="Arial Unicode MS"/>
                <w:color w:val="000000" w:themeColor="text1"/>
                <w:sz w:val="20"/>
                <w:szCs w:val="20"/>
                <w:shd w:val="clear" w:color="auto" w:fill="FFFFFF"/>
                <w:lang w:val="en-US"/>
              </w:rPr>
              <w:t xml:space="preserve"> I, precum și </w:t>
            </w:r>
            <w:proofErr w:type="spellStart"/>
            <w:r w:rsidRPr="002137FB">
              <w:rPr>
                <w:rFonts w:eastAsia="Arial Unicode MS"/>
                <w:color w:val="000000" w:themeColor="text1"/>
                <w:sz w:val="20"/>
                <w:szCs w:val="20"/>
                <w:shd w:val="clear" w:color="auto" w:fill="FFFFFF"/>
                <w:lang w:val="en-US"/>
              </w:rPr>
              <w:t>examinarea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opțiunilor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pentru</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reducerea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impactului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respectiv</w:t>
            </w:r>
            <w:proofErr w:type="spellEnd"/>
            <w:r w:rsidRPr="002137FB">
              <w:rPr>
                <w:rFonts w:eastAsia="Arial Unicode MS"/>
                <w:color w:val="000000" w:themeColor="text1"/>
                <w:sz w:val="20"/>
                <w:szCs w:val="20"/>
                <w:shd w:val="clear" w:color="auto" w:fill="FFFFFF"/>
                <w:lang w:val="en-US"/>
              </w:rPr>
              <w:t>;</w:t>
            </w:r>
          </w:p>
          <w:p w14:paraId="398021AF" w14:textId="77777777" w:rsidR="00124364" w:rsidRPr="002137FB" w:rsidRDefault="00000000" w:rsidP="002137FB">
            <w:pPr>
              <w:pStyle w:val="ti-art"/>
              <w:numPr>
                <w:ilvl w:val="0"/>
                <w:numId w:val="13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o </w:t>
            </w:r>
            <w:proofErr w:type="spellStart"/>
            <w:r w:rsidRPr="002137FB">
              <w:rPr>
                <w:rFonts w:eastAsia="Arial Unicode MS"/>
                <w:color w:val="000000" w:themeColor="text1"/>
                <w:sz w:val="20"/>
                <w:szCs w:val="20"/>
                <w:shd w:val="clear" w:color="auto" w:fill="FFFFFF"/>
                <w:lang w:val="en-US"/>
              </w:rPr>
              <w:t>evaluare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impactului</w:t>
            </w:r>
            <w:proofErr w:type="spellEnd"/>
            <w:r w:rsidRPr="002137FB">
              <w:rPr>
                <w:rFonts w:eastAsia="Arial Unicode MS"/>
                <w:color w:val="000000" w:themeColor="text1"/>
                <w:sz w:val="20"/>
                <w:szCs w:val="20"/>
                <w:shd w:val="clear" w:color="auto" w:fill="FFFFFF"/>
                <w:lang w:val="en-US"/>
              </w:rPr>
              <w:t xml:space="preserve"> social al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 în </w:t>
            </w:r>
            <w:proofErr w:type="spellStart"/>
            <w:r w:rsidRPr="002137FB">
              <w:rPr>
                <w:rFonts w:eastAsia="Arial Unicode MS"/>
                <w:color w:val="000000" w:themeColor="text1"/>
                <w:sz w:val="20"/>
                <w:szCs w:val="20"/>
                <w:shd w:val="clear" w:color="auto" w:fill="FFFFFF"/>
                <w:lang w:val="en-US"/>
              </w:rPr>
              <w:t>sectorul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aviației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forței</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muncă</w:t>
            </w:r>
            <w:proofErr w:type="spellEnd"/>
            <w:r w:rsidRPr="002137FB">
              <w:rPr>
                <w:rFonts w:eastAsia="Arial Unicode MS"/>
                <w:color w:val="000000" w:themeColor="text1"/>
                <w:sz w:val="20"/>
                <w:szCs w:val="20"/>
                <w:shd w:val="clear" w:color="auto" w:fill="FFFFFF"/>
                <w:lang w:val="en-US"/>
              </w:rPr>
              <w:t xml:space="preserve"> din </w:t>
            </w:r>
            <w:proofErr w:type="spellStart"/>
            <w:r w:rsidRPr="002137FB">
              <w:rPr>
                <w:rFonts w:eastAsia="Arial Unicode MS"/>
                <w:color w:val="000000" w:themeColor="text1"/>
                <w:sz w:val="20"/>
                <w:szCs w:val="20"/>
                <w:shd w:val="clear" w:color="auto" w:fill="FFFFFF"/>
                <w:lang w:val="en-US"/>
              </w:rPr>
              <w:t>acest</w:t>
            </w:r>
            <w:proofErr w:type="spellEnd"/>
            <w:r w:rsidRPr="002137FB">
              <w:rPr>
                <w:rFonts w:eastAsia="Arial Unicode MS"/>
                <w:color w:val="000000" w:themeColor="text1"/>
                <w:sz w:val="20"/>
                <w:szCs w:val="20"/>
                <w:shd w:val="clear" w:color="auto" w:fill="FFFFFF"/>
                <w:lang w:val="en-US"/>
              </w:rPr>
              <w:t xml:space="preserve"> sector și a </w:t>
            </w:r>
            <w:proofErr w:type="spellStart"/>
            <w:r w:rsidRPr="002137FB">
              <w:rPr>
                <w:rFonts w:eastAsia="Arial Unicode MS"/>
                <w:color w:val="000000" w:themeColor="text1"/>
                <w:sz w:val="20"/>
                <w:szCs w:val="20"/>
                <w:shd w:val="clear" w:color="auto" w:fill="FFFFFF"/>
                <w:lang w:val="en-US"/>
              </w:rPr>
              <w:t>costului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călătoriilor</w:t>
            </w:r>
            <w:proofErr w:type="spellEnd"/>
            <w:r w:rsidRPr="002137FB">
              <w:rPr>
                <w:rFonts w:eastAsia="Arial Unicode MS"/>
                <w:color w:val="000000" w:themeColor="text1"/>
                <w:sz w:val="20"/>
                <w:szCs w:val="20"/>
                <w:shd w:val="clear" w:color="auto" w:fill="FFFFFF"/>
                <w:lang w:val="en-US"/>
              </w:rPr>
              <w:t xml:space="preserve"> cu </w:t>
            </w:r>
            <w:proofErr w:type="spellStart"/>
            <w:r w:rsidRPr="002137FB">
              <w:rPr>
                <w:rFonts w:eastAsia="Arial Unicode MS"/>
                <w:color w:val="000000" w:themeColor="text1"/>
                <w:sz w:val="20"/>
                <w:szCs w:val="20"/>
                <w:shd w:val="clear" w:color="auto" w:fill="FFFFFF"/>
                <w:lang w:val="en-US"/>
              </w:rPr>
              <w:t>avionul</w:t>
            </w:r>
            <w:proofErr w:type="spellEnd"/>
            <w:r w:rsidRPr="002137FB">
              <w:rPr>
                <w:rFonts w:eastAsia="Arial Unicode MS"/>
                <w:color w:val="000000" w:themeColor="text1"/>
                <w:sz w:val="20"/>
                <w:szCs w:val="20"/>
                <w:shd w:val="clear" w:color="auto" w:fill="FFFFFF"/>
                <w:lang w:val="en-US"/>
              </w:rPr>
              <w:t>; și</w:t>
            </w:r>
          </w:p>
          <w:p w14:paraId="03990002" w14:textId="77777777" w:rsidR="00124364" w:rsidRPr="002137FB" w:rsidRDefault="00000000" w:rsidP="002137FB">
            <w:pPr>
              <w:pStyle w:val="ti-art"/>
              <w:numPr>
                <w:ilvl w:val="0"/>
                <w:numId w:val="13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t xml:space="preserve">o </w:t>
            </w:r>
            <w:proofErr w:type="spellStart"/>
            <w:r w:rsidRPr="002137FB">
              <w:rPr>
                <w:rFonts w:eastAsia="Arial Unicode MS"/>
                <w:color w:val="000000" w:themeColor="text1"/>
                <w:sz w:val="20"/>
                <w:szCs w:val="20"/>
                <w:shd w:val="clear" w:color="auto" w:fill="FFFFFF"/>
                <w:lang w:val="en-US"/>
              </w:rPr>
              <w:t>evaluare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conectivității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aeriene</w:t>
            </w:r>
            <w:proofErr w:type="spellEnd"/>
            <w:r w:rsidRPr="002137FB">
              <w:rPr>
                <w:rFonts w:eastAsia="Arial Unicode MS"/>
                <w:color w:val="000000" w:themeColor="text1"/>
                <w:sz w:val="20"/>
                <w:szCs w:val="20"/>
                <w:shd w:val="clear" w:color="auto" w:fill="FFFFFF"/>
                <w:lang w:val="en-US"/>
              </w:rPr>
              <w:t xml:space="preserve"> </w:t>
            </w:r>
            <w:proofErr w:type="gramStart"/>
            <w:r w:rsidRPr="002137FB">
              <w:rPr>
                <w:rFonts w:eastAsia="Arial Unicode MS"/>
                <w:color w:val="000000" w:themeColor="text1"/>
                <w:sz w:val="20"/>
                <w:szCs w:val="20"/>
                <w:shd w:val="clear" w:color="auto" w:fill="FFFFFF"/>
                <w:lang w:val="en-US"/>
              </w:rPr>
              <w:t>a</w:t>
            </w:r>
            <w:proofErr w:type="gram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insulelor</w:t>
            </w:r>
            <w:proofErr w:type="spellEnd"/>
            <w:r w:rsidRPr="002137FB">
              <w:rPr>
                <w:rFonts w:eastAsia="Arial Unicode MS"/>
                <w:color w:val="000000" w:themeColor="text1"/>
                <w:sz w:val="20"/>
                <w:szCs w:val="20"/>
                <w:shd w:val="clear" w:color="auto" w:fill="FFFFFF"/>
                <w:lang w:val="en-US"/>
              </w:rPr>
              <w:t xml:space="preserve"> și a </w:t>
            </w:r>
            <w:proofErr w:type="spellStart"/>
            <w:r w:rsidRPr="002137FB">
              <w:rPr>
                <w:rFonts w:eastAsia="Arial Unicode MS"/>
                <w:color w:val="000000" w:themeColor="text1"/>
                <w:sz w:val="20"/>
                <w:szCs w:val="20"/>
                <w:shd w:val="clear" w:color="auto" w:fill="FFFFFF"/>
                <w:lang w:val="en-US"/>
              </w:rPr>
              <w:t>teritoriilor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îndepărtate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inclusiv</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ceea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privește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competitivitatea</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relocarea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de CO</w:t>
            </w:r>
            <w:r w:rsidRPr="002137FB">
              <w:rPr>
                <w:rStyle w:val="subscript"/>
                <w:rFonts w:eastAsia="Arial Unicode MS"/>
                <w:color w:val="000000" w:themeColor="text1"/>
                <w:sz w:val="20"/>
                <w:szCs w:val="20"/>
                <w:vertAlign w:val="subscript"/>
                <w:lang w:val="en-US"/>
              </w:rPr>
              <w:t>2</w:t>
            </w:r>
            <w:r w:rsidRPr="002137FB">
              <w:rPr>
                <w:rFonts w:eastAsia="Arial Unicode MS"/>
                <w:color w:val="000000" w:themeColor="text1"/>
                <w:sz w:val="20"/>
                <w:szCs w:val="20"/>
                <w:shd w:val="clear" w:color="auto" w:fill="FFFFFF"/>
                <w:lang w:val="en-US"/>
              </w:rPr>
              <w:t xml:space="preserve">, precum și </w:t>
            </w:r>
            <w:proofErr w:type="spellStart"/>
            <w:r w:rsidRPr="002137FB">
              <w:rPr>
                <w:rFonts w:eastAsia="Arial Unicode MS"/>
                <w:color w:val="000000" w:themeColor="text1"/>
                <w:sz w:val="20"/>
                <w:szCs w:val="20"/>
                <w:shd w:val="clear" w:color="auto" w:fill="FFFFFF"/>
                <w:lang w:val="en-US"/>
              </w:rPr>
              <w:t>impactul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asupra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mediului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climei</w:t>
            </w:r>
            <w:proofErr w:type="spellEnd"/>
            <w:r w:rsidRPr="002137FB">
              <w:rPr>
                <w:rFonts w:eastAsia="Arial Unicode MS"/>
                <w:color w:val="000000" w:themeColor="text1"/>
                <w:sz w:val="20"/>
                <w:szCs w:val="20"/>
                <w:shd w:val="clear" w:color="auto" w:fill="FFFFFF"/>
                <w:lang w:val="en-US"/>
              </w:rPr>
              <w:t>.</w:t>
            </w:r>
          </w:p>
          <w:p w14:paraId="1FA20081" w14:textId="7DD656A6"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Raportul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prevăzut</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articolul</w:t>
            </w:r>
            <w:proofErr w:type="spellEnd"/>
            <w:r w:rsid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10 </w:t>
            </w:r>
            <w:proofErr w:type="spellStart"/>
            <w:r w:rsidRPr="002137FB">
              <w:rPr>
                <w:rFonts w:eastAsia="Arial Unicode MS"/>
                <w:color w:val="000000" w:themeColor="text1"/>
                <w:sz w:val="20"/>
                <w:szCs w:val="20"/>
                <w:shd w:val="clear" w:color="auto" w:fill="FFFFFF"/>
                <w:lang w:val="en-US"/>
              </w:rPr>
              <w:t>alineatul</w:t>
            </w:r>
            <w:proofErr w:type="spellEnd"/>
            <w:r w:rsidRPr="002137FB">
              <w:rPr>
                <w:rFonts w:eastAsia="Arial Unicode MS"/>
                <w:color w:val="000000" w:themeColor="text1"/>
                <w:sz w:val="20"/>
                <w:szCs w:val="20"/>
                <w:shd w:val="clear" w:color="auto" w:fill="FFFFFF"/>
                <w:lang w:val="en-US"/>
              </w:rPr>
              <w:t xml:space="preserve"> (5) </w:t>
            </w:r>
            <w:proofErr w:type="spellStart"/>
            <w:r w:rsidRPr="002137FB">
              <w:rPr>
                <w:rFonts w:eastAsia="Arial Unicode MS"/>
                <w:color w:val="000000" w:themeColor="text1"/>
                <w:sz w:val="20"/>
                <w:szCs w:val="20"/>
                <w:shd w:val="clear" w:color="auto" w:fill="FFFFFF"/>
                <w:lang w:val="en-US"/>
              </w:rPr>
              <w:t>este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luat</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considerare</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asemenea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după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caz</w:t>
            </w:r>
            <w:proofErr w:type="spellEnd"/>
            <w:r w:rsidRPr="002137FB">
              <w:rPr>
                <w:rFonts w:eastAsia="Arial Unicode MS"/>
                <w:color w:val="000000" w:themeColor="text1"/>
                <w:sz w:val="20"/>
                <w:szCs w:val="20"/>
                <w:shd w:val="clear" w:color="auto" w:fill="FFFFFF"/>
                <w:lang w:val="en-US"/>
              </w:rPr>
              <w:t xml:space="preserve">, la </w:t>
            </w:r>
            <w:proofErr w:type="spellStart"/>
            <w:r w:rsidRPr="002137FB">
              <w:rPr>
                <w:rFonts w:eastAsia="Arial Unicode MS"/>
                <w:color w:val="000000" w:themeColor="text1"/>
                <w:sz w:val="20"/>
                <w:szCs w:val="20"/>
                <w:shd w:val="clear" w:color="auto" w:fill="FFFFFF"/>
                <w:lang w:val="en-US"/>
              </w:rPr>
              <w:t>viitoarea</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revizuire</w:t>
            </w:r>
            <w:proofErr w:type="spellEnd"/>
            <w:r w:rsidRPr="002137FB">
              <w:rPr>
                <w:rFonts w:eastAsia="Arial Unicode MS"/>
                <w:color w:val="000000" w:themeColor="text1"/>
                <w:sz w:val="20"/>
                <w:szCs w:val="20"/>
                <w:shd w:val="clear" w:color="auto" w:fill="FFFFFF"/>
                <w:lang w:val="en-US"/>
              </w:rPr>
              <w:t xml:space="preserve"> a </w:t>
            </w:r>
            <w:proofErr w:type="spellStart"/>
            <w:r w:rsidRPr="002137FB">
              <w:rPr>
                <w:rFonts w:eastAsia="Arial Unicode MS"/>
                <w:color w:val="000000" w:themeColor="text1"/>
                <w:sz w:val="20"/>
                <w:szCs w:val="20"/>
                <w:shd w:val="clear" w:color="auto" w:fill="FFFFFF"/>
                <w:lang w:val="en-US"/>
              </w:rPr>
              <w:t>prezentei</w:t>
            </w:r>
            <w:proofErr w:type="spellEnd"/>
            <w:r w:rsidRPr="002137FB">
              <w:rPr>
                <w:rFonts w:eastAsia="Arial Unicode MS"/>
                <w:color w:val="000000" w:themeColor="text1"/>
                <w:sz w:val="20"/>
                <w:szCs w:val="20"/>
                <w:shd w:val="clear" w:color="auto" w:fill="FFFFFF"/>
                <w:lang w:val="en-US"/>
              </w:rPr>
              <w:t xml:space="preserve"> directive.</w:t>
            </w:r>
          </w:p>
          <w:p w14:paraId="24FA1C0C" w14:textId="77777777" w:rsidR="00124364" w:rsidRPr="002137FB" w:rsidRDefault="00000000" w:rsidP="002137F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hyperlink r:id="rId345" w:tooltip="32023L0959: INSERTED" w:history="1">
              <w:r w:rsidRPr="002137FB">
                <w:rPr>
                  <w:rStyle w:val="af3"/>
                  <w:rFonts w:eastAsia="Arial Unicode MS"/>
                  <w:b/>
                  <w:bCs/>
                  <w:color w:val="000000" w:themeColor="text1"/>
                  <w:sz w:val="20"/>
                  <w:szCs w:val="20"/>
                </w:rPr>
                <w:t>▼M15</w:t>
              </w:r>
            </w:hyperlink>
          </w:p>
        </w:tc>
        <w:tc>
          <w:tcPr>
            <w:tcW w:w="4394" w:type="dxa"/>
            <w:shd w:val="clear" w:color="auto" w:fill="auto"/>
          </w:tcPr>
          <w:p w14:paraId="2A12C144"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CAEC2A1" w14:textId="7838428F" w:rsidR="00124364" w:rsidRDefault="002137FB" w:rsidP="002137FB">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76D60C6"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9F2A11F" w14:textId="77777777" w:rsidR="002137FB" w:rsidRPr="000643DF" w:rsidRDefault="002137FB" w:rsidP="002137F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5A264DF1"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2A05C52" w14:textId="77777777" w:rsidR="00124364" w:rsidRDefault="00124364" w:rsidP="002137FB">
            <w:pPr>
              <w:autoSpaceDE w:val="0"/>
              <w:spacing w:after="0" w:line="240" w:lineRule="auto"/>
              <w:rPr>
                <w:rFonts w:ascii="Times New Roman" w:hAnsi="Times New Roman"/>
                <w:sz w:val="20"/>
                <w:szCs w:val="20"/>
                <w:lang w:val="fr-FR"/>
              </w:rPr>
            </w:pPr>
          </w:p>
        </w:tc>
      </w:tr>
      <w:tr w:rsidR="00124364" w14:paraId="609F21FF" w14:textId="77777777">
        <w:trPr>
          <w:trHeight w:val="558"/>
        </w:trPr>
        <w:tc>
          <w:tcPr>
            <w:tcW w:w="4957" w:type="dxa"/>
            <w:shd w:val="clear" w:color="auto" w:fill="auto"/>
          </w:tcPr>
          <w:p w14:paraId="03F42031" w14:textId="77777777" w:rsidR="00124364" w:rsidRPr="002137FB" w:rsidRDefault="00000000" w:rsidP="002137FB">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2137FB">
              <w:rPr>
                <w:rFonts w:eastAsia="Arial Unicode MS"/>
                <w:color w:val="000000" w:themeColor="text1"/>
                <w:sz w:val="20"/>
                <w:szCs w:val="20"/>
                <w:shd w:val="clear" w:color="auto" w:fill="FFFFFF"/>
                <w:lang w:val="en-US"/>
              </w:rPr>
              <w:lastRenderedPageBreak/>
              <w:t xml:space="preserve">CAPITOLUL </w:t>
            </w:r>
            <w:proofErr w:type="spellStart"/>
            <w:r w:rsidRPr="002137FB">
              <w:rPr>
                <w:rFonts w:eastAsia="Arial Unicode MS"/>
                <w:color w:val="000000" w:themeColor="text1"/>
                <w:sz w:val="20"/>
                <w:szCs w:val="20"/>
                <w:shd w:val="clear" w:color="auto" w:fill="FFFFFF"/>
                <w:lang w:val="en-US"/>
              </w:rPr>
              <w:t>IVa</w:t>
            </w:r>
            <w:proofErr w:type="spellEnd"/>
          </w:p>
          <w:p w14:paraId="4783BC23" w14:textId="77777777" w:rsidR="00124364" w:rsidRPr="002137FB" w:rsidRDefault="00000000" w:rsidP="002137FB">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2137FB">
              <w:rPr>
                <w:rFonts w:eastAsia="Arial Unicode MS"/>
                <w:b/>
                <w:bCs/>
                <w:color w:val="000000" w:themeColor="text1"/>
                <w:sz w:val="20"/>
                <w:szCs w:val="20"/>
                <w:shd w:val="clear" w:color="auto" w:fill="FFFFFF"/>
                <w:lang w:val="en-US"/>
              </w:rPr>
              <w:t>SCHEMA DE COMERCIALIZARE A CERTIFICATELOR DE EMISII ÎN SECTORUL CLĂDIRILOR, AL TRANSPORTULUI RUTIER ȘI ÎN ALTE SECTOARE</w:t>
            </w:r>
          </w:p>
          <w:p w14:paraId="23D5575E" w14:textId="44F556DE" w:rsidR="00124364" w:rsidRPr="002137FB" w:rsidRDefault="00000000" w:rsidP="002137FB">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2137FB">
              <w:rPr>
                <w:rFonts w:eastAsia="Arial Unicode MS"/>
                <w:i/>
                <w:iCs/>
                <w:color w:val="000000" w:themeColor="text1"/>
                <w:sz w:val="20"/>
                <w:szCs w:val="20"/>
                <w:shd w:val="clear" w:color="auto" w:fill="FFFFFF"/>
                <w:lang w:val="en-US"/>
              </w:rPr>
              <w:t>Articolul</w:t>
            </w:r>
            <w:proofErr w:type="spellEnd"/>
            <w:r w:rsidR="00D9773B" w:rsidRPr="002137FB">
              <w:rPr>
                <w:rFonts w:eastAsia="Arial Unicode MS"/>
                <w:i/>
                <w:iCs/>
                <w:color w:val="000000" w:themeColor="text1"/>
                <w:sz w:val="20"/>
                <w:szCs w:val="20"/>
                <w:shd w:val="clear" w:color="auto" w:fill="FFFFFF"/>
                <w:lang w:val="en-US"/>
              </w:rPr>
              <w:t xml:space="preserve"> </w:t>
            </w:r>
            <w:r w:rsidRPr="002137FB">
              <w:rPr>
                <w:rFonts w:eastAsia="Arial Unicode MS"/>
                <w:i/>
                <w:iCs/>
                <w:color w:val="000000" w:themeColor="text1"/>
                <w:sz w:val="20"/>
                <w:szCs w:val="20"/>
                <w:shd w:val="clear" w:color="auto" w:fill="FFFFFF"/>
                <w:lang w:val="en-US"/>
              </w:rPr>
              <w:t>30a</w:t>
            </w:r>
          </w:p>
          <w:p w14:paraId="4A858405" w14:textId="77777777" w:rsidR="00124364" w:rsidRPr="002137FB" w:rsidRDefault="00000000" w:rsidP="002137F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2137FB">
              <w:rPr>
                <w:rFonts w:eastAsia="Arial Unicode MS"/>
                <w:b/>
                <w:bCs/>
                <w:color w:val="000000" w:themeColor="text1"/>
                <w:sz w:val="20"/>
                <w:szCs w:val="20"/>
                <w:shd w:val="clear" w:color="auto" w:fill="FFFFFF"/>
                <w:lang w:val="en-US"/>
              </w:rPr>
              <w:lastRenderedPageBreak/>
              <w:t>Domeniu</w:t>
            </w:r>
            <w:proofErr w:type="spellEnd"/>
            <w:r w:rsidRPr="002137FB">
              <w:rPr>
                <w:rFonts w:eastAsia="Arial Unicode MS"/>
                <w:b/>
                <w:bCs/>
                <w:color w:val="000000" w:themeColor="text1"/>
                <w:sz w:val="20"/>
                <w:szCs w:val="20"/>
                <w:shd w:val="clear" w:color="auto" w:fill="FFFFFF"/>
                <w:lang w:val="en-US"/>
              </w:rPr>
              <w:t xml:space="preserve"> de </w:t>
            </w:r>
            <w:proofErr w:type="spellStart"/>
            <w:r w:rsidRPr="002137FB">
              <w:rPr>
                <w:rFonts w:eastAsia="Arial Unicode MS"/>
                <w:b/>
                <w:bCs/>
                <w:color w:val="000000" w:themeColor="text1"/>
                <w:sz w:val="20"/>
                <w:szCs w:val="20"/>
                <w:shd w:val="clear" w:color="auto" w:fill="FFFFFF"/>
                <w:lang w:val="en-US"/>
              </w:rPr>
              <w:t>aplicare</w:t>
            </w:r>
            <w:proofErr w:type="spellEnd"/>
          </w:p>
          <w:p w14:paraId="7F26899B" w14:textId="372FEAC8" w:rsidR="00124364" w:rsidRPr="002137FB" w:rsidRDefault="00000000" w:rsidP="002137F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2137FB">
              <w:rPr>
                <w:rFonts w:eastAsia="Arial Unicode MS"/>
                <w:color w:val="000000" w:themeColor="text1"/>
                <w:sz w:val="20"/>
                <w:szCs w:val="20"/>
                <w:shd w:val="clear" w:color="auto" w:fill="FFFFFF"/>
                <w:lang w:val="en-US"/>
              </w:rPr>
              <w:t>Dispozițiile</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prezentului</w:t>
            </w:r>
            <w:proofErr w:type="spellEnd"/>
            <w:r w:rsidRPr="002137FB">
              <w:rPr>
                <w:rFonts w:eastAsia="Arial Unicode MS"/>
                <w:color w:val="000000" w:themeColor="text1"/>
                <w:sz w:val="20"/>
                <w:szCs w:val="20"/>
                <w:shd w:val="clear" w:color="auto" w:fill="FFFFFF"/>
                <w:lang w:val="en-US"/>
              </w:rPr>
              <w:t xml:space="preserve"> capitol se </w:t>
            </w:r>
            <w:proofErr w:type="spellStart"/>
            <w:r w:rsidRPr="002137FB">
              <w:rPr>
                <w:rFonts w:eastAsia="Arial Unicode MS"/>
                <w:color w:val="000000" w:themeColor="text1"/>
                <w:sz w:val="20"/>
                <w:szCs w:val="20"/>
                <w:shd w:val="clear" w:color="auto" w:fill="FFFFFF"/>
                <w:lang w:val="en-US"/>
              </w:rPr>
              <w:t>aplică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autorizațiilor</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emisii</w:t>
            </w:r>
            <w:proofErr w:type="spellEnd"/>
            <w:r w:rsidRPr="002137FB">
              <w:rPr>
                <w:rFonts w:eastAsia="Arial Unicode MS"/>
                <w:color w:val="000000" w:themeColor="text1"/>
                <w:sz w:val="20"/>
                <w:szCs w:val="20"/>
                <w:shd w:val="clear" w:color="auto" w:fill="FFFFFF"/>
                <w:lang w:val="en-US"/>
              </w:rPr>
              <w:t xml:space="preserve"> de gaze cu </w:t>
            </w:r>
            <w:proofErr w:type="spellStart"/>
            <w:r w:rsidRPr="002137FB">
              <w:rPr>
                <w:rFonts w:eastAsia="Arial Unicode MS"/>
                <w:color w:val="000000" w:themeColor="text1"/>
                <w:sz w:val="20"/>
                <w:szCs w:val="20"/>
                <w:shd w:val="clear" w:color="auto" w:fill="FFFFFF"/>
                <w:lang w:val="en-US"/>
              </w:rPr>
              <w:t>efect</w:t>
            </w:r>
            <w:proofErr w:type="spellEnd"/>
            <w:r w:rsidRPr="002137FB">
              <w:rPr>
                <w:rFonts w:eastAsia="Arial Unicode MS"/>
                <w:color w:val="000000" w:themeColor="text1"/>
                <w:sz w:val="20"/>
                <w:szCs w:val="20"/>
                <w:shd w:val="clear" w:color="auto" w:fill="FFFFFF"/>
                <w:lang w:val="en-US"/>
              </w:rPr>
              <w:t xml:space="preserve"> de </w:t>
            </w:r>
            <w:proofErr w:type="spellStart"/>
            <w:r w:rsidRPr="002137FB">
              <w:rPr>
                <w:rFonts w:eastAsia="Arial Unicode MS"/>
                <w:color w:val="000000" w:themeColor="text1"/>
                <w:sz w:val="20"/>
                <w:szCs w:val="20"/>
                <w:shd w:val="clear" w:color="auto" w:fill="FFFFFF"/>
                <w:lang w:val="en-US"/>
              </w:rPr>
              <w:t>seră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emiterii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restituirii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certificatelor</w:t>
            </w:r>
            <w:proofErr w:type="spellEnd"/>
            <w:r w:rsidRPr="002137FB">
              <w:rPr>
                <w:rFonts w:eastAsia="Arial Unicode MS"/>
                <w:color w:val="000000" w:themeColor="text1"/>
                <w:sz w:val="20"/>
                <w:szCs w:val="20"/>
                <w:shd w:val="clear" w:color="auto" w:fill="FFFFFF"/>
                <w:lang w:val="en-US"/>
              </w:rPr>
              <w:t xml:space="preserve">, precum și </w:t>
            </w:r>
            <w:proofErr w:type="spellStart"/>
            <w:r w:rsidRPr="002137FB">
              <w:rPr>
                <w:rFonts w:eastAsia="Arial Unicode MS"/>
                <w:color w:val="000000" w:themeColor="text1"/>
                <w:sz w:val="20"/>
                <w:szCs w:val="20"/>
                <w:shd w:val="clear" w:color="auto" w:fill="FFFFFF"/>
                <w:lang w:val="en-US"/>
              </w:rPr>
              <w:t>monitorizării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raportării</w:t>
            </w:r>
            <w:proofErr w:type="spellEnd"/>
            <w:r w:rsidRPr="002137FB">
              <w:rPr>
                <w:rFonts w:eastAsia="Arial Unicode MS"/>
                <w:color w:val="000000" w:themeColor="text1"/>
                <w:sz w:val="20"/>
                <w:szCs w:val="20"/>
                <w:shd w:val="clear" w:color="auto" w:fill="FFFFFF"/>
                <w:lang w:val="en-US"/>
              </w:rPr>
              <w:t xml:space="preserve"> și </w:t>
            </w:r>
            <w:proofErr w:type="spellStart"/>
            <w:r w:rsidRPr="002137FB">
              <w:rPr>
                <w:rFonts w:eastAsia="Arial Unicode MS"/>
                <w:color w:val="000000" w:themeColor="text1"/>
                <w:sz w:val="20"/>
                <w:szCs w:val="20"/>
                <w:shd w:val="clear" w:color="auto" w:fill="FFFFFF"/>
                <w:lang w:val="en-US"/>
              </w:rPr>
              <w:t>verificării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activității</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menționate</w:t>
            </w:r>
            <w:proofErr w:type="spellEnd"/>
            <w:r w:rsidRPr="002137FB">
              <w:rPr>
                <w:rFonts w:eastAsia="Arial Unicode MS"/>
                <w:color w:val="000000" w:themeColor="text1"/>
                <w:sz w:val="20"/>
                <w:szCs w:val="20"/>
                <w:shd w:val="clear" w:color="auto" w:fill="FFFFFF"/>
                <w:lang w:val="en-US"/>
              </w:rPr>
              <w:t xml:space="preserve"> în </w:t>
            </w:r>
            <w:proofErr w:type="spellStart"/>
            <w:r w:rsidRPr="002137FB">
              <w:rPr>
                <w:rFonts w:eastAsia="Arial Unicode MS"/>
                <w:color w:val="000000" w:themeColor="text1"/>
                <w:sz w:val="20"/>
                <w:szCs w:val="20"/>
                <w:shd w:val="clear" w:color="auto" w:fill="FFFFFF"/>
                <w:lang w:val="en-US"/>
              </w:rPr>
              <w:t>anexa</w:t>
            </w:r>
            <w:proofErr w:type="spellEnd"/>
            <w:r w:rsidR="00D9773B" w:rsidRP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 xml:space="preserve">III. </w:t>
            </w:r>
            <w:proofErr w:type="spellStart"/>
            <w:r w:rsidRPr="002137FB">
              <w:rPr>
                <w:rFonts w:eastAsia="Arial Unicode MS"/>
                <w:color w:val="000000" w:themeColor="text1"/>
                <w:sz w:val="20"/>
                <w:szCs w:val="20"/>
                <w:shd w:val="clear" w:color="auto" w:fill="FFFFFF"/>
                <w:lang w:val="en-US"/>
              </w:rPr>
              <w:t>Prezentul</w:t>
            </w:r>
            <w:proofErr w:type="spellEnd"/>
            <w:r w:rsidRPr="002137FB">
              <w:rPr>
                <w:rFonts w:eastAsia="Arial Unicode MS"/>
                <w:color w:val="000000" w:themeColor="text1"/>
                <w:sz w:val="20"/>
                <w:szCs w:val="20"/>
                <w:shd w:val="clear" w:color="auto" w:fill="FFFFFF"/>
                <w:lang w:val="en-US"/>
              </w:rPr>
              <w:t xml:space="preserve"> capitol nu se </w:t>
            </w:r>
            <w:proofErr w:type="spellStart"/>
            <w:r w:rsidRPr="002137FB">
              <w:rPr>
                <w:rFonts w:eastAsia="Arial Unicode MS"/>
                <w:color w:val="000000" w:themeColor="text1"/>
                <w:sz w:val="20"/>
                <w:szCs w:val="20"/>
                <w:shd w:val="clear" w:color="auto" w:fill="FFFFFF"/>
                <w:lang w:val="en-US"/>
              </w:rPr>
              <w:t>aplică</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emisiilor</w:t>
            </w:r>
            <w:proofErr w:type="spellEnd"/>
            <w:r w:rsidRPr="002137FB">
              <w:rPr>
                <w:rFonts w:eastAsia="Arial Unicode MS"/>
                <w:color w:val="000000" w:themeColor="text1"/>
                <w:sz w:val="20"/>
                <w:szCs w:val="20"/>
                <w:shd w:val="clear" w:color="auto" w:fill="FFFFFF"/>
                <w:lang w:val="en-US"/>
              </w:rPr>
              <w:t xml:space="preserve"> care fac </w:t>
            </w:r>
            <w:proofErr w:type="spellStart"/>
            <w:r w:rsidRPr="002137FB">
              <w:rPr>
                <w:rFonts w:eastAsia="Arial Unicode MS"/>
                <w:color w:val="000000" w:themeColor="text1"/>
                <w:sz w:val="20"/>
                <w:szCs w:val="20"/>
                <w:shd w:val="clear" w:color="auto" w:fill="FFFFFF"/>
                <w:lang w:val="en-US"/>
              </w:rPr>
              <w:t>obiectul</w:t>
            </w:r>
            <w:proofErr w:type="spellEnd"/>
            <w:r w:rsidRPr="002137FB">
              <w:rPr>
                <w:rFonts w:eastAsia="Arial Unicode MS"/>
                <w:color w:val="000000" w:themeColor="text1"/>
                <w:sz w:val="20"/>
                <w:szCs w:val="20"/>
                <w:shd w:val="clear" w:color="auto" w:fill="FFFFFF"/>
                <w:lang w:val="en-US"/>
              </w:rPr>
              <w:t xml:space="preserve"> </w:t>
            </w:r>
            <w:proofErr w:type="spellStart"/>
            <w:r w:rsidRPr="002137FB">
              <w:rPr>
                <w:rFonts w:eastAsia="Arial Unicode MS"/>
                <w:color w:val="000000" w:themeColor="text1"/>
                <w:sz w:val="20"/>
                <w:szCs w:val="20"/>
                <w:shd w:val="clear" w:color="auto" w:fill="FFFFFF"/>
                <w:lang w:val="en-US"/>
              </w:rPr>
              <w:t>capitolelor</w:t>
            </w:r>
            <w:proofErr w:type="spellEnd"/>
            <w:r w:rsidR="00D9773B" w:rsidRPr="002137FB">
              <w:rPr>
                <w:rFonts w:eastAsia="Arial Unicode MS"/>
                <w:color w:val="000000" w:themeColor="text1"/>
                <w:sz w:val="20"/>
                <w:szCs w:val="20"/>
                <w:shd w:val="clear" w:color="auto" w:fill="FFFFFF"/>
                <w:lang w:val="en-US"/>
              </w:rPr>
              <w:t xml:space="preserve"> </w:t>
            </w:r>
            <w:r w:rsidRPr="002137FB">
              <w:rPr>
                <w:rFonts w:eastAsia="Arial Unicode MS"/>
                <w:color w:val="000000" w:themeColor="text1"/>
                <w:sz w:val="20"/>
                <w:szCs w:val="20"/>
                <w:shd w:val="clear" w:color="auto" w:fill="FFFFFF"/>
                <w:lang w:val="en-US"/>
              </w:rPr>
              <w:t>II și III.</w:t>
            </w:r>
          </w:p>
        </w:tc>
        <w:tc>
          <w:tcPr>
            <w:tcW w:w="4394" w:type="dxa"/>
            <w:shd w:val="clear" w:color="auto" w:fill="auto"/>
          </w:tcPr>
          <w:p w14:paraId="0479FEB1"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FF854EE" w14:textId="25F0B683" w:rsidR="00124364" w:rsidRDefault="00D9773B" w:rsidP="00D9773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54DF1EED"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B193B80" w14:textId="77777777" w:rsidR="00D9773B" w:rsidRPr="00DF1AB5" w:rsidRDefault="00D9773B" w:rsidP="00D9773B">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lastRenderedPageBreak/>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0EB25C97" w14:textId="620C6056" w:rsidR="00124364" w:rsidRDefault="00D9773B" w:rsidP="00D9773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14822A58" w14:textId="77777777" w:rsidR="00124364" w:rsidRDefault="00124364" w:rsidP="00D9773B">
            <w:pPr>
              <w:autoSpaceDE w:val="0"/>
              <w:spacing w:after="0" w:line="240" w:lineRule="auto"/>
              <w:rPr>
                <w:rFonts w:ascii="Times New Roman" w:hAnsi="Times New Roman"/>
                <w:sz w:val="20"/>
                <w:szCs w:val="20"/>
                <w:lang w:val="fr-FR"/>
              </w:rPr>
            </w:pPr>
          </w:p>
        </w:tc>
      </w:tr>
      <w:tr w:rsidR="00124364" w14:paraId="16A6181F" w14:textId="77777777">
        <w:trPr>
          <w:trHeight w:val="558"/>
        </w:trPr>
        <w:tc>
          <w:tcPr>
            <w:tcW w:w="4957" w:type="dxa"/>
            <w:shd w:val="clear" w:color="auto" w:fill="auto"/>
          </w:tcPr>
          <w:p w14:paraId="53E81E09" w14:textId="691C31CE"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Articolul</w:t>
            </w:r>
            <w:proofErr w:type="spellEnd"/>
            <w:r w:rsidR="00D9773B">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30b</w:t>
            </w:r>
          </w:p>
          <w:p w14:paraId="0AD5166A"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Autorizații</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emisii</w:t>
            </w:r>
            <w:proofErr w:type="spellEnd"/>
            <w:r>
              <w:rPr>
                <w:rFonts w:eastAsia="Arial Unicode MS"/>
                <w:b/>
                <w:bCs/>
                <w:color w:val="333333"/>
                <w:sz w:val="20"/>
                <w:szCs w:val="20"/>
                <w:shd w:val="clear" w:color="auto" w:fill="FFFFFF"/>
                <w:lang w:val="en-US"/>
              </w:rPr>
              <w:t xml:space="preserve"> de gaze cu </w:t>
            </w:r>
            <w:proofErr w:type="spellStart"/>
            <w:r>
              <w:rPr>
                <w:rFonts w:eastAsia="Arial Unicode MS"/>
                <w:b/>
                <w:bCs/>
                <w:color w:val="333333"/>
                <w:sz w:val="20"/>
                <w:szCs w:val="20"/>
                <w:shd w:val="clear" w:color="auto" w:fill="FFFFFF"/>
                <w:lang w:val="en-US"/>
              </w:rPr>
              <w:t>efect</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seră</w:t>
            </w:r>
            <w:proofErr w:type="spellEnd"/>
          </w:p>
          <w:p w14:paraId="2BC99D80" w14:textId="74A61434" w:rsidR="00124364" w:rsidRPr="00D9773B" w:rsidRDefault="00000000" w:rsidP="00D9773B">
            <w:pPr>
              <w:pStyle w:val="ti-art"/>
              <w:numPr>
                <w:ilvl w:val="0"/>
                <w:numId w:val="13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Statele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membre</w:t>
            </w:r>
            <w:proofErr w:type="spellEnd"/>
            <w:r w:rsidRPr="00D9773B">
              <w:rPr>
                <w:rFonts w:eastAsia="Arial Unicode MS"/>
                <w:color w:val="000000" w:themeColor="text1"/>
                <w:sz w:val="20"/>
                <w:szCs w:val="20"/>
                <w:shd w:val="clear" w:color="auto" w:fill="FFFFFF"/>
                <w:lang w:val="en-US"/>
              </w:rPr>
              <w:t xml:space="preserve"> se </w:t>
            </w:r>
            <w:proofErr w:type="spellStart"/>
            <w:r w:rsidRPr="00D9773B">
              <w:rPr>
                <w:rFonts w:eastAsia="Arial Unicode MS"/>
                <w:color w:val="000000" w:themeColor="text1"/>
                <w:sz w:val="20"/>
                <w:szCs w:val="20"/>
                <w:shd w:val="clear" w:color="auto" w:fill="FFFFFF"/>
                <w:lang w:val="en-US"/>
              </w:rPr>
              <w:t>asigură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că</w:t>
            </w:r>
            <w:proofErr w:type="spellEnd"/>
            <w:r w:rsidRPr="00D9773B">
              <w:rPr>
                <w:rFonts w:eastAsia="Arial Unicode MS"/>
                <w:color w:val="000000" w:themeColor="text1"/>
                <w:sz w:val="20"/>
                <w:szCs w:val="20"/>
                <w:shd w:val="clear" w:color="auto" w:fill="FFFFFF"/>
                <w:lang w:val="en-US"/>
              </w:rPr>
              <w:t>, de la 1ianuarie</w:t>
            </w:r>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2025, </w:t>
            </w:r>
            <w:proofErr w:type="spellStart"/>
            <w:r w:rsidRPr="00D9773B">
              <w:rPr>
                <w:rFonts w:eastAsia="Arial Unicode MS"/>
                <w:color w:val="000000" w:themeColor="text1"/>
                <w:sz w:val="20"/>
                <w:szCs w:val="20"/>
                <w:shd w:val="clear" w:color="auto" w:fill="FFFFFF"/>
                <w:lang w:val="en-US"/>
              </w:rPr>
              <w:t>nicio</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nu </w:t>
            </w:r>
            <w:proofErr w:type="spellStart"/>
            <w:r w:rsidRPr="00D9773B">
              <w:rPr>
                <w:rFonts w:eastAsia="Arial Unicode MS"/>
                <w:color w:val="000000" w:themeColor="text1"/>
                <w:sz w:val="20"/>
                <w:szCs w:val="20"/>
                <w:shd w:val="clear" w:color="auto" w:fill="FFFFFF"/>
                <w:lang w:val="en-US"/>
              </w:rPr>
              <w:t>realizează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activitatea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menționată</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III, cu </w:t>
            </w:r>
            <w:proofErr w:type="spellStart"/>
            <w:r w:rsidRPr="00D9773B">
              <w:rPr>
                <w:rFonts w:eastAsia="Arial Unicode MS"/>
                <w:color w:val="000000" w:themeColor="text1"/>
                <w:sz w:val="20"/>
                <w:szCs w:val="20"/>
                <w:shd w:val="clear" w:color="auto" w:fill="FFFFFF"/>
                <w:lang w:val="en-US"/>
              </w:rPr>
              <w:t>excepția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cazurilor</w:t>
            </w:r>
            <w:proofErr w:type="spellEnd"/>
            <w:r w:rsidRPr="00D9773B">
              <w:rPr>
                <w:rFonts w:eastAsia="Arial Unicode MS"/>
                <w:color w:val="000000" w:themeColor="text1"/>
                <w:sz w:val="20"/>
                <w:szCs w:val="20"/>
                <w:shd w:val="clear" w:color="auto" w:fill="FFFFFF"/>
                <w:lang w:val="en-US"/>
              </w:rPr>
              <w:t xml:space="preserve"> în care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respectivă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deține</w:t>
            </w:r>
            <w:proofErr w:type="spellEnd"/>
            <w:r w:rsidRPr="00D9773B">
              <w:rPr>
                <w:rFonts w:eastAsia="Arial Unicode MS"/>
                <w:color w:val="000000" w:themeColor="text1"/>
                <w:sz w:val="20"/>
                <w:szCs w:val="20"/>
                <w:shd w:val="clear" w:color="auto" w:fill="FFFFFF"/>
                <w:lang w:val="en-US"/>
              </w:rPr>
              <w:t xml:space="preserve"> o </w:t>
            </w:r>
            <w:proofErr w:type="spellStart"/>
            <w:r w:rsidRPr="00D9773B">
              <w:rPr>
                <w:rFonts w:eastAsia="Arial Unicode MS"/>
                <w:color w:val="000000" w:themeColor="text1"/>
                <w:sz w:val="20"/>
                <w:szCs w:val="20"/>
                <w:shd w:val="clear" w:color="auto" w:fill="FFFFFF"/>
                <w:lang w:val="en-US"/>
              </w:rPr>
              <w:t>autorizație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acordată</w:t>
            </w:r>
            <w:proofErr w:type="spellEnd"/>
            <w:r w:rsidRPr="00D9773B">
              <w:rPr>
                <w:rFonts w:eastAsia="Arial Unicode MS"/>
                <w:color w:val="000000" w:themeColor="text1"/>
                <w:sz w:val="20"/>
                <w:szCs w:val="20"/>
                <w:shd w:val="clear" w:color="auto" w:fill="FFFFFF"/>
                <w:lang w:val="en-US"/>
              </w:rPr>
              <w:t xml:space="preserve"> de o </w:t>
            </w:r>
            <w:proofErr w:type="spellStart"/>
            <w:r w:rsidRPr="00D9773B">
              <w:rPr>
                <w:rFonts w:eastAsia="Arial Unicode MS"/>
                <w:color w:val="000000" w:themeColor="text1"/>
                <w:sz w:val="20"/>
                <w:szCs w:val="20"/>
                <w:shd w:val="clear" w:color="auto" w:fill="FFFFFF"/>
                <w:lang w:val="en-US"/>
              </w:rPr>
              <w:t>autoritate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alineatele</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(2) și</w:t>
            </w:r>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(3) de la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articol</w:t>
            </w:r>
            <w:proofErr w:type="spellEnd"/>
            <w:r w:rsidRPr="00D9773B">
              <w:rPr>
                <w:rFonts w:eastAsia="Arial Unicode MS"/>
                <w:color w:val="000000" w:themeColor="text1"/>
                <w:sz w:val="20"/>
                <w:szCs w:val="20"/>
                <w:shd w:val="clear" w:color="auto" w:fill="FFFFFF"/>
                <w:lang w:val="en-US"/>
              </w:rPr>
              <w:t>.</w:t>
            </w:r>
          </w:p>
          <w:p w14:paraId="70AC0BCB" w14:textId="2537D0EC" w:rsidR="00124364" w:rsidRPr="00D9773B" w:rsidRDefault="00000000" w:rsidP="00D9773B">
            <w:pPr>
              <w:pStyle w:val="ti-art"/>
              <w:numPr>
                <w:ilvl w:val="0"/>
                <w:numId w:val="13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O </w:t>
            </w:r>
            <w:proofErr w:type="spellStart"/>
            <w:r w:rsidRPr="00D9773B">
              <w:rPr>
                <w:rFonts w:eastAsia="Arial Unicode MS"/>
                <w:color w:val="000000" w:themeColor="text1"/>
                <w:sz w:val="20"/>
                <w:szCs w:val="20"/>
                <w:shd w:val="clear" w:color="auto" w:fill="FFFFFF"/>
                <w:lang w:val="en-US"/>
              </w:rPr>
              <w:t>cerere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înaintată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autorității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către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(1) de la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articol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acordarea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unei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emisii</w:t>
            </w:r>
            <w:proofErr w:type="spellEnd"/>
            <w:r w:rsidRPr="00D9773B">
              <w:rPr>
                <w:rFonts w:eastAsia="Arial Unicode MS"/>
                <w:color w:val="000000" w:themeColor="text1"/>
                <w:sz w:val="20"/>
                <w:szCs w:val="20"/>
                <w:shd w:val="clear" w:color="auto" w:fill="FFFFFF"/>
                <w:lang w:val="en-US"/>
              </w:rPr>
              <w:t xml:space="preserve"> de gaze cu </w:t>
            </w:r>
            <w:proofErr w:type="spellStart"/>
            <w:r w:rsidRPr="00D9773B">
              <w:rPr>
                <w:rFonts w:eastAsia="Arial Unicode MS"/>
                <w:color w:val="000000" w:themeColor="text1"/>
                <w:sz w:val="20"/>
                <w:szCs w:val="20"/>
                <w:shd w:val="clear" w:color="auto" w:fill="FFFFFF"/>
                <w:lang w:val="en-US"/>
              </w:rPr>
              <w:t>efect</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seră</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temeiul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prezentului</w:t>
            </w:r>
            <w:proofErr w:type="spellEnd"/>
            <w:r w:rsidRPr="00D9773B">
              <w:rPr>
                <w:rFonts w:eastAsia="Arial Unicode MS"/>
                <w:color w:val="000000" w:themeColor="text1"/>
                <w:sz w:val="20"/>
                <w:szCs w:val="20"/>
                <w:shd w:val="clear" w:color="auto" w:fill="FFFFFF"/>
                <w:lang w:val="en-US"/>
              </w:rPr>
              <w:t xml:space="preserve"> capitol </w:t>
            </w:r>
            <w:proofErr w:type="spellStart"/>
            <w:r w:rsidRPr="00D9773B">
              <w:rPr>
                <w:rFonts w:eastAsia="Arial Unicode MS"/>
                <w:color w:val="000000" w:themeColor="text1"/>
                <w:sz w:val="20"/>
                <w:szCs w:val="20"/>
                <w:shd w:val="clear" w:color="auto" w:fill="FFFFFF"/>
                <w:lang w:val="en-US"/>
              </w:rPr>
              <w:t>trebuie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cuprindă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puțin</w:t>
            </w:r>
            <w:proofErr w:type="spellEnd"/>
            <w:r w:rsidRPr="00D9773B">
              <w:rPr>
                <w:rFonts w:eastAsia="Arial Unicode MS"/>
                <w:color w:val="000000" w:themeColor="text1"/>
                <w:sz w:val="20"/>
                <w:szCs w:val="20"/>
                <w:shd w:val="clear" w:color="auto" w:fill="FFFFFF"/>
                <w:lang w:val="en-US"/>
              </w:rPr>
              <w:t xml:space="preserve"> o </w:t>
            </w:r>
            <w:proofErr w:type="spellStart"/>
            <w:r w:rsidRPr="00D9773B">
              <w:rPr>
                <w:rFonts w:eastAsia="Arial Unicode MS"/>
                <w:color w:val="000000" w:themeColor="text1"/>
                <w:sz w:val="20"/>
                <w:szCs w:val="20"/>
                <w:shd w:val="clear" w:color="auto" w:fill="FFFFFF"/>
                <w:lang w:val="en-US"/>
              </w:rPr>
              <w:t>descriere</w:t>
            </w:r>
            <w:proofErr w:type="spellEnd"/>
            <w:r w:rsidRPr="00D9773B">
              <w:rPr>
                <w:rFonts w:eastAsia="Arial Unicode MS"/>
                <w:color w:val="000000" w:themeColor="text1"/>
                <w:sz w:val="20"/>
                <w:szCs w:val="20"/>
                <w:shd w:val="clear" w:color="auto" w:fill="FFFFFF"/>
                <w:lang w:val="en-US"/>
              </w:rPr>
              <w:t xml:space="preserve"> a:</w:t>
            </w:r>
          </w:p>
          <w:p w14:paraId="134D51DA" w14:textId="77777777" w:rsidR="00124364" w:rsidRPr="00D9773B" w:rsidRDefault="00000000" w:rsidP="00D9773B">
            <w:pPr>
              <w:pStyle w:val="ti-art"/>
              <w:numPr>
                <w:ilvl w:val="0"/>
                <w:numId w:val="1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rPr>
              <w:t>entității</w:t>
            </w:r>
            <w:proofErr w:type="spellEnd"/>
            <w:r w:rsidRPr="00D9773B">
              <w:rPr>
                <w:rFonts w:eastAsia="Arial Unicode MS"/>
                <w:color w:val="000000" w:themeColor="text1"/>
                <w:sz w:val="20"/>
                <w:szCs w:val="20"/>
                <w:shd w:val="clear" w:color="auto" w:fill="FFFFFF"/>
              </w:rPr>
              <w:t xml:space="preserve"> </w:t>
            </w:r>
            <w:proofErr w:type="spellStart"/>
            <w:r w:rsidRPr="00D9773B">
              <w:rPr>
                <w:rFonts w:eastAsia="Arial Unicode MS"/>
                <w:color w:val="000000" w:themeColor="text1"/>
                <w:sz w:val="20"/>
                <w:szCs w:val="20"/>
                <w:shd w:val="clear" w:color="auto" w:fill="FFFFFF"/>
              </w:rPr>
              <w:t>reglementate</w:t>
            </w:r>
            <w:proofErr w:type="spellEnd"/>
            <w:r w:rsidRPr="00D9773B">
              <w:rPr>
                <w:rFonts w:eastAsia="Arial Unicode MS"/>
                <w:color w:val="000000" w:themeColor="text1"/>
                <w:sz w:val="20"/>
                <w:szCs w:val="20"/>
                <w:shd w:val="clear" w:color="auto" w:fill="FFFFFF"/>
              </w:rPr>
              <w:t>;</w:t>
            </w:r>
          </w:p>
          <w:p w14:paraId="1849C947" w14:textId="3CA6F874" w:rsidR="00124364" w:rsidRPr="00D9773B" w:rsidRDefault="00000000" w:rsidP="00D9773B">
            <w:pPr>
              <w:pStyle w:val="ti-art"/>
              <w:numPr>
                <w:ilvl w:val="0"/>
                <w:numId w:val="1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tipului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combustibili</w:t>
            </w:r>
            <w:proofErr w:type="spellEnd"/>
            <w:r w:rsidRPr="00D9773B">
              <w:rPr>
                <w:rFonts w:eastAsia="Arial Unicode MS"/>
                <w:color w:val="000000" w:themeColor="text1"/>
                <w:sz w:val="20"/>
                <w:szCs w:val="20"/>
                <w:shd w:val="clear" w:color="auto" w:fill="FFFFFF"/>
                <w:lang w:val="en-US"/>
              </w:rPr>
              <w:t xml:space="preserve"> pe care </w:t>
            </w:r>
            <w:proofErr w:type="spellStart"/>
            <w:r w:rsidRPr="00D9773B">
              <w:rPr>
                <w:rFonts w:eastAsia="Arial Unicode MS"/>
                <w:color w:val="000000" w:themeColor="text1"/>
                <w:sz w:val="20"/>
                <w:szCs w:val="20"/>
                <w:shd w:val="clear" w:color="auto" w:fill="FFFFFF"/>
                <w:lang w:val="en-US"/>
              </w:rPr>
              <w:t>îi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și care sunt </w:t>
            </w:r>
            <w:proofErr w:type="spellStart"/>
            <w:r w:rsidRPr="00D9773B">
              <w:rPr>
                <w:rFonts w:eastAsia="Arial Unicode MS"/>
                <w:color w:val="000000" w:themeColor="text1"/>
                <w:sz w:val="20"/>
                <w:szCs w:val="20"/>
                <w:shd w:val="clear" w:color="auto" w:fill="FFFFFF"/>
                <w:lang w:val="en-US"/>
              </w:rPr>
              <w:t>utilizați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ardere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sectoarele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III, precum și a </w:t>
            </w:r>
            <w:proofErr w:type="spellStart"/>
            <w:r w:rsidRPr="00D9773B">
              <w:rPr>
                <w:rFonts w:eastAsia="Arial Unicode MS"/>
                <w:color w:val="000000" w:themeColor="text1"/>
                <w:sz w:val="20"/>
                <w:szCs w:val="20"/>
                <w:shd w:val="clear" w:color="auto" w:fill="FFFFFF"/>
                <w:lang w:val="en-US"/>
              </w:rPr>
              <w:t>mijloacelor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prin</w:t>
            </w:r>
            <w:proofErr w:type="spellEnd"/>
            <w:r w:rsidRPr="00D9773B">
              <w:rPr>
                <w:rFonts w:eastAsia="Arial Unicode MS"/>
                <w:color w:val="000000" w:themeColor="text1"/>
                <w:sz w:val="20"/>
                <w:szCs w:val="20"/>
                <w:shd w:val="clear" w:color="auto" w:fill="FFFFFF"/>
                <w:lang w:val="en-US"/>
              </w:rPr>
              <w:t xml:space="preserve"> care </w:t>
            </w:r>
            <w:proofErr w:type="spellStart"/>
            <w:r w:rsidRPr="00D9773B">
              <w:rPr>
                <w:rFonts w:eastAsia="Arial Unicode MS"/>
                <w:color w:val="000000" w:themeColor="text1"/>
                <w:sz w:val="20"/>
                <w:szCs w:val="20"/>
                <w:shd w:val="clear" w:color="auto" w:fill="FFFFFF"/>
                <w:lang w:val="en-US"/>
              </w:rPr>
              <w:t>acești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combustibili</w:t>
            </w:r>
            <w:proofErr w:type="spellEnd"/>
            <w:r w:rsidRPr="00D9773B">
              <w:rPr>
                <w:rFonts w:eastAsia="Arial Unicode MS"/>
                <w:color w:val="000000" w:themeColor="text1"/>
                <w:sz w:val="20"/>
                <w:szCs w:val="20"/>
                <w:shd w:val="clear" w:color="auto" w:fill="FFFFFF"/>
                <w:lang w:val="en-US"/>
              </w:rPr>
              <w:t xml:space="preserve"> sunt </w:t>
            </w:r>
            <w:proofErr w:type="spellStart"/>
            <w:r w:rsidRPr="00D9773B">
              <w:rPr>
                <w:rFonts w:eastAsia="Arial Unicode MS"/>
                <w:color w:val="000000" w:themeColor="text1"/>
                <w:sz w:val="20"/>
                <w:szCs w:val="20"/>
                <w:shd w:val="clear" w:color="auto" w:fill="FFFFFF"/>
                <w:lang w:val="en-US"/>
              </w:rPr>
              <w:t>eliberați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w:t>
            </w:r>
          </w:p>
          <w:p w14:paraId="61BB5B4B" w14:textId="77777777" w:rsidR="00124364" w:rsidRPr="00D9773B" w:rsidRDefault="00000000" w:rsidP="00D9773B">
            <w:pPr>
              <w:pStyle w:val="ti-art"/>
              <w:numPr>
                <w:ilvl w:val="0"/>
                <w:numId w:val="1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utilizării</w:t>
            </w:r>
            <w:proofErr w:type="spellEnd"/>
            <w:r w:rsidRPr="00D9773B">
              <w:rPr>
                <w:rFonts w:eastAsia="Arial Unicode MS"/>
                <w:color w:val="000000" w:themeColor="text1"/>
                <w:sz w:val="20"/>
                <w:szCs w:val="20"/>
                <w:shd w:val="clear" w:color="auto" w:fill="FFFFFF"/>
                <w:lang w:val="en-US"/>
              </w:rPr>
              <w:t xml:space="preserve"> finale </w:t>
            </w:r>
            <w:proofErr w:type="spellStart"/>
            <w:r w:rsidRPr="00D9773B">
              <w:rPr>
                <w:rFonts w:eastAsia="Arial Unicode MS"/>
                <w:color w:val="000000" w:themeColor="text1"/>
                <w:sz w:val="20"/>
                <w:szCs w:val="20"/>
                <w:shd w:val="clear" w:color="auto" w:fill="FFFFFF"/>
                <w:lang w:val="en-US"/>
              </w:rPr>
              <w:t>sau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utilizărilor</w:t>
            </w:r>
            <w:proofErr w:type="spellEnd"/>
            <w:r w:rsidRPr="00D9773B">
              <w:rPr>
                <w:rFonts w:eastAsia="Arial Unicode MS"/>
                <w:color w:val="000000" w:themeColor="text1"/>
                <w:sz w:val="20"/>
                <w:szCs w:val="20"/>
                <w:shd w:val="clear" w:color="auto" w:fill="FFFFFF"/>
                <w:lang w:val="en-US"/>
              </w:rPr>
              <w:t xml:space="preserve"> finale ale </w:t>
            </w:r>
            <w:proofErr w:type="spellStart"/>
            <w:r w:rsidRPr="00D9773B">
              <w:rPr>
                <w:rFonts w:eastAsia="Arial Unicode MS"/>
                <w:color w:val="000000" w:themeColor="text1"/>
                <w:sz w:val="20"/>
                <w:szCs w:val="20"/>
                <w:shd w:val="clear" w:color="auto" w:fill="FFFFFF"/>
                <w:lang w:val="en-US"/>
              </w:rPr>
              <w:t>combustibililor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eliberați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activitatea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menționată</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anexa</w:t>
            </w:r>
            <w:proofErr w:type="spellEnd"/>
            <w:r w:rsidRPr="00D9773B">
              <w:rPr>
                <w:rFonts w:eastAsia="Arial Unicode MS"/>
                <w:color w:val="000000" w:themeColor="text1"/>
                <w:sz w:val="20"/>
                <w:szCs w:val="20"/>
                <w:shd w:val="clear" w:color="auto" w:fill="FFFFFF"/>
                <w:lang w:val="en-US"/>
              </w:rPr>
              <w:t> III;</w:t>
            </w:r>
          </w:p>
          <w:p w14:paraId="6BAA366B" w14:textId="0C67B2DC" w:rsidR="00124364" w:rsidRPr="00D9773B" w:rsidRDefault="00000000" w:rsidP="00D9773B">
            <w:pPr>
              <w:pStyle w:val="ti-art"/>
              <w:numPr>
                <w:ilvl w:val="0"/>
                <w:numId w:val="1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lastRenderedPageBreak/>
              <w:t>măsurilor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planificate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monitorizarea</w:t>
            </w:r>
            <w:proofErr w:type="spellEnd"/>
            <w:r w:rsidRPr="00D9773B">
              <w:rPr>
                <w:rFonts w:eastAsia="Arial Unicode MS"/>
                <w:color w:val="000000" w:themeColor="text1"/>
                <w:sz w:val="20"/>
                <w:szCs w:val="20"/>
                <w:shd w:val="clear" w:color="auto" w:fill="FFFFFF"/>
                <w:lang w:val="en-US"/>
              </w:rPr>
              <w:t xml:space="preserve"> și </w:t>
            </w:r>
            <w:proofErr w:type="spellStart"/>
            <w:r w:rsidRPr="00D9773B">
              <w:rPr>
                <w:rFonts w:eastAsia="Arial Unicode MS"/>
                <w:color w:val="000000" w:themeColor="text1"/>
                <w:sz w:val="20"/>
                <w:szCs w:val="20"/>
                <w:shd w:val="clear" w:color="auto" w:fill="FFFFFF"/>
                <w:lang w:val="en-US"/>
              </w:rPr>
              <w:t>raportarea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emisiilor</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actele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punere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aplicare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articolele</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14 și</w:t>
            </w:r>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30f;</w:t>
            </w:r>
          </w:p>
          <w:p w14:paraId="7BF68F78" w14:textId="5DA4A7CF" w:rsidR="00124364" w:rsidRPr="00D9773B" w:rsidRDefault="00000000" w:rsidP="00D9773B">
            <w:pPr>
              <w:pStyle w:val="ti-art"/>
              <w:numPr>
                <w:ilvl w:val="0"/>
                <w:numId w:val="1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un </w:t>
            </w:r>
            <w:proofErr w:type="spellStart"/>
            <w:r w:rsidRPr="00D9773B">
              <w:rPr>
                <w:rFonts w:eastAsia="Arial Unicode MS"/>
                <w:color w:val="000000" w:themeColor="text1"/>
                <w:sz w:val="20"/>
                <w:szCs w:val="20"/>
                <w:shd w:val="clear" w:color="auto" w:fill="FFFFFF"/>
                <w:lang w:val="en-US"/>
              </w:rPr>
              <w:t>rezumat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netehnic</w:t>
            </w:r>
            <w:proofErr w:type="spellEnd"/>
            <w:r w:rsidRPr="00D9773B">
              <w:rPr>
                <w:rFonts w:eastAsia="Arial Unicode MS"/>
                <w:color w:val="000000" w:themeColor="text1"/>
                <w:sz w:val="20"/>
                <w:szCs w:val="20"/>
                <w:shd w:val="clear" w:color="auto" w:fill="FFFFFF"/>
                <w:lang w:val="en-US"/>
              </w:rPr>
              <w:t xml:space="preserve"> al </w:t>
            </w:r>
            <w:proofErr w:type="spellStart"/>
            <w:r w:rsidRPr="00D9773B">
              <w:rPr>
                <w:rFonts w:eastAsia="Arial Unicode MS"/>
                <w:color w:val="000000" w:themeColor="text1"/>
                <w:sz w:val="20"/>
                <w:szCs w:val="20"/>
                <w:shd w:val="clear" w:color="auto" w:fill="FFFFFF"/>
                <w:lang w:val="en-US"/>
              </w:rPr>
              <w:t>informațiilor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literele</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(a)-(d) de la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alineat</w:t>
            </w:r>
            <w:proofErr w:type="spellEnd"/>
            <w:r w:rsidRPr="00D9773B">
              <w:rPr>
                <w:rFonts w:eastAsia="Arial Unicode MS"/>
                <w:color w:val="000000" w:themeColor="text1"/>
                <w:sz w:val="20"/>
                <w:szCs w:val="20"/>
                <w:shd w:val="clear" w:color="auto" w:fill="FFFFFF"/>
                <w:lang w:val="en-US"/>
              </w:rPr>
              <w:t>.</w:t>
            </w:r>
          </w:p>
          <w:p w14:paraId="3CEADE50" w14:textId="008C4643" w:rsidR="00124364" w:rsidRPr="00D9773B" w:rsidRDefault="00000000" w:rsidP="00D9773B">
            <w:pPr>
              <w:pStyle w:val="ti-art"/>
              <w:numPr>
                <w:ilvl w:val="0"/>
                <w:numId w:val="1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Autoritatea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acordă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emisii</w:t>
            </w:r>
            <w:proofErr w:type="spellEnd"/>
            <w:r w:rsidRPr="00D9773B">
              <w:rPr>
                <w:rFonts w:eastAsia="Arial Unicode MS"/>
                <w:color w:val="000000" w:themeColor="text1"/>
                <w:sz w:val="20"/>
                <w:szCs w:val="20"/>
                <w:shd w:val="clear" w:color="auto" w:fill="FFFFFF"/>
                <w:lang w:val="en-US"/>
              </w:rPr>
              <w:t xml:space="preserve"> de gaze cu </w:t>
            </w:r>
            <w:proofErr w:type="spellStart"/>
            <w:r w:rsidRPr="00D9773B">
              <w:rPr>
                <w:rFonts w:eastAsia="Arial Unicode MS"/>
                <w:color w:val="000000" w:themeColor="text1"/>
                <w:sz w:val="20"/>
                <w:szCs w:val="20"/>
                <w:shd w:val="clear" w:color="auto" w:fill="FFFFFF"/>
                <w:lang w:val="en-US"/>
              </w:rPr>
              <w:t>efect</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seră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prin</w:t>
            </w:r>
            <w:proofErr w:type="spellEnd"/>
            <w:r w:rsidRPr="00D9773B">
              <w:rPr>
                <w:rFonts w:eastAsia="Arial Unicode MS"/>
                <w:color w:val="000000" w:themeColor="text1"/>
                <w:sz w:val="20"/>
                <w:szCs w:val="20"/>
                <w:shd w:val="clear" w:color="auto" w:fill="FFFFFF"/>
                <w:lang w:val="en-US"/>
              </w:rPr>
              <w:t xml:space="preserve"> care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menționată</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(1) de la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articol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este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desfășoare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activitatea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menționată</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III, </w:t>
            </w:r>
            <w:proofErr w:type="spellStart"/>
            <w:r w:rsidRPr="00D9773B">
              <w:rPr>
                <w:rFonts w:eastAsia="Arial Unicode MS"/>
                <w:color w:val="000000" w:themeColor="text1"/>
                <w:sz w:val="20"/>
                <w:szCs w:val="20"/>
                <w:shd w:val="clear" w:color="auto" w:fill="FFFFFF"/>
                <w:lang w:val="en-US"/>
              </w:rPr>
              <w:t>dacă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a </w:t>
            </w:r>
            <w:proofErr w:type="spellStart"/>
            <w:r w:rsidRPr="00D9773B">
              <w:rPr>
                <w:rFonts w:eastAsia="Arial Unicode MS"/>
                <w:color w:val="000000" w:themeColor="text1"/>
                <w:sz w:val="20"/>
                <w:szCs w:val="20"/>
                <w:shd w:val="clear" w:color="auto" w:fill="FFFFFF"/>
                <w:lang w:val="en-US"/>
              </w:rPr>
              <w:t>stabilit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respectivă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poate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monitoriza</w:t>
            </w:r>
            <w:proofErr w:type="spellEnd"/>
            <w:r w:rsidRPr="00D9773B">
              <w:rPr>
                <w:rFonts w:eastAsia="Arial Unicode MS"/>
                <w:color w:val="000000" w:themeColor="text1"/>
                <w:sz w:val="20"/>
                <w:szCs w:val="20"/>
                <w:shd w:val="clear" w:color="auto" w:fill="FFFFFF"/>
                <w:lang w:val="en-US"/>
              </w:rPr>
              <w:t xml:space="preserve"> și </w:t>
            </w:r>
            <w:proofErr w:type="spellStart"/>
            <w:r w:rsidRPr="00D9773B">
              <w:rPr>
                <w:rFonts w:eastAsia="Arial Unicode MS"/>
                <w:color w:val="000000" w:themeColor="text1"/>
                <w:sz w:val="20"/>
                <w:szCs w:val="20"/>
                <w:shd w:val="clear" w:color="auto" w:fill="FFFFFF"/>
                <w:lang w:val="en-US"/>
              </w:rPr>
              <w:t>raporta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emisiile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corespunzătoare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cantităților</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combustibili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eliberați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III.</w:t>
            </w:r>
          </w:p>
          <w:p w14:paraId="195F764F" w14:textId="77777777" w:rsidR="00124364" w:rsidRPr="00D9773B" w:rsidRDefault="00000000" w:rsidP="00D9773B">
            <w:pPr>
              <w:pStyle w:val="ti-art"/>
              <w:numPr>
                <w:ilvl w:val="0"/>
                <w:numId w:val="1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Autorizațiile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emisii</w:t>
            </w:r>
            <w:proofErr w:type="spellEnd"/>
            <w:r w:rsidRPr="00D9773B">
              <w:rPr>
                <w:rFonts w:eastAsia="Arial Unicode MS"/>
                <w:color w:val="000000" w:themeColor="text1"/>
                <w:sz w:val="20"/>
                <w:szCs w:val="20"/>
                <w:shd w:val="clear" w:color="auto" w:fill="FFFFFF"/>
                <w:lang w:val="en-US"/>
              </w:rPr>
              <w:t xml:space="preserve"> de gaze cu </w:t>
            </w:r>
            <w:proofErr w:type="spellStart"/>
            <w:r w:rsidRPr="00D9773B">
              <w:rPr>
                <w:rFonts w:eastAsia="Arial Unicode MS"/>
                <w:color w:val="000000" w:themeColor="text1"/>
                <w:sz w:val="20"/>
                <w:szCs w:val="20"/>
                <w:shd w:val="clear" w:color="auto" w:fill="FFFFFF"/>
                <w:lang w:val="en-US"/>
              </w:rPr>
              <w:t>efect</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seră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conțin</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puțin</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următoarele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elemente</w:t>
            </w:r>
            <w:proofErr w:type="spellEnd"/>
            <w:r w:rsidRPr="00D9773B">
              <w:rPr>
                <w:rFonts w:eastAsia="Arial Unicode MS"/>
                <w:color w:val="000000" w:themeColor="text1"/>
                <w:sz w:val="20"/>
                <w:szCs w:val="20"/>
                <w:shd w:val="clear" w:color="auto" w:fill="FFFFFF"/>
                <w:lang w:val="en-US"/>
              </w:rPr>
              <w:t>:</w:t>
            </w:r>
          </w:p>
          <w:p w14:paraId="7E4A86F8" w14:textId="77777777"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denumirea</w:t>
            </w:r>
            <w:proofErr w:type="spellEnd"/>
            <w:r w:rsidRPr="00D9773B">
              <w:rPr>
                <w:rFonts w:eastAsia="Arial Unicode MS"/>
                <w:color w:val="000000" w:themeColor="text1"/>
                <w:sz w:val="20"/>
                <w:szCs w:val="20"/>
                <w:shd w:val="clear" w:color="auto" w:fill="FFFFFF"/>
                <w:lang w:val="en-US"/>
              </w:rPr>
              <w:t xml:space="preserve"> și </w:t>
            </w:r>
            <w:proofErr w:type="spellStart"/>
            <w:r w:rsidRPr="00D9773B">
              <w:rPr>
                <w:rFonts w:eastAsia="Arial Unicode MS"/>
                <w:color w:val="000000" w:themeColor="text1"/>
                <w:sz w:val="20"/>
                <w:szCs w:val="20"/>
                <w:shd w:val="clear" w:color="auto" w:fill="FFFFFF"/>
                <w:lang w:val="en-US"/>
              </w:rPr>
              <w:t>adresa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entității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reglementate</w:t>
            </w:r>
            <w:proofErr w:type="spellEnd"/>
            <w:r w:rsidRPr="00D9773B">
              <w:rPr>
                <w:rFonts w:eastAsia="Arial Unicode MS"/>
                <w:color w:val="000000" w:themeColor="text1"/>
                <w:sz w:val="20"/>
                <w:szCs w:val="20"/>
                <w:shd w:val="clear" w:color="auto" w:fill="FFFFFF"/>
                <w:lang w:val="en-US"/>
              </w:rPr>
              <w:t>;</w:t>
            </w:r>
          </w:p>
          <w:p w14:paraId="0C28C2DF" w14:textId="77777777"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o </w:t>
            </w:r>
            <w:proofErr w:type="spellStart"/>
            <w:r w:rsidRPr="00D9773B">
              <w:rPr>
                <w:rFonts w:eastAsia="Arial Unicode MS"/>
                <w:color w:val="000000" w:themeColor="text1"/>
                <w:sz w:val="20"/>
                <w:szCs w:val="20"/>
                <w:shd w:val="clear" w:color="auto" w:fill="FFFFFF"/>
                <w:lang w:val="en-US"/>
              </w:rPr>
              <w:t>descriere</w:t>
            </w:r>
            <w:proofErr w:type="spellEnd"/>
            <w:r w:rsidRPr="00D9773B">
              <w:rPr>
                <w:rFonts w:eastAsia="Arial Unicode MS"/>
                <w:color w:val="000000" w:themeColor="text1"/>
                <w:sz w:val="20"/>
                <w:szCs w:val="20"/>
                <w:shd w:val="clear" w:color="auto" w:fill="FFFFFF"/>
                <w:lang w:val="en-US"/>
              </w:rPr>
              <w:t xml:space="preserve"> a </w:t>
            </w:r>
            <w:proofErr w:type="spellStart"/>
            <w:r w:rsidRPr="00D9773B">
              <w:rPr>
                <w:rFonts w:eastAsia="Arial Unicode MS"/>
                <w:color w:val="000000" w:themeColor="text1"/>
                <w:sz w:val="20"/>
                <w:szCs w:val="20"/>
                <w:shd w:val="clear" w:color="auto" w:fill="FFFFFF"/>
                <w:lang w:val="en-US"/>
              </w:rPr>
              <w:t>mijloacelor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prin</w:t>
            </w:r>
            <w:proofErr w:type="spellEnd"/>
            <w:r w:rsidRPr="00D9773B">
              <w:rPr>
                <w:rFonts w:eastAsia="Arial Unicode MS"/>
                <w:color w:val="000000" w:themeColor="text1"/>
                <w:sz w:val="20"/>
                <w:szCs w:val="20"/>
                <w:shd w:val="clear" w:color="auto" w:fill="FFFFFF"/>
                <w:lang w:val="en-US"/>
              </w:rPr>
              <w:t xml:space="preserve"> care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combustibilii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sectoarele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vizate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capitol;</w:t>
            </w:r>
          </w:p>
          <w:p w14:paraId="12C89259" w14:textId="77777777"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o </w:t>
            </w:r>
            <w:proofErr w:type="spellStart"/>
            <w:r w:rsidRPr="00D9773B">
              <w:rPr>
                <w:rFonts w:eastAsia="Arial Unicode MS"/>
                <w:color w:val="000000" w:themeColor="text1"/>
                <w:sz w:val="20"/>
                <w:szCs w:val="20"/>
                <w:shd w:val="clear" w:color="auto" w:fill="FFFFFF"/>
                <w:lang w:val="en-US"/>
              </w:rPr>
              <w:t>listă</w:t>
            </w:r>
            <w:proofErr w:type="spellEnd"/>
            <w:r w:rsidRPr="00D9773B">
              <w:rPr>
                <w:rFonts w:eastAsia="Arial Unicode MS"/>
                <w:color w:val="000000" w:themeColor="text1"/>
                <w:sz w:val="20"/>
                <w:szCs w:val="20"/>
                <w:shd w:val="clear" w:color="auto" w:fill="FFFFFF"/>
                <w:lang w:val="en-US"/>
              </w:rPr>
              <w:t xml:space="preserve"> a </w:t>
            </w:r>
            <w:proofErr w:type="spellStart"/>
            <w:r w:rsidRPr="00D9773B">
              <w:rPr>
                <w:rFonts w:eastAsia="Arial Unicode MS"/>
                <w:color w:val="000000" w:themeColor="text1"/>
                <w:sz w:val="20"/>
                <w:szCs w:val="20"/>
                <w:shd w:val="clear" w:color="auto" w:fill="FFFFFF"/>
                <w:lang w:val="en-US"/>
              </w:rPr>
              <w:t>combustibililor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eliberați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către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sectoarele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vizate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capitol;</w:t>
            </w:r>
          </w:p>
          <w:p w14:paraId="33A30FB0" w14:textId="0A7BC088"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un plan de </w:t>
            </w:r>
            <w:proofErr w:type="spellStart"/>
            <w:r w:rsidRPr="00D9773B">
              <w:rPr>
                <w:rFonts w:eastAsia="Arial Unicode MS"/>
                <w:color w:val="000000" w:themeColor="text1"/>
                <w:sz w:val="20"/>
                <w:szCs w:val="20"/>
                <w:shd w:val="clear" w:color="auto" w:fill="FFFFFF"/>
                <w:lang w:val="en-US"/>
              </w:rPr>
              <w:t>monitorizare</w:t>
            </w:r>
            <w:proofErr w:type="spellEnd"/>
            <w:r w:rsidRPr="00D9773B">
              <w:rPr>
                <w:rFonts w:eastAsia="Arial Unicode MS"/>
                <w:color w:val="000000" w:themeColor="text1"/>
                <w:sz w:val="20"/>
                <w:szCs w:val="20"/>
                <w:shd w:val="clear" w:color="auto" w:fill="FFFFFF"/>
                <w:lang w:val="en-US"/>
              </w:rPr>
              <w:t xml:space="preserve"> care </w:t>
            </w:r>
            <w:proofErr w:type="spellStart"/>
            <w:r w:rsidRPr="00D9773B">
              <w:rPr>
                <w:rFonts w:eastAsia="Arial Unicode MS"/>
                <w:color w:val="000000" w:themeColor="text1"/>
                <w:sz w:val="20"/>
                <w:szCs w:val="20"/>
                <w:shd w:val="clear" w:color="auto" w:fill="FFFFFF"/>
                <w:lang w:val="en-US"/>
              </w:rPr>
              <w:t>respectă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cerințele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actelor</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punere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aplicare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14;</w:t>
            </w:r>
          </w:p>
          <w:p w14:paraId="119DA4FD" w14:textId="3A5A9E13"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cerințele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raportare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stabilite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prin</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actele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punere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aplicare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14;</w:t>
            </w:r>
          </w:p>
          <w:p w14:paraId="67CF2D6A" w14:textId="0A78EA7D" w:rsidR="00124364" w:rsidRPr="00D9773B" w:rsidRDefault="00000000" w:rsidP="00D9773B">
            <w:pPr>
              <w:pStyle w:val="ti-art"/>
              <w:numPr>
                <w:ilvl w:val="0"/>
                <w:numId w:val="1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obligația</w:t>
            </w:r>
            <w:proofErr w:type="spellEnd"/>
            <w:r w:rsidRPr="00D9773B">
              <w:rPr>
                <w:rFonts w:eastAsia="Arial Unicode MS"/>
                <w:color w:val="000000" w:themeColor="text1"/>
                <w:sz w:val="20"/>
                <w:szCs w:val="20"/>
                <w:shd w:val="clear" w:color="auto" w:fill="FFFFFF"/>
                <w:lang w:val="en-US"/>
              </w:rPr>
              <w:t xml:space="preserve"> de a </w:t>
            </w:r>
            <w:proofErr w:type="spellStart"/>
            <w:r w:rsidRPr="00D9773B">
              <w:rPr>
                <w:rFonts w:eastAsia="Arial Unicode MS"/>
                <w:color w:val="000000" w:themeColor="text1"/>
                <w:sz w:val="20"/>
                <w:szCs w:val="20"/>
                <w:shd w:val="clear" w:color="auto" w:fill="FFFFFF"/>
                <w:lang w:val="en-US"/>
              </w:rPr>
              <w:t>restitui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certificatele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emise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temeiul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prezentului</w:t>
            </w:r>
            <w:proofErr w:type="spellEnd"/>
            <w:r w:rsidRPr="00D9773B">
              <w:rPr>
                <w:rFonts w:eastAsia="Arial Unicode MS"/>
                <w:color w:val="000000" w:themeColor="text1"/>
                <w:sz w:val="20"/>
                <w:szCs w:val="20"/>
                <w:shd w:val="clear" w:color="auto" w:fill="FFFFFF"/>
                <w:lang w:val="en-US"/>
              </w:rPr>
              <w:t xml:space="preserve"> capitol, care </w:t>
            </w:r>
            <w:proofErr w:type="spellStart"/>
            <w:r w:rsidRPr="00D9773B">
              <w:rPr>
                <w:rFonts w:eastAsia="Arial Unicode MS"/>
                <w:color w:val="000000" w:themeColor="text1"/>
                <w:sz w:val="20"/>
                <w:szCs w:val="20"/>
                <w:shd w:val="clear" w:color="auto" w:fill="FFFFFF"/>
                <w:lang w:val="en-US"/>
              </w:rPr>
              <w:t>corespund</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emisiilor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totale</w:t>
            </w:r>
            <w:proofErr w:type="spellEnd"/>
            <w:r w:rsidRPr="00D9773B">
              <w:rPr>
                <w:rFonts w:eastAsia="Arial Unicode MS"/>
                <w:color w:val="000000" w:themeColor="text1"/>
                <w:sz w:val="20"/>
                <w:szCs w:val="20"/>
                <w:shd w:val="clear" w:color="auto" w:fill="FFFFFF"/>
                <w:lang w:val="en-US"/>
              </w:rPr>
              <w:t xml:space="preserve"> din </w:t>
            </w:r>
            <w:proofErr w:type="spellStart"/>
            <w:r w:rsidRPr="00D9773B">
              <w:rPr>
                <w:rFonts w:eastAsia="Arial Unicode MS"/>
                <w:color w:val="000000" w:themeColor="text1"/>
                <w:sz w:val="20"/>
                <w:szCs w:val="20"/>
                <w:shd w:val="clear" w:color="auto" w:fill="FFFFFF"/>
                <w:lang w:val="en-US"/>
              </w:rPr>
              <w:t>fiecare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an</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calendaristic</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astfel</w:t>
            </w:r>
            <w:proofErr w:type="spellEnd"/>
            <w:r w:rsidRPr="00D9773B">
              <w:rPr>
                <w:rFonts w:eastAsia="Arial Unicode MS"/>
                <w:color w:val="000000" w:themeColor="text1"/>
                <w:sz w:val="20"/>
                <w:szCs w:val="20"/>
                <w:shd w:val="clear" w:color="auto" w:fill="FFFFFF"/>
                <w:lang w:val="en-US"/>
              </w:rPr>
              <w:t xml:space="preserve"> cum au </w:t>
            </w:r>
            <w:proofErr w:type="spellStart"/>
            <w:r w:rsidRPr="00D9773B">
              <w:rPr>
                <w:rFonts w:eastAsia="Arial Unicode MS"/>
                <w:color w:val="000000" w:themeColor="text1"/>
                <w:sz w:val="20"/>
                <w:szCs w:val="20"/>
                <w:shd w:val="clear" w:color="auto" w:fill="FFFFFF"/>
                <w:lang w:val="en-US"/>
              </w:rPr>
              <w:t>fost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verificate</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15</w:t>
            </w:r>
            <w:r w:rsid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până</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termenul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stabilit</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30e </w:t>
            </w:r>
            <w:proofErr w:type="spellStart"/>
            <w:r w:rsidRPr="00D9773B">
              <w:rPr>
                <w:rFonts w:eastAsia="Arial Unicode MS"/>
                <w:color w:val="000000" w:themeColor="text1"/>
                <w:sz w:val="20"/>
                <w:szCs w:val="20"/>
                <w:shd w:val="clear" w:color="auto" w:fill="FFFFFF"/>
                <w:lang w:val="en-US"/>
              </w:rPr>
              <w:t>alineatul</w:t>
            </w:r>
            <w:proofErr w:type="spellEnd"/>
            <w:r w:rsidRPr="00D9773B">
              <w:rPr>
                <w:rFonts w:eastAsia="Arial Unicode MS"/>
                <w:color w:val="000000" w:themeColor="text1"/>
                <w:sz w:val="20"/>
                <w:szCs w:val="20"/>
                <w:shd w:val="clear" w:color="auto" w:fill="FFFFFF"/>
                <w:lang w:val="en-US"/>
              </w:rPr>
              <w:t xml:space="preserve"> (2).</w:t>
            </w:r>
          </w:p>
          <w:p w14:paraId="120E1B7E" w14:textId="77777777" w:rsidR="00124364" w:rsidRPr="00D9773B" w:rsidRDefault="00000000" w:rsidP="00D9773B">
            <w:pPr>
              <w:pStyle w:val="ti-art"/>
              <w:numPr>
                <w:ilvl w:val="0"/>
                <w:numId w:val="13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Statele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membre</w:t>
            </w:r>
            <w:proofErr w:type="spellEnd"/>
            <w:r w:rsidRPr="00D9773B">
              <w:rPr>
                <w:rFonts w:eastAsia="Arial Unicode MS"/>
                <w:color w:val="000000" w:themeColor="text1"/>
                <w:sz w:val="20"/>
                <w:szCs w:val="20"/>
                <w:shd w:val="clear" w:color="auto" w:fill="FFFFFF"/>
                <w:lang w:val="en-US"/>
              </w:rPr>
              <w:t xml:space="preserve"> pot </w:t>
            </w:r>
            <w:proofErr w:type="spellStart"/>
            <w:r w:rsidRPr="00D9773B">
              <w:rPr>
                <w:rFonts w:eastAsia="Arial Unicode MS"/>
                <w:color w:val="000000" w:themeColor="text1"/>
                <w:sz w:val="20"/>
                <w:szCs w:val="20"/>
                <w:shd w:val="clear" w:color="auto" w:fill="FFFFFF"/>
                <w:lang w:val="en-US"/>
              </w:rPr>
              <w:t>permite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entităților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actualizeze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planurile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monitorizare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fără</w:t>
            </w:r>
            <w:proofErr w:type="spellEnd"/>
            <w:r w:rsidRPr="00D9773B">
              <w:rPr>
                <w:rFonts w:eastAsia="Arial Unicode MS"/>
                <w:color w:val="000000" w:themeColor="text1"/>
                <w:sz w:val="20"/>
                <w:szCs w:val="20"/>
                <w:shd w:val="clear" w:color="auto" w:fill="FFFFFF"/>
                <w:lang w:val="en-US"/>
              </w:rPr>
              <w:t xml:space="preserve"> a </w:t>
            </w:r>
            <w:proofErr w:type="spellStart"/>
            <w:r w:rsidRPr="00D9773B">
              <w:rPr>
                <w:rFonts w:eastAsia="Arial Unicode MS"/>
                <w:color w:val="000000" w:themeColor="text1"/>
                <w:sz w:val="20"/>
                <w:szCs w:val="20"/>
                <w:shd w:val="clear" w:color="auto" w:fill="FFFFFF"/>
                <w:lang w:val="en-US"/>
              </w:rPr>
              <w:t>modifica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Entitățile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prezintă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autorității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vederea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aprobării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toate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planurile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monitorizare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actualizate</w:t>
            </w:r>
            <w:proofErr w:type="spellEnd"/>
            <w:r w:rsidRPr="00D9773B">
              <w:rPr>
                <w:rFonts w:eastAsia="Arial Unicode MS"/>
                <w:color w:val="000000" w:themeColor="text1"/>
                <w:sz w:val="20"/>
                <w:szCs w:val="20"/>
                <w:shd w:val="clear" w:color="auto" w:fill="FFFFFF"/>
                <w:lang w:val="en-US"/>
              </w:rPr>
              <w:t>.</w:t>
            </w:r>
          </w:p>
          <w:p w14:paraId="42417E66" w14:textId="77777777" w:rsidR="00124364" w:rsidRDefault="00000000" w:rsidP="00D9773B">
            <w:pPr>
              <w:pStyle w:val="ti-art"/>
              <w:numPr>
                <w:ilvl w:val="0"/>
                <w:numId w:val="136"/>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Entitatea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informează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cu </w:t>
            </w:r>
            <w:proofErr w:type="spellStart"/>
            <w:r w:rsidRPr="00D9773B">
              <w:rPr>
                <w:rFonts w:eastAsia="Arial Unicode MS"/>
                <w:color w:val="000000" w:themeColor="text1"/>
                <w:sz w:val="20"/>
                <w:szCs w:val="20"/>
                <w:shd w:val="clear" w:color="auto" w:fill="FFFFFF"/>
                <w:lang w:val="en-US"/>
              </w:rPr>
              <w:t>privire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orice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modificări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planificate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privind</w:t>
            </w:r>
            <w:proofErr w:type="spellEnd"/>
            <w:r w:rsidRPr="00D9773B">
              <w:rPr>
                <w:rFonts w:eastAsia="Arial Unicode MS"/>
                <w:color w:val="000000" w:themeColor="text1"/>
                <w:sz w:val="20"/>
                <w:szCs w:val="20"/>
                <w:shd w:val="clear" w:color="auto" w:fill="FFFFFF"/>
                <w:lang w:val="en-US"/>
              </w:rPr>
              <w:t xml:space="preserve"> natura </w:t>
            </w:r>
            <w:proofErr w:type="spellStart"/>
            <w:r w:rsidRPr="00D9773B">
              <w:rPr>
                <w:rFonts w:eastAsia="Arial Unicode MS"/>
                <w:color w:val="000000" w:themeColor="text1"/>
                <w:sz w:val="20"/>
                <w:szCs w:val="20"/>
                <w:shd w:val="clear" w:color="auto" w:fill="FFFFFF"/>
                <w:lang w:val="en-US"/>
              </w:rPr>
              <w:t>activității</w:t>
            </w:r>
            <w:proofErr w:type="spellEnd"/>
            <w:r w:rsidRPr="00D9773B">
              <w:rPr>
                <w:rFonts w:eastAsia="Arial Unicode MS"/>
                <w:color w:val="000000" w:themeColor="text1"/>
                <w:sz w:val="20"/>
                <w:szCs w:val="20"/>
                <w:shd w:val="clear" w:color="auto" w:fill="FFFFFF"/>
                <w:lang w:val="en-US"/>
              </w:rPr>
              <w:t xml:space="preserve"> sale </w:t>
            </w:r>
            <w:proofErr w:type="spellStart"/>
            <w:r w:rsidRPr="00D9773B">
              <w:rPr>
                <w:rFonts w:eastAsia="Arial Unicode MS"/>
                <w:color w:val="000000" w:themeColor="text1"/>
                <w:sz w:val="20"/>
                <w:szCs w:val="20"/>
                <w:shd w:val="clear" w:color="auto" w:fill="FFFFFF"/>
                <w:lang w:val="en-US"/>
              </w:rPr>
              <w:t>sau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combustibilii</w:t>
            </w:r>
            <w:proofErr w:type="spellEnd"/>
            <w:r w:rsidRP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lastRenderedPageBreak/>
              <w:t xml:space="preserve">pe care </w:t>
            </w:r>
            <w:proofErr w:type="spellStart"/>
            <w:r w:rsidRPr="00D9773B">
              <w:rPr>
                <w:rFonts w:eastAsia="Arial Unicode MS"/>
                <w:color w:val="000000" w:themeColor="text1"/>
                <w:sz w:val="20"/>
                <w:szCs w:val="20"/>
                <w:shd w:val="clear" w:color="auto" w:fill="FFFFFF"/>
                <w:lang w:val="en-US"/>
              </w:rPr>
              <w:t>îi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eliberează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consum</w:t>
            </w:r>
            <w:proofErr w:type="spellEnd"/>
            <w:r w:rsidRPr="00D9773B">
              <w:rPr>
                <w:rFonts w:eastAsia="Arial Unicode MS"/>
                <w:color w:val="000000" w:themeColor="text1"/>
                <w:sz w:val="20"/>
                <w:szCs w:val="20"/>
                <w:shd w:val="clear" w:color="auto" w:fill="FFFFFF"/>
                <w:lang w:val="en-US"/>
              </w:rPr>
              <w:t xml:space="preserve">, care </w:t>
            </w:r>
            <w:proofErr w:type="spellStart"/>
            <w:r w:rsidRPr="00D9773B">
              <w:rPr>
                <w:rFonts w:eastAsia="Arial Unicode MS"/>
                <w:color w:val="000000" w:themeColor="text1"/>
                <w:sz w:val="20"/>
                <w:szCs w:val="20"/>
                <w:shd w:val="clear" w:color="auto" w:fill="FFFFFF"/>
                <w:lang w:val="en-US"/>
              </w:rPr>
              <w:t>ar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putea</w:t>
            </w:r>
            <w:proofErr w:type="spellEnd"/>
            <w:r w:rsidRPr="00D9773B">
              <w:rPr>
                <w:rFonts w:eastAsia="Arial Unicode MS"/>
                <w:color w:val="000000" w:themeColor="text1"/>
                <w:sz w:val="20"/>
                <w:szCs w:val="20"/>
                <w:shd w:val="clear" w:color="auto" w:fill="FFFFFF"/>
                <w:lang w:val="en-US"/>
              </w:rPr>
              <w:t xml:space="preserve"> face </w:t>
            </w:r>
            <w:proofErr w:type="spellStart"/>
            <w:r w:rsidRPr="00D9773B">
              <w:rPr>
                <w:rFonts w:eastAsia="Arial Unicode MS"/>
                <w:color w:val="000000" w:themeColor="text1"/>
                <w:sz w:val="20"/>
                <w:szCs w:val="20"/>
                <w:shd w:val="clear" w:color="auto" w:fill="FFFFFF"/>
                <w:lang w:val="en-US"/>
              </w:rPr>
              <w:t>necesară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actualizarea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autorizației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emisii</w:t>
            </w:r>
            <w:proofErr w:type="spellEnd"/>
            <w:r w:rsidRPr="00D9773B">
              <w:rPr>
                <w:rFonts w:eastAsia="Arial Unicode MS"/>
                <w:color w:val="000000" w:themeColor="text1"/>
                <w:sz w:val="20"/>
                <w:szCs w:val="20"/>
                <w:shd w:val="clear" w:color="auto" w:fill="FFFFFF"/>
                <w:lang w:val="en-US"/>
              </w:rPr>
              <w:t xml:space="preserve"> de gaze cu </w:t>
            </w:r>
            <w:proofErr w:type="spellStart"/>
            <w:r w:rsidRPr="00D9773B">
              <w:rPr>
                <w:rFonts w:eastAsia="Arial Unicode MS"/>
                <w:color w:val="000000" w:themeColor="text1"/>
                <w:sz w:val="20"/>
                <w:szCs w:val="20"/>
                <w:shd w:val="clear" w:color="auto" w:fill="FFFFFF"/>
                <w:lang w:val="en-US"/>
              </w:rPr>
              <w:t>efect</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seră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După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caz</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actualizează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autorizația</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t>actele</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punere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aplicare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articolul</w:t>
            </w:r>
            <w:proofErr w:type="spellEnd"/>
            <w:r w:rsidRPr="00D9773B">
              <w:rPr>
                <w:rFonts w:eastAsia="Arial Unicode MS"/>
                <w:color w:val="000000" w:themeColor="text1"/>
                <w:sz w:val="20"/>
                <w:szCs w:val="20"/>
                <w:shd w:val="clear" w:color="auto" w:fill="FFFFFF"/>
                <w:lang w:val="en-US"/>
              </w:rPr>
              <w:t xml:space="preserve"> 14. În </w:t>
            </w:r>
            <w:proofErr w:type="spellStart"/>
            <w:r w:rsidRPr="00D9773B">
              <w:rPr>
                <w:rFonts w:eastAsia="Arial Unicode MS"/>
                <w:color w:val="000000" w:themeColor="text1"/>
                <w:sz w:val="20"/>
                <w:szCs w:val="20"/>
                <w:shd w:val="clear" w:color="auto" w:fill="FFFFFF"/>
                <w:lang w:val="en-US"/>
              </w:rPr>
              <w:t>cazul</w:t>
            </w:r>
            <w:proofErr w:type="spellEnd"/>
            <w:r w:rsidRPr="00D9773B">
              <w:rPr>
                <w:rFonts w:eastAsia="Arial Unicode MS"/>
                <w:color w:val="000000" w:themeColor="text1"/>
                <w:sz w:val="20"/>
                <w:szCs w:val="20"/>
                <w:shd w:val="clear" w:color="auto" w:fill="FFFFFF"/>
                <w:lang w:val="en-US"/>
              </w:rPr>
              <w:t xml:space="preserve"> în care </w:t>
            </w:r>
            <w:proofErr w:type="spellStart"/>
            <w:r w:rsidRPr="00D9773B">
              <w:rPr>
                <w:rFonts w:eastAsia="Arial Unicode MS"/>
                <w:color w:val="000000" w:themeColor="text1"/>
                <w:sz w:val="20"/>
                <w:szCs w:val="20"/>
                <w:shd w:val="clear" w:color="auto" w:fill="FFFFFF"/>
                <w:lang w:val="en-US"/>
              </w:rPr>
              <w:t>survine</w:t>
            </w:r>
            <w:proofErr w:type="spellEnd"/>
            <w:r w:rsidRPr="00D9773B">
              <w:rPr>
                <w:rFonts w:eastAsia="Arial Unicode MS"/>
                <w:color w:val="000000" w:themeColor="text1"/>
                <w:sz w:val="20"/>
                <w:szCs w:val="20"/>
                <w:shd w:val="clear" w:color="auto" w:fill="FFFFFF"/>
                <w:lang w:val="en-US"/>
              </w:rPr>
              <w:t xml:space="preserve"> o </w:t>
            </w:r>
            <w:proofErr w:type="spellStart"/>
            <w:r w:rsidRPr="00D9773B">
              <w:rPr>
                <w:rFonts w:eastAsia="Arial Unicode MS"/>
                <w:color w:val="000000" w:themeColor="text1"/>
                <w:sz w:val="20"/>
                <w:szCs w:val="20"/>
                <w:shd w:val="clear" w:color="auto" w:fill="FFFFFF"/>
                <w:lang w:val="en-US"/>
              </w:rPr>
              <w:t>modificare</w:t>
            </w:r>
            <w:proofErr w:type="spellEnd"/>
            <w:r w:rsidRPr="00D9773B">
              <w:rPr>
                <w:rFonts w:eastAsia="Arial Unicode MS"/>
                <w:color w:val="000000" w:themeColor="text1"/>
                <w:sz w:val="20"/>
                <w:szCs w:val="20"/>
                <w:shd w:val="clear" w:color="auto" w:fill="FFFFFF"/>
                <w:lang w:val="en-US"/>
              </w:rPr>
              <w:t xml:space="preserve"> </w:t>
            </w:r>
            <w:proofErr w:type="gramStart"/>
            <w:r w:rsidRPr="00D9773B">
              <w:rPr>
                <w:rFonts w:eastAsia="Arial Unicode MS"/>
                <w:color w:val="000000" w:themeColor="text1"/>
                <w:sz w:val="20"/>
                <w:szCs w:val="20"/>
                <w:shd w:val="clear" w:color="auto" w:fill="FFFFFF"/>
                <w:lang w:val="en-US"/>
              </w:rPr>
              <w:t>a</w:t>
            </w:r>
            <w:proofErr w:type="gram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identității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entității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temeiul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prezentului</w:t>
            </w:r>
            <w:proofErr w:type="spellEnd"/>
            <w:r w:rsidRPr="00D9773B">
              <w:rPr>
                <w:rFonts w:eastAsia="Arial Unicode MS"/>
                <w:color w:val="000000" w:themeColor="text1"/>
                <w:sz w:val="20"/>
                <w:szCs w:val="20"/>
                <w:shd w:val="clear" w:color="auto" w:fill="FFFFFF"/>
                <w:lang w:val="en-US"/>
              </w:rPr>
              <w:t xml:space="preserve"> capitol, </w:t>
            </w:r>
            <w:proofErr w:type="spellStart"/>
            <w:r w:rsidRPr="00D9773B">
              <w:rPr>
                <w:rFonts w:eastAsia="Arial Unicode MS"/>
                <w:color w:val="000000" w:themeColor="text1"/>
                <w:sz w:val="20"/>
                <w:szCs w:val="20"/>
                <w:shd w:val="clear" w:color="auto" w:fill="FFFFFF"/>
                <w:lang w:val="en-US"/>
              </w:rPr>
              <w:t>autoritatea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competentă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actualizează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autorizația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astfel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încât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acesta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includă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denumirea</w:t>
            </w:r>
            <w:proofErr w:type="spellEnd"/>
            <w:r w:rsidRPr="00D9773B">
              <w:rPr>
                <w:rFonts w:eastAsia="Arial Unicode MS"/>
                <w:color w:val="000000" w:themeColor="text1"/>
                <w:sz w:val="20"/>
                <w:szCs w:val="20"/>
                <w:shd w:val="clear" w:color="auto" w:fill="FFFFFF"/>
                <w:lang w:val="en-US"/>
              </w:rPr>
              <w:t xml:space="preserve"> și </w:t>
            </w:r>
            <w:proofErr w:type="spellStart"/>
            <w:r w:rsidRPr="00D9773B">
              <w:rPr>
                <w:rFonts w:eastAsia="Arial Unicode MS"/>
                <w:color w:val="000000" w:themeColor="text1"/>
                <w:sz w:val="20"/>
                <w:szCs w:val="20"/>
                <w:shd w:val="clear" w:color="auto" w:fill="FFFFFF"/>
                <w:lang w:val="en-US"/>
              </w:rPr>
              <w:t>adresa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noii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entități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reglementate</w:t>
            </w:r>
            <w:proofErr w:type="spellEnd"/>
            <w:r w:rsidRPr="00D9773B">
              <w:rPr>
                <w:rFonts w:eastAsia="Arial Unicode MS"/>
                <w:color w:val="000000" w:themeColor="text1"/>
                <w:sz w:val="20"/>
                <w:szCs w:val="20"/>
                <w:shd w:val="clear" w:color="auto" w:fill="FFFFFF"/>
                <w:lang w:val="en-US"/>
              </w:rPr>
              <w:t>.</w:t>
            </w:r>
          </w:p>
        </w:tc>
        <w:tc>
          <w:tcPr>
            <w:tcW w:w="4394" w:type="dxa"/>
            <w:shd w:val="clear" w:color="auto" w:fill="auto"/>
          </w:tcPr>
          <w:p w14:paraId="659AEFC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78F879D" w14:textId="31A930A1" w:rsidR="00124364" w:rsidRDefault="00D9773B" w:rsidP="00D9773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385282B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89CB9F1" w14:textId="77777777" w:rsidR="00D9773B" w:rsidRPr="00DF1AB5" w:rsidRDefault="00D9773B" w:rsidP="00D9773B">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506DFA9A" w14:textId="1F960B6C" w:rsidR="00124364" w:rsidRDefault="00D9773B" w:rsidP="00D9773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2B9BE4D2" w14:textId="77777777" w:rsidR="00124364" w:rsidRDefault="00124364" w:rsidP="00D9773B">
            <w:pPr>
              <w:autoSpaceDE w:val="0"/>
              <w:spacing w:after="0" w:line="240" w:lineRule="auto"/>
              <w:rPr>
                <w:rFonts w:ascii="Times New Roman" w:hAnsi="Times New Roman"/>
                <w:sz w:val="20"/>
                <w:szCs w:val="20"/>
                <w:lang w:val="fr-FR"/>
              </w:rPr>
            </w:pPr>
          </w:p>
        </w:tc>
      </w:tr>
      <w:tr w:rsidR="00124364" w14:paraId="0C1C3E45" w14:textId="77777777">
        <w:trPr>
          <w:trHeight w:val="558"/>
        </w:trPr>
        <w:tc>
          <w:tcPr>
            <w:tcW w:w="4957" w:type="dxa"/>
            <w:shd w:val="clear" w:color="auto" w:fill="auto"/>
          </w:tcPr>
          <w:p w14:paraId="7CF809D7" w14:textId="743590BF"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lastRenderedPageBreak/>
              <w:t>Articolul</w:t>
            </w:r>
            <w:proofErr w:type="spellEnd"/>
            <w:r w:rsidR="00D9773B">
              <w:rPr>
                <w:rFonts w:eastAsia="Arial Unicode MS"/>
                <w:i/>
                <w:iCs/>
                <w:color w:val="333333"/>
                <w:sz w:val="20"/>
                <w:szCs w:val="20"/>
                <w:shd w:val="clear" w:color="auto" w:fill="FFFFFF"/>
                <w:lang w:val="en-US"/>
              </w:rPr>
              <w:t xml:space="preserve"> </w:t>
            </w:r>
            <w:r w:rsidRPr="00E34C2B">
              <w:rPr>
                <w:rFonts w:eastAsia="Arial Unicode MS"/>
                <w:i/>
                <w:iCs/>
                <w:color w:val="333333"/>
                <w:sz w:val="20"/>
                <w:szCs w:val="20"/>
                <w:shd w:val="clear" w:color="auto" w:fill="FFFFFF"/>
                <w:lang w:val="en-US"/>
              </w:rPr>
              <w:t>30c</w:t>
            </w:r>
          </w:p>
          <w:p w14:paraId="529E803B"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Cantitatea</w:t>
            </w:r>
            <w:proofErr w:type="spellEnd"/>
            <w:r>
              <w:rPr>
                <w:rFonts w:eastAsia="Arial Unicode MS"/>
                <w:b/>
                <w:bCs/>
                <w:color w:val="333333"/>
                <w:sz w:val="20"/>
                <w:szCs w:val="20"/>
                <w:shd w:val="clear" w:color="auto" w:fill="FFFFFF"/>
                <w:lang w:val="en-US"/>
              </w:rPr>
              <w:t xml:space="preserve"> de certificate la </w:t>
            </w:r>
            <w:proofErr w:type="spellStart"/>
            <w:r>
              <w:rPr>
                <w:rFonts w:eastAsia="Arial Unicode MS"/>
                <w:b/>
                <w:bCs/>
                <w:color w:val="333333"/>
                <w:sz w:val="20"/>
                <w:szCs w:val="20"/>
                <w:shd w:val="clear" w:color="auto" w:fill="FFFFFF"/>
                <w:lang w:val="en-US"/>
              </w:rPr>
              <w:t>nivelul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Uniunii</w:t>
            </w:r>
            <w:proofErr w:type="spellEnd"/>
          </w:p>
          <w:p w14:paraId="25AA2C54" w14:textId="48DB887B" w:rsidR="00124364" w:rsidRDefault="00000000" w:rsidP="00D9773B">
            <w:pPr>
              <w:pStyle w:val="ti-art"/>
              <w:numPr>
                <w:ilvl w:val="0"/>
                <w:numId w:val="13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anul 2027 se </w:t>
            </w:r>
            <w:proofErr w:type="spellStart"/>
            <w:r>
              <w:rPr>
                <w:rFonts w:eastAsia="Arial Unicode MS"/>
                <w:color w:val="333333"/>
                <w:sz w:val="20"/>
                <w:szCs w:val="20"/>
                <w:shd w:val="clear" w:color="auto" w:fill="FFFFFF"/>
                <w:lang w:val="en-US"/>
              </w:rPr>
              <w:t>diminuează</w:t>
            </w:r>
            <w:proofErr w:type="spellEnd"/>
            <w:r>
              <w:rPr>
                <w:rFonts w:eastAsia="Arial Unicode MS"/>
                <w:color w:val="333333"/>
                <w:sz w:val="20"/>
                <w:szCs w:val="20"/>
                <w:shd w:val="clear" w:color="auto" w:fill="FFFFFF"/>
                <w:lang w:val="en-US"/>
              </w:rPr>
              <w:t xml:space="preserve"> linear </w:t>
            </w: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din 2024. </w:t>
            </w:r>
            <w:proofErr w:type="spellStart"/>
            <w:r>
              <w:rPr>
                <w:rFonts w:eastAsia="Arial Unicode MS"/>
                <w:color w:val="333333"/>
                <w:sz w:val="20"/>
                <w:szCs w:val="20"/>
                <w:shd w:val="clear" w:color="auto" w:fill="FFFFFF"/>
                <w:lang w:val="en-US"/>
              </w:rPr>
              <w:t>Valoarea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2024 se </w:t>
            </w:r>
            <w:proofErr w:type="spellStart"/>
            <w:r>
              <w:rPr>
                <w:rFonts w:eastAsia="Arial Unicode MS"/>
                <w:color w:val="333333"/>
                <w:sz w:val="20"/>
                <w:szCs w:val="20"/>
                <w:shd w:val="clear" w:color="auto" w:fill="FFFFFF"/>
                <w:lang w:val="en-US"/>
              </w:rPr>
              <w:t>definește</w:t>
            </w:r>
            <w:proofErr w:type="spellEnd"/>
            <w:r>
              <w:rPr>
                <w:rFonts w:eastAsia="Arial Unicode MS"/>
                <w:color w:val="333333"/>
                <w:sz w:val="20"/>
                <w:szCs w:val="20"/>
                <w:shd w:val="clear" w:color="auto" w:fill="FFFFFF"/>
                <w:lang w:val="en-US"/>
              </w:rPr>
              <w:t xml:space="preserve"> ca </w:t>
            </w:r>
            <w:proofErr w:type="spellStart"/>
            <w:r>
              <w:rPr>
                <w:rFonts w:eastAsia="Arial Unicode MS"/>
                <w:color w:val="333333"/>
                <w:sz w:val="20"/>
                <w:szCs w:val="20"/>
                <w:shd w:val="clear" w:color="auto" w:fill="FFFFFF"/>
                <w:lang w:val="en-US"/>
              </w:rPr>
              <w:t>limite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2024, </w:t>
            </w:r>
            <w:proofErr w:type="spellStart"/>
            <w:r>
              <w:rPr>
                <w:rFonts w:eastAsia="Arial Unicode MS"/>
                <w:color w:val="333333"/>
                <w:sz w:val="20"/>
                <w:szCs w:val="20"/>
                <w:shd w:val="clear" w:color="auto" w:fill="FFFFFF"/>
                <w:lang w:val="en-US"/>
              </w:rPr>
              <w:t>calculată</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referință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4 </w:t>
            </w:r>
            <w:proofErr w:type="spellStart"/>
            <w:r>
              <w:rPr>
                <w:rFonts w:eastAsia="Arial Unicode MS"/>
                <w:color w:val="333333"/>
                <w:sz w:val="20"/>
                <w:szCs w:val="20"/>
                <w:shd w:val="clear" w:color="auto" w:fill="FFFFFF"/>
                <w:lang w:val="en-US"/>
              </w:rPr>
              <w:t>alineatul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 din </w:t>
            </w:r>
            <w:proofErr w:type="spellStart"/>
            <w:r>
              <w:rPr>
                <w:rFonts w:eastAsia="Arial Unicode MS"/>
                <w:color w:val="333333"/>
                <w:sz w:val="20"/>
                <w:szCs w:val="20"/>
                <w:shd w:val="clear" w:color="auto" w:fill="FFFFFF"/>
                <w:lang w:val="en-US"/>
              </w:rPr>
              <w:t>Regulamentul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(UE)</w:t>
            </w:r>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2018/842 al </w:t>
            </w:r>
            <w:proofErr w:type="spellStart"/>
            <w:r>
              <w:rPr>
                <w:rFonts w:eastAsia="Arial Unicode MS"/>
                <w:color w:val="333333"/>
                <w:sz w:val="20"/>
                <w:szCs w:val="20"/>
                <w:shd w:val="clear" w:color="auto" w:fill="FFFFFF"/>
                <w:lang w:val="en-US"/>
              </w:rPr>
              <w:t>Parlamentului</w:t>
            </w:r>
            <w:proofErr w:type="spellEnd"/>
            <w:r>
              <w:rPr>
                <w:rFonts w:eastAsia="Arial Unicode MS"/>
                <w:color w:val="333333"/>
                <w:sz w:val="20"/>
                <w:szCs w:val="20"/>
                <w:shd w:val="clear" w:color="auto" w:fill="FFFFFF"/>
                <w:lang w:val="en-US"/>
              </w:rPr>
              <w:t xml:space="preserve"> European și al </w:t>
            </w:r>
            <w:proofErr w:type="spellStart"/>
            <w:r>
              <w:rPr>
                <w:rFonts w:eastAsia="Arial Unicode MS"/>
                <w:color w:val="333333"/>
                <w:sz w:val="20"/>
                <w:szCs w:val="20"/>
                <w:shd w:val="clear" w:color="auto" w:fill="FFFFFF"/>
                <w:lang w:val="en-US"/>
              </w:rPr>
              <w:t>Consiliului</w:t>
            </w:r>
            <w:proofErr w:type="spellEnd"/>
            <w:r>
              <w:rPr>
                <w:rFonts w:eastAsia="Arial Unicode MS"/>
                <w:color w:val="333333"/>
                <w:sz w:val="20"/>
                <w:szCs w:val="20"/>
                <w:shd w:val="clear" w:color="auto" w:fill="FFFFFF"/>
                <w:lang w:val="en-US"/>
              </w:rPr>
              <w:t> (</w:t>
            </w:r>
            <w:hyperlink r:id="rId346" w:anchor="E0039" w:history="1">
              <w:r>
                <w:rPr>
                  <w:rStyle w:val="apple-converted-space"/>
                  <w:rFonts w:eastAsia="Arial Unicode MS"/>
                  <w:color w:val="800080"/>
                  <w:sz w:val="20"/>
                  <w:szCs w:val="20"/>
                  <w:lang w:val="en-US"/>
                </w:rPr>
                <w:t> </w:t>
              </w:r>
              <w:r>
                <w:rPr>
                  <w:rStyle w:val="superscript"/>
                  <w:rFonts w:eastAsia="Arial Unicode MS"/>
                  <w:color w:val="800080"/>
                  <w:sz w:val="20"/>
                  <w:szCs w:val="20"/>
                  <w:vertAlign w:val="superscript"/>
                  <w:lang w:val="en-US"/>
                </w:rPr>
                <w:t>38</w:t>
              </w:r>
              <w:r>
                <w:rPr>
                  <w:rStyle w:val="apple-converted-space"/>
                  <w:rFonts w:eastAsia="Arial Unicode MS"/>
                  <w:color w:val="800080"/>
                  <w:sz w:val="20"/>
                  <w:szCs w:val="20"/>
                  <w:lang w:val="en-US"/>
                </w:rPr>
                <w:t> </w:t>
              </w:r>
            </w:hyperlink>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vizate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capitol și </w:t>
            </w:r>
            <w:proofErr w:type="spellStart"/>
            <w:r>
              <w:rPr>
                <w:rFonts w:eastAsia="Arial Unicode MS"/>
                <w:color w:val="333333"/>
                <w:sz w:val="20"/>
                <w:szCs w:val="20"/>
                <w:shd w:val="clear" w:color="auto" w:fill="FFFFFF"/>
                <w:lang w:val="en-US"/>
              </w:rPr>
              <w:t>aplicând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traiectoria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liniară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intră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domeniul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al </w:t>
            </w:r>
            <w:proofErr w:type="spellStart"/>
            <w:r>
              <w:rPr>
                <w:rFonts w:eastAsia="Arial Unicode MS"/>
                <w:color w:val="333333"/>
                <w:sz w:val="20"/>
                <w:szCs w:val="20"/>
                <w:shd w:val="clear" w:color="auto" w:fill="FFFFFF"/>
                <w:lang w:val="en-US"/>
              </w:rPr>
              <w:t>regulamentului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diminuează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an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2024 cu un factor linear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de 5,10 %.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1</w:t>
            </w:r>
            <w:r w:rsidR="00D9773B">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ianuarie</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2025,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publică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anul 2027.</w:t>
            </w:r>
          </w:p>
          <w:p w14:paraId="0C7364A4" w14:textId="7F652E65" w:rsidR="00124364" w:rsidRDefault="00000000" w:rsidP="00D9773B">
            <w:pPr>
              <w:pStyle w:val="ti-art"/>
              <w:numPr>
                <w:ilvl w:val="0"/>
                <w:numId w:val="13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anul 2028 se </w:t>
            </w:r>
            <w:proofErr w:type="spellStart"/>
            <w:r>
              <w:rPr>
                <w:rFonts w:eastAsia="Arial Unicode MS"/>
                <w:color w:val="333333"/>
                <w:sz w:val="20"/>
                <w:szCs w:val="20"/>
                <w:shd w:val="clear" w:color="auto" w:fill="FFFFFF"/>
                <w:lang w:val="en-US"/>
              </w:rPr>
              <w:t>diminuează</w:t>
            </w:r>
            <w:proofErr w:type="spellEnd"/>
            <w:r>
              <w:rPr>
                <w:rFonts w:eastAsia="Arial Unicode MS"/>
                <w:color w:val="333333"/>
                <w:sz w:val="20"/>
                <w:szCs w:val="20"/>
                <w:shd w:val="clear" w:color="auto" w:fill="FFFFFF"/>
                <w:lang w:val="en-US"/>
              </w:rPr>
              <w:t xml:space="preserve"> linear </w:t>
            </w: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anul 2025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raportate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anii</w:t>
            </w:r>
            <w:proofErr w:type="spellEnd"/>
            <w:r>
              <w:rPr>
                <w:rFonts w:eastAsia="Arial Unicode MS"/>
                <w:color w:val="333333"/>
                <w:sz w:val="20"/>
                <w:szCs w:val="20"/>
                <w:shd w:val="clear" w:color="auto" w:fill="FFFFFF"/>
                <w:lang w:val="en-US"/>
              </w:rPr>
              <w:t xml:space="preserve"> 2024-2026.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se </w:t>
            </w:r>
            <w:proofErr w:type="spellStart"/>
            <w:r>
              <w:rPr>
                <w:rFonts w:eastAsia="Arial Unicode MS"/>
                <w:color w:val="333333"/>
                <w:sz w:val="20"/>
                <w:szCs w:val="20"/>
                <w:shd w:val="clear" w:color="auto" w:fill="FFFFFF"/>
                <w:lang w:val="en-US"/>
              </w:rPr>
              <w:t>diminuează</w:t>
            </w:r>
            <w:proofErr w:type="spellEnd"/>
            <w:r>
              <w:rPr>
                <w:rFonts w:eastAsia="Arial Unicode MS"/>
                <w:color w:val="333333"/>
                <w:sz w:val="20"/>
                <w:szCs w:val="20"/>
                <w:shd w:val="clear" w:color="auto" w:fill="FFFFFF"/>
                <w:lang w:val="en-US"/>
              </w:rPr>
              <w:t xml:space="preserve"> cu un factor linear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de 5,38</w:t>
            </w:r>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excepția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cazului</w:t>
            </w:r>
            <w:proofErr w:type="spellEnd"/>
            <w:r>
              <w:rPr>
                <w:rFonts w:eastAsia="Arial Unicode MS"/>
                <w:color w:val="333333"/>
                <w:sz w:val="20"/>
                <w:szCs w:val="20"/>
                <w:shd w:val="clear" w:color="auto" w:fill="FFFFFF"/>
                <w:lang w:val="en-US"/>
              </w:rPr>
              <w:t xml:space="preserve"> în care se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condițiile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punctul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 din </w:t>
            </w:r>
            <w:proofErr w:type="spellStart"/>
            <w:r>
              <w:rPr>
                <w:rFonts w:eastAsia="Arial Unicode MS"/>
                <w:color w:val="333333"/>
                <w:sz w:val="20"/>
                <w:szCs w:val="20"/>
                <w:shd w:val="clear" w:color="auto" w:fill="FFFFFF"/>
                <w:lang w:val="en-US"/>
              </w:rPr>
              <w:t>anexa</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IIIa,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diminuează</w:t>
            </w:r>
            <w:proofErr w:type="spellEnd"/>
            <w:r>
              <w:rPr>
                <w:rFonts w:eastAsia="Arial Unicode MS"/>
                <w:color w:val="333333"/>
                <w:sz w:val="20"/>
                <w:szCs w:val="20"/>
                <w:shd w:val="clear" w:color="auto" w:fill="FFFFFF"/>
                <w:lang w:val="en-US"/>
              </w:rPr>
              <w:t xml:space="preserve"> cu un factor linear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ajustat</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normele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punctul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 din </w:t>
            </w:r>
            <w:proofErr w:type="spellStart"/>
            <w:r>
              <w:rPr>
                <w:rFonts w:eastAsia="Arial Unicode MS"/>
                <w:color w:val="333333"/>
                <w:sz w:val="20"/>
                <w:szCs w:val="20"/>
                <w:shd w:val="clear" w:color="auto" w:fill="FFFFFF"/>
                <w:lang w:val="en-US"/>
              </w:rPr>
              <w:t>anexa</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IIIa.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30</w:t>
            </w:r>
            <w:r w:rsidR="00D9773B">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iunie</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2027,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publică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2028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întregii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necesar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factorul</w:t>
            </w:r>
            <w:proofErr w:type="spellEnd"/>
            <w:r>
              <w:rPr>
                <w:rFonts w:eastAsia="Arial Unicode MS"/>
                <w:color w:val="333333"/>
                <w:sz w:val="20"/>
                <w:szCs w:val="20"/>
                <w:shd w:val="clear" w:color="auto" w:fill="FFFFFF"/>
                <w:lang w:val="en-US"/>
              </w:rPr>
              <w:t xml:space="preserve"> linear de </w:t>
            </w:r>
            <w:proofErr w:type="spellStart"/>
            <w:r>
              <w:rPr>
                <w:rFonts w:eastAsia="Arial Unicode MS"/>
                <w:color w:val="333333"/>
                <w:sz w:val="20"/>
                <w:szCs w:val="20"/>
                <w:shd w:val="clear" w:color="auto" w:fill="FFFFFF"/>
                <w:lang w:val="en-US"/>
              </w:rPr>
              <w:t>reducere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ajustat</w:t>
            </w:r>
            <w:proofErr w:type="spellEnd"/>
            <w:r>
              <w:rPr>
                <w:rFonts w:eastAsia="Arial Unicode MS"/>
                <w:color w:val="333333"/>
                <w:sz w:val="20"/>
                <w:szCs w:val="20"/>
                <w:shd w:val="clear" w:color="auto" w:fill="FFFFFF"/>
                <w:lang w:val="en-US"/>
              </w:rPr>
              <w:t>.</w:t>
            </w:r>
          </w:p>
          <w:p w14:paraId="41E89E0D" w14:textId="0A7D553B" w:rsidR="00124364" w:rsidRDefault="00000000" w:rsidP="00D9773B">
            <w:pPr>
              <w:pStyle w:val="ti-art"/>
              <w:numPr>
                <w:ilvl w:val="0"/>
                <w:numId w:val="13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se </w:t>
            </w:r>
            <w:proofErr w:type="spellStart"/>
            <w:r>
              <w:rPr>
                <w:rFonts w:eastAsia="Arial Unicode MS"/>
                <w:color w:val="333333"/>
                <w:sz w:val="20"/>
                <w:szCs w:val="20"/>
                <w:shd w:val="clear" w:color="auto" w:fill="FFFFFF"/>
                <w:lang w:val="en-US"/>
              </w:rPr>
              <w:t>ajustează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an </w:t>
            </w: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anul 2028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compensa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restituite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cazurile</w:t>
            </w:r>
            <w:proofErr w:type="spellEnd"/>
            <w:r>
              <w:rPr>
                <w:rFonts w:eastAsia="Arial Unicode MS"/>
                <w:color w:val="333333"/>
                <w:sz w:val="20"/>
                <w:szCs w:val="20"/>
                <w:shd w:val="clear" w:color="auto" w:fill="FFFFFF"/>
                <w:lang w:val="en-US"/>
              </w:rPr>
              <w:t xml:space="preserve"> în care nu a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posibilă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evitarea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dublei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contabilizări</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au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lastRenderedPageBreak/>
              <w:t>restituite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care nu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se </w:t>
            </w:r>
            <w:proofErr w:type="spellStart"/>
            <w:r>
              <w:rPr>
                <w:rFonts w:eastAsia="Arial Unicode MS"/>
                <w:color w:val="333333"/>
                <w:sz w:val="20"/>
                <w:szCs w:val="20"/>
                <w:shd w:val="clear" w:color="auto" w:fill="FFFFFF"/>
                <w:lang w:val="en-US"/>
              </w:rPr>
              <w:t>menționează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30f </w:t>
            </w:r>
            <w:proofErr w:type="spellStart"/>
            <w:r>
              <w:rPr>
                <w:rFonts w:eastAsia="Arial Unicode MS"/>
                <w:color w:val="333333"/>
                <w:sz w:val="20"/>
                <w:szCs w:val="20"/>
                <w:shd w:val="clear" w:color="auto" w:fill="FFFFFF"/>
                <w:lang w:val="en-US"/>
              </w:rPr>
              <w:t>alineatul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(5). </w:t>
            </w:r>
            <w:proofErr w:type="spellStart"/>
            <w:r>
              <w:rPr>
                <w:rFonts w:eastAsia="Arial Unicode MS"/>
                <w:color w:val="333333"/>
                <w:sz w:val="20"/>
                <w:szCs w:val="20"/>
                <w:shd w:val="clear" w:color="auto" w:fill="FFFFFF"/>
                <w:lang w:val="en-US"/>
              </w:rPr>
              <w:t>Ajustarea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corespunde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totale</w:t>
            </w:r>
            <w:proofErr w:type="spellEnd"/>
            <w:r>
              <w:rPr>
                <w:rFonts w:eastAsia="Arial Unicode MS"/>
                <w:color w:val="333333"/>
                <w:sz w:val="20"/>
                <w:szCs w:val="20"/>
                <w:shd w:val="clear" w:color="auto" w:fill="FFFFFF"/>
                <w:lang w:val="en-US"/>
              </w:rPr>
              <w:t xml:space="preserve"> de certificate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care au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compensate în anul de </w:t>
            </w:r>
            <w:proofErr w:type="spellStart"/>
            <w:r>
              <w:rPr>
                <w:rFonts w:eastAsia="Arial Unicode MS"/>
                <w:color w:val="333333"/>
                <w:sz w:val="20"/>
                <w:szCs w:val="20"/>
                <w:shd w:val="clear" w:color="auto" w:fill="FFFFFF"/>
                <w:lang w:val="en-US"/>
              </w:rPr>
              <w:t>raportare</w:t>
            </w:r>
            <w:proofErr w:type="spellEnd"/>
            <w:r>
              <w:rPr>
                <w:rFonts w:eastAsia="Arial Unicode MS"/>
                <w:color w:val="333333"/>
                <w:sz w:val="20"/>
                <w:szCs w:val="20"/>
                <w:shd w:val="clear" w:color="auto" w:fill="FFFFFF"/>
                <w:lang w:val="en-US"/>
              </w:rPr>
              <w:t xml:space="preserve"> relevant, în conformitate cu </w:t>
            </w: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punere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aplicare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30f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al </w:t>
            </w:r>
            <w:proofErr w:type="spellStart"/>
            <w:r>
              <w:rPr>
                <w:rFonts w:eastAsia="Arial Unicode MS"/>
                <w:color w:val="333333"/>
                <w:sz w:val="20"/>
                <w:szCs w:val="20"/>
                <w:shd w:val="clear" w:color="auto" w:fill="FFFFFF"/>
                <w:lang w:val="en-US"/>
              </w:rPr>
              <w:t>doilea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w:t>
            </w:r>
          </w:p>
          <w:p w14:paraId="14043496" w14:textId="54B00F6B" w:rsidR="00124364" w:rsidRDefault="00000000" w:rsidP="00D9773B">
            <w:pPr>
              <w:pStyle w:val="ti-art"/>
              <w:numPr>
                <w:ilvl w:val="0"/>
                <w:numId w:val="137"/>
              </w:numPr>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Un 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care,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30j, </w:t>
            </w:r>
            <w:proofErr w:type="spellStart"/>
            <w:r>
              <w:rPr>
                <w:rFonts w:eastAsia="Arial Unicode MS"/>
                <w:color w:val="333333"/>
                <w:sz w:val="20"/>
                <w:szCs w:val="20"/>
                <w:shd w:val="clear" w:color="auto" w:fill="FFFFFF"/>
                <w:lang w:val="en-US"/>
              </w:rPr>
              <w:t>extinde</w:t>
            </w:r>
            <w:proofErr w:type="spellEnd"/>
            <w:r>
              <w:rPr>
                <w:rFonts w:eastAsia="Arial Unicode MS"/>
                <w:color w:val="333333"/>
                <w:sz w:val="20"/>
                <w:szCs w:val="20"/>
                <w:shd w:val="clear" w:color="auto" w:fill="FFFFFF"/>
                <w:lang w:val="en-US"/>
              </w:rPr>
              <w:t xml:space="preserve"> unilateral </w:t>
            </w:r>
            <w:proofErr w:type="spellStart"/>
            <w:r>
              <w:rPr>
                <w:rFonts w:eastAsia="Arial Unicode MS"/>
                <w:color w:val="333333"/>
                <w:sz w:val="20"/>
                <w:szCs w:val="20"/>
                <w:shd w:val="clear" w:color="auto" w:fill="FFFFFF"/>
                <w:lang w:val="en-US"/>
              </w:rPr>
              <w:t>activitatea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III la </w:t>
            </w:r>
            <w:proofErr w:type="spellStart"/>
            <w:r>
              <w:rPr>
                <w:rFonts w:eastAsia="Arial Unicode MS"/>
                <w:color w:val="333333"/>
                <w:sz w:val="20"/>
                <w:szCs w:val="20"/>
                <w:shd w:val="clear" w:color="auto" w:fill="FFFFFF"/>
                <w:lang w:val="en-US"/>
              </w:rPr>
              <w:t>sectoarele</w:t>
            </w:r>
            <w:proofErr w:type="spellEnd"/>
            <w:r>
              <w:rPr>
                <w:rFonts w:eastAsia="Arial Unicode MS"/>
                <w:color w:val="333333"/>
                <w:sz w:val="20"/>
                <w:szCs w:val="20"/>
                <w:shd w:val="clear" w:color="auto" w:fill="FFFFFF"/>
                <w:lang w:val="en-US"/>
              </w:rPr>
              <w:t xml:space="preserve"> care nu sunt enumerate în </w:t>
            </w:r>
            <w:proofErr w:type="spellStart"/>
            <w:r>
              <w:rPr>
                <w:rFonts w:eastAsia="Arial Unicode MS"/>
                <w:color w:val="333333"/>
                <w:sz w:val="20"/>
                <w:szCs w:val="20"/>
                <w:shd w:val="clear" w:color="auto" w:fill="FFFFFF"/>
                <w:lang w:val="en-US"/>
              </w:rPr>
              <w:t>respectiva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anexă</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entitățile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reglementate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cauză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prezintă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data de 30 </w:t>
            </w:r>
            <w:proofErr w:type="spellStart"/>
            <w:r>
              <w:rPr>
                <w:rFonts w:eastAsia="Arial Unicode MS"/>
                <w:color w:val="333333"/>
                <w:sz w:val="20"/>
                <w:szCs w:val="20"/>
                <w:shd w:val="clear" w:color="auto" w:fill="FFFFFF"/>
                <w:lang w:val="en-US"/>
              </w:rPr>
              <w:t>aprilie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anului</w:t>
            </w:r>
            <w:proofErr w:type="spellEnd"/>
            <w:r>
              <w:rPr>
                <w:rFonts w:eastAsia="Arial Unicode MS"/>
                <w:color w:val="333333"/>
                <w:sz w:val="20"/>
                <w:szCs w:val="20"/>
                <w:shd w:val="clear" w:color="auto" w:fill="FFFFFF"/>
                <w:lang w:val="en-US"/>
              </w:rPr>
              <w:t xml:space="preserve"> relevant, un </w:t>
            </w:r>
            <w:proofErr w:type="spellStart"/>
            <w:r>
              <w:rPr>
                <w:rFonts w:eastAsia="Arial Unicode MS"/>
                <w:color w:val="333333"/>
                <w:sz w:val="20"/>
                <w:szCs w:val="20"/>
                <w:shd w:val="clear" w:color="auto" w:fill="FFFFFF"/>
                <w:lang w:val="en-US"/>
              </w:rPr>
              <w:t>raport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justificat</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corespunzător</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sidR="00D9773B">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30f.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datele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prezentate</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justificate</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corespunzător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autoritatea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competentă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acest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sens</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data de 30 </w:t>
            </w:r>
            <w:proofErr w:type="spellStart"/>
            <w:r>
              <w:rPr>
                <w:rFonts w:eastAsia="Arial Unicode MS"/>
                <w:color w:val="333333"/>
                <w:sz w:val="20"/>
                <w:szCs w:val="20"/>
                <w:shd w:val="clear" w:color="auto" w:fill="FFFFFF"/>
                <w:lang w:val="en-US"/>
              </w:rPr>
              <w:t>iunie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anului</w:t>
            </w:r>
            <w:proofErr w:type="spellEnd"/>
            <w:r>
              <w:rPr>
                <w:rFonts w:eastAsia="Arial Unicode MS"/>
                <w:color w:val="333333"/>
                <w:sz w:val="20"/>
                <w:szCs w:val="20"/>
                <w:shd w:val="clear" w:color="auto" w:fill="FFFFFF"/>
                <w:lang w:val="en-US"/>
              </w:rPr>
              <w:t xml:space="preserve"> relevant.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care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alineatului</w:t>
            </w:r>
            <w:proofErr w:type="spellEnd"/>
            <w:r>
              <w:rPr>
                <w:rFonts w:eastAsia="Arial Unicode MS"/>
                <w:color w:val="333333"/>
                <w:sz w:val="20"/>
                <w:szCs w:val="20"/>
                <w:shd w:val="clear" w:color="auto" w:fill="FFFFFF"/>
                <w:lang w:val="en-US"/>
              </w:rPr>
              <w:t xml:space="preserve"> (1)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ajustează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ținând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seama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raportul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detaliat</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corespunzător</w:t>
            </w:r>
            <w:proofErr w:type="spellEnd"/>
            <w:r>
              <w:rPr>
                <w:rFonts w:eastAsia="Arial Unicode MS"/>
                <w:color w:val="333333"/>
                <w:sz w:val="20"/>
                <w:szCs w:val="20"/>
                <w:shd w:val="clear" w:color="auto" w:fill="FFFFFF"/>
                <w:lang w:val="en-US"/>
              </w:rPr>
              <w:t xml:space="preserve"> care a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prezentat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entitățile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reglementate</w:t>
            </w:r>
            <w:proofErr w:type="spellEnd"/>
            <w:r>
              <w:rPr>
                <w:rFonts w:eastAsia="Arial Unicode MS"/>
                <w:color w:val="333333"/>
                <w:sz w:val="20"/>
                <w:szCs w:val="20"/>
                <w:shd w:val="clear" w:color="auto" w:fill="FFFFFF"/>
                <w:lang w:val="en-US"/>
              </w:rPr>
              <w:t>.</w:t>
            </w:r>
          </w:p>
        </w:tc>
        <w:tc>
          <w:tcPr>
            <w:tcW w:w="4394" w:type="dxa"/>
            <w:shd w:val="clear" w:color="auto" w:fill="auto"/>
          </w:tcPr>
          <w:p w14:paraId="00622C7F"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77F2DE3" w14:textId="5472FDDF" w:rsidR="00124364" w:rsidRDefault="00D9773B" w:rsidP="00D9773B">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75104B9B"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7ED695E" w14:textId="77777777" w:rsidR="00D9773B" w:rsidRPr="000643DF" w:rsidRDefault="00D9773B" w:rsidP="00D9773B">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0D3179F7" w14:textId="57707F88"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5C906F3" w14:textId="77777777" w:rsidR="00124364" w:rsidRDefault="00124364" w:rsidP="00D9773B">
            <w:pPr>
              <w:autoSpaceDE w:val="0"/>
              <w:spacing w:after="0" w:line="240" w:lineRule="auto"/>
              <w:rPr>
                <w:rFonts w:ascii="Times New Roman" w:hAnsi="Times New Roman"/>
                <w:sz w:val="20"/>
                <w:szCs w:val="20"/>
                <w:lang w:val="fr-FR"/>
              </w:rPr>
            </w:pPr>
          </w:p>
        </w:tc>
      </w:tr>
      <w:tr w:rsidR="00124364" w14:paraId="79220F47" w14:textId="77777777">
        <w:trPr>
          <w:trHeight w:val="558"/>
        </w:trPr>
        <w:tc>
          <w:tcPr>
            <w:tcW w:w="4957" w:type="dxa"/>
            <w:shd w:val="clear" w:color="auto" w:fill="auto"/>
          </w:tcPr>
          <w:p w14:paraId="328D9411" w14:textId="389F7737"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t>Articolul</w:t>
            </w:r>
            <w:proofErr w:type="spellEnd"/>
            <w:r w:rsidR="00B9573B">
              <w:rPr>
                <w:rFonts w:eastAsia="Arial Unicode MS"/>
                <w:i/>
                <w:iCs/>
                <w:color w:val="333333"/>
                <w:sz w:val="20"/>
                <w:szCs w:val="20"/>
                <w:shd w:val="clear" w:color="auto" w:fill="FFFFFF"/>
                <w:lang w:val="en-US"/>
              </w:rPr>
              <w:t xml:space="preserve"> </w:t>
            </w:r>
            <w:r w:rsidRPr="00B9573B">
              <w:rPr>
                <w:rFonts w:eastAsia="Arial Unicode MS"/>
                <w:i/>
                <w:iCs/>
                <w:color w:val="333333"/>
                <w:sz w:val="20"/>
                <w:szCs w:val="20"/>
                <w:shd w:val="clear" w:color="auto" w:fill="FFFFFF"/>
                <w:lang w:val="en-US"/>
              </w:rPr>
              <w:t>30d</w:t>
            </w:r>
          </w:p>
          <w:p w14:paraId="7C761016" w14:textId="0D4648D8"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Licitarea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certificatelor</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pentru</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activitatea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menționată</w:t>
            </w:r>
            <w:proofErr w:type="spellEnd"/>
            <w:r>
              <w:rPr>
                <w:rFonts w:eastAsia="Arial Unicode MS"/>
                <w:b/>
                <w:bCs/>
                <w:color w:val="333333"/>
                <w:sz w:val="20"/>
                <w:szCs w:val="20"/>
                <w:shd w:val="clear" w:color="auto" w:fill="FFFFFF"/>
                <w:lang w:val="en-US"/>
              </w:rPr>
              <w:t xml:space="preserve"> în </w:t>
            </w:r>
            <w:proofErr w:type="spellStart"/>
            <w:r>
              <w:rPr>
                <w:rFonts w:eastAsia="Arial Unicode MS"/>
                <w:b/>
                <w:bCs/>
                <w:color w:val="333333"/>
                <w:sz w:val="20"/>
                <w:szCs w:val="20"/>
                <w:shd w:val="clear" w:color="auto" w:fill="FFFFFF"/>
                <w:lang w:val="en-US"/>
              </w:rPr>
              <w:t>anexa</w:t>
            </w:r>
            <w:proofErr w:type="spellEnd"/>
            <w:r w:rsidR="00B9573B">
              <w:rPr>
                <w:rFonts w:eastAsia="Arial Unicode MS"/>
                <w:b/>
                <w:bCs/>
                <w:color w:val="333333"/>
                <w:sz w:val="20"/>
                <w:szCs w:val="20"/>
                <w:shd w:val="clear" w:color="auto" w:fill="FFFFFF"/>
                <w:lang w:val="en-US"/>
              </w:rPr>
              <w:t xml:space="preserve"> </w:t>
            </w:r>
            <w:r>
              <w:rPr>
                <w:rFonts w:eastAsia="Arial Unicode MS"/>
                <w:b/>
                <w:bCs/>
                <w:color w:val="333333"/>
                <w:sz w:val="20"/>
                <w:szCs w:val="20"/>
                <w:shd w:val="clear" w:color="auto" w:fill="FFFFFF"/>
                <w:lang w:val="en-US"/>
              </w:rPr>
              <w:t>III</w:t>
            </w:r>
          </w:p>
          <w:p w14:paraId="585419DF" w14:textId="77777777" w:rsidR="00124364" w:rsidRDefault="00000000">
            <w:pPr>
              <w:pStyle w:val="ti-art"/>
              <w:numPr>
                <w:ilvl w:val="0"/>
                <w:numId w:val="13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2027,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se </w:t>
            </w:r>
            <w:proofErr w:type="spellStart"/>
            <w:r>
              <w:rPr>
                <w:rFonts w:eastAsia="Arial Unicode MS"/>
                <w:color w:val="333333"/>
                <w:sz w:val="20"/>
                <w:szCs w:val="20"/>
                <w:shd w:val="clear" w:color="auto" w:fill="FFFFFF"/>
                <w:lang w:val="en-US"/>
              </w:rPr>
              <w:t>scot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excepția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cazului</w:t>
            </w:r>
            <w:proofErr w:type="spellEnd"/>
            <w:r>
              <w:rPr>
                <w:rFonts w:eastAsia="Arial Unicode MS"/>
                <w:color w:val="333333"/>
                <w:sz w:val="20"/>
                <w:szCs w:val="20"/>
                <w:shd w:val="clear" w:color="auto" w:fill="FFFFFF"/>
                <w:lang w:val="en-US"/>
              </w:rPr>
              <w:t xml:space="preserve"> în care sunt </w:t>
            </w:r>
            <w:proofErr w:type="spellStart"/>
            <w:r>
              <w:rPr>
                <w:rFonts w:eastAsia="Arial Unicode MS"/>
                <w:color w:val="333333"/>
                <w:sz w:val="20"/>
                <w:szCs w:val="20"/>
                <w:shd w:val="clear" w:color="auto" w:fill="FFFFFF"/>
                <w:lang w:val="en-US"/>
              </w:rPr>
              <w:t>plasate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rezerva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pieței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instituită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Decizia</w:t>
            </w:r>
            <w:proofErr w:type="spellEnd"/>
            <w:r>
              <w:rPr>
                <w:rFonts w:eastAsia="Arial Unicode MS"/>
                <w:color w:val="333333"/>
                <w:sz w:val="20"/>
                <w:szCs w:val="20"/>
                <w:shd w:val="clear" w:color="auto" w:fill="FFFFFF"/>
                <w:lang w:val="en-US"/>
              </w:rPr>
              <w:t xml:space="preserve"> (UE) 2015/1814.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se </w:t>
            </w:r>
            <w:proofErr w:type="spellStart"/>
            <w:r>
              <w:rPr>
                <w:rFonts w:eastAsia="Arial Unicode MS"/>
                <w:color w:val="333333"/>
                <w:sz w:val="20"/>
                <w:szCs w:val="20"/>
                <w:shd w:val="clear" w:color="auto" w:fill="FFFFFF"/>
                <w:lang w:val="en-US"/>
              </w:rPr>
              <w:t>scot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separat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capitolelor</w:t>
            </w:r>
            <w:proofErr w:type="spellEnd"/>
            <w:r>
              <w:rPr>
                <w:rFonts w:eastAsia="Arial Unicode MS"/>
                <w:color w:val="333333"/>
                <w:sz w:val="20"/>
                <w:szCs w:val="20"/>
                <w:shd w:val="clear" w:color="auto" w:fill="FFFFFF"/>
                <w:lang w:val="en-US"/>
              </w:rPr>
              <w:t xml:space="preserve"> II, II și III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w:t>
            </w:r>
          </w:p>
          <w:p w14:paraId="2D715FD9" w14:textId="77777777" w:rsidR="00124364" w:rsidRDefault="00000000">
            <w:pPr>
              <w:pStyle w:val="ti-art"/>
              <w:numPr>
                <w:ilvl w:val="0"/>
                <w:numId w:val="13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Licitarea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începe</w:t>
            </w:r>
            <w:proofErr w:type="spellEnd"/>
            <w:r>
              <w:rPr>
                <w:rFonts w:eastAsia="Arial Unicode MS"/>
                <w:color w:val="333333"/>
                <w:sz w:val="20"/>
                <w:szCs w:val="20"/>
                <w:shd w:val="clear" w:color="auto" w:fill="FFFFFF"/>
                <w:lang w:val="en-US"/>
              </w:rPr>
              <w:t xml:space="preserve"> în 2027, cu un </w:t>
            </w:r>
            <w:proofErr w:type="spellStart"/>
            <w:r>
              <w:rPr>
                <w:rFonts w:eastAsia="Arial Unicode MS"/>
                <w:color w:val="333333"/>
                <w:sz w:val="20"/>
                <w:szCs w:val="20"/>
                <w:shd w:val="clear" w:color="auto" w:fill="FFFFFF"/>
                <w:lang w:val="en-US"/>
              </w:rPr>
              <w:t>volum</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echivalent</w:t>
            </w:r>
            <w:proofErr w:type="spellEnd"/>
            <w:r>
              <w:rPr>
                <w:rFonts w:eastAsia="Arial Unicode MS"/>
                <w:color w:val="333333"/>
                <w:sz w:val="20"/>
                <w:szCs w:val="20"/>
                <w:shd w:val="clear" w:color="auto" w:fill="FFFFFF"/>
                <w:lang w:val="en-US"/>
              </w:rPr>
              <w:t xml:space="preserve"> cu 130 % din </w:t>
            </w:r>
            <w:proofErr w:type="spellStart"/>
            <w:r>
              <w:rPr>
                <w:rFonts w:eastAsia="Arial Unicode MS"/>
                <w:color w:val="333333"/>
                <w:sz w:val="20"/>
                <w:szCs w:val="20"/>
                <w:shd w:val="clear" w:color="auto" w:fill="FFFFFF"/>
                <w:lang w:val="en-US"/>
              </w:rPr>
              <w:t>volumul</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scoase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2027, </w:t>
            </w:r>
            <w:proofErr w:type="spellStart"/>
            <w:r>
              <w:rPr>
                <w:rFonts w:eastAsia="Arial Unicode MS"/>
                <w:color w:val="333333"/>
                <w:sz w:val="20"/>
                <w:szCs w:val="20"/>
                <w:shd w:val="clear" w:color="auto" w:fill="FFFFFF"/>
                <w:lang w:val="en-US"/>
              </w:rPr>
              <w:t>stabilit</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cantității</w:t>
            </w:r>
            <w:proofErr w:type="spellEnd"/>
            <w:r>
              <w:rPr>
                <w:rFonts w:eastAsia="Arial Unicode MS"/>
                <w:color w:val="333333"/>
                <w:sz w:val="20"/>
                <w:szCs w:val="20"/>
                <w:shd w:val="clear" w:color="auto" w:fill="FFFFFF"/>
                <w:lang w:val="en-US"/>
              </w:rPr>
              <w:t xml:space="preserve"> de certificate la </w:t>
            </w:r>
            <w:proofErr w:type="spellStart"/>
            <w:r>
              <w:rPr>
                <w:rFonts w:eastAsia="Arial Unicode MS"/>
                <w:color w:val="333333"/>
                <w:sz w:val="20"/>
                <w:szCs w:val="20"/>
                <w:shd w:val="clear" w:color="auto" w:fill="FFFFFF"/>
                <w:lang w:val="en-US"/>
              </w:rPr>
              <w:t>nivelul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anul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proporției</w:t>
            </w:r>
            <w:proofErr w:type="spellEnd"/>
            <w:r>
              <w:rPr>
                <w:rFonts w:eastAsia="Arial Unicode MS"/>
                <w:color w:val="333333"/>
                <w:sz w:val="20"/>
                <w:szCs w:val="20"/>
                <w:shd w:val="clear" w:color="auto" w:fill="FFFFFF"/>
                <w:lang w:val="en-US"/>
              </w:rPr>
              <w:t xml:space="preserve"> și a </w:t>
            </w:r>
            <w:proofErr w:type="spellStart"/>
            <w:r>
              <w:rPr>
                <w:rFonts w:eastAsia="Arial Unicode MS"/>
                <w:color w:val="333333"/>
                <w:sz w:val="20"/>
                <w:szCs w:val="20"/>
                <w:shd w:val="clear" w:color="auto" w:fill="FFFFFF"/>
                <w:lang w:val="en-US"/>
              </w:rPr>
              <w:t>volumului</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scoase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alineatelor</w:t>
            </w:r>
            <w:proofErr w:type="spellEnd"/>
            <w:r>
              <w:rPr>
                <w:rFonts w:eastAsia="Arial Unicode MS"/>
                <w:color w:val="333333"/>
                <w:sz w:val="20"/>
                <w:szCs w:val="20"/>
                <w:shd w:val="clear" w:color="auto" w:fill="FFFFFF"/>
                <w:lang w:val="en-US"/>
              </w:rPr>
              <w:t xml:space="preserve"> (3)-(6)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suplimentară</w:t>
            </w:r>
            <w:proofErr w:type="spellEnd"/>
            <w:r>
              <w:rPr>
                <w:rFonts w:eastAsia="Arial Unicode MS"/>
                <w:color w:val="333333"/>
                <w:sz w:val="20"/>
                <w:szCs w:val="20"/>
                <w:shd w:val="clear" w:color="auto" w:fill="FFFFFF"/>
                <w:lang w:val="en-US"/>
              </w:rPr>
              <w:t xml:space="preserve"> de 30% care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w:t>
            </w:r>
            <w:proofErr w:type="spellStart"/>
            <w:r>
              <w:rPr>
                <w:rFonts w:eastAsia="Arial Unicode MS"/>
                <w:color w:val="333333"/>
                <w:sz w:val="20"/>
                <w:szCs w:val="20"/>
                <w:shd w:val="clear" w:color="auto" w:fill="FFFFFF"/>
                <w:lang w:val="en-US"/>
              </w:rPr>
              <w:t>scoasă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utilizează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numai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restituirea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30e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(2) și </w:t>
            </w:r>
            <w:proofErr w:type="spellStart"/>
            <w:r>
              <w:rPr>
                <w:rFonts w:eastAsia="Arial Unicode MS"/>
                <w:color w:val="333333"/>
                <w:sz w:val="20"/>
                <w:szCs w:val="20"/>
                <w:shd w:val="clear" w:color="auto" w:fill="FFFFFF"/>
                <w:lang w:val="en-US"/>
              </w:rPr>
              <w:t>poate</w:t>
            </w:r>
            <w:proofErr w:type="spellEnd"/>
            <w:r>
              <w:rPr>
                <w:rFonts w:eastAsia="Arial Unicode MS"/>
                <w:color w:val="333333"/>
                <w:sz w:val="20"/>
                <w:szCs w:val="20"/>
                <w:shd w:val="clear" w:color="auto" w:fill="FFFFFF"/>
                <w:lang w:val="en-US"/>
              </w:rPr>
              <w:t xml:space="preserve"> fi </w:t>
            </w:r>
            <w:proofErr w:type="spellStart"/>
            <w:r>
              <w:rPr>
                <w:rFonts w:eastAsia="Arial Unicode MS"/>
                <w:color w:val="333333"/>
                <w:sz w:val="20"/>
                <w:szCs w:val="20"/>
                <w:shd w:val="clear" w:color="auto" w:fill="FFFFFF"/>
                <w:lang w:val="en-US"/>
              </w:rPr>
              <w:t>scoasă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31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2028.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suplimentară</w:t>
            </w:r>
            <w:proofErr w:type="spellEnd"/>
            <w:r>
              <w:rPr>
                <w:rFonts w:eastAsia="Arial Unicode MS"/>
                <w:color w:val="333333"/>
                <w:sz w:val="20"/>
                <w:szCs w:val="20"/>
                <w:shd w:val="clear" w:color="auto" w:fill="FFFFFF"/>
                <w:lang w:val="en-US"/>
              </w:rPr>
              <w:t xml:space="preserve"> de 30% se deduce din </w:t>
            </w:r>
            <w:proofErr w:type="spellStart"/>
            <w:r>
              <w:rPr>
                <w:rFonts w:eastAsia="Arial Unicode MS"/>
                <w:color w:val="333333"/>
                <w:sz w:val="20"/>
                <w:szCs w:val="20"/>
                <w:shd w:val="clear" w:color="auto" w:fill="FFFFFF"/>
                <w:lang w:val="en-US"/>
              </w:rPr>
              <w:t>volumele</w:t>
            </w:r>
            <w:proofErr w:type="spellEnd"/>
            <w:r>
              <w:rPr>
                <w:rFonts w:eastAsia="Arial Unicode MS"/>
                <w:color w:val="333333"/>
                <w:sz w:val="20"/>
                <w:szCs w:val="20"/>
                <w:shd w:val="clear" w:color="auto" w:fill="FFFFFF"/>
                <w:lang w:val="en-US"/>
              </w:rPr>
              <w:t xml:space="preserve"> de </w:t>
            </w:r>
            <w:r>
              <w:rPr>
                <w:rFonts w:eastAsia="Arial Unicode MS"/>
                <w:color w:val="333333"/>
                <w:sz w:val="20"/>
                <w:szCs w:val="20"/>
                <w:shd w:val="clear" w:color="auto" w:fill="FFFFFF"/>
                <w:lang w:val="en-US"/>
              </w:rPr>
              <w:lastRenderedPageBreak/>
              <w:t xml:space="preserve">certificate </w:t>
            </w:r>
            <w:proofErr w:type="spellStart"/>
            <w:r>
              <w:rPr>
                <w:rFonts w:eastAsia="Arial Unicode MS"/>
                <w:color w:val="333333"/>
                <w:sz w:val="20"/>
                <w:szCs w:val="20"/>
                <w:shd w:val="clear" w:color="auto" w:fill="FFFFFF"/>
                <w:lang w:val="en-US"/>
              </w:rPr>
              <w:t>scoase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2029-2031. </w:t>
            </w:r>
            <w:proofErr w:type="spellStart"/>
            <w:r>
              <w:rPr>
                <w:rFonts w:eastAsia="Arial Unicode MS"/>
                <w:color w:val="333333"/>
                <w:sz w:val="20"/>
                <w:szCs w:val="20"/>
                <w:shd w:val="clear" w:color="auto" w:fill="FFFFFF"/>
                <w:lang w:val="en-US"/>
              </w:rPr>
              <w:t>Condițiile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licitațiile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stabilesc</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(7)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(4).</w:t>
            </w:r>
          </w:p>
          <w:p w14:paraId="7176C785"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2027, 600 de </w:t>
            </w:r>
            <w:proofErr w:type="spellStart"/>
            <w:r>
              <w:rPr>
                <w:rFonts w:eastAsia="Arial Unicode MS"/>
                <w:color w:val="333333"/>
                <w:sz w:val="20"/>
                <w:szCs w:val="20"/>
                <w:shd w:val="clear" w:color="auto" w:fill="FFFFFF"/>
                <w:lang w:val="en-US"/>
              </w:rPr>
              <w:t>milioane</w:t>
            </w:r>
            <w:proofErr w:type="spellEnd"/>
            <w:r>
              <w:rPr>
                <w:rFonts w:eastAsia="Arial Unicode MS"/>
                <w:color w:val="333333"/>
                <w:sz w:val="20"/>
                <w:szCs w:val="20"/>
                <w:shd w:val="clear" w:color="auto" w:fill="FFFFFF"/>
                <w:lang w:val="en-US"/>
              </w:rPr>
              <w:t xml:space="preserve"> de certificate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create ca </w:t>
            </w:r>
            <w:proofErr w:type="spellStart"/>
            <w:r>
              <w:rPr>
                <w:rFonts w:eastAsia="Arial Unicode MS"/>
                <w:color w:val="333333"/>
                <w:sz w:val="20"/>
                <w:szCs w:val="20"/>
                <w:shd w:val="clear" w:color="auto" w:fill="FFFFFF"/>
                <w:lang w:val="en-US"/>
              </w:rPr>
              <w:t>participații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rezerva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pieței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1a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din </w:t>
            </w:r>
            <w:proofErr w:type="spellStart"/>
            <w:r>
              <w:rPr>
                <w:rFonts w:eastAsia="Arial Unicode MS"/>
                <w:color w:val="333333"/>
                <w:sz w:val="20"/>
                <w:szCs w:val="20"/>
                <w:shd w:val="clear" w:color="auto" w:fill="FFFFFF"/>
                <w:lang w:val="en-US"/>
              </w:rPr>
              <w:t>Decizia</w:t>
            </w:r>
            <w:proofErr w:type="spellEnd"/>
            <w:r>
              <w:rPr>
                <w:rFonts w:eastAsia="Arial Unicode MS"/>
                <w:color w:val="333333"/>
                <w:sz w:val="20"/>
                <w:szCs w:val="20"/>
                <w:shd w:val="clear" w:color="auto" w:fill="FFFFFF"/>
                <w:lang w:val="en-US"/>
              </w:rPr>
              <w:t> (UE) 2015/1814.</w:t>
            </w:r>
          </w:p>
          <w:p w14:paraId="74D1224A" w14:textId="77777777" w:rsidR="00124364" w:rsidRDefault="00000000">
            <w:pPr>
              <w:pStyle w:val="ti-art"/>
              <w:numPr>
                <w:ilvl w:val="0"/>
                <w:numId w:val="138"/>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150 de </w:t>
            </w:r>
            <w:proofErr w:type="spellStart"/>
            <w:r>
              <w:rPr>
                <w:rFonts w:eastAsia="Arial Unicode MS"/>
                <w:color w:val="333333"/>
                <w:sz w:val="20"/>
                <w:szCs w:val="20"/>
                <w:shd w:val="clear" w:color="auto" w:fill="FFFFFF"/>
                <w:lang w:val="en-US"/>
              </w:rPr>
              <w:t>milioane</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emise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se </w:t>
            </w:r>
            <w:proofErr w:type="spellStart"/>
            <w:r>
              <w:rPr>
                <w:rFonts w:eastAsia="Arial Unicode MS"/>
                <w:color w:val="333333"/>
                <w:sz w:val="20"/>
                <w:szCs w:val="20"/>
                <w:shd w:val="clear" w:color="auto" w:fill="FFFFFF"/>
                <w:lang w:val="en-US"/>
              </w:rPr>
              <w:t>scot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toate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provenite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licitațiile</w:t>
            </w:r>
            <w:proofErr w:type="spellEnd"/>
            <w:r>
              <w:rPr>
                <w:rFonts w:eastAsia="Arial Unicode MS"/>
                <w:color w:val="333333"/>
                <w:sz w:val="20"/>
                <w:szCs w:val="20"/>
                <w:shd w:val="clear" w:color="auto" w:fill="FFFFFF"/>
                <w:lang w:val="en-US"/>
              </w:rPr>
              <w:t xml:space="preserve"> respective sunt </w:t>
            </w:r>
            <w:proofErr w:type="spellStart"/>
            <w:r>
              <w:rPr>
                <w:rFonts w:eastAsia="Arial Unicode MS"/>
                <w:color w:val="333333"/>
                <w:sz w:val="20"/>
                <w:szCs w:val="20"/>
                <w:shd w:val="clear" w:color="auto" w:fill="FFFFFF"/>
                <w:lang w:val="en-US"/>
              </w:rPr>
              <w:t>puse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dispoziția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instituit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2023/955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în 2032.</w:t>
            </w:r>
          </w:p>
          <w:p w14:paraId="161D5D28" w14:textId="77777777" w:rsidR="00124364" w:rsidRDefault="00000000">
            <w:pPr>
              <w:pStyle w:val="ti-art"/>
              <w:numPr>
                <w:ilvl w:val="0"/>
                <w:numId w:val="138"/>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Din </w:t>
            </w: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de certificate </w:t>
            </w:r>
            <w:proofErr w:type="spellStart"/>
            <w:r>
              <w:rPr>
                <w:rFonts w:eastAsia="Arial Unicode MS"/>
                <w:color w:val="333333"/>
                <w:sz w:val="20"/>
                <w:szCs w:val="20"/>
                <w:shd w:val="clear" w:color="auto" w:fill="FFFFFF"/>
                <w:lang w:val="en-US"/>
              </w:rPr>
              <w:t>rămasă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genera, </w:t>
            </w:r>
            <w:proofErr w:type="spellStart"/>
            <w:r>
              <w:rPr>
                <w:rFonts w:eastAsia="Arial Unicode MS"/>
                <w:color w:val="333333"/>
                <w:sz w:val="20"/>
                <w:szCs w:val="20"/>
                <w:shd w:val="clear" w:color="auto" w:fill="FFFFFF"/>
                <w:lang w:val="en-US"/>
              </w:rPr>
              <w:t>împreună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provenite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la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(8b)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sumă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maximă</w:t>
            </w:r>
            <w:proofErr w:type="spellEnd"/>
            <w:r>
              <w:rPr>
                <w:rFonts w:eastAsia="Arial Unicode MS"/>
                <w:color w:val="333333"/>
                <w:sz w:val="20"/>
                <w:szCs w:val="20"/>
                <w:shd w:val="clear" w:color="auto" w:fill="FFFFFF"/>
                <w:lang w:val="en-US"/>
              </w:rPr>
              <w:t xml:space="preserve"> de 65 000 000 000  EUR, </w:t>
            </w: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scoasă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cantitate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suplimentară</w:t>
            </w:r>
            <w:proofErr w:type="spellEnd"/>
            <w:r>
              <w:rPr>
                <w:rFonts w:eastAsia="Arial Unicode MS"/>
                <w:color w:val="333333"/>
                <w:sz w:val="20"/>
                <w:szCs w:val="20"/>
                <w:shd w:val="clear" w:color="auto" w:fill="FFFFFF"/>
                <w:lang w:val="en-US"/>
              </w:rPr>
              <w:t xml:space="preserve"> de certificate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provenite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aceste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licitații</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puse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dispoziția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instituit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2023/955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în 2032.</w:t>
            </w:r>
          </w:p>
          <w:p w14:paraId="7F8B8D23"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asigură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destinate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în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scoase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principiile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modalitățile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(4) și cu </w:t>
            </w:r>
            <w:proofErr w:type="spellStart"/>
            <w:r>
              <w:rPr>
                <w:rFonts w:eastAsia="Arial Unicode MS"/>
                <w:color w:val="333333"/>
                <w:sz w:val="20"/>
                <w:szCs w:val="20"/>
                <w:shd w:val="clear" w:color="auto" w:fill="FFFFFF"/>
                <w:lang w:val="en-US"/>
              </w:rPr>
              <w:t>actele</w:t>
            </w:r>
            <w:proofErr w:type="spellEnd"/>
            <w:r>
              <w:rPr>
                <w:rFonts w:eastAsia="Arial Unicode MS"/>
                <w:color w:val="333333"/>
                <w:sz w:val="20"/>
                <w:szCs w:val="20"/>
                <w:shd w:val="clear" w:color="auto" w:fill="FFFFFF"/>
                <w:lang w:val="en-US"/>
              </w:rPr>
              <w:t xml:space="preserve"> delegate </w:t>
            </w:r>
            <w:proofErr w:type="spellStart"/>
            <w:r>
              <w:rPr>
                <w:rFonts w:eastAsia="Arial Unicode MS"/>
                <w:color w:val="333333"/>
                <w:sz w:val="20"/>
                <w:szCs w:val="20"/>
                <w:shd w:val="clear" w:color="auto" w:fill="FFFFFF"/>
                <w:lang w:val="en-US"/>
              </w:rPr>
              <w:t>adoptate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w:t>
            </w:r>
            <w:proofErr w:type="spellEnd"/>
            <w:r>
              <w:rPr>
                <w:rFonts w:eastAsia="Arial Unicode MS"/>
                <w:color w:val="333333"/>
                <w:sz w:val="20"/>
                <w:szCs w:val="20"/>
                <w:shd w:val="clear" w:color="auto" w:fill="FFFFFF"/>
                <w:lang w:val="en-US"/>
              </w:rPr>
              <w:t>.</w:t>
            </w:r>
          </w:p>
          <w:p w14:paraId="27B26E1A"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obținute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urma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în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constituie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externe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21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Euratom) 2018/1046 și se </w:t>
            </w:r>
            <w:proofErr w:type="spellStart"/>
            <w:r>
              <w:rPr>
                <w:rFonts w:eastAsia="Arial Unicode MS"/>
                <w:color w:val="333333"/>
                <w:sz w:val="20"/>
                <w:szCs w:val="20"/>
                <w:shd w:val="clear" w:color="auto" w:fill="FFFFFF"/>
                <w:lang w:val="en-US"/>
              </w:rPr>
              <w:t>utilizează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normele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aplicabile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w:t>
            </w:r>
          </w:p>
          <w:p w14:paraId="0336B4F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Cuantumul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(8b), cu </w:t>
            </w:r>
            <w:proofErr w:type="spellStart"/>
            <w:proofErr w:type="gram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w:t>
            </w:r>
            <w:r>
              <w:rPr>
                <w:rFonts w:ascii="Arial Unicode MS" w:eastAsia="Arial Unicode MS" w:hAnsi="Arial Unicode MS" w:cs="Arial Unicode MS" w:hint="eastAsia"/>
                <w:color w:val="333333"/>
                <w:sz w:val="21"/>
                <w:szCs w:val="21"/>
                <w:shd w:val="clear" w:color="auto" w:fill="FFFFFF"/>
                <w:lang w:val="en-US"/>
              </w:rPr>
              <w:t xml:space="preserve"> </w:t>
            </w:r>
            <w:r>
              <w:rPr>
                <w:rFonts w:eastAsia="Arial Unicode MS"/>
                <w:color w:val="333333"/>
                <w:sz w:val="20"/>
                <w:szCs w:val="20"/>
                <w:shd w:val="clear" w:color="auto" w:fill="FFFFFF"/>
                <w:lang w:val="en-US"/>
              </w:rPr>
              <w:t>(</w:t>
            </w:r>
            <w:proofErr w:type="gramEnd"/>
            <w:r>
              <w:rPr>
                <w:rFonts w:eastAsia="Arial Unicode MS"/>
                <w:color w:val="333333"/>
                <w:sz w:val="20"/>
                <w:szCs w:val="20"/>
                <w:shd w:val="clear" w:color="auto" w:fill="FFFFFF"/>
                <w:lang w:val="en-US"/>
              </w:rPr>
              <w:t xml:space="preserve">3)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cu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nu </w:t>
            </w:r>
            <w:proofErr w:type="spellStart"/>
            <w:r>
              <w:rPr>
                <w:rFonts w:eastAsia="Arial Unicode MS"/>
                <w:color w:val="333333"/>
                <w:sz w:val="20"/>
                <w:szCs w:val="20"/>
                <w:shd w:val="clear" w:color="auto" w:fill="FFFFFF"/>
                <w:lang w:val="en-US"/>
              </w:rPr>
              <w:t>depășește</w:t>
            </w:r>
            <w:proofErr w:type="spellEnd"/>
            <w:r>
              <w:rPr>
                <w:rFonts w:eastAsia="Arial Unicode MS"/>
                <w:color w:val="333333"/>
                <w:sz w:val="20"/>
                <w:szCs w:val="20"/>
                <w:shd w:val="clear" w:color="auto" w:fill="FFFFFF"/>
                <w:lang w:val="en-US"/>
              </w:rPr>
              <w:t>:</w:t>
            </w:r>
          </w:p>
          <w:p w14:paraId="64CA03B5"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4 000 000 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2026;</w:t>
            </w:r>
          </w:p>
          <w:p w14:paraId="34FD20A2"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10 900 000 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2027;</w:t>
            </w:r>
          </w:p>
          <w:p w14:paraId="6DD9A437"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10 500 000 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2028;</w:t>
            </w:r>
          </w:p>
          <w:p w14:paraId="517DC91E"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10 300 000 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2029;</w:t>
            </w:r>
          </w:p>
          <w:p w14:paraId="61995665"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10 100 000 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2030;</w:t>
            </w:r>
          </w:p>
          <w:p w14:paraId="52943A01"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9 800 000 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2031;</w:t>
            </w:r>
          </w:p>
          <w:p w14:paraId="1B8225FC" w14:textId="77777777" w:rsidR="00124364" w:rsidRDefault="00000000">
            <w:pPr>
              <w:pStyle w:val="ti-art"/>
              <w:numPr>
                <w:ilvl w:val="0"/>
                <w:numId w:val="139"/>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9 400 000 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2032.</w:t>
            </w:r>
          </w:p>
          <w:p w14:paraId="6AF8046B"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lastRenderedPageBreak/>
              <w:t xml:space="preserve">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comercializarea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amânată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în 2028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30k, </w:t>
            </w:r>
            <w:proofErr w:type="spellStart"/>
            <w:r>
              <w:rPr>
                <w:rFonts w:eastAsia="Arial Unicode MS"/>
                <w:color w:val="333333"/>
                <w:sz w:val="20"/>
                <w:szCs w:val="20"/>
                <w:shd w:val="clear" w:color="auto" w:fill="FFFFFF"/>
                <w:lang w:val="en-US"/>
              </w:rPr>
              <w:t>cuantumul</w:t>
            </w:r>
            <w:proofErr w:type="spellEnd"/>
            <w:r>
              <w:rPr>
                <w:rFonts w:eastAsia="Arial Unicode MS"/>
                <w:color w:val="333333"/>
                <w:sz w:val="20"/>
                <w:szCs w:val="20"/>
                <w:shd w:val="clear" w:color="auto" w:fill="FFFFFF"/>
                <w:lang w:val="en-US"/>
              </w:rPr>
              <w:t xml:space="preserve"> maxim care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fie pus la </w:t>
            </w:r>
            <w:proofErr w:type="spellStart"/>
            <w:r>
              <w:rPr>
                <w:rFonts w:eastAsia="Arial Unicode MS"/>
                <w:color w:val="333333"/>
                <w:sz w:val="20"/>
                <w:szCs w:val="20"/>
                <w:shd w:val="clear" w:color="auto" w:fill="FFFFFF"/>
                <w:lang w:val="en-US"/>
              </w:rPr>
              <w:t>dispoziția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primul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de 54 600 000 000  EUR. În </w:t>
            </w:r>
            <w:proofErr w:type="spellStart"/>
            <w:r>
              <w:rPr>
                <w:rFonts w:eastAsia="Arial Unicode MS"/>
                <w:color w:val="333333"/>
                <w:sz w:val="20"/>
                <w:szCs w:val="20"/>
                <w:shd w:val="clear" w:color="auto" w:fill="FFFFFF"/>
                <w:lang w:val="en-US"/>
              </w:rPr>
              <w:t>acest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sumele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Fondului</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nu </w:t>
            </w:r>
            <w:proofErr w:type="spellStart"/>
            <w:r>
              <w:rPr>
                <w:rFonts w:eastAsia="Arial Unicode MS"/>
                <w:color w:val="333333"/>
                <w:sz w:val="20"/>
                <w:szCs w:val="20"/>
                <w:shd w:val="clear" w:color="auto" w:fill="FFFFFF"/>
                <w:lang w:val="en-US"/>
              </w:rPr>
              <w:t>depășesc</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cumulativ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anii</w:t>
            </w:r>
            <w:proofErr w:type="spellEnd"/>
            <w:r>
              <w:rPr>
                <w:rFonts w:eastAsia="Arial Unicode MS"/>
                <w:color w:val="333333"/>
                <w:sz w:val="20"/>
                <w:szCs w:val="20"/>
                <w:shd w:val="clear" w:color="auto" w:fill="FFFFFF"/>
                <w:lang w:val="en-US"/>
              </w:rPr>
              <w:t xml:space="preserve"> 2026 și 2027, 4 000 000 000  EUR, </w:t>
            </w:r>
            <w:proofErr w:type="spellStart"/>
            <w:r>
              <w:rPr>
                <w:rFonts w:eastAsia="Arial Unicode MS"/>
                <w:color w:val="333333"/>
                <w:sz w:val="20"/>
                <w:szCs w:val="20"/>
                <w:shd w:val="clear" w:color="auto" w:fill="FFFFFF"/>
                <w:lang w:val="en-US"/>
              </w:rPr>
              <w:t>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1 </w:t>
            </w:r>
            <w:proofErr w:type="spellStart"/>
            <w:r>
              <w:rPr>
                <w:rFonts w:eastAsia="Arial Unicode MS"/>
                <w:color w:val="333333"/>
                <w:sz w:val="20"/>
                <w:szCs w:val="20"/>
                <w:shd w:val="clear" w:color="auto" w:fill="FFFFFF"/>
                <w:lang w:val="en-US"/>
              </w:rPr>
              <w:t>ianuarie</w:t>
            </w:r>
            <w:proofErr w:type="spellEnd"/>
            <w:r>
              <w:rPr>
                <w:rFonts w:eastAsia="Arial Unicode MS"/>
                <w:color w:val="333333"/>
                <w:sz w:val="20"/>
                <w:szCs w:val="20"/>
                <w:shd w:val="clear" w:color="auto" w:fill="FFFFFF"/>
                <w:lang w:val="en-US"/>
              </w:rPr>
              <w:t xml:space="preserve"> 2028-31 </w:t>
            </w:r>
            <w:proofErr w:type="spellStart"/>
            <w:r>
              <w:rPr>
                <w:rFonts w:eastAsia="Arial Unicode MS"/>
                <w:color w:val="333333"/>
                <w:sz w:val="20"/>
                <w:szCs w:val="20"/>
                <w:shd w:val="clear" w:color="auto" w:fill="FFFFFF"/>
                <w:lang w:val="en-US"/>
              </w:rPr>
              <w:t>decembrie</w:t>
            </w:r>
            <w:proofErr w:type="spellEnd"/>
            <w:r>
              <w:rPr>
                <w:rFonts w:eastAsia="Arial Unicode MS"/>
                <w:color w:val="333333"/>
                <w:sz w:val="20"/>
                <w:szCs w:val="20"/>
                <w:shd w:val="clear" w:color="auto" w:fill="FFFFFF"/>
                <w:lang w:val="en-US"/>
              </w:rPr>
              <w:t xml:space="preserve"> 2032, </w:t>
            </w:r>
            <w:proofErr w:type="spellStart"/>
            <w:r>
              <w:rPr>
                <w:rFonts w:eastAsia="Arial Unicode MS"/>
                <w:color w:val="333333"/>
                <w:sz w:val="20"/>
                <w:szCs w:val="20"/>
                <w:shd w:val="clear" w:color="auto" w:fill="FFFFFF"/>
                <w:lang w:val="en-US"/>
              </w:rPr>
              <w:t>cuantumul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relevant nu </w:t>
            </w:r>
            <w:proofErr w:type="spellStart"/>
            <w:r>
              <w:rPr>
                <w:rFonts w:eastAsia="Arial Unicode MS"/>
                <w:color w:val="333333"/>
                <w:sz w:val="20"/>
                <w:szCs w:val="20"/>
                <w:shd w:val="clear" w:color="auto" w:fill="FFFFFF"/>
                <w:lang w:val="en-US"/>
              </w:rPr>
              <w:t>depășește</w:t>
            </w:r>
            <w:proofErr w:type="spellEnd"/>
            <w:r>
              <w:rPr>
                <w:rFonts w:eastAsia="Arial Unicode MS"/>
                <w:color w:val="333333"/>
                <w:sz w:val="20"/>
                <w:szCs w:val="20"/>
                <w:shd w:val="clear" w:color="auto" w:fill="FFFFFF"/>
                <w:lang w:val="en-US"/>
              </w:rPr>
              <w:t>:</w:t>
            </w:r>
          </w:p>
          <w:p w14:paraId="47CE6ED6" w14:textId="77777777" w:rsidR="00124364" w:rsidRDefault="00000000">
            <w:pPr>
              <w:pStyle w:val="ti-art"/>
              <w:numPr>
                <w:ilvl w:val="0"/>
                <w:numId w:val="140"/>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11 400 000 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2028;</w:t>
            </w:r>
          </w:p>
          <w:p w14:paraId="557EEC38" w14:textId="77777777" w:rsidR="00124364" w:rsidRDefault="00000000">
            <w:pPr>
              <w:pStyle w:val="ti-art"/>
              <w:numPr>
                <w:ilvl w:val="0"/>
                <w:numId w:val="140"/>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10 300 000 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2029;</w:t>
            </w:r>
          </w:p>
          <w:p w14:paraId="01391071" w14:textId="77777777" w:rsidR="00124364" w:rsidRDefault="00000000">
            <w:pPr>
              <w:pStyle w:val="ti-art"/>
              <w:numPr>
                <w:ilvl w:val="0"/>
                <w:numId w:val="140"/>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10 100 000 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2030;</w:t>
            </w:r>
          </w:p>
          <w:p w14:paraId="05386857" w14:textId="77777777" w:rsidR="00124364" w:rsidRDefault="00000000">
            <w:pPr>
              <w:pStyle w:val="ti-art"/>
              <w:numPr>
                <w:ilvl w:val="0"/>
                <w:numId w:val="140"/>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9 800 000 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2031;</w:t>
            </w:r>
          </w:p>
          <w:p w14:paraId="6007884D" w14:textId="77777777" w:rsidR="00124364" w:rsidRDefault="00000000">
            <w:pPr>
              <w:pStyle w:val="ti-art"/>
              <w:numPr>
                <w:ilvl w:val="0"/>
                <w:numId w:val="140"/>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rPr>
              <w:t>9 000 000 </w:t>
            </w:r>
            <w:proofErr w:type="gramStart"/>
            <w:r>
              <w:rPr>
                <w:rFonts w:eastAsia="Arial Unicode MS"/>
                <w:color w:val="333333"/>
                <w:sz w:val="20"/>
                <w:szCs w:val="20"/>
                <w:shd w:val="clear" w:color="auto" w:fill="FFFFFF"/>
              </w:rPr>
              <w:t>000  EUR</w:t>
            </w:r>
            <w:proofErr w:type="gram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pentru</w:t>
            </w:r>
            <w:proofErr w:type="spellEnd"/>
            <w:r>
              <w:rPr>
                <w:rFonts w:eastAsia="Arial Unicode MS"/>
                <w:color w:val="333333"/>
                <w:sz w:val="20"/>
                <w:szCs w:val="20"/>
                <w:shd w:val="clear" w:color="auto" w:fill="FFFFFF"/>
              </w:rPr>
              <w:t xml:space="preserve"> 2032.</w:t>
            </w:r>
          </w:p>
          <w:p w14:paraId="1C04EE3E"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provenite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licitația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sunt </w:t>
            </w:r>
            <w:proofErr w:type="spellStart"/>
            <w:r>
              <w:rPr>
                <w:rFonts w:eastAsia="Arial Unicode MS"/>
                <w:color w:val="333333"/>
                <w:sz w:val="20"/>
                <w:szCs w:val="20"/>
                <w:shd w:val="clear" w:color="auto" w:fill="FFFFFF"/>
                <w:lang w:val="en-US"/>
              </w:rPr>
              <w:t>stabilite</w:t>
            </w:r>
            <w:proofErr w:type="spellEnd"/>
            <w:r>
              <w:rPr>
                <w:rFonts w:eastAsia="Arial Unicode MS"/>
                <w:color w:val="333333"/>
                <w:sz w:val="20"/>
                <w:szCs w:val="20"/>
                <w:shd w:val="clear" w:color="auto" w:fill="FFFFFF"/>
                <w:lang w:val="en-US"/>
              </w:rPr>
              <w:t xml:space="preserve"> ca </w:t>
            </w:r>
            <w:proofErr w:type="spellStart"/>
            <w:r>
              <w:rPr>
                <w:rFonts w:eastAsia="Arial Unicode MS"/>
                <w:color w:val="333333"/>
                <w:sz w:val="20"/>
                <w:szCs w:val="20"/>
                <w:shd w:val="clear" w:color="auto" w:fill="FFFFFF"/>
                <w:lang w:val="en-US"/>
              </w:rPr>
              <w:t>resursă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proprie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311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din TFUE,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(8b)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w:t>
            </w:r>
            <w:proofErr w:type="spellEnd"/>
            <w:r>
              <w:rPr>
                <w:rFonts w:eastAsia="Arial Unicode MS"/>
                <w:color w:val="333333"/>
                <w:sz w:val="20"/>
                <w:szCs w:val="20"/>
                <w:shd w:val="clear" w:color="auto" w:fill="FFFFFF"/>
                <w:lang w:val="en-US"/>
              </w:rPr>
              <w:t xml:space="preserve"> nu se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w:t>
            </w:r>
          </w:p>
          <w:p w14:paraId="043490DA" w14:textId="77777777" w:rsidR="00124364" w:rsidRDefault="00000000">
            <w:pPr>
              <w:pStyle w:val="ti-art"/>
              <w:numPr>
                <w:ilvl w:val="0"/>
                <w:numId w:val="141"/>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totală</w:t>
            </w:r>
            <w:proofErr w:type="spellEnd"/>
            <w:r>
              <w:rPr>
                <w:rFonts w:eastAsia="Arial Unicode MS"/>
                <w:color w:val="333333"/>
                <w:sz w:val="20"/>
                <w:szCs w:val="20"/>
                <w:shd w:val="clear" w:color="auto" w:fill="FFFFFF"/>
                <w:lang w:val="en-US"/>
              </w:rPr>
              <w:t xml:space="preserve"> de certificate care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cantităților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alineatele</w:t>
            </w:r>
            <w:proofErr w:type="spellEnd"/>
            <w:r>
              <w:rPr>
                <w:rFonts w:eastAsia="Arial Unicode MS"/>
                <w:color w:val="333333"/>
                <w:sz w:val="20"/>
                <w:szCs w:val="20"/>
                <w:shd w:val="clear" w:color="auto" w:fill="FFFFFF"/>
                <w:lang w:val="en-US"/>
              </w:rPr>
              <w:t xml:space="preserve"> (3) și (4)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scoate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licitație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și se </w:t>
            </w:r>
            <w:proofErr w:type="spellStart"/>
            <w:r>
              <w:rPr>
                <w:rFonts w:eastAsia="Arial Unicode MS"/>
                <w:color w:val="333333"/>
                <w:sz w:val="20"/>
                <w:szCs w:val="20"/>
                <w:shd w:val="clear" w:color="auto" w:fill="FFFFFF"/>
                <w:lang w:val="en-US"/>
              </w:rPr>
              <w:t>distribuie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acestea</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proporții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identice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partea</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referință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4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(2)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2018/842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categoriile</w:t>
            </w:r>
            <w:proofErr w:type="spellEnd"/>
            <w:r>
              <w:rPr>
                <w:rFonts w:eastAsia="Arial Unicode MS"/>
                <w:color w:val="333333"/>
                <w:sz w:val="20"/>
                <w:szCs w:val="20"/>
                <w:shd w:val="clear" w:color="auto" w:fill="FFFFFF"/>
                <w:lang w:val="en-US"/>
              </w:rPr>
              <w:t xml:space="preserve"> de surse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al </w:t>
            </w:r>
            <w:proofErr w:type="spellStart"/>
            <w:r>
              <w:rPr>
                <w:rFonts w:eastAsia="Arial Unicode MS"/>
                <w:color w:val="333333"/>
                <w:sz w:val="20"/>
                <w:szCs w:val="20"/>
                <w:shd w:val="clear" w:color="auto" w:fill="FFFFFF"/>
                <w:lang w:val="en-US"/>
              </w:rPr>
              <w:t>doilea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literele</w:t>
            </w:r>
            <w:proofErr w:type="spellEnd"/>
            <w:r>
              <w:rPr>
                <w:rFonts w:eastAsia="Arial Unicode MS"/>
                <w:color w:val="333333"/>
                <w:sz w:val="20"/>
                <w:szCs w:val="20"/>
                <w:shd w:val="clear" w:color="auto" w:fill="FFFFFF"/>
                <w:lang w:val="en-US"/>
              </w:rPr>
              <w:t xml:space="preserve"> (b), (c) și (d) din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III la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media </w:t>
            </w:r>
            <w:proofErr w:type="spellStart"/>
            <w:r>
              <w:rPr>
                <w:rFonts w:eastAsia="Arial Unicode MS"/>
                <w:color w:val="333333"/>
                <w:sz w:val="20"/>
                <w:szCs w:val="20"/>
                <w:shd w:val="clear" w:color="auto" w:fill="FFFFFF"/>
                <w:lang w:val="en-US"/>
              </w:rPr>
              <w:t>perioadei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2016 și 2018 a </w:t>
            </w:r>
            <w:proofErr w:type="spellStart"/>
            <w:r>
              <w:rPr>
                <w:rFonts w:eastAsia="Arial Unicode MS"/>
                <w:color w:val="333333"/>
                <w:sz w:val="20"/>
                <w:szCs w:val="20"/>
                <w:shd w:val="clear" w:color="auto" w:fill="FFFFFF"/>
                <w:lang w:val="en-US"/>
              </w:rPr>
              <w:t>statului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cauză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astfel</w:t>
            </w:r>
            <w:proofErr w:type="spellEnd"/>
            <w:r>
              <w:rPr>
                <w:rFonts w:eastAsia="Arial Unicode MS"/>
                <w:color w:val="333333"/>
                <w:sz w:val="20"/>
                <w:szCs w:val="20"/>
                <w:shd w:val="clear" w:color="auto" w:fill="FFFFFF"/>
                <w:lang w:val="en-US"/>
              </w:rPr>
              <w:t xml:space="preserve"> cum a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revizuită</w:t>
            </w:r>
            <w:proofErr w:type="spellEnd"/>
            <w:r>
              <w:rPr>
                <w:rFonts w:eastAsia="Arial Unicode MS"/>
                <w:color w:val="333333"/>
                <w:sz w:val="20"/>
                <w:szCs w:val="20"/>
                <w:shd w:val="clear" w:color="auto" w:fill="FFFFFF"/>
                <w:lang w:val="en-US"/>
              </w:rPr>
              <w:t xml:space="preserve"> în mod </w:t>
            </w:r>
            <w:proofErr w:type="spellStart"/>
            <w:r>
              <w:rPr>
                <w:rFonts w:eastAsia="Arial Unicode MS"/>
                <w:color w:val="333333"/>
                <w:sz w:val="20"/>
                <w:szCs w:val="20"/>
                <w:shd w:val="clear" w:color="auto" w:fill="FFFFFF"/>
                <w:lang w:val="en-US"/>
              </w:rPr>
              <w:t>cuprinzător</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4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w:t>
            </w:r>
            <w:proofErr w:type="spellEnd"/>
            <w:r>
              <w:rPr>
                <w:rFonts w:eastAsia="Arial Unicode MS"/>
                <w:color w:val="333333"/>
                <w:sz w:val="20"/>
                <w:szCs w:val="20"/>
                <w:shd w:val="clear" w:color="auto" w:fill="FFFFFF"/>
                <w:lang w:val="en-US"/>
              </w:rPr>
              <w:t>.</w:t>
            </w:r>
          </w:p>
          <w:p w14:paraId="6FA5A3E1" w14:textId="77777777" w:rsidR="00124364" w:rsidRDefault="00000000">
            <w:pPr>
              <w:pStyle w:val="ti-art"/>
              <w:numPr>
                <w:ilvl w:val="0"/>
                <w:numId w:val="141"/>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determină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destinația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obținute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urma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licitării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(5)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excepția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veniturilor</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constituie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externe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alocate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(4) de la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veniturilor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stabilite</w:t>
            </w:r>
            <w:proofErr w:type="spellEnd"/>
            <w:r>
              <w:rPr>
                <w:rFonts w:eastAsia="Arial Unicode MS"/>
                <w:color w:val="333333"/>
                <w:sz w:val="20"/>
                <w:szCs w:val="20"/>
                <w:shd w:val="clear" w:color="auto" w:fill="FFFFFF"/>
                <w:lang w:val="en-US"/>
              </w:rPr>
              <w:t xml:space="preserve"> ca </w:t>
            </w:r>
            <w:proofErr w:type="spellStart"/>
            <w:r>
              <w:rPr>
                <w:rFonts w:eastAsia="Arial Unicode MS"/>
                <w:color w:val="333333"/>
                <w:sz w:val="20"/>
                <w:szCs w:val="20"/>
                <w:shd w:val="clear" w:color="auto" w:fill="FFFFFF"/>
                <w:lang w:val="en-US"/>
              </w:rPr>
              <w:t>resurse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proprii</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311 al </w:t>
            </w:r>
            <w:proofErr w:type="spellStart"/>
            <w:r>
              <w:rPr>
                <w:rFonts w:eastAsia="Arial Unicode MS"/>
                <w:color w:val="333333"/>
                <w:sz w:val="20"/>
                <w:szCs w:val="20"/>
                <w:shd w:val="clear" w:color="auto" w:fill="FFFFFF"/>
                <w:lang w:val="en-US"/>
              </w:rPr>
              <w:t>treilea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paragraf</w:t>
            </w:r>
            <w:proofErr w:type="spellEnd"/>
            <w:r>
              <w:rPr>
                <w:rFonts w:eastAsia="Arial Unicode MS"/>
                <w:color w:val="333333"/>
                <w:sz w:val="20"/>
                <w:szCs w:val="20"/>
                <w:shd w:val="clear" w:color="auto" w:fill="FFFFFF"/>
                <w:lang w:val="en-US"/>
              </w:rPr>
              <w:t xml:space="preserve"> din TFUE și </w:t>
            </w:r>
            <w:proofErr w:type="spellStart"/>
            <w:r>
              <w:rPr>
                <w:rFonts w:eastAsia="Arial Unicode MS"/>
                <w:color w:val="333333"/>
                <w:sz w:val="20"/>
                <w:szCs w:val="20"/>
                <w:shd w:val="clear" w:color="auto" w:fill="FFFFFF"/>
                <w:lang w:val="en-US"/>
              </w:rPr>
              <w:t>incluse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bugetul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Uniunii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Statele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membre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își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veniturile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echivalentul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valorii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veniturilor</w:t>
            </w:r>
            <w:proofErr w:type="spellEnd"/>
            <w:r>
              <w:rPr>
                <w:rFonts w:eastAsia="Arial Unicode MS"/>
                <w:color w:val="333333"/>
                <w:sz w:val="20"/>
                <w:szCs w:val="20"/>
                <w:shd w:val="clear" w:color="auto" w:fill="FFFFFF"/>
                <w:lang w:val="en-US"/>
              </w:rPr>
              <w:t xml:space="preserve"> respective în </w:t>
            </w:r>
            <w:proofErr w:type="spellStart"/>
            <w:r>
              <w:rPr>
                <w:rFonts w:eastAsia="Arial Unicode MS"/>
                <w:color w:val="333333"/>
                <w:sz w:val="20"/>
                <w:szCs w:val="20"/>
                <w:shd w:val="clear" w:color="auto" w:fill="FFFFFF"/>
                <w:lang w:val="en-US"/>
              </w:rPr>
              <w:t>unul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scopurile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menționate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10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(3)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acordând</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prioritate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activităților</w:t>
            </w:r>
            <w:proofErr w:type="spellEnd"/>
            <w:r>
              <w:rPr>
                <w:rFonts w:eastAsia="Arial Unicode MS"/>
                <w:color w:val="333333"/>
                <w:sz w:val="20"/>
                <w:szCs w:val="20"/>
                <w:shd w:val="clear" w:color="auto" w:fill="FFFFFF"/>
                <w:lang w:val="en-US"/>
              </w:rPr>
              <w:t xml:space="preserve"> care pot </w:t>
            </w:r>
            <w:proofErr w:type="spellStart"/>
            <w:r>
              <w:rPr>
                <w:rFonts w:eastAsia="Arial Unicode MS"/>
                <w:color w:val="333333"/>
                <w:sz w:val="20"/>
                <w:szCs w:val="20"/>
                <w:shd w:val="clear" w:color="auto" w:fill="FFFFFF"/>
                <w:lang w:val="en-US"/>
              </w:rPr>
              <w:t>contribui</w:t>
            </w:r>
            <w:proofErr w:type="spellEnd"/>
            <w:r>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lastRenderedPageBreak/>
              <w:t xml:space="preserve">la </w:t>
            </w:r>
            <w:proofErr w:type="spellStart"/>
            <w:r>
              <w:rPr>
                <w:rFonts w:eastAsia="Arial Unicode MS"/>
                <w:color w:val="333333"/>
                <w:sz w:val="20"/>
                <w:szCs w:val="20"/>
                <w:shd w:val="clear" w:color="auto" w:fill="FFFFFF"/>
                <w:lang w:val="en-US"/>
              </w:rPr>
              <w:t>abordarea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aspectelor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sociale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comercializării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certificatelor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următoarele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scopuri</w:t>
            </w:r>
            <w:proofErr w:type="spellEnd"/>
            <w:r>
              <w:rPr>
                <w:rFonts w:eastAsia="Arial Unicode MS"/>
                <w:color w:val="333333"/>
                <w:sz w:val="20"/>
                <w:szCs w:val="20"/>
                <w:shd w:val="clear" w:color="auto" w:fill="FFFFFF"/>
                <w:lang w:val="en-US"/>
              </w:rPr>
              <w:t>:</w:t>
            </w:r>
          </w:p>
          <w:p w14:paraId="408CE0C8" w14:textId="77777777" w:rsidR="00124364" w:rsidRDefault="00000000">
            <w:pPr>
              <w:pStyle w:val="ti-art"/>
              <w:numPr>
                <w:ilvl w:val="0"/>
                <w:numId w:val="142"/>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contribuie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decarbonizarea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încălzirii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răcirii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clădirilor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reducerea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nevoilor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energetice</w:t>
            </w:r>
            <w:proofErr w:type="spellEnd"/>
            <w:r>
              <w:rPr>
                <w:rFonts w:eastAsia="Arial Unicode MS"/>
                <w:color w:val="333333"/>
                <w:sz w:val="20"/>
                <w:szCs w:val="20"/>
                <w:shd w:val="clear" w:color="auto" w:fill="FFFFFF"/>
                <w:lang w:val="en-US"/>
              </w:rPr>
              <w:t xml:space="preserve"> ale </w:t>
            </w:r>
            <w:proofErr w:type="spellStart"/>
            <w:r>
              <w:rPr>
                <w:rFonts w:eastAsia="Arial Unicode MS"/>
                <w:color w:val="333333"/>
                <w:sz w:val="20"/>
                <w:szCs w:val="20"/>
                <w:shd w:val="clear" w:color="auto" w:fill="FFFFFF"/>
                <w:lang w:val="en-US"/>
              </w:rPr>
              <w:t>clădirilor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integrarea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energiilor</w:t>
            </w:r>
            <w:proofErr w:type="spellEnd"/>
            <w:r>
              <w:rPr>
                <w:rFonts w:eastAsia="Arial Unicode MS"/>
                <w:color w:val="333333"/>
                <w:sz w:val="20"/>
                <w:szCs w:val="20"/>
                <w:shd w:val="clear" w:color="auto" w:fill="FFFFFF"/>
                <w:lang w:val="en-US"/>
              </w:rPr>
              <w:t xml:space="preserve"> din surse </w:t>
            </w:r>
            <w:proofErr w:type="spellStart"/>
            <w:r>
              <w:rPr>
                <w:rFonts w:eastAsia="Arial Unicode MS"/>
                <w:color w:val="333333"/>
                <w:sz w:val="20"/>
                <w:szCs w:val="20"/>
                <w:shd w:val="clear" w:color="auto" w:fill="FFFFFF"/>
                <w:lang w:val="en-US"/>
              </w:rPr>
              <w:t>regenerabile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conexe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7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(11) și </w:t>
            </w:r>
            <w:proofErr w:type="spellStart"/>
            <w:r>
              <w:rPr>
                <w:rFonts w:eastAsia="Arial Unicode MS"/>
                <w:color w:val="333333"/>
                <w:sz w:val="20"/>
                <w:szCs w:val="20"/>
                <w:shd w:val="clear" w:color="auto" w:fill="FFFFFF"/>
                <w:lang w:val="en-US"/>
              </w:rPr>
              <w:t>articolele</w:t>
            </w:r>
            <w:proofErr w:type="spellEnd"/>
            <w:r>
              <w:rPr>
                <w:rFonts w:eastAsia="Arial Unicode MS"/>
                <w:color w:val="333333"/>
                <w:sz w:val="20"/>
                <w:szCs w:val="20"/>
                <w:shd w:val="clear" w:color="auto" w:fill="FFFFFF"/>
                <w:lang w:val="en-US"/>
              </w:rPr>
              <w:t xml:space="preserve"> 12 și 20 din </w:t>
            </w:r>
            <w:proofErr w:type="spellStart"/>
            <w:r>
              <w:rPr>
                <w:rFonts w:eastAsia="Arial Unicode MS"/>
                <w:color w:val="333333"/>
                <w:sz w:val="20"/>
                <w:szCs w:val="20"/>
                <w:shd w:val="clear" w:color="auto" w:fill="FFFFFF"/>
                <w:lang w:val="en-US"/>
              </w:rPr>
              <w:t>Directiva</w:t>
            </w:r>
            <w:proofErr w:type="spellEnd"/>
            <w:r>
              <w:rPr>
                <w:rFonts w:eastAsia="Arial Unicode MS"/>
                <w:color w:val="333333"/>
                <w:sz w:val="20"/>
                <w:szCs w:val="20"/>
                <w:shd w:val="clear" w:color="auto" w:fill="FFFFFF"/>
                <w:lang w:val="en-US"/>
              </w:rPr>
              <w:t xml:space="preserve"> 2012/27/UE, precum și </w:t>
            </w: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acordare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gospodăriile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reduse</w:t>
            </w:r>
            <w:proofErr w:type="spellEnd"/>
            <w:r>
              <w:rPr>
                <w:rFonts w:eastAsia="Arial Unicode MS"/>
                <w:color w:val="333333"/>
                <w:sz w:val="20"/>
                <w:szCs w:val="20"/>
                <w:shd w:val="clear" w:color="auto" w:fill="FFFFFF"/>
                <w:lang w:val="en-US"/>
              </w:rPr>
              <w:t xml:space="preserve"> din </w:t>
            </w:r>
            <w:proofErr w:type="spellStart"/>
            <w:r>
              <w:rPr>
                <w:rFonts w:eastAsia="Arial Unicode MS"/>
                <w:color w:val="333333"/>
                <w:sz w:val="20"/>
                <w:szCs w:val="20"/>
                <w:shd w:val="clear" w:color="auto" w:fill="FFFFFF"/>
                <w:lang w:val="en-US"/>
              </w:rPr>
              <w:t>clădirile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mai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slabe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performanțe</w:t>
            </w:r>
            <w:proofErr w:type="spellEnd"/>
            <w:r>
              <w:rPr>
                <w:rFonts w:eastAsia="Arial Unicode MS"/>
                <w:color w:val="333333"/>
                <w:sz w:val="20"/>
                <w:szCs w:val="20"/>
                <w:shd w:val="clear" w:color="auto" w:fill="FFFFFF"/>
                <w:lang w:val="en-US"/>
              </w:rPr>
              <w:t>;</w:t>
            </w:r>
          </w:p>
          <w:p w14:paraId="77981DAA" w14:textId="77777777" w:rsidR="00124364" w:rsidRDefault="00000000">
            <w:pPr>
              <w:pStyle w:val="ti-art"/>
              <w:numPr>
                <w:ilvl w:val="0"/>
                <w:numId w:val="142"/>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menite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accelereze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adoptarea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vehiculelor</w:t>
            </w:r>
            <w:proofErr w:type="spellEnd"/>
            <w:r>
              <w:rPr>
                <w:rFonts w:eastAsia="Arial Unicode MS"/>
                <w:color w:val="333333"/>
                <w:sz w:val="20"/>
                <w:szCs w:val="20"/>
                <w:shd w:val="clear" w:color="auto" w:fill="FFFFFF"/>
                <w:lang w:val="en-US"/>
              </w:rPr>
              <w:t xml:space="preserve"> cu zero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ofere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instalarea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infrastructuri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realimentare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reîncărcare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complet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interoperabile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vehiculele</w:t>
            </w:r>
            <w:proofErr w:type="spellEnd"/>
            <w:r>
              <w:rPr>
                <w:rFonts w:eastAsia="Arial Unicode MS"/>
                <w:color w:val="333333"/>
                <w:sz w:val="20"/>
                <w:szCs w:val="20"/>
                <w:shd w:val="clear" w:color="auto" w:fill="FFFFFF"/>
                <w:lang w:val="en-US"/>
              </w:rPr>
              <w:t xml:space="preserve"> cu zero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încurajare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trecerii</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transportul</w:t>
            </w:r>
            <w:proofErr w:type="spellEnd"/>
            <w:r>
              <w:rPr>
                <w:rFonts w:eastAsia="Arial Unicode MS"/>
                <w:color w:val="333333"/>
                <w:sz w:val="20"/>
                <w:szCs w:val="20"/>
                <w:shd w:val="clear" w:color="auto" w:fill="FFFFFF"/>
                <w:lang w:val="en-US"/>
              </w:rPr>
              <w:t xml:space="preserve"> public și de </w:t>
            </w:r>
            <w:proofErr w:type="spellStart"/>
            <w:r>
              <w:rPr>
                <w:rFonts w:eastAsia="Arial Unicode MS"/>
                <w:color w:val="333333"/>
                <w:sz w:val="20"/>
                <w:szCs w:val="20"/>
                <w:shd w:val="clear" w:color="auto" w:fill="FFFFFF"/>
                <w:lang w:val="en-US"/>
              </w:rPr>
              <w:t>îmbunătățire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multimodalității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acordare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sprijin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abordarea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aspectelor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ordin</w:t>
            </w:r>
            <w:proofErr w:type="spellEnd"/>
            <w:r>
              <w:rPr>
                <w:rFonts w:eastAsia="Arial Unicode MS"/>
                <w:color w:val="333333"/>
                <w:sz w:val="20"/>
                <w:szCs w:val="20"/>
                <w:shd w:val="clear" w:color="auto" w:fill="FFFFFF"/>
                <w:lang w:val="en-US"/>
              </w:rPr>
              <w:t xml:space="preserve"> social în </w:t>
            </w:r>
            <w:proofErr w:type="spellStart"/>
            <w:r>
              <w:rPr>
                <w:rFonts w:eastAsia="Arial Unicode MS"/>
                <w:color w:val="333333"/>
                <w:sz w:val="20"/>
                <w:szCs w:val="20"/>
                <w:shd w:val="clear" w:color="auto" w:fill="FFFFFF"/>
                <w:lang w:val="en-US"/>
              </w:rPr>
              <w:t>legătură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utilizatorii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serviciilor</w:t>
            </w:r>
            <w:proofErr w:type="spellEnd"/>
            <w:r>
              <w:rPr>
                <w:rFonts w:eastAsia="Arial Unicode MS"/>
                <w:color w:val="333333"/>
                <w:sz w:val="20"/>
                <w:szCs w:val="20"/>
                <w:shd w:val="clear" w:color="auto" w:fill="FFFFFF"/>
                <w:lang w:val="en-US"/>
              </w:rPr>
              <w:t xml:space="preserve"> de transport cu </w:t>
            </w:r>
            <w:proofErr w:type="spellStart"/>
            <w:r>
              <w:rPr>
                <w:rFonts w:eastAsia="Arial Unicode MS"/>
                <w:color w:val="333333"/>
                <w:sz w:val="20"/>
                <w:szCs w:val="20"/>
                <w:shd w:val="clear" w:color="auto" w:fill="FFFFFF"/>
                <w:lang w:val="en-US"/>
              </w:rPr>
              <w:t>venituri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mici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mijlocii</w:t>
            </w:r>
            <w:proofErr w:type="spellEnd"/>
            <w:r>
              <w:rPr>
                <w:rFonts w:eastAsia="Arial Unicode MS"/>
                <w:color w:val="333333"/>
                <w:sz w:val="20"/>
                <w:szCs w:val="20"/>
                <w:shd w:val="clear" w:color="auto" w:fill="FFFFFF"/>
                <w:lang w:val="en-US"/>
              </w:rPr>
              <w:t>;</w:t>
            </w:r>
          </w:p>
          <w:p w14:paraId="21B6E7C3" w14:textId="77777777" w:rsidR="00124364" w:rsidRDefault="00000000">
            <w:pPr>
              <w:pStyle w:val="ti-art"/>
              <w:numPr>
                <w:ilvl w:val="0"/>
                <w:numId w:val="142"/>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își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finanțeze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planul</w:t>
            </w:r>
            <w:proofErr w:type="spellEnd"/>
            <w:r>
              <w:rPr>
                <w:rFonts w:eastAsia="Arial Unicode MS"/>
                <w:color w:val="333333"/>
                <w:sz w:val="20"/>
                <w:szCs w:val="20"/>
                <w:shd w:val="clear" w:color="auto" w:fill="FFFFFF"/>
                <w:lang w:val="en-US"/>
              </w:rPr>
              <w:t xml:space="preserve"> social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climă</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15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2023/955;</w:t>
            </w:r>
          </w:p>
          <w:p w14:paraId="00E5F7FD" w14:textId="77777777" w:rsidR="00124364" w:rsidRDefault="00000000">
            <w:pPr>
              <w:pStyle w:val="ti-art"/>
              <w:numPr>
                <w:ilvl w:val="0"/>
                <w:numId w:val="142"/>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ofere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compensații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financiare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consumatorilor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finali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cazurile</w:t>
            </w:r>
            <w:proofErr w:type="spellEnd"/>
            <w:r>
              <w:rPr>
                <w:rFonts w:eastAsia="Arial Unicode MS"/>
                <w:color w:val="333333"/>
                <w:sz w:val="20"/>
                <w:szCs w:val="20"/>
                <w:shd w:val="clear" w:color="auto" w:fill="FFFFFF"/>
                <w:lang w:val="en-US"/>
              </w:rPr>
              <w:t xml:space="preserve"> în care nu a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posibilă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evitarea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dublei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contabilizări</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în care </w:t>
            </w:r>
            <w:proofErr w:type="spellStart"/>
            <w:r>
              <w:rPr>
                <w:rFonts w:eastAsia="Arial Unicode MS"/>
                <w:color w:val="333333"/>
                <w:sz w:val="20"/>
                <w:szCs w:val="20"/>
                <w:shd w:val="clear" w:color="auto" w:fill="FFFFFF"/>
                <w:lang w:val="en-US"/>
              </w:rPr>
              <w:t>certificatele</w:t>
            </w:r>
            <w:proofErr w:type="spellEnd"/>
            <w:r>
              <w:rPr>
                <w:rFonts w:eastAsia="Arial Unicode MS"/>
                <w:color w:val="333333"/>
                <w:sz w:val="20"/>
                <w:szCs w:val="20"/>
                <w:shd w:val="clear" w:color="auto" w:fill="FFFFFF"/>
                <w:lang w:val="en-US"/>
              </w:rPr>
              <w:t xml:space="preserve"> au </w:t>
            </w:r>
            <w:proofErr w:type="spellStart"/>
            <w:r>
              <w:rPr>
                <w:rFonts w:eastAsia="Arial Unicode MS"/>
                <w:color w:val="333333"/>
                <w:sz w:val="20"/>
                <w:szCs w:val="20"/>
                <w:shd w:val="clear" w:color="auto" w:fill="FFFFFF"/>
                <w:lang w:val="en-US"/>
              </w:rPr>
              <w:t>fost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restituite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care nu fac </w:t>
            </w:r>
            <w:proofErr w:type="spellStart"/>
            <w:r>
              <w:rPr>
                <w:rFonts w:eastAsia="Arial Unicode MS"/>
                <w:color w:val="333333"/>
                <w:sz w:val="20"/>
                <w:szCs w:val="20"/>
                <w:shd w:val="clear" w:color="auto" w:fill="FFFFFF"/>
                <w:lang w:val="en-US"/>
              </w:rPr>
              <w:t>obiectul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capitol, </w:t>
            </w:r>
            <w:proofErr w:type="spellStart"/>
            <w:r>
              <w:rPr>
                <w:rFonts w:eastAsia="Arial Unicode MS"/>
                <w:color w:val="333333"/>
                <w:sz w:val="20"/>
                <w:szCs w:val="20"/>
                <w:shd w:val="clear" w:color="auto" w:fill="FFFFFF"/>
                <w:lang w:val="en-US"/>
              </w:rPr>
              <w:t>așa</w:t>
            </w:r>
            <w:proofErr w:type="spellEnd"/>
            <w:r>
              <w:rPr>
                <w:rFonts w:eastAsia="Arial Unicode MS"/>
                <w:color w:val="333333"/>
                <w:sz w:val="20"/>
                <w:szCs w:val="20"/>
                <w:shd w:val="clear" w:color="auto" w:fill="FFFFFF"/>
                <w:lang w:val="en-US"/>
              </w:rPr>
              <w:t xml:space="preserve"> cum se </w:t>
            </w:r>
            <w:proofErr w:type="spellStart"/>
            <w:r>
              <w:rPr>
                <w:rFonts w:eastAsia="Arial Unicode MS"/>
                <w:color w:val="333333"/>
                <w:sz w:val="20"/>
                <w:szCs w:val="20"/>
                <w:shd w:val="clear" w:color="auto" w:fill="FFFFFF"/>
                <w:lang w:val="en-US"/>
              </w:rPr>
              <w:t>menționează</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30f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(5).</w:t>
            </w:r>
          </w:p>
          <w:p w14:paraId="116757B7" w14:textId="77777777" w:rsidR="00124364" w:rsidRPr="00D9773B" w:rsidRDefault="00000000" w:rsidP="00D9773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9773B">
              <w:rPr>
                <w:rFonts w:eastAsia="Arial Unicode MS"/>
                <w:color w:val="000000" w:themeColor="text1"/>
                <w:sz w:val="20"/>
                <w:szCs w:val="20"/>
                <w:shd w:val="clear" w:color="auto" w:fill="FFFFFF"/>
                <w:lang w:val="en-US"/>
              </w:rPr>
              <w:t xml:space="preserve">Se </w:t>
            </w:r>
            <w:proofErr w:type="spellStart"/>
            <w:r w:rsidRPr="00D9773B">
              <w:rPr>
                <w:rFonts w:eastAsia="Arial Unicode MS"/>
                <w:color w:val="000000" w:themeColor="text1"/>
                <w:sz w:val="20"/>
                <w:szCs w:val="20"/>
                <w:shd w:val="clear" w:color="auto" w:fill="FFFFFF"/>
                <w:lang w:val="en-US"/>
              </w:rPr>
              <w:t>consideră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statele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membre</w:t>
            </w:r>
            <w:proofErr w:type="spellEnd"/>
            <w:r w:rsidRPr="00D9773B">
              <w:rPr>
                <w:rFonts w:eastAsia="Arial Unicode MS"/>
                <w:color w:val="000000" w:themeColor="text1"/>
                <w:sz w:val="20"/>
                <w:szCs w:val="20"/>
                <w:shd w:val="clear" w:color="auto" w:fill="FFFFFF"/>
                <w:lang w:val="en-US"/>
              </w:rPr>
              <w:t xml:space="preserve"> au </w:t>
            </w:r>
            <w:proofErr w:type="spellStart"/>
            <w:r w:rsidRPr="00D9773B">
              <w:rPr>
                <w:rFonts w:eastAsia="Arial Unicode MS"/>
                <w:color w:val="000000" w:themeColor="text1"/>
                <w:sz w:val="20"/>
                <w:szCs w:val="20"/>
                <w:shd w:val="clear" w:color="auto" w:fill="FFFFFF"/>
                <w:lang w:val="en-US"/>
              </w:rPr>
              <w:t>îndeplinit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dispozițiile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prezentului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alineat</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cazul</w:t>
            </w:r>
            <w:proofErr w:type="spellEnd"/>
            <w:r w:rsidRPr="00D9773B">
              <w:rPr>
                <w:rFonts w:eastAsia="Arial Unicode MS"/>
                <w:color w:val="000000" w:themeColor="text1"/>
                <w:sz w:val="20"/>
                <w:szCs w:val="20"/>
                <w:shd w:val="clear" w:color="auto" w:fill="FFFFFF"/>
                <w:lang w:val="en-US"/>
              </w:rPr>
              <w:t xml:space="preserve"> în care </w:t>
            </w:r>
            <w:proofErr w:type="spellStart"/>
            <w:r w:rsidRPr="00D9773B">
              <w:rPr>
                <w:rFonts w:eastAsia="Arial Unicode MS"/>
                <w:color w:val="000000" w:themeColor="text1"/>
                <w:sz w:val="20"/>
                <w:szCs w:val="20"/>
                <w:shd w:val="clear" w:color="auto" w:fill="FFFFFF"/>
                <w:lang w:val="en-US"/>
              </w:rPr>
              <w:t>acestea</w:t>
            </w:r>
            <w:proofErr w:type="spellEnd"/>
            <w:r w:rsidRPr="00D9773B">
              <w:rPr>
                <w:rFonts w:eastAsia="Arial Unicode MS"/>
                <w:color w:val="000000" w:themeColor="text1"/>
                <w:sz w:val="20"/>
                <w:szCs w:val="20"/>
                <w:shd w:val="clear" w:color="auto" w:fill="FFFFFF"/>
                <w:lang w:val="en-US"/>
              </w:rPr>
              <w:t xml:space="preserve"> au </w:t>
            </w:r>
            <w:proofErr w:type="spellStart"/>
            <w:r w:rsidRPr="00D9773B">
              <w:rPr>
                <w:rFonts w:eastAsia="Arial Unicode MS"/>
                <w:color w:val="000000" w:themeColor="text1"/>
                <w:sz w:val="20"/>
                <w:szCs w:val="20"/>
                <w:shd w:val="clear" w:color="auto" w:fill="FFFFFF"/>
                <w:lang w:val="en-US"/>
              </w:rPr>
              <w:t>instituit</w:t>
            </w:r>
            <w:proofErr w:type="spellEnd"/>
            <w:r w:rsidRPr="00D9773B">
              <w:rPr>
                <w:rFonts w:eastAsia="Arial Unicode MS"/>
                <w:color w:val="000000" w:themeColor="text1"/>
                <w:sz w:val="20"/>
                <w:szCs w:val="20"/>
                <w:shd w:val="clear" w:color="auto" w:fill="FFFFFF"/>
                <w:lang w:val="en-US"/>
              </w:rPr>
              <w:t xml:space="preserve"> și pun în </w:t>
            </w:r>
            <w:proofErr w:type="spellStart"/>
            <w:r w:rsidRPr="00D9773B">
              <w:rPr>
                <w:rFonts w:eastAsia="Arial Unicode MS"/>
                <w:color w:val="000000" w:themeColor="text1"/>
                <w:sz w:val="20"/>
                <w:szCs w:val="20"/>
                <w:shd w:val="clear" w:color="auto" w:fill="FFFFFF"/>
                <w:lang w:val="en-US"/>
              </w:rPr>
              <w:t>aplicare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politici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sprijin</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financiar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sau</w:t>
            </w:r>
            <w:proofErr w:type="spellEnd"/>
            <w:r w:rsidRPr="00D9773B">
              <w:rPr>
                <w:rFonts w:eastAsia="Arial Unicode MS"/>
                <w:color w:val="000000" w:themeColor="text1"/>
                <w:sz w:val="20"/>
                <w:szCs w:val="20"/>
                <w:shd w:val="clear" w:color="auto" w:fill="FFFFFF"/>
                <w:lang w:val="en-US"/>
              </w:rPr>
              <w:t xml:space="preserve"> fiscal </w:t>
            </w:r>
            <w:proofErr w:type="spellStart"/>
            <w:r w:rsidRPr="00D9773B">
              <w:rPr>
                <w:rFonts w:eastAsia="Arial Unicode MS"/>
                <w:color w:val="000000" w:themeColor="text1"/>
                <w:sz w:val="20"/>
                <w:szCs w:val="20"/>
                <w:shd w:val="clear" w:color="auto" w:fill="FFFFFF"/>
                <w:lang w:val="en-US"/>
              </w:rPr>
              <w:t>sau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politici</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reglementare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pentru</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impulsionarea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sprijinului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financiar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stabilite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scopurile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primul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paragraf</w:t>
            </w:r>
            <w:proofErr w:type="spellEnd"/>
            <w:r w:rsidRPr="00D9773B">
              <w:rPr>
                <w:rFonts w:eastAsia="Arial Unicode MS"/>
                <w:color w:val="000000" w:themeColor="text1"/>
                <w:sz w:val="20"/>
                <w:szCs w:val="20"/>
                <w:shd w:val="clear" w:color="auto" w:fill="FFFFFF"/>
                <w:lang w:val="en-US"/>
              </w:rPr>
              <w:t xml:space="preserve"> de la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alineat</w:t>
            </w:r>
            <w:proofErr w:type="spellEnd"/>
            <w:r w:rsidRPr="00D9773B">
              <w:rPr>
                <w:rFonts w:eastAsia="Arial Unicode MS"/>
                <w:color w:val="000000" w:themeColor="text1"/>
                <w:sz w:val="20"/>
                <w:szCs w:val="20"/>
                <w:shd w:val="clear" w:color="auto" w:fill="FFFFFF"/>
                <w:lang w:val="en-US"/>
              </w:rPr>
              <w:t xml:space="preserve"> și cu o </w:t>
            </w:r>
            <w:proofErr w:type="spellStart"/>
            <w:r w:rsidRPr="00D9773B">
              <w:rPr>
                <w:rFonts w:eastAsia="Arial Unicode MS"/>
                <w:color w:val="000000" w:themeColor="text1"/>
                <w:sz w:val="20"/>
                <w:szCs w:val="20"/>
                <w:shd w:val="clear" w:color="auto" w:fill="FFFFFF"/>
                <w:lang w:val="en-US"/>
              </w:rPr>
              <w:t>valoare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echivalentă</w:t>
            </w:r>
            <w:proofErr w:type="spellEnd"/>
            <w:r w:rsidRPr="00D9773B">
              <w:rPr>
                <w:rFonts w:eastAsia="Arial Unicode MS"/>
                <w:color w:val="000000" w:themeColor="text1"/>
                <w:sz w:val="20"/>
                <w:szCs w:val="20"/>
                <w:shd w:val="clear" w:color="auto" w:fill="FFFFFF"/>
                <w:lang w:val="en-US"/>
              </w:rPr>
              <w:t xml:space="preserve"> cu </w:t>
            </w:r>
            <w:proofErr w:type="spellStart"/>
            <w:r w:rsidRPr="00D9773B">
              <w:rPr>
                <w:rFonts w:eastAsia="Arial Unicode MS"/>
                <w:color w:val="000000" w:themeColor="text1"/>
                <w:sz w:val="20"/>
                <w:szCs w:val="20"/>
                <w:shd w:val="clear" w:color="auto" w:fill="FFFFFF"/>
                <w:lang w:val="en-US"/>
              </w:rPr>
              <w:t>veniturile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la </w:t>
            </w:r>
            <w:proofErr w:type="spellStart"/>
            <w:r w:rsidRPr="00D9773B">
              <w:rPr>
                <w:rFonts w:eastAsia="Arial Unicode MS"/>
                <w:color w:val="000000" w:themeColor="text1"/>
                <w:sz w:val="20"/>
                <w:szCs w:val="20"/>
                <w:shd w:val="clear" w:color="auto" w:fill="FFFFFF"/>
                <w:lang w:val="en-US"/>
              </w:rPr>
              <w:t>respectivul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paragraf</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obținute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urma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licitării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certificatelor</w:t>
            </w:r>
            <w:proofErr w:type="spellEnd"/>
            <w:r w:rsidRPr="00D9773B">
              <w:rPr>
                <w:rFonts w:eastAsia="Arial Unicode MS"/>
                <w:color w:val="000000" w:themeColor="text1"/>
                <w:sz w:val="20"/>
                <w:szCs w:val="20"/>
                <w:shd w:val="clear" w:color="auto" w:fill="FFFFFF"/>
                <w:lang w:val="en-US"/>
              </w:rPr>
              <w:t xml:space="preserve"> de </w:t>
            </w:r>
            <w:proofErr w:type="spellStart"/>
            <w:r w:rsidRPr="00D9773B">
              <w:rPr>
                <w:rFonts w:eastAsia="Arial Unicode MS"/>
                <w:color w:val="000000" w:themeColor="text1"/>
                <w:sz w:val="20"/>
                <w:szCs w:val="20"/>
                <w:shd w:val="clear" w:color="auto" w:fill="FFFFFF"/>
                <w:lang w:val="en-US"/>
              </w:rPr>
              <w:t>emisii</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menționate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prezentul</w:t>
            </w:r>
            <w:proofErr w:type="spellEnd"/>
            <w:r w:rsidRPr="00D9773B">
              <w:rPr>
                <w:rFonts w:eastAsia="Arial Unicode MS"/>
                <w:color w:val="000000" w:themeColor="text1"/>
                <w:sz w:val="20"/>
                <w:szCs w:val="20"/>
                <w:shd w:val="clear" w:color="auto" w:fill="FFFFFF"/>
                <w:lang w:val="en-US"/>
              </w:rPr>
              <w:t xml:space="preserve"> capitol.</w:t>
            </w:r>
          </w:p>
          <w:p w14:paraId="449CC0CD" w14:textId="2CC7A2AE" w:rsidR="00124364" w:rsidRPr="00D9773B" w:rsidRDefault="00000000" w:rsidP="00D9773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Statele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membre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informează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Comisia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privind</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utilizarea</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veniturilor</w:t>
            </w:r>
            <w:proofErr w:type="spellEnd"/>
            <w:r w:rsidRPr="00D9773B">
              <w:rPr>
                <w:rFonts w:eastAsia="Arial Unicode MS"/>
                <w:color w:val="000000" w:themeColor="text1"/>
                <w:sz w:val="20"/>
                <w:szCs w:val="20"/>
                <w:shd w:val="clear" w:color="auto" w:fill="FFFFFF"/>
                <w:lang w:val="en-US"/>
              </w:rPr>
              <w:t xml:space="preserve"> și </w:t>
            </w:r>
            <w:proofErr w:type="spellStart"/>
            <w:r w:rsidRPr="00D9773B">
              <w:rPr>
                <w:rFonts w:eastAsia="Arial Unicode MS"/>
                <w:color w:val="000000" w:themeColor="text1"/>
                <w:sz w:val="20"/>
                <w:szCs w:val="20"/>
                <w:shd w:val="clear" w:color="auto" w:fill="FFFFFF"/>
                <w:lang w:val="en-US"/>
              </w:rPr>
              <w:t>privind</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acțiunile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întreprinse</w:t>
            </w:r>
            <w:proofErr w:type="spellEnd"/>
            <w:r w:rsidRPr="00D9773B">
              <w:rPr>
                <w:rFonts w:eastAsia="Arial Unicode MS"/>
                <w:color w:val="000000" w:themeColor="text1"/>
                <w:sz w:val="20"/>
                <w:szCs w:val="20"/>
                <w:shd w:val="clear" w:color="auto" w:fill="FFFFFF"/>
                <w:lang w:val="en-US"/>
              </w:rPr>
              <w:t xml:space="preserve"> în conformitate cu </w:t>
            </w:r>
            <w:proofErr w:type="spellStart"/>
            <w:r w:rsidRPr="00D9773B">
              <w:rPr>
                <w:rFonts w:eastAsia="Arial Unicode MS"/>
                <w:color w:val="000000" w:themeColor="text1"/>
                <w:sz w:val="20"/>
                <w:szCs w:val="20"/>
                <w:shd w:val="clear" w:color="auto" w:fill="FFFFFF"/>
                <w:lang w:val="en-US"/>
              </w:rPr>
              <w:lastRenderedPageBreak/>
              <w:t>prezentul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alineat</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incluzând</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aceste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informații</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rapoartele</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prezentate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temeiul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Regulamentului</w:t>
            </w:r>
            <w:proofErr w:type="spellEnd"/>
            <w:r w:rsidR="00D9773B" w:rsidRP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(UE)2018/1999.</w:t>
            </w:r>
          </w:p>
          <w:p w14:paraId="4C9D5C17" w14:textId="27CCE49F" w:rsidR="00124364" w:rsidRDefault="00000000">
            <w:pPr>
              <w:pStyle w:val="ti-art"/>
              <w:numPr>
                <w:ilvl w:val="0"/>
                <w:numId w:val="143"/>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sidRPr="00D9773B">
              <w:rPr>
                <w:rFonts w:eastAsia="Arial Unicode MS"/>
                <w:color w:val="000000" w:themeColor="text1"/>
                <w:sz w:val="20"/>
                <w:szCs w:val="20"/>
                <w:shd w:val="clear" w:color="auto" w:fill="FFFFFF"/>
                <w:lang w:val="en-US"/>
              </w:rPr>
              <w:t>Articolul</w:t>
            </w:r>
            <w:proofErr w:type="spellEnd"/>
            <w:r w:rsidR="00D9773B" w:rsidRP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10 </w:t>
            </w:r>
            <w:proofErr w:type="spellStart"/>
            <w:r w:rsidRPr="00D9773B">
              <w:rPr>
                <w:rFonts w:eastAsia="Arial Unicode MS"/>
                <w:color w:val="000000" w:themeColor="text1"/>
                <w:sz w:val="20"/>
                <w:szCs w:val="20"/>
                <w:shd w:val="clear" w:color="auto" w:fill="FFFFFF"/>
                <w:lang w:val="en-US"/>
              </w:rPr>
              <w:t>alineatele</w:t>
            </w:r>
            <w:proofErr w:type="spellEnd"/>
            <w:r w:rsidR="00D9773B" w:rsidRP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(4) și</w:t>
            </w:r>
            <w:r w:rsidR="00D9773B" w:rsidRPr="00D9773B">
              <w:rPr>
                <w:rFonts w:eastAsia="Arial Unicode MS"/>
                <w:color w:val="000000" w:themeColor="text1"/>
                <w:sz w:val="20"/>
                <w:szCs w:val="20"/>
                <w:shd w:val="clear" w:color="auto" w:fill="FFFFFF"/>
                <w:lang w:val="en-US"/>
              </w:rPr>
              <w:t xml:space="preserve"> </w:t>
            </w:r>
            <w:r w:rsidRPr="00D9773B">
              <w:rPr>
                <w:rFonts w:eastAsia="Arial Unicode MS"/>
                <w:color w:val="000000" w:themeColor="text1"/>
                <w:sz w:val="20"/>
                <w:szCs w:val="20"/>
                <w:shd w:val="clear" w:color="auto" w:fill="FFFFFF"/>
                <w:lang w:val="en-US"/>
              </w:rPr>
              <w:t xml:space="preserve">(5) se </w:t>
            </w:r>
            <w:proofErr w:type="spellStart"/>
            <w:r w:rsidRPr="00D9773B">
              <w:rPr>
                <w:rFonts w:eastAsia="Arial Unicode MS"/>
                <w:color w:val="000000" w:themeColor="text1"/>
                <w:sz w:val="20"/>
                <w:szCs w:val="20"/>
                <w:shd w:val="clear" w:color="auto" w:fill="FFFFFF"/>
                <w:lang w:val="en-US"/>
              </w:rPr>
              <w:t>aplică</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certificatelor</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emise</w:t>
            </w:r>
            <w:proofErr w:type="spellEnd"/>
            <w:r w:rsidRPr="00D9773B">
              <w:rPr>
                <w:rFonts w:eastAsia="Arial Unicode MS"/>
                <w:color w:val="000000" w:themeColor="text1"/>
                <w:sz w:val="20"/>
                <w:szCs w:val="20"/>
                <w:shd w:val="clear" w:color="auto" w:fill="FFFFFF"/>
                <w:lang w:val="en-US"/>
              </w:rPr>
              <w:t xml:space="preserve"> în </w:t>
            </w:r>
            <w:proofErr w:type="spellStart"/>
            <w:r w:rsidRPr="00D9773B">
              <w:rPr>
                <w:rFonts w:eastAsia="Arial Unicode MS"/>
                <w:color w:val="000000" w:themeColor="text1"/>
                <w:sz w:val="20"/>
                <w:szCs w:val="20"/>
                <w:shd w:val="clear" w:color="auto" w:fill="FFFFFF"/>
                <w:lang w:val="en-US"/>
              </w:rPr>
              <w:t>temeiul</w:t>
            </w:r>
            <w:proofErr w:type="spellEnd"/>
            <w:r w:rsidRPr="00D9773B">
              <w:rPr>
                <w:rFonts w:eastAsia="Arial Unicode MS"/>
                <w:color w:val="000000" w:themeColor="text1"/>
                <w:sz w:val="20"/>
                <w:szCs w:val="20"/>
                <w:shd w:val="clear" w:color="auto" w:fill="FFFFFF"/>
                <w:lang w:val="en-US"/>
              </w:rPr>
              <w:t xml:space="preserve"> </w:t>
            </w:r>
            <w:proofErr w:type="spellStart"/>
            <w:r w:rsidRPr="00D9773B">
              <w:rPr>
                <w:rFonts w:eastAsia="Arial Unicode MS"/>
                <w:color w:val="000000" w:themeColor="text1"/>
                <w:sz w:val="20"/>
                <w:szCs w:val="20"/>
                <w:shd w:val="clear" w:color="auto" w:fill="FFFFFF"/>
                <w:lang w:val="en-US"/>
              </w:rPr>
              <w:t>prezentului</w:t>
            </w:r>
            <w:proofErr w:type="spellEnd"/>
            <w:r w:rsidRPr="00D9773B">
              <w:rPr>
                <w:rFonts w:eastAsia="Arial Unicode MS"/>
                <w:color w:val="000000" w:themeColor="text1"/>
                <w:sz w:val="20"/>
                <w:szCs w:val="20"/>
                <w:shd w:val="clear" w:color="auto" w:fill="FFFFFF"/>
                <w:lang w:val="en-US"/>
              </w:rPr>
              <w:t xml:space="preserve"> capitol.</w:t>
            </w:r>
          </w:p>
        </w:tc>
        <w:tc>
          <w:tcPr>
            <w:tcW w:w="4394" w:type="dxa"/>
            <w:shd w:val="clear" w:color="auto" w:fill="auto"/>
          </w:tcPr>
          <w:p w14:paraId="4BE2B7E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3B5A85A" w14:textId="79B096C4" w:rsidR="00124364" w:rsidRDefault="00D9773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7B086E91"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D86A3C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145700C" w14:textId="2621B11E" w:rsidR="00124364" w:rsidRDefault="00D9773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6846A482" w14:textId="77777777" w:rsidR="00124364" w:rsidRDefault="00124364" w:rsidP="00D9773B">
            <w:pPr>
              <w:autoSpaceDE w:val="0"/>
              <w:spacing w:after="0" w:line="240" w:lineRule="auto"/>
              <w:rPr>
                <w:rFonts w:ascii="Times New Roman" w:hAnsi="Times New Roman"/>
                <w:sz w:val="20"/>
                <w:szCs w:val="20"/>
                <w:lang w:val="fr-FR"/>
              </w:rPr>
            </w:pPr>
          </w:p>
        </w:tc>
      </w:tr>
      <w:tr w:rsidR="00124364" w14:paraId="4F0678DD" w14:textId="77777777">
        <w:trPr>
          <w:trHeight w:val="558"/>
        </w:trPr>
        <w:tc>
          <w:tcPr>
            <w:tcW w:w="4957" w:type="dxa"/>
            <w:shd w:val="clear" w:color="auto" w:fill="auto"/>
          </w:tcPr>
          <w:p w14:paraId="2AB100E5" w14:textId="2E6699A6"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lastRenderedPageBreak/>
              <w:t>Articolul</w:t>
            </w:r>
            <w:proofErr w:type="spellEnd"/>
            <w:r w:rsidR="00B73185">
              <w:rPr>
                <w:rFonts w:eastAsia="Arial Unicode MS"/>
                <w:i/>
                <w:iCs/>
                <w:color w:val="333333"/>
                <w:sz w:val="20"/>
                <w:szCs w:val="20"/>
                <w:shd w:val="clear" w:color="auto" w:fill="FFFFFF"/>
                <w:lang w:val="en-US"/>
              </w:rPr>
              <w:t xml:space="preserve"> </w:t>
            </w:r>
            <w:r w:rsidRPr="00B9573B">
              <w:rPr>
                <w:rFonts w:eastAsia="Arial Unicode MS"/>
                <w:i/>
                <w:iCs/>
                <w:color w:val="333333"/>
                <w:sz w:val="20"/>
                <w:szCs w:val="20"/>
                <w:shd w:val="clear" w:color="auto" w:fill="FFFFFF"/>
                <w:lang w:val="en-US"/>
              </w:rPr>
              <w:t>30e</w:t>
            </w:r>
          </w:p>
          <w:p w14:paraId="637C0C75"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Transferul</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restituirea</w:t>
            </w:r>
            <w:proofErr w:type="spellEnd"/>
            <w:r>
              <w:rPr>
                <w:rFonts w:eastAsia="Arial Unicode MS"/>
                <w:b/>
                <w:bCs/>
                <w:color w:val="333333"/>
                <w:sz w:val="20"/>
                <w:szCs w:val="20"/>
                <w:shd w:val="clear" w:color="auto" w:fill="FFFFFF"/>
                <w:lang w:val="en-US"/>
              </w:rPr>
              <w:t xml:space="preserve"> și </w:t>
            </w:r>
            <w:proofErr w:type="spellStart"/>
            <w:r>
              <w:rPr>
                <w:rFonts w:eastAsia="Arial Unicode MS"/>
                <w:b/>
                <w:bCs/>
                <w:color w:val="333333"/>
                <w:sz w:val="20"/>
                <w:szCs w:val="20"/>
                <w:shd w:val="clear" w:color="auto" w:fill="FFFFFF"/>
                <w:lang w:val="en-US"/>
              </w:rPr>
              <w:t>anularea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certificatelor</w:t>
            </w:r>
            <w:proofErr w:type="spellEnd"/>
          </w:p>
          <w:p w14:paraId="28F6D858" w14:textId="34A912D0" w:rsidR="00124364" w:rsidRPr="00B73185" w:rsidRDefault="00000000" w:rsidP="00B73185">
            <w:pPr>
              <w:pStyle w:val="ti-art"/>
              <w:numPr>
                <w:ilvl w:val="0"/>
                <w:numId w:val="14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Articolul</w:t>
            </w:r>
            <w:proofErr w:type="spellEnd"/>
            <w:r w:rsid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12 se </w:t>
            </w:r>
            <w:proofErr w:type="spellStart"/>
            <w:r w:rsidRPr="00B73185">
              <w:rPr>
                <w:rFonts w:eastAsia="Arial Unicode MS"/>
                <w:color w:val="000000" w:themeColor="text1"/>
                <w:sz w:val="20"/>
                <w:szCs w:val="20"/>
                <w:shd w:val="clear" w:color="auto" w:fill="FFFFFF"/>
                <w:lang w:val="en-US"/>
              </w:rPr>
              <w:t>aplică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emisiilor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entităților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reglementate</w:t>
            </w:r>
            <w:proofErr w:type="spellEnd"/>
            <w:r w:rsidRPr="00B73185">
              <w:rPr>
                <w:rFonts w:eastAsia="Arial Unicode MS"/>
                <w:color w:val="000000" w:themeColor="text1"/>
                <w:sz w:val="20"/>
                <w:szCs w:val="20"/>
                <w:shd w:val="clear" w:color="auto" w:fill="FFFFFF"/>
                <w:lang w:val="en-US"/>
              </w:rPr>
              <w:t xml:space="preserve"> și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care fac </w:t>
            </w:r>
            <w:proofErr w:type="spellStart"/>
            <w:r w:rsidRPr="00B73185">
              <w:rPr>
                <w:rFonts w:eastAsia="Arial Unicode MS"/>
                <w:color w:val="000000" w:themeColor="text1"/>
                <w:sz w:val="20"/>
                <w:szCs w:val="20"/>
                <w:shd w:val="clear" w:color="auto" w:fill="FFFFFF"/>
                <w:lang w:val="en-US"/>
              </w:rPr>
              <w:t>obiectul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 cu </w:t>
            </w:r>
            <w:proofErr w:type="spellStart"/>
            <w:r w:rsidRPr="00B73185">
              <w:rPr>
                <w:rFonts w:eastAsia="Arial Unicode MS"/>
                <w:color w:val="000000" w:themeColor="text1"/>
                <w:sz w:val="20"/>
                <w:szCs w:val="20"/>
                <w:shd w:val="clear" w:color="auto" w:fill="FFFFFF"/>
                <w:lang w:val="en-US"/>
              </w:rPr>
              <w:t>excepția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alineatelor</w:t>
            </w:r>
            <w:proofErr w:type="spellEnd"/>
            <w:r w:rsid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(3) și</w:t>
            </w:r>
            <w:r w:rsid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(3a), </w:t>
            </w:r>
            <w:proofErr w:type="gramStart"/>
            <w:r w:rsidRPr="00B73185">
              <w:rPr>
                <w:rFonts w:eastAsia="Arial Unicode MS"/>
                <w:color w:val="000000" w:themeColor="text1"/>
                <w:sz w:val="20"/>
                <w:szCs w:val="20"/>
                <w:shd w:val="clear" w:color="auto" w:fill="FFFFFF"/>
                <w:lang w:val="en-US"/>
              </w:rPr>
              <w:t>a</w:t>
            </w:r>
            <w:proofErr w:type="gram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alineatului</w:t>
            </w:r>
            <w:proofErr w:type="spellEnd"/>
            <w:r w:rsid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(4) a </w:t>
            </w:r>
            <w:proofErr w:type="spellStart"/>
            <w:r w:rsidRPr="00B73185">
              <w:rPr>
                <w:rFonts w:eastAsia="Arial Unicode MS"/>
                <w:color w:val="000000" w:themeColor="text1"/>
                <w:sz w:val="20"/>
                <w:szCs w:val="20"/>
                <w:shd w:val="clear" w:color="auto" w:fill="FFFFFF"/>
                <w:lang w:val="en-US"/>
              </w:rPr>
              <w:t>doua</w:t>
            </w:r>
            <w:proofErr w:type="spellEnd"/>
            <w:r w:rsidRPr="00B73185">
              <w:rPr>
                <w:rFonts w:eastAsia="Arial Unicode MS"/>
                <w:color w:val="000000" w:themeColor="text1"/>
                <w:sz w:val="20"/>
                <w:szCs w:val="20"/>
                <w:shd w:val="clear" w:color="auto" w:fill="FFFFFF"/>
                <w:lang w:val="en-US"/>
              </w:rPr>
              <w:t xml:space="preserve"> și a </w:t>
            </w:r>
            <w:proofErr w:type="spellStart"/>
            <w:r w:rsidRPr="00B73185">
              <w:rPr>
                <w:rFonts w:eastAsia="Arial Unicode MS"/>
                <w:color w:val="000000" w:themeColor="text1"/>
                <w:sz w:val="20"/>
                <w:szCs w:val="20"/>
                <w:shd w:val="clear" w:color="auto" w:fill="FFFFFF"/>
                <w:lang w:val="en-US"/>
              </w:rPr>
              <w:t>treia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teză</w:t>
            </w:r>
            <w:proofErr w:type="spellEnd"/>
            <w:r w:rsidRPr="00B73185">
              <w:rPr>
                <w:rFonts w:eastAsia="Arial Unicode MS"/>
                <w:color w:val="000000" w:themeColor="text1"/>
                <w:sz w:val="20"/>
                <w:szCs w:val="20"/>
                <w:shd w:val="clear" w:color="auto" w:fill="FFFFFF"/>
                <w:lang w:val="en-US"/>
              </w:rPr>
              <w:t xml:space="preserve"> și a </w:t>
            </w:r>
            <w:proofErr w:type="spellStart"/>
            <w:r w:rsidRPr="00B73185">
              <w:rPr>
                <w:rFonts w:eastAsia="Arial Unicode MS"/>
                <w:color w:val="000000" w:themeColor="text1"/>
                <w:sz w:val="20"/>
                <w:szCs w:val="20"/>
                <w:shd w:val="clear" w:color="auto" w:fill="FFFFFF"/>
                <w:lang w:val="en-US"/>
              </w:rPr>
              <w:t>alineatului</w:t>
            </w:r>
            <w:proofErr w:type="spellEnd"/>
            <w:r w:rsid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(5) de la </w:t>
            </w:r>
            <w:proofErr w:type="spellStart"/>
            <w:r w:rsidRPr="00B73185">
              <w:rPr>
                <w:rFonts w:eastAsia="Arial Unicode MS"/>
                <w:color w:val="000000" w:themeColor="text1"/>
                <w:sz w:val="20"/>
                <w:szCs w:val="20"/>
                <w:shd w:val="clear" w:color="auto" w:fill="FFFFFF"/>
                <w:lang w:val="en-US"/>
              </w:rPr>
              <w:t>articolul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menționat</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acest</w:t>
            </w:r>
            <w:proofErr w:type="spellEnd"/>
            <w:r w:rsidRPr="00B73185">
              <w:rPr>
                <w:rFonts w:eastAsia="Arial Unicode MS"/>
                <w:color w:val="000000" w:themeColor="text1"/>
                <w:sz w:val="20"/>
                <w:szCs w:val="20"/>
                <w:shd w:val="clear" w:color="auto" w:fill="FFFFFF"/>
                <w:lang w:val="en-US"/>
              </w:rPr>
              <w:t xml:space="preserve"> scop:</w:t>
            </w:r>
          </w:p>
          <w:p w14:paraId="20D67AC4" w14:textId="77777777" w:rsidR="00124364" w:rsidRPr="00B73185" w:rsidRDefault="00000000" w:rsidP="00B73185">
            <w:pPr>
              <w:pStyle w:val="ti-art"/>
              <w:numPr>
                <w:ilvl w:val="0"/>
                <w:numId w:val="14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orice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emisii</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interpretează</w:t>
            </w:r>
            <w:proofErr w:type="spellEnd"/>
            <w:r w:rsidRPr="00B73185">
              <w:rPr>
                <w:rFonts w:eastAsia="Arial Unicode MS"/>
                <w:color w:val="000000" w:themeColor="text1"/>
                <w:sz w:val="20"/>
                <w:szCs w:val="20"/>
                <w:shd w:val="clear" w:color="auto" w:fill="FFFFFF"/>
                <w:lang w:val="en-US"/>
              </w:rPr>
              <w:t xml:space="preserve"> ca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emisiile</w:t>
            </w:r>
            <w:proofErr w:type="spellEnd"/>
            <w:r w:rsidRPr="00B73185">
              <w:rPr>
                <w:rFonts w:eastAsia="Arial Unicode MS"/>
                <w:color w:val="000000" w:themeColor="text1"/>
                <w:sz w:val="20"/>
                <w:szCs w:val="20"/>
                <w:shd w:val="clear" w:color="auto" w:fill="FFFFFF"/>
                <w:lang w:val="en-US"/>
              </w:rPr>
              <w:t xml:space="preserve"> care fac </w:t>
            </w:r>
            <w:proofErr w:type="spellStart"/>
            <w:r w:rsidRPr="00B73185">
              <w:rPr>
                <w:rFonts w:eastAsia="Arial Unicode MS"/>
                <w:color w:val="000000" w:themeColor="text1"/>
                <w:sz w:val="20"/>
                <w:szCs w:val="20"/>
                <w:shd w:val="clear" w:color="auto" w:fill="FFFFFF"/>
                <w:lang w:val="en-US"/>
              </w:rPr>
              <w:t>obiectul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w:t>
            </w:r>
          </w:p>
          <w:p w14:paraId="5F308007" w14:textId="77777777" w:rsidR="00124364" w:rsidRPr="00B73185" w:rsidRDefault="00000000" w:rsidP="00B73185">
            <w:pPr>
              <w:pStyle w:val="ti-art"/>
              <w:numPr>
                <w:ilvl w:val="0"/>
                <w:numId w:val="14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orice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operatorii</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instalații</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interpretează</w:t>
            </w:r>
            <w:proofErr w:type="spellEnd"/>
            <w:r w:rsidRPr="00B73185">
              <w:rPr>
                <w:rFonts w:eastAsia="Arial Unicode MS"/>
                <w:color w:val="000000" w:themeColor="text1"/>
                <w:sz w:val="20"/>
                <w:szCs w:val="20"/>
                <w:shd w:val="clear" w:color="auto" w:fill="FFFFFF"/>
                <w:lang w:val="en-US"/>
              </w:rPr>
              <w:t xml:space="preserve"> ca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entitățile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w:t>
            </w:r>
          </w:p>
          <w:p w14:paraId="62AC69AD" w14:textId="77777777" w:rsidR="00124364" w:rsidRPr="00B73185" w:rsidRDefault="00000000" w:rsidP="00B73185">
            <w:pPr>
              <w:pStyle w:val="ti-art"/>
              <w:numPr>
                <w:ilvl w:val="0"/>
                <w:numId w:val="14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orice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certificate se </w:t>
            </w:r>
            <w:proofErr w:type="spellStart"/>
            <w:r w:rsidRPr="00B73185">
              <w:rPr>
                <w:rFonts w:eastAsia="Arial Unicode MS"/>
                <w:color w:val="000000" w:themeColor="text1"/>
                <w:sz w:val="20"/>
                <w:szCs w:val="20"/>
                <w:shd w:val="clear" w:color="auto" w:fill="FFFFFF"/>
                <w:lang w:val="en-US"/>
              </w:rPr>
              <w:t>interpretează</w:t>
            </w:r>
            <w:proofErr w:type="spellEnd"/>
            <w:r w:rsidRPr="00B73185">
              <w:rPr>
                <w:rFonts w:eastAsia="Arial Unicode MS"/>
                <w:color w:val="000000" w:themeColor="text1"/>
                <w:sz w:val="20"/>
                <w:szCs w:val="20"/>
                <w:shd w:val="clear" w:color="auto" w:fill="FFFFFF"/>
                <w:lang w:val="en-US"/>
              </w:rPr>
              <w:t xml:space="preserve"> ca </w:t>
            </w:r>
            <w:proofErr w:type="spellStart"/>
            <w:r w:rsidRPr="00B73185">
              <w:rPr>
                <w:rFonts w:eastAsia="Arial Unicode MS"/>
                <w:color w:val="000000" w:themeColor="text1"/>
                <w:sz w:val="20"/>
                <w:szCs w:val="20"/>
                <w:shd w:val="clear" w:color="auto" w:fill="FFFFFF"/>
                <w:lang w:val="en-US"/>
              </w:rPr>
              <w:t>trimitere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certificatele</w:t>
            </w:r>
            <w:proofErr w:type="spellEnd"/>
            <w:r w:rsidRPr="00B73185">
              <w:rPr>
                <w:rFonts w:eastAsia="Arial Unicode MS"/>
                <w:color w:val="000000" w:themeColor="text1"/>
                <w:sz w:val="20"/>
                <w:szCs w:val="20"/>
                <w:shd w:val="clear" w:color="auto" w:fill="FFFFFF"/>
                <w:lang w:val="en-US"/>
              </w:rPr>
              <w:t xml:space="preserve"> care fac </w:t>
            </w:r>
            <w:proofErr w:type="spellStart"/>
            <w:r w:rsidRPr="00B73185">
              <w:rPr>
                <w:rFonts w:eastAsia="Arial Unicode MS"/>
                <w:color w:val="000000" w:themeColor="text1"/>
                <w:sz w:val="20"/>
                <w:szCs w:val="20"/>
                <w:shd w:val="clear" w:color="auto" w:fill="FFFFFF"/>
                <w:lang w:val="en-US"/>
              </w:rPr>
              <w:t>obiectul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w:t>
            </w:r>
          </w:p>
          <w:p w14:paraId="0B5F0996" w14:textId="2B2DC1CF" w:rsidR="00124364" w:rsidRPr="00B73185" w:rsidRDefault="00000000" w:rsidP="00B73185">
            <w:pPr>
              <w:pStyle w:val="ti-art"/>
              <w:numPr>
                <w:ilvl w:val="0"/>
                <w:numId w:val="14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73185">
              <w:rPr>
                <w:rFonts w:eastAsia="Arial Unicode MS"/>
                <w:color w:val="000000" w:themeColor="text1"/>
                <w:sz w:val="20"/>
                <w:szCs w:val="20"/>
                <w:shd w:val="clear" w:color="auto" w:fill="FFFFFF"/>
                <w:lang w:val="en-US"/>
              </w:rPr>
              <w:t>De la 1</w:t>
            </w:r>
            <w:r w:rsidR="00D9773B">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ianuarie</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2028, </w:t>
            </w:r>
            <w:proofErr w:type="spellStart"/>
            <w:r w:rsidRPr="00B73185">
              <w:rPr>
                <w:rFonts w:eastAsia="Arial Unicode MS"/>
                <w:color w:val="000000" w:themeColor="text1"/>
                <w:sz w:val="20"/>
                <w:szCs w:val="20"/>
                <w:shd w:val="clear" w:color="auto" w:fill="FFFFFF"/>
                <w:lang w:val="en-US"/>
              </w:rPr>
              <w:t>statele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membre</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asigură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data de 31</w:t>
            </w:r>
            <w:r w:rsidR="00D9773B">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mai</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fiecărui</w:t>
            </w:r>
            <w:proofErr w:type="spellEnd"/>
            <w:r w:rsidRPr="00B73185">
              <w:rPr>
                <w:rFonts w:eastAsia="Arial Unicode MS"/>
                <w:color w:val="000000" w:themeColor="text1"/>
                <w:sz w:val="20"/>
                <w:szCs w:val="20"/>
                <w:shd w:val="clear" w:color="auto" w:fill="FFFFFF"/>
                <w:lang w:val="en-US"/>
              </w:rPr>
              <w:t xml:space="preserve"> an, </w:t>
            </w:r>
            <w:proofErr w:type="spellStart"/>
            <w:r w:rsidRPr="00B73185">
              <w:rPr>
                <w:rFonts w:eastAsia="Arial Unicode MS"/>
                <w:color w:val="000000" w:themeColor="text1"/>
                <w:sz w:val="20"/>
                <w:szCs w:val="20"/>
                <w:shd w:val="clear" w:color="auto" w:fill="FFFFFF"/>
                <w:lang w:val="en-US"/>
              </w:rPr>
              <w:t>entitatea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restituie</w:t>
            </w:r>
            <w:proofErr w:type="spellEnd"/>
            <w:r w:rsidRPr="00B73185">
              <w:rPr>
                <w:rFonts w:eastAsia="Arial Unicode MS"/>
                <w:color w:val="000000" w:themeColor="text1"/>
                <w:sz w:val="20"/>
                <w:szCs w:val="20"/>
                <w:shd w:val="clear" w:color="auto" w:fill="FFFFFF"/>
                <w:lang w:val="en-US"/>
              </w:rPr>
              <w:t xml:space="preserve"> un </w:t>
            </w:r>
            <w:proofErr w:type="spellStart"/>
            <w:r w:rsidRPr="00B73185">
              <w:rPr>
                <w:rFonts w:eastAsia="Arial Unicode MS"/>
                <w:color w:val="000000" w:themeColor="text1"/>
                <w:sz w:val="20"/>
                <w:szCs w:val="20"/>
                <w:shd w:val="clear" w:color="auto" w:fill="FFFFFF"/>
                <w:lang w:val="en-US"/>
              </w:rPr>
              <w:t>număr</w:t>
            </w:r>
            <w:proofErr w:type="spellEnd"/>
            <w:r w:rsidRPr="00B73185">
              <w:rPr>
                <w:rFonts w:eastAsia="Arial Unicode MS"/>
                <w:color w:val="000000" w:themeColor="text1"/>
                <w:sz w:val="20"/>
                <w:szCs w:val="20"/>
                <w:shd w:val="clear" w:color="auto" w:fill="FFFFFF"/>
                <w:lang w:val="en-US"/>
              </w:rPr>
              <w:t xml:space="preserve"> de certificate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 egal cu </w:t>
            </w:r>
            <w:proofErr w:type="spellStart"/>
            <w:r w:rsidRPr="00B73185">
              <w:rPr>
                <w:rFonts w:eastAsia="Arial Unicode MS"/>
                <w:color w:val="000000" w:themeColor="text1"/>
                <w:sz w:val="20"/>
                <w:szCs w:val="20"/>
                <w:shd w:val="clear" w:color="auto" w:fill="FFFFFF"/>
                <w:lang w:val="en-US"/>
              </w:rPr>
              <w:t>totalul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emisiilor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entității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corespunzătoare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cantității</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combustibili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eliberați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consum</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III, pe </w:t>
            </w:r>
            <w:proofErr w:type="spellStart"/>
            <w:r w:rsidRPr="00B73185">
              <w:rPr>
                <w:rFonts w:eastAsia="Arial Unicode MS"/>
                <w:color w:val="000000" w:themeColor="text1"/>
                <w:sz w:val="20"/>
                <w:szCs w:val="20"/>
                <w:shd w:val="clear" w:color="auto" w:fill="FFFFFF"/>
                <w:lang w:val="en-US"/>
              </w:rPr>
              <w:t>parcursul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calendaristic</w:t>
            </w:r>
            <w:proofErr w:type="spellEnd"/>
            <w:r w:rsidRPr="00B73185">
              <w:rPr>
                <w:rFonts w:eastAsia="Arial Unicode MS"/>
                <w:color w:val="000000" w:themeColor="text1"/>
                <w:sz w:val="20"/>
                <w:szCs w:val="20"/>
                <w:shd w:val="clear" w:color="auto" w:fill="FFFFFF"/>
                <w:lang w:val="en-US"/>
              </w:rPr>
              <w:t xml:space="preserve"> anterior, </w:t>
            </w:r>
            <w:proofErr w:type="spellStart"/>
            <w:r w:rsidRPr="00B73185">
              <w:rPr>
                <w:rFonts w:eastAsia="Arial Unicode MS"/>
                <w:color w:val="000000" w:themeColor="text1"/>
                <w:sz w:val="20"/>
                <w:szCs w:val="20"/>
                <w:shd w:val="clear" w:color="auto" w:fill="FFFFFF"/>
                <w:lang w:val="en-US"/>
              </w:rPr>
              <w:t>potrivit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verificării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efectuate</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articolele</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15 și</w:t>
            </w:r>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30f, și </w:t>
            </w:r>
            <w:proofErr w:type="spellStart"/>
            <w:r w:rsidRPr="00B73185">
              <w:rPr>
                <w:rFonts w:eastAsia="Arial Unicode MS"/>
                <w:color w:val="000000" w:themeColor="text1"/>
                <w:sz w:val="20"/>
                <w:szCs w:val="20"/>
                <w:shd w:val="clear" w:color="auto" w:fill="FFFFFF"/>
                <w:lang w:val="en-US"/>
              </w:rPr>
              <w:t>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respectivele</w:t>
            </w:r>
            <w:proofErr w:type="spellEnd"/>
            <w:r w:rsidRPr="00B73185">
              <w:rPr>
                <w:rFonts w:eastAsia="Arial Unicode MS"/>
                <w:color w:val="000000" w:themeColor="text1"/>
                <w:sz w:val="20"/>
                <w:szCs w:val="20"/>
                <w:shd w:val="clear" w:color="auto" w:fill="FFFFFF"/>
                <w:lang w:val="en-US"/>
              </w:rPr>
              <w:t xml:space="preserve"> certificate sunt ulterior </w:t>
            </w:r>
            <w:proofErr w:type="spellStart"/>
            <w:r w:rsidRPr="00B73185">
              <w:rPr>
                <w:rFonts w:eastAsia="Arial Unicode MS"/>
                <w:color w:val="000000" w:themeColor="text1"/>
                <w:sz w:val="20"/>
                <w:szCs w:val="20"/>
                <w:shd w:val="clear" w:color="auto" w:fill="FFFFFF"/>
                <w:lang w:val="en-US"/>
              </w:rPr>
              <w:t>anulate</w:t>
            </w:r>
            <w:proofErr w:type="spellEnd"/>
            <w:r w:rsidRPr="00B73185">
              <w:rPr>
                <w:rFonts w:eastAsia="Arial Unicode MS"/>
                <w:color w:val="000000" w:themeColor="text1"/>
                <w:sz w:val="20"/>
                <w:szCs w:val="20"/>
                <w:shd w:val="clear" w:color="auto" w:fill="FFFFFF"/>
                <w:lang w:val="en-US"/>
              </w:rPr>
              <w:t>.</w:t>
            </w:r>
          </w:p>
          <w:p w14:paraId="57FF7D02" w14:textId="26611C34" w:rsidR="00124364" w:rsidRPr="00B73185" w:rsidRDefault="00000000" w:rsidP="00B73185">
            <w:pPr>
              <w:pStyle w:val="ti-art"/>
              <w:numPr>
                <w:ilvl w:val="0"/>
                <w:numId w:val="14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31</w:t>
            </w:r>
            <w:r w:rsidR="00D9773B">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decembrie</w:t>
            </w:r>
            <w:proofErr w:type="spellEnd"/>
            <w:r w:rsidRPr="00B73185">
              <w:rPr>
                <w:rFonts w:eastAsia="Arial Unicode MS"/>
                <w:color w:val="000000" w:themeColor="text1"/>
                <w:sz w:val="20"/>
                <w:szCs w:val="20"/>
                <w:shd w:val="clear" w:color="auto" w:fill="FFFFFF"/>
                <w:lang w:val="en-US"/>
              </w:rPr>
              <w:t xml:space="preserve"> 2030, </w:t>
            </w:r>
            <w:proofErr w:type="spellStart"/>
            <w:r w:rsidRPr="00B73185">
              <w:rPr>
                <w:rFonts w:eastAsia="Arial Unicode MS"/>
                <w:color w:val="000000" w:themeColor="text1"/>
                <w:sz w:val="20"/>
                <w:szCs w:val="20"/>
                <w:shd w:val="clear" w:color="auto" w:fill="FFFFFF"/>
                <w:lang w:val="en-US"/>
              </w:rPr>
              <w:t>prin</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derogare</w:t>
            </w:r>
            <w:proofErr w:type="spellEnd"/>
            <w:r w:rsidRPr="00B73185">
              <w:rPr>
                <w:rFonts w:eastAsia="Arial Unicode MS"/>
                <w:color w:val="000000" w:themeColor="text1"/>
                <w:sz w:val="20"/>
                <w:szCs w:val="20"/>
                <w:shd w:val="clear" w:color="auto" w:fill="FFFFFF"/>
                <w:lang w:val="en-US"/>
              </w:rPr>
              <w:t xml:space="preserve"> de la </w:t>
            </w:r>
            <w:proofErr w:type="spellStart"/>
            <w:r w:rsidRPr="00B73185">
              <w:rPr>
                <w:rFonts w:eastAsia="Arial Unicode MS"/>
                <w:color w:val="000000" w:themeColor="text1"/>
                <w:sz w:val="20"/>
                <w:szCs w:val="20"/>
                <w:shd w:val="clear" w:color="auto" w:fill="FFFFFF"/>
                <w:lang w:val="en-US"/>
              </w:rPr>
              <w:t>alineatele</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(1) și</w:t>
            </w:r>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(2)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cazul</w:t>
            </w:r>
            <w:proofErr w:type="spellEnd"/>
            <w:r w:rsidRPr="00B73185">
              <w:rPr>
                <w:rFonts w:eastAsia="Arial Unicode MS"/>
                <w:color w:val="000000" w:themeColor="text1"/>
                <w:sz w:val="20"/>
                <w:szCs w:val="20"/>
                <w:shd w:val="clear" w:color="auto" w:fill="FFFFFF"/>
                <w:lang w:val="en-US"/>
              </w:rPr>
              <w:t xml:space="preserve"> în care o </w:t>
            </w:r>
            <w:proofErr w:type="spellStart"/>
            <w:r w:rsidRPr="00B73185">
              <w:rPr>
                <w:rFonts w:eastAsia="Arial Unicode MS"/>
                <w:color w:val="000000" w:themeColor="text1"/>
                <w:sz w:val="20"/>
                <w:szCs w:val="20"/>
                <w:shd w:val="clear" w:color="auto" w:fill="FFFFFF"/>
                <w:lang w:val="en-US"/>
              </w:rPr>
              <w:t>entitate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stabilită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într</w:t>
            </w:r>
            <w:proofErr w:type="spellEnd"/>
            <w:r w:rsidRPr="00B73185">
              <w:rPr>
                <w:rFonts w:eastAsia="Arial Unicode MS"/>
                <w:color w:val="000000" w:themeColor="text1"/>
                <w:sz w:val="20"/>
                <w:szCs w:val="20"/>
                <w:shd w:val="clear" w:color="auto" w:fill="FFFFFF"/>
                <w:lang w:val="en-US"/>
              </w:rPr>
              <w:t xml:space="preserve">-un </w:t>
            </w:r>
            <w:proofErr w:type="spellStart"/>
            <w:r w:rsidRPr="00B73185">
              <w:rPr>
                <w:rFonts w:eastAsia="Arial Unicode MS"/>
                <w:color w:val="000000" w:themeColor="text1"/>
                <w:sz w:val="20"/>
                <w:szCs w:val="20"/>
                <w:shd w:val="clear" w:color="auto" w:fill="FFFFFF"/>
                <w:lang w:val="en-US"/>
              </w:rPr>
              <w:t>anumit</w:t>
            </w:r>
            <w:proofErr w:type="spellEnd"/>
            <w:r w:rsidRPr="00B73185">
              <w:rPr>
                <w:rFonts w:eastAsia="Arial Unicode MS"/>
                <w:color w:val="000000" w:themeColor="text1"/>
                <w:sz w:val="20"/>
                <w:szCs w:val="20"/>
                <w:shd w:val="clear" w:color="auto" w:fill="FFFFFF"/>
                <w:lang w:val="en-US"/>
              </w:rPr>
              <w:t xml:space="preserve"> stat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face </w:t>
            </w:r>
            <w:proofErr w:type="spellStart"/>
            <w:r w:rsidRPr="00B73185">
              <w:rPr>
                <w:rFonts w:eastAsia="Arial Unicode MS"/>
                <w:color w:val="000000" w:themeColor="text1"/>
                <w:sz w:val="20"/>
                <w:szCs w:val="20"/>
                <w:shd w:val="clear" w:color="auto" w:fill="FFFFFF"/>
                <w:lang w:val="en-US"/>
              </w:rPr>
              <w:t>obiectul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unei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taxe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naționale</w:t>
            </w:r>
            <w:proofErr w:type="spellEnd"/>
            <w:r w:rsidRPr="00B73185">
              <w:rPr>
                <w:rFonts w:eastAsia="Arial Unicode MS"/>
                <w:color w:val="000000" w:themeColor="text1"/>
                <w:sz w:val="20"/>
                <w:szCs w:val="20"/>
                <w:shd w:val="clear" w:color="auto" w:fill="FFFFFF"/>
                <w:lang w:val="en-US"/>
              </w:rPr>
              <w:t xml:space="preserve"> pe carbon în </w:t>
            </w:r>
            <w:proofErr w:type="spellStart"/>
            <w:r w:rsidRPr="00B73185">
              <w:rPr>
                <w:rFonts w:eastAsia="Arial Unicode MS"/>
                <w:color w:val="000000" w:themeColor="text1"/>
                <w:sz w:val="20"/>
                <w:szCs w:val="20"/>
                <w:shd w:val="clear" w:color="auto" w:fill="FFFFFF"/>
                <w:lang w:val="en-US"/>
              </w:rPr>
              <w:t>vigoare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anii</w:t>
            </w:r>
            <w:proofErr w:type="spellEnd"/>
            <w:r w:rsidRPr="00B73185">
              <w:rPr>
                <w:rFonts w:eastAsia="Arial Unicode MS"/>
                <w:color w:val="000000" w:themeColor="text1"/>
                <w:sz w:val="20"/>
                <w:szCs w:val="20"/>
                <w:shd w:val="clear" w:color="auto" w:fill="FFFFFF"/>
                <w:lang w:val="en-US"/>
              </w:rPr>
              <w:t xml:space="preserve"> 2027-2030, care </w:t>
            </w:r>
            <w:proofErr w:type="spellStart"/>
            <w:r w:rsidRPr="00B73185">
              <w:rPr>
                <w:rFonts w:eastAsia="Arial Unicode MS"/>
                <w:color w:val="000000" w:themeColor="text1"/>
                <w:sz w:val="20"/>
                <w:szCs w:val="20"/>
                <w:shd w:val="clear" w:color="auto" w:fill="FFFFFF"/>
                <w:lang w:val="en-US"/>
              </w:rPr>
              <w:t>vizează</w:t>
            </w:r>
            <w:proofErr w:type="spellEnd"/>
            <w:r w:rsidRPr="00B73185">
              <w:rPr>
                <w:rFonts w:eastAsia="Arial Unicode MS"/>
                <w:color w:val="000000" w:themeColor="text1"/>
                <w:sz w:val="20"/>
                <w:szCs w:val="20"/>
                <w:shd w:val="clear" w:color="auto" w:fill="FFFFFF"/>
                <w:lang w:val="en-US"/>
              </w:rPr>
              <w:t xml:space="preserve"> o </w:t>
            </w:r>
            <w:proofErr w:type="spellStart"/>
            <w:r w:rsidRPr="00B73185">
              <w:rPr>
                <w:rFonts w:eastAsia="Arial Unicode MS"/>
                <w:color w:val="000000" w:themeColor="text1"/>
                <w:sz w:val="20"/>
                <w:szCs w:val="20"/>
                <w:shd w:val="clear" w:color="auto" w:fill="FFFFFF"/>
                <w:lang w:val="en-US"/>
              </w:rPr>
              <w:t>activitate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menționată</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anexa</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III, </w:t>
            </w:r>
            <w:proofErr w:type="spellStart"/>
            <w:r w:rsidRPr="00B73185">
              <w:rPr>
                <w:rFonts w:eastAsia="Arial Unicode MS"/>
                <w:color w:val="000000" w:themeColor="text1"/>
                <w:sz w:val="20"/>
                <w:szCs w:val="20"/>
                <w:shd w:val="clear" w:color="auto" w:fill="FFFFFF"/>
                <w:lang w:val="en-US"/>
              </w:rPr>
              <w:t>autoritatea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competentă</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statului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respectiv</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poate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excepta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entitatea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respectivă</w:t>
            </w:r>
            <w:proofErr w:type="spellEnd"/>
            <w:r w:rsidRPr="00B73185">
              <w:rPr>
                <w:rFonts w:eastAsia="Arial Unicode MS"/>
                <w:color w:val="000000" w:themeColor="text1"/>
                <w:sz w:val="20"/>
                <w:szCs w:val="20"/>
                <w:shd w:val="clear" w:color="auto" w:fill="FFFFFF"/>
                <w:lang w:val="en-US"/>
              </w:rPr>
              <w:t xml:space="preserve"> de la </w:t>
            </w:r>
            <w:proofErr w:type="spellStart"/>
            <w:r w:rsidRPr="00B73185">
              <w:rPr>
                <w:rFonts w:eastAsia="Arial Unicode MS"/>
                <w:color w:val="000000" w:themeColor="text1"/>
                <w:sz w:val="20"/>
                <w:szCs w:val="20"/>
                <w:shd w:val="clear" w:color="auto" w:fill="FFFFFF"/>
                <w:lang w:val="en-US"/>
              </w:rPr>
              <w:t>obligația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prevăzută</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(2)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w:t>
            </w:r>
            <w:proofErr w:type="spellEnd"/>
            <w:r w:rsidRPr="00B73185">
              <w:rPr>
                <w:rFonts w:eastAsia="Arial Unicode MS"/>
                <w:color w:val="000000" w:themeColor="text1"/>
                <w:sz w:val="20"/>
                <w:szCs w:val="20"/>
                <w:shd w:val="clear" w:color="auto" w:fill="FFFFFF"/>
                <w:lang w:val="en-US"/>
              </w:rPr>
              <w:t xml:space="preserve"> de a </w:t>
            </w:r>
            <w:proofErr w:type="spellStart"/>
            <w:r w:rsidRPr="00B73185">
              <w:rPr>
                <w:rFonts w:eastAsia="Arial Unicode MS"/>
                <w:color w:val="000000" w:themeColor="text1"/>
                <w:sz w:val="20"/>
                <w:szCs w:val="20"/>
                <w:shd w:val="clear" w:color="auto" w:fill="FFFFFF"/>
                <w:lang w:val="en-US"/>
              </w:rPr>
              <w:t>restitui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un </w:t>
            </w:r>
            <w:proofErr w:type="spellStart"/>
            <w:r w:rsidRPr="00B73185">
              <w:rPr>
                <w:rFonts w:eastAsia="Arial Unicode MS"/>
                <w:color w:val="000000" w:themeColor="text1"/>
                <w:sz w:val="20"/>
                <w:szCs w:val="20"/>
                <w:shd w:val="clear" w:color="auto" w:fill="FFFFFF"/>
                <w:lang w:val="en-US"/>
              </w:rPr>
              <w:t>anumit</w:t>
            </w:r>
            <w:proofErr w:type="spellEnd"/>
            <w:r w:rsidRPr="00B73185">
              <w:rPr>
                <w:rFonts w:eastAsia="Arial Unicode MS"/>
                <w:color w:val="000000" w:themeColor="text1"/>
                <w:sz w:val="20"/>
                <w:szCs w:val="20"/>
                <w:shd w:val="clear" w:color="auto" w:fill="FFFFFF"/>
                <w:lang w:val="en-US"/>
              </w:rPr>
              <w:t xml:space="preserve"> an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dacă</w:t>
            </w:r>
            <w:proofErr w:type="spellEnd"/>
            <w:r w:rsidRPr="00B73185">
              <w:rPr>
                <w:rFonts w:eastAsia="Arial Unicode MS"/>
                <w:color w:val="000000" w:themeColor="text1"/>
                <w:sz w:val="20"/>
                <w:szCs w:val="20"/>
                <w:shd w:val="clear" w:color="auto" w:fill="FFFFFF"/>
                <w:lang w:val="en-US"/>
              </w:rPr>
              <w:t xml:space="preserve"> sunt </w:t>
            </w:r>
            <w:proofErr w:type="spellStart"/>
            <w:r w:rsidRPr="00B73185">
              <w:rPr>
                <w:rFonts w:eastAsia="Arial Unicode MS"/>
                <w:color w:val="000000" w:themeColor="text1"/>
                <w:sz w:val="20"/>
                <w:szCs w:val="20"/>
                <w:shd w:val="clear" w:color="auto" w:fill="FFFFFF"/>
                <w:lang w:val="en-US"/>
              </w:rPr>
              <w:t>respectate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următoarele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condiții</w:t>
            </w:r>
            <w:proofErr w:type="spellEnd"/>
            <w:r w:rsidRPr="00B73185">
              <w:rPr>
                <w:rFonts w:eastAsia="Arial Unicode MS"/>
                <w:color w:val="000000" w:themeColor="text1"/>
                <w:sz w:val="20"/>
                <w:szCs w:val="20"/>
                <w:shd w:val="clear" w:color="auto" w:fill="FFFFFF"/>
                <w:lang w:val="en-US"/>
              </w:rPr>
              <w:t>:</w:t>
            </w:r>
          </w:p>
          <w:p w14:paraId="7F6B946F" w14:textId="62ED5F1A"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notifică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Comisiei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31</w:t>
            </w:r>
            <w:r w:rsidR="00D9773B">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decembrie</w:t>
            </w:r>
            <w:proofErr w:type="spellEnd"/>
            <w:r w:rsidRPr="00B73185">
              <w:rPr>
                <w:rFonts w:eastAsia="Arial Unicode MS"/>
                <w:color w:val="000000" w:themeColor="text1"/>
                <w:sz w:val="20"/>
                <w:szCs w:val="20"/>
                <w:shd w:val="clear" w:color="auto" w:fill="FFFFFF"/>
                <w:lang w:val="en-US"/>
              </w:rPr>
              <w:t xml:space="preserve"> 2023, </w:t>
            </w:r>
            <w:proofErr w:type="spellStart"/>
            <w:r w:rsidRPr="00B73185">
              <w:rPr>
                <w:rFonts w:eastAsia="Arial Unicode MS"/>
                <w:color w:val="000000" w:themeColor="text1"/>
                <w:sz w:val="20"/>
                <w:szCs w:val="20"/>
                <w:shd w:val="clear" w:color="auto" w:fill="FFFFFF"/>
                <w:lang w:val="en-US"/>
              </w:rPr>
              <w:t>respectiva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taxă</w:t>
            </w:r>
            <w:proofErr w:type="spellEnd"/>
            <w:r w:rsidRPr="00B73185">
              <w:rPr>
                <w:rFonts w:eastAsia="Arial Unicode MS"/>
                <w:color w:val="000000" w:themeColor="text1"/>
                <w:sz w:val="20"/>
                <w:szCs w:val="20"/>
                <w:shd w:val="clear" w:color="auto" w:fill="FFFFFF"/>
                <w:lang w:val="en-US"/>
              </w:rPr>
              <w:t xml:space="preserve"> națională pe carbon, </w:t>
            </w:r>
            <w:proofErr w:type="spellStart"/>
            <w:r w:rsidRPr="00B73185">
              <w:rPr>
                <w:rFonts w:eastAsia="Arial Unicode MS"/>
                <w:color w:val="000000" w:themeColor="text1"/>
                <w:sz w:val="20"/>
                <w:szCs w:val="20"/>
                <w:shd w:val="clear" w:color="auto" w:fill="FFFFFF"/>
                <w:lang w:val="en-US"/>
              </w:rPr>
              <w:t>iar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legislația</w:t>
            </w:r>
            <w:proofErr w:type="spellEnd"/>
            <w:r w:rsidRPr="00B73185">
              <w:rPr>
                <w:rFonts w:eastAsia="Arial Unicode MS"/>
                <w:color w:val="000000" w:themeColor="text1"/>
                <w:sz w:val="20"/>
                <w:szCs w:val="20"/>
                <w:shd w:val="clear" w:color="auto" w:fill="FFFFFF"/>
                <w:lang w:val="en-US"/>
              </w:rPr>
              <w:t xml:space="preserve"> națională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căreia</w:t>
            </w:r>
            <w:proofErr w:type="spellEnd"/>
            <w:r w:rsidRPr="00B73185">
              <w:rPr>
                <w:rFonts w:eastAsia="Arial Unicode MS"/>
                <w:color w:val="000000" w:themeColor="text1"/>
                <w:sz w:val="20"/>
                <w:szCs w:val="20"/>
                <w:shd w:val="clear" w:color="auto" w:fill="FFFFFF"/>
                <w:lang w:val="en-US"/>
              </w:rPr>
              <w:t xml:space="preserve"> s-au </w:t>
            </w:r>
            <w:proofErr w:type="spellStart"/>
            <w:r w:rsidRPr="00B73185">
              <w:rPr>
                <w:rFonts w:eastAsia="Arial Unicode MS"/>
                <w:color w:val="000000" w:themeColor="text1"/>
                <w:sz w:val="20"/>
                <w:szCs w:val="20"/>
                <w:shd w:val="clear" w:color="auto" w:fill="FFFFFF"/>
                <w:lang w:val="en-US"/>
              </w:rPr>
              <w:t>stabilit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cotele</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impozitare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aplicabile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anii</w:t>
            </w:r>
            <w:proofErr w:type="spellEnd"/>
            <w:r w:rsidRP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lastRenderedPageBreak/>
              <w:t xml:space="preserve">2027-2030 </w:t>
            </w:r>
            <w:proofErr w:type="gramStart"/>
            <w:r w:rsidRPr="00B73185">
              <w:rPr>
                <w:rFonts w:eastAsia="Arial Unicode MS"/>
                <w:color w:val="000000" w:themeColor="text1"/>
                <w:sz w:val="20"/>
                <w:szCs w:val="20"/>
                <w:shd w:val="clear" w:color="auto" w:fill="FFFFFF"/>
                <w:lang w:val="en-US"/>
              </w:rPr>
              <w:t>a</w:t>
            </w:r>
            <w:proofErr w:type="gram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intrat</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vigoare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data </w:t>
            </w:r>
            <w:proofErr w:type="spellStart"/>
            <w:r w:rsidRPr="00B73185">
              <w:rPr>
                <w:rFonts w:eastAsia="Arial Unicode MS"/>
                <w:color w:val="000000" w:themeColor="text1"/>
                <w:sz w:val="20"/>
                <w:szCs w:val="20"/>
                <w:shd w:val="clear" w:color="auto" w:fill="FFFFFF"/>
                <w:lang w:val="en-US"/>
              </w:rPr>
              <w:t>respectivă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notifică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Comisiei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orice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modificare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ulterioară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adusă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taxei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naționale</w:t>
            </w:r>
            <w:proofErr w:type="spellEnd"/>
            <w:r w:rsidRPr="00B73185">
              <w:rPr>
                <w:rFonts w:eastAsia="Arial Unicode MS"/>
                <w:color w:val="000000" w:themeColor="text1"/>
                <w:sz w:val="20"/>
                <w:szCs w:val="20"/>
                <w:shd w:val="clear" w:color="auto" w:fill="FFFFFF"/>
                <w:lang w:val="en-US"/>
              </w:rPr>
              <w:t xml:space="preserve"> pe carbon;</w:t>
            </w:r>
          </w:p>
          <w:p w14:paraId="5D2A56F1" w14:textId="77777777"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anul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taxa națională pe carbon din </w:t>
            </w: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plătită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efectiv</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entitatea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respectivă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este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mai</w:t>
            </w:r>
            <w:proofErr w:type="spellEnd"/>
            <w:r w:rsidRPr="00B73185">
              <w:rPr>
                <w:rFonts w:eastAsia="Arial Unicode MS"/>
                <w:color w:val="000000" w:themeColor="text1"/>
                <w:sz w:val="20"/>
                <w:szCs w:val="20"/>
                <w:shd w:val="clear" w:color="auto" w:fill="FFFFFF"/>
                <w:lang w:val="en-US"/>
              </w:rPr>
              <w:t xml:space="preserve"> mare </w:t>
            </w:r>
            <w:proofErr w:type="spellStart"/>
            <w:r w:rsidRPr="00B73185">
              <w:rPr>
                <w:rFonts w:eastAsia="Arial Unicode MS"/>
                <w:color w:val="000000" w:themeColor="text1"/>
                <w:sz w:val="20"/>
                <w:szCs w:val="20"/>
                <w:shd w:val="clear" w:color="auto" w:fill="FFFFFF"/>
                <w:lang w:val="en-US"/>
              </w:rPr>
              <w:t>decât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prețul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mediu</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închidere</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licitației</w:t>
            </w:r>
            <w:proofErr w:type="spellEnd"/>
            <w:r w:rsidRPr="00B73185">
              <w:rPr>
                <w:rFonts w:eastAsia="Arial Unicode MS"/>
                <w:color w:val="000000" w:themeColor="text1"/>
                <w:sz w:val="20"/>
                <w:szCs w:val="20"/>
                <w:shd w:val="clear" w:color="auto" w:fill="FFFFFF"/>
                <w:lang w:val="en-US"/>
              </w:rPr>
              <w:t xml:space="preserve"> din schema de </w:t>
            </w:r>
            <w:proofErr w:type="spellStart"/>
            <w:r w:rsidRPr="00B73185">
              <w:rPr>
                <w:rFonts w:eastAsia="Arial Unicode MS"/>
                <w:color w:val="000000" w:themeColor="text1"/>
                <w:sz w:val="20"/>
                <w:szCs w:val="20"/>
                <w:shd w:val="clear" w:color="auto" w:fill="FFFFFF"/>
                <w:lang w:val="en-US"/>
              </w:rPr>
              <w:t>comercializare</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emisii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instituit</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capitol;</w:t>
            </w:r>
          </w:p>
          <w:p w14:paraId="3C5635B1" w14:textId="028A42FA"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entitatea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respectă</w:t>
            </w:r>
            <w:proofErr w:type="spellEnd"/>
            <w:r w:rsidRPr="00B73185">
              <w:rPr>
                <w:rFonts w:eastAsia="Arial Unicode MS"/>
                <w:color w:val="000000" w:themeColor="text1"/>
                <w:sz w:val="20"/>
                <w:szCs w:val="20"/>
                <w:shd w:val="clear" w:color="auto" w:fill="FFFFFF"/>
                <w:lang w:val="en-US"/>
              </w:rPr>
              <w:t xml:space="preserve"> pe </w:t>
            </w:r>
            <w:proofErr w:type="spellStart"/>
            <w:r w:rsidRPr="00B73185">
              <w:rPr>
                <w:rFonts w:eastAsia="Arial Unicode MS"/>
                <w:color w:val="000000" w:themeColor="text1"/>
                <w:sz w:val="20"/>
                <w:szCs w:val="20"/>
                <w:shd w:val="clear" w:color="auto" w:fill="FFFFFF"/>
                <w:lang w:val="en-US"/>
              </w:rPr>
              <w:t>deplin</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obligațiile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prevăzute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30b </w:t>
            </w:r>
            <w:proofErr w:type="spellStart"/>
            <w:r w:rsidRPr="00B73185">
              <w:rPr>
                <w:rFonts w:eastAsia="Arial Unicode MS"/>
                <w:color w:val="000000" w:themeColor="text1"/>
                <w:sz w:val="20"/>
                <w:szCs w:val="20"/>
                <w:shd w:val="clear" w:color="auto" w:fill="FFFFFF"/>
                <w:lang w:val="en-US"/>
              </w:rPr>
              <w:t>privind</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autorizațiile</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emisii</w:t>
            </w:r>
            <w:proofErr w:type="spellEnd"/>
            <w:r w:rsidRPr="00B73185">
              <w:rPr>
                <w:rFonts w:eastAsia="Arial Unicode MS"/>
                <w:color w:val="000000" w:themeColor="text1"/>
                <w:sz w:val="20"/>
                <w:szCs w:val="20"/>
                <w:shd w:val="clear" w:color="auto" w:fill="FFFFFF"/>
                <w:lang w:val="en-US"/>
              </w:rPr>
              <w:t xml:space="preserve"> de gaze cu </w:t>
            </w:r>
            <w:proofErr w:type="spellStart"/>
            <w:r w:rsidRPr="00B73185">
              <w:rPr>
                <w:rFonts w:eastAsia="Arial Unicode MS"/>
                <w:color w:val="000000" w:themeColor="text1"/>
                <w:sz w:val="20"/>
                <w:szCs w:val="20"/>
                <w:shd w:val="clear" w:color="auto" w:fill="FFFFFF"/>
                <w:lang w:val="en-US"/>
              </w:rPr>
              <w:t>efect</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seră</w:t>
            </w:r>
            <w:proofErr w:type="spellEnd"/>
            <w:r w:rsidRPr="00B73185">
              <w:rPr>
                <w:rFonts w:eastAsia="Arial Unicode MS"/>
                <w:color w:val="000000" w:themeColor="text1"/>
                <w:sz w:val="20"/>
                <w:szCs w:val="20"/>
                <w:shd w:val="clear" w:color="auto" w:fill="FFFFFF"/>
                <w:lang w:val="en-US"/>
              </w:rPr>
              <w:t xml:space="preserve"> și la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30f </w:t>
            </w:r>
            <w:proofErr w:type="spellStart"/>
            <w:r w:rsidRPr="00B73185">
              <w:rPr>
                <w:rFonts w:eastAsia="Arial Unicode MS"/>
                <w:color w:val="000000" w:themeColor="text1"/>
                <w:sz w:val="20"/>
                <w:szCs w:val="20"/>
                <w:shd w:val="clear" w:color="auto" w:fill="FFFFFF"/>
                <w:lang w:val="en-US"/>
              </w:rPr>
              <w:t>privind</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monitorizarea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raportarea</w:t>
            </w:r>
            <w:proofErr w:type="spellEnd"/>
            <w:r w:rsidRPr="00B73185">
              <w:rPr>
                <w:rFonts w:eastAsia="Arial Unicode MS"/>
                <w:color w:val="000000" w:themeColor="text1"/>
                <w:sz w:val="20"/>
                <w:szCs w:val="20"/>
                <w:shd w:val="clear" w:color="auto" w:fill="FFFFFF"/>
                <w:lang w:val="en-US"/>
              </w:rPr>
              <w:t xml:space="preserve"> și </w:t>
            </w:r>
            <w:proofErr w:type="spellStart"/>
            <w:r w:rsidRPr="00B73185">
              <w:rPr>
                <w:rFonts w:eastAsia="Arial Unicode MS"/>
                <w:color w:val="000000" w:themeColor="text1"/>
                <w:sz w:val="20"/>
                <w:szCs w:val="20"/>
                <w:shd w:val="clear" w:color="auto" w:fill="FFFFFF"/>
                <w:lang w:val="en-US"/>
              </w:rPr>
              <w:t>verificarea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emisiilor</w:t>
            </w:r>
            <w:proofErr w:type="spellEnd"/>
            <w:r w:rsidRPr="00B73185">
              <w:rPr>
                <w:rFonts w:eastAsia="Arial Unicode MS"/>
                <w:color w:val="000000" w:themeColor="text1"/>
                <w:sz w:val="20"/>
                <w:szCs w:val="20"/>
                <w:shd w:val="clear" w:color="auto" w:fill="FFFFFF"/>
                <w:lang w:val="en-US"/>
              </w:rPr>
              <w:t xml:space="preserve"> sale;</w:t>
            </w:r>
          </w:p>
          <w:p w14:paraId="52568E7B" w14:textId="0013E6D9"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notifică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Comisiei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aplicarea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oricăror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exceptări</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acest</w:t>
            </w:r>
            <w:proofErr w:type="spellEnd"/>
            <w:r w:rsidRPr="00B73185">
              <w:rPr>
                <w:rFonts w:eastAsia="Arial Unicode MS"/>
                <w:color w:val="000000" w:themeColor="text1"/>
                <w:sz w:val="20"/>
                <w:szCs w:val="20"/>
                <w:shd w:val="clear" w:color="auto" w:fill="FFFFFF"/>
                <w:lang w:val="en-US"/>
              </w:rPr>
              <w:t xml:space="preserve"> tip, precum și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corespunzător</w:t>
            </w:r>
            <w:proofErr w:type="spellEnd"/>
            <w:r w:rsidRPr="00B73185">
              <w:rPr>
                <w:rFonts w:eastAsia="Arial Unicode MS"/>
                <w:color w:val="000000" w:themeColor="text1"/>
                <w:sz w:val="20"/>
                <w:szCs w:val="20"/>
                <w:shd w:val="clear" w:color="auto" w:fill="FFFFFF"/>
                <w:lang w:val="en-US"/>
              </w:rPr>
              <w:t xml:space="preserve"> de certificate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fie </w:t>
            </w:r>
            <w:proofErr w:type="spellStart"/>
            <w:r w:rsidRPr="00B73185">
              <w:rPr>
                <w:rFonts w:eastAsia="Arial Unicode MS"/>
                <w:color w:val="000000" w:themeColor="text1"/>
                <w:sz w:val="20"/>
                <w:szCs w:val="20"/>
                <w:shd w:val="clear" w:color="auto" w:fill="FFFFFF"/>
                <w:lang w:val="en-US"/>
              </w:rPr>
              <w:t>anulate</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litera</w:t>
            </w:r>
            <w:proofErr w:type="spellEnd"/>
            <w:r w:rsidRPr="00B73185">
              <w:rPr>
                <w:rFonts w:eastAsia="Arial Unicode MS"/>
                <w:color w:val="000000" w:themeColor="text1"/>
                <w:sz w:val="20"/>
                <w:szCs w:val="20"/>
                <w:shd w:val="clear" w:color="auto" w:fill="FFFFFF"/>
                <w:lang w:val="en-US"/>
              </w:rPr>
              <w:t xml:space="preserve"> (g)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și cu </w:t>
            </w:r>
            <w:proofErr w:type="spellStart"/>
            <w:r w:rsidRPr="00B73185">
              <w:rPr>
                <w:rFonts w:eastAsia="Arial Unicode MS"/>
                <w:color w:val="000000" w:themeColor="text1"/>
                <w:sz w:val="20"/>
                <w:szCs w:val="20"/>
                <w:shd w:val="clear" w:color="auto" w:fill="FFFFFF"/>
                <w:lang w:val="en-US"/>
              </w:rPr>
              <w:t>actele</w:t>
            </w:r>
            <w:proofErr w:type="spellEnd"/>
            <w:r w:rsidRPr="00B73185">
              <w:rPr>
                <w:rFonts w:eastAsia="Arial Unicode MS"/>
                <w:color w:val="000000" w:themeColor="text1"/>
                <w:sz w:val="20"/>
                <w:szCs w:val="20"/>
                <w:shd w:val="clear" w:color="auto" w:fill="FFFFFF"/>
                <w:lang w:val="en-US"/>
              </w:rPr>
              <w:t xml:space="preserve"> delegate </w:t>
            </w:r>
            <w:proofErr w:type="spellStart"/>
            <w:r w:rsidRPr="00B73185">
              <w:rPr>
                <w:rFonts w:eastAsia="Arial Unicode MS"/>
                <w:color w:val="000000" w:themeColor="text1"/>
                <w:sz w:val="20"/>
                <w:szCs w:val="20"/>
                <w:shd w:val="clear" w:color="auto" w:fill="FFFFFF"/>
                <w:lang w:val="en-US"/>
              </w:rPr>
              <w:t>adoptate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articolului</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10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(4), </w:t>
            </w: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data de 31 </w:t>
            </w:r>
            <w:proofErr w:type="spellStart"/>
            <w:r w:rsidRPr="00B73185">
              <w:rPr>
                <w:rFonts w:eastAsia="Arial Unicode MS"/>
                <w:color w:val="000000" w:themeColor="text1"/>
                <w:sz w:val="20"/>
                <w:szCs w:val="20"/>
                <w:shd w:val="clear" w:color="auto" w:fill="FFFFFF"/>
                <w:lang w:val="en-US"/>
              </w:rPr>
              <w:t>mai</w:t>
            </w:r>
            <w:proofErr w:type="spellEnd"/>
            <w:r w:rsidRPr="00B73185">
              <w:rPr>
                <w:rFonts w:eastAsia="Arial Unicode MS"/>
                <w:color w:val="000000" w:themeColor="text1"/>
                <w:sz w:val="20"/>
                <w:szCs w:val="20"/>
                <w:shd w:val="clear" w:color="auto" w:fill="FFFFFF"/>
                <w:lang w:val="en-US"/>
              </w:rPr>
              <w:t xml:space="preserve"> </w:t>
            </w:r>
            <w:proofErr w:type="gramStart"/>
            <w:r w:rsidRPr="00B73185">
              <w:rPr>
                <w:rFonts w:eastAsia="Arial Unicode MS"/>
                <w:color w:val="000000" w:themeColor="text1"/>
                <w:sz w:val="20"/>
                <w:szCs w:val="20"/>
                <w:shd w:val="clear" w:color="auto" w:fill="FFFFFF"/>
                <w:lang w:val="en-US"/>
              </w:rPr>
              <w:t>a</w:t>
            </w:r>
            <w:proofErr w:type="gram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următor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anului</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w:t>
            </w:r>
          </w:p>
          <w:p w14:paraId="5DA4F3F3" w14:textId="77777777"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Comisia</w:t>
            </w:r>
            <w:proofErr w:type="spellEnd"/>
            <w:r w:rsidRPr="00B73185">
              <w:rPr>
                <w:rFonts w:eastAsia="Arial Unicode MS"/>
                <w:color w:val="000000" w:themeColor="text1"/>
                <w:sz w:val="20"/>
                <w:szCs w:val="20"/>
                <w:shd w:val="clear" w:color="auto" w:fill="FFFFFF"/>
                <w:lang w:val="en-US"/>
              </w:rPr>
              <w:t xml:space="preserve"> nu </w:t>
            </w:r>
            <w:proofErr w:type="spellStart"/>
            <w:r w:rsidRPr="00B73185">
              <w:rPr>
                <w:rFonts w:eastAsia="Arial Unicode MS"/>
                <w:color w:val="000000" w:themeColor="text1"/>
                <w:sz w:val="20"/>
                <w:szCs w:val="20"/>
                <w:shd w:val="clear" w:color="auto" w:fill="FFFFFF"/>
                <w:lang w:val="en-US"/>
              </w:rPr>
              <w:t>ridică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obiecții</w:t>
            </w:r>
            <w:proofErr w:type="spellEnd"/>
            <w:r w:rsidRPr="00B73185">
              <w:rPr>
                <w:rFonts w:eastAsia="Arial Unicode MS"/>
                <w:color w:val="000000" w:themeColor="text1"/>
                <w:sz w:val="20"/>
                <w:szCs w:val="20"/>
                <w:shd w:val="clear" w:color="auto" w:fill="FFFFFF"/>
                <w:lang w:val="en-US"/>
              </w:rPr>
              <w:t xml:space="preserve"> cu </w:t>
            </w:r>
            <w:proofErr w:type="spellStart"/>
            <w:r w:rsidRPr="00B73185">
              <w:rPr>
                <w:rFonts w:eastAsia="Arial Unicode MS"/>
                <w:color w:val="000000" w:themeColor="text1"/>
                <w:sz w:val="20"/>
                <w:szCs w:val="20"/>
                <w:shd w:val="clear" w:color="auto" w:fill="FFFFFF"/>
                <w:lang w:val="en-US"/>
              </w:rPr>
              <w:t>privire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aplicarea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derogării</w:t>
            </w:r>
            <w:proofErr w:type="spellEnd"/>
            <w:r w:rsidRPr="00B73185">
              <w:rPr>
                <w:rFonts w:eastAsia="Arial Unicode MS"/>
                <w:color w:val="000000" w:themeColor="text1"/>
                <w:sz w:val="20"/>
                <w:szCs w:val="20"/>
                <w:shd w:val="clear" w:color="auto" w:fill="FFFFFF"/>
                <w:lang w:val="en-US"/>
              </w:rPr>
              <w:t xml:space="preserve"> pe </w:t>
            </w:r>
            <w:proofErr w:type="spellStart"/>
            <w:r w:rsidRPr="00B73185">
              <w:rPr>
                <w:rFonts w:eastAsia="Arial Unicode MS"/>
                <w:color w:val="000000" w:themeColor="text1"/>
                <w:sz w:val="20"/>
                <w:szCs w:val="20"/>
                <w:shd w:val="clear" w:color="auto" w:fill="FFFFFF"/>
                <w:lang w:val="en-US"/>
              </w:rPr>
              <w:t>motiv</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măsura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notificată</w:t>
            </w:r>
            <w:proofErr w:type="spellEnd"/>
            <w:r w:rsidRPr="00B73185">
              <w:rPr>
                <w:rFonts w:eastAsia="Arial Unicode MS"/>
                <w:color w:val="000000" w:themeColor="text1"/>
                <w:sz w:val="20"/>
                <w:szCs w:val="20"/>
                <w:shd w:val="clear" w:color="auto" w:fill="FFFFFF"/>
                <w:lang w:val="en-US"/>
              </w:rPr>
              <w:t xml:space="preserve"> nu </w:t>
            </w:r>
            <w:proofErr w:type="spellStart"/>
            <w:r w:rsidRPr="00B73185">
              <w:rPr>
                <w:rFonts w:eastAsia="Arial Unicode MS"/>
                <w:color w:val="000000" w:themeColor="text1"/>
                <w:sz w:val="20"/>
                <w:szCs w:val="20"/>
                <w:shd w:val="clear" w:color="auto" w:fill="FFFFFF"/>
                <w:lang w:val="en-US"/>
              </w:rPr>
              <w:t>este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conformă</w:t>
            </w:r>
            <w:proofErr w:type="spellEnd"/>
            <w:r w:rsidRPr="00B73185">
              <w:rPr>
                <w:rFonts w:eastAsia="Arial Unicode MS"/>
                <w:color w:val="000000" w:themeColor="text1"/>
                <w:sz w:val="20"/>
                <w:szCs w:val="20"/>
                <w:shd w:val="clear" w:color="auto" w:fill="FFFFFF"/>
                <w:lang w:val="en-US"/>
              </w:rPr>
              <w:t xml:space="preserve"> cu </w:t>
            </w:r>
            <w:proofErr w:type="spellStart"/>
            <w:r w:rsidRPr="00B73185">
              <w:rPr>
                <w:rFonts w:eastAsia="Arial Unicode MS"/>
                <w:color w:val="000000" w:themeColor="text1"/>
                <w:sz w:val="20"/>
                <w:szCs w:val="20"/>
                <w:shd w:val="clear" w:color="auto" w:fill="FFFFFF"/>
                <w:lang w:val="en-US"/>
              </w:rPr>
              <w:t>condițiile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prevăzute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w:t>
            </w:r>
            <w:proofErr w:type="spellEnd"/>
            <w:r w:rsidRPr="00B73185">
              <w:rPr>
                <w:rFonts w:eastAsia="Arial Unicode MS"/>
                <w:color w:val="000000" w:themeColor="text1"/>
                <w:sz w:val="20"/>
                <w:szCs w:val="20"/>
                <w:shd w:val="clear" w:color="auto" w:fill="FFFFFF"/>
                <w:lang w:val="en-US"/>
              </w:rPr>
              <w:t xml:space="preserve">, în termen de </w:t>
            </w:r>
            <w:proofErr w:type="spellStart"/>
            <w:r w:rsidRPr="00B73185">
              <w:rPr>
                <w:rFonts w:eastAsia="Arial Unicode MS"/>
                <w:color w:val="000000" w:themeColor="text1"/>
                <w:sz w:val="20"/>
                <w:szCs w:val="20"/>
                <w:shd w:val="clear" w:color="auto" w:fill="FFFFFF"/>
                <w:lang w:val="en-US"/>
              </w:rPr>
              <w:t>trei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luni</w:t>
            </w:r>
            <w:proofErr w:type="spellEnd"/>
            <w:r w:rsidRPr="00B73185">
              <w:rPr>
                <w:rFonts w:eastAsia="Arial Unicode MS"/>
                <w:color w:val="000000" w:themeColor="text1"/>
                <w:sz w:val="20"/>
                <w:szCs w:val="20"/>
                <w:shd w:val="clear" w:color="auto" w:fill="FFFFFF"/>
                <w:lang w:val="en-US"/>
              </w:rPr>
              <w:t xml:space="preserve"> de la o </w:t>
            </w:r>
            <w:proofErr w:type="spellStart"/>
            <w:r w:rsidRPr="00B73185">
              <w:rPr>
                <w:rFonts w:eastAsia="Arial Unicode MS"/>
                <w:color w:val="000000" w:themeColor="text1"/>
                <w:sz w:val="20"/>
                <w:szCs w:val="20"/>
                <w:shd w:val="clear" w:color="auto" w:fill="FFFFFF"/>
                <w:lang w:val="en-US"/>
              </w:rPr>
              <w:t>notificare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literei</w:t>
            </w:r>
            <w:proofErr w:type="spellEnd"/>
            <w:r w:rsidRPr="00B73185">
              <w:rPr>
                <w:rFonts w:eastAsia="Arial Unicode MS"/>
                <w:color w:val="000000" w:themeColor="text1"/>
                <w:sz w:val="20"/>
                <w:szCs w:val="20"/>
                <w:shd w:val="clear" w:color="auto" w:fill="FFFFFF"/>
                <w:lang w:val="en-US"/>
              </w:rPr>
              <w:t xml:space="preserve"> (a)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sau</w:t>
            </w:r>
            <w:proofErr w:type="spellEnd"/>
            <w:r w:rsidRPr="00B73185">
              <w:rPr>
                <w:rFonts w:eastAsia="Arial Unicode MS"/>
                <w:color w:val="000000" w:themeColor="text1"/>
                <w:sz w:val="20"/>
                <w:szCs w:val="20"/>
                <w:shd w:val="clear" w:color="auto" w:fill="FFFFFF"/>
                <w:lang w:val="en-US"/>
              </w:rPr>
              <w:t xml:space="preserve"> în termen de o </w:t>
            </w:r>
            <w:proofErr w:type="spellStart"/>
            <w:r w:rsidRPr="00B73185">
              <w:rPr>
                <w:rFonts w:eastAsia="Arial Unicode MS"/>
                <w:color w:val="000000" w:themeColor="text1"/>
                <w:sz w:val="20"/>
                <w:szCs w:val="20"/>
                <w:shd w:val="clear" w:color="auto" w:fill="FFFFFF"/>
                <w:lang w:val="en-US"/>
              </w:rPr>
              <w:t>lună</w:t>
            </w:r>
            <w:proofErr w:type="spellEnd"/>
            <w:r w:rsidRPr="00B73185">
              <w:rPr>
                <w:rFonts w:eastAsia="Arial Unicode MS"/>
                <w:color w:val="000000" w:themeColor="text1"/>
                <w:sz w:val="20"/>
                <w:szCs w:val="20"/>
                <w:shd w:val="clear" w:color="auto" w:fill="FFFFFF"/>
                <w:lang w:val="en-US"/>
              </w:rPr>
              <w:t xml:space="preserve"> de la </w:t>
            </w:r>
            <w:proofErr w:type="spellStart"/>
            <w:r w:rsidRPr="00B73185">
              <w:rPr>
                <w:rFonts w:eastAsia="Arial Unicode MS"/>
                <w:color w:val="000000" w:themeColor="text1"/>
                <w:sz w:val="20"/>
                <w:szCs w:val="20"/>
                <w:shd w:val="clear" w:color="auto" w:fill="FFFFFF"/>
                <w:lang w:val="en-US"/>
              </w:rPr>
              <w:t>notificarea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anul relevant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literei</w:t>
            </w:r>
            <w:proofErr w:type="spellEnd"/>
            <w:r w:rsidRPr="00B73185">
              <w:rPr>
                <w:rFonts w:eastAsia="Arial Unicode MS"/>
                <w:color w:val="000000" w:themeColor="text1"/>
                <w:sz w:val="20"/>
                <w:szCs w:val="20"/>
                <w:shd w:val="clear" w:color="auto" w:fill="FFFFFF"/>
                <w:lang w:val="en-US"/>
              </w:rPr>
              <w:t xml:space="preserve"> (d)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w:t>
            </w:r>
          </w:p>
          <w:p w14:paraId="1C2FA75E" w14:textId="248D6E2A"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nu </w:t>
            </w:r>
            <w:proofErr w:type="spellStart"/>
            <w:r w:rsidRPr="00B73185">
              <w:rPr>
                <w:rFonts w:eastAsia="Arial Unicode MS"/>
                <w:color w:val="000000" w:themeColor="text1"/>
                <w:sz w:val="20"/>
                <w:szCs w:val="20"/>
                <w:shd w:val="clear" w:color="auto" w:fill="FFFFFF"/>
                <w:lang w:val="en-US"/>
              </w:rPr>
              <w:t>scoate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licitație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menționate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(5)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un </w:t>
            </w:r>
            <w:proofErr w:type="spellStart"/>
            <w:r w:rsidRPr="00B73185">
              <w:rPr>
                <w:rFonts w:eastAsia="Arial Unicode MS"/>
                <w:color w:val="000000" w:themeColor="text1"/>
                <w:sz w:val="20"/>
                <w:szCs w:val="20"/>
                <w:shd w:val="clear" w:color="auto" w:fill="FFFFFF"/>
                <w:lang w:val="en-US"/>
              </w:rPr>
              <w:t>anumit</w:t>
            </w:r>
            <w:proofErr w:type="spellEnd"/>
            <w:r w:rsidRPr="00B73185">
              <w:rPr>
                <w:rFonts w:eastAsia="Arial Unicode MS"/>
                <w:color w:val="000000" w:themeColor="text1"/>
                <w:sz w:val="20"/>
                <w:szCs w:val="20"/>
                <w:shd w:val="clear" w:color="auto" w:fill="FFFFFF"/>
                <w:lang w:val="en-US"/>
              </w:rPr>
              <w:t xml:space="preserve"> an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decât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după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de certificate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fie </w:t>
            </w:r>
            <w:proofErr w:type="spellStart"/>
            <w:r w:rsidRPr="00B73185">
              <w:rPr>
                <w:rFonts w:eastAsia="Arial Unicode MS"/>
                <w:color w:val="000000" w:themeColor="text1"/>
                <w:sz w:val="20"/>
                <w:szCs w:val="20"/>
                <w:shd w:val="clear" w:color="auto" w:fill="FFFFFF"/>
                <w:lang w:val="en-US"/>
              </w:rPr>
              <w:t>anulate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este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stabilit</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litera</w:t>
            </w:r>
            <w:proofErr w:type="spellEnd"/>
            <w:r w:rsidRPr="00B73185">
              <w:rPr>
                <w:rFonts w:eastAsia="Arial Unicode MS"/>
                <w:color w:val="000000" w:themeColor="text1"/>
                <w:sz w:val="20"/>
                <w:szCs w:val="20"/>
                <w:shd w:val="clear" w:color="auto" w:fill="FFFFFF"/>
                <w:lang w:val="en-US"/>
              </w:rPr>
              <w:t xml:space="preserve"> (g)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nu </w:t>
            </w:r>
            <w:proofErr w:type="spellStart"/>
            <w:r w:rsidRPr="00B73185">
              <w:rPr>
                <w:rFonts w:eastAsia="Arial Unicode MS"/>
                <w:color w:val="000000" w:themeColor="text1"/>
                <w:sz w:val="20"/>
                <w:szCs w:val="20"/>
                <w:shd w:val="clear" w:color="auto" w:fill="FFFFFF"/>
                <w:lang w:val="en-US"/>
              </w:rPr>
              <w:t>scoate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licitație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niciun</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volum</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suplimentar</w:t>
            </w:r>
            <w:proofErr w:type="spellEnd"/>
            <w:r w:rsidRPr="00B73185">
              <w:rPr>
                <w:rFonts w:eastAsia="Arial Unicode MS"/>
                <w:color w:val="000000" w:themeColor="text1"/>
                <w:sz w:val="20"/>
                <w:szCs w:val="20"/>
                <w:shd w:val="clear" w:color="auto" w:fill="FFFFFF"/>
                <w:lang w:val="en-US"/>
              </w:rPr>
              <w:t xml:space="preserve"> de certificate în conformitate cu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Pr="00B73185">
              <w:rPr>
                <w:rFonts w:eastAsia="Arial Unicode MS"/>
                <w:color w:val="000000" w:themeColor="text1"/>
                <w:sz w:val="20"/>
                <w:szCs w:val="20"/>
                <w:shd w:val="clear" w:color="auto" w:fill="FFFFFF"/>
                <w:lang w:val="en-US"/>
              </w:rPr>
              <w:t xml:space="preserve"> (2) </w:t>
            </w:r>
            <w:proofErr w:type="spellStart"/>
            <w:r w:rsidRPr="00B73185">
              <w:rPr>
                <w:rFonts w:eastAsia="Arial Unicode MS"/>
                <w:color w:val="000000" w:themeColor="text1"/>
                <w:sz w:val="20"/>
                <w:szCs w:val="20"/>
                <w:shd w:val="clear" w:color="auto" w:fill="FFFFFF"/>
                <w:lang w:val="en-US"/>
              </w:rPr>
              <w:t>primul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w:t>
            </w:r>
          </w:p>
          <w:p w14:paraId="6B347ED0" w14:textId="77777777"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lastRenderedPageBreak/>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anulează</w:t>
            </w:r>
            <w:proofErr w:type="spellEnd"/>
            <w:r w:rsidRPr="00B73185">
              <w:rPr>
                <w:rFonts w:eastAsia="Arial Unicode MS"/>
                <w:color w:val="000000" w:themeColor="text1"/>
                <w:sz w:val="20"/>
                <w:szCs w:val="20"/>
                <w:shd w:val="clear" w:color="auto" w:fill="FFFFFF"/>
                <w:lang w:val="en-US"/>
              </w:rPr>
              <w:t xml:space="preserve"> un </w:t>
            </w:r>
            <w:proofErr w:type="spellStart"/>
            <w:r w:rsidRPr="00B73185">
              <w:rPr>
                <w:rFonts w:eastAsia="Arial Unicode MS"/>
                <w:color w:val="000000" w:themeColor="text1"/>
                <w:sz w:val="20"/>
                <w:szCs w:val="20"/>
                <w:shd w:val="clear" w:color="auto" w:fill="FFFFFF"/>
                <w:lang w:val="en-US"/>
              </w:rPr>
              <w:t>volum</w:t>
            </w:r>
            <w:proofErr w:type="spellEnd"/>
            <w:r w:rsidRPr="00B73185">
              <w:rPr>
                <w:rFonts w:eastAsia="Arial Unicode MS"/>
                <w:color w:val="000000" w:themeColor="text1"/>
                <w:sz w:val="20"/>
                <w:szCs w:val="20"/>
                <w:shd w:val="clear" w:color="auto" w:fill="FFFFFF"/>
                <w:lang w:val="en-US"/>
              </w:rPr>
              <w:t xml:space="preserve"> de certificate din </w:t>
            </w:r>
            <w:proofErr w:type="spellStart"/>
            <w:r w:rsidRPr="00B73185">
              <w:rPr>
                <w:rFonts w:eastAsia="Arial Unicode MS"/>
                <w:color w:val="000000" w:themeColor="text1"/>
                <w:sz w:val="20"/>
                <w:szCs w:val="20"/>
                <w:shd w:val="clear" w:color="auto" w:fill="FFFFFF"/>
                <w:lang w:val="en-US"/>
              </w:rPr>
              <w:t>cantitatea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totală</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pe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le </w:t>
            </w:r>
            <w:proofErr w:type="spellStart"/>
            <w:r w:rsidRPr="00B73185">
              <w:rPr>
                <w:rFonts w:eastAsia="Arial Unicode MS"/>
                <w:color w:val="000000" w:themeColor="text1"/>
                <w:sz w:val="20"/>
                <w:szCs w:val="20"/>
                <w:shd w:val="clear" w:color="auto" w:fill="FFFFFF"/>
                <w:lang w:val="en-US"/>
              </w:rPr>
              <w:t>scoată</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licitație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menționată</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articolul</w:t>
            </w:r>
            <w:proofErr w:type="spellEnd"/>
            <w:r w:rsidRPr="00B73185">
              <w:rPr>
                <w:rFonts w:eastAsia="Arial Unicode MS"/>
                <w:color w:val="000000" w:themeColor="text1"/>
                <w:sz w:val="20"/>
                <w:szCs w:val="20"/>
                <w:shd w:val="clear" w:color="auto" w:fill="FFFFFF"/>
                <w:lang w:val="en-US"/>
              </w:rPr>
              <w:t xml:space="preserve"> 30d </w:t>
            </w:r>
            <w:proofErr w:type="spellStart"/>
            <w:r w:rsidRPr="00B73185">
              <w:rPr>
                <w:rFonts w:eastAsia="Arial Unicode MS"/>
                <w:color w:val="000000" w:themeColor="text1"/>
                <w:sz w:val="20"/>
                <w:szCs w:val="20"/>
                <w:shd w:val="clear" w:color="auto" w:fill="FFFFFF"/>
                <w:lang w:val="en-US"/>
              </w:rPr>
              <w:t>alineatul</w:t>
            </w:r>
            <w:proofErr w:type="spellEnd"/>
            <w:r w:rsidRPr="00B73185">
              <w:rPr>
                <w:rFonts w:eastAsia="Arial Unicode MS"/>
                <w:color w:val="000000" w:themeColor="text1"/>
                <w:sz w:val="20"/>
                <w:szCs w:val="20"/>
                <w:shd w:val="clear" w:color="auto" w:fill="FFFFFF"/>
                <w:lang w:val="en-US"/>
              </w:rPr>
              <w:t xml:space="preserve"> (5),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anul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egal cu </w:t>
            </w:r>
            <w:proofErr w:type="spellStart"/>
            <w:r w:rsidRPr="00B73185">
              <w:rPr>
                <w:rFonts w:eastAsia="Arial Unicode MS"/>
                <w:color w:val="000000" w:themeColor="text1"/>
                <w:sz w:val="20"/>
                <w:szCs w:val="20"/>
                <w:shd w:val="clear" w:color="auto" w:fill="FFFFFF"/>
                <w:lang w:val="en-US"/>
              </w:rPr>
              <w:t>emisiile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verificate</w:t>
            </w:r>
            <w:proofErr w:type="spellEnd"/>
            <w:r w:rsidRPr="00B73185">
              <w:rPr>
                <w:rFonts w:eastAsia="Arial Unicode MS"/>
                <w:color w:val="000000" w:themeColor="text1"/>
                <w:sz w:val="20"/>
                <w:szCs w:val="20"/>
                <w:shd w:val="clear" w:color="auto" w:fill="FFFFFF"/>
                <w:lang w:val="en-US"/>
              </w:rPr>
              <w:t xml:space="preserve"> ale </w:t>
            </w:r>
            <w:proofErr w:type="spellStart"/>
            <w:r w:rsidRPr="00B73185">
              <w:rPr>
                <w:rFonts w:eastAsia="Arial Unicode MS"/>
                <w:color w:val="000000" w:themeColor="text1"/>
                <w:sz w:val="20"/>
                <w:szCs w:val="20"/>
                <w:shd w:val="clear" w:color="auto" w:fill="FFFFFF"/>
                <w:lang w:val="en-US"/>
              </w:rPr>
              <w:t>entității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reglementate</w:t>
            </w:r>
            <w:proofErr w:type="spellEnd"/>
            <w:r w:rsidRPr="00B73185">
              <w:rPr>
                <w:rFonts w:eastAsia="Arial Unicode MS"/>
                <w:color w:val="000000" w:themeColor="text1"/>
                <w:sz w:val="20"/>
                <w:szCs w:val="20"/>
                <w:shd w:val="clear" w:color="auto" w:fill="FFFFFF"/>
                <w:lang w:val="en-US"/>
              </w:rPr>
              <w:t xml:space="preserve"> respective în conformitate cu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capitol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anul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cazul</w:t>
            </w:r>
            <w:proofErr w:type="spellEnd"/>
            <w:r w:rsidRPr="00B73185">
              <w:rPr>
                <w:rFonts w:eastAsia="Arial Unicode MS"/>
                <w:color w:val="000000" w:themeColor="text1"/>
                <w:sz w:val="20"/>
                <w:szCs w:val="20"/>
                <w:shd w:val="clear" w:color="auto" w:fill="FFFFFF"/>
                <w:lang w:val="en-US"/>
              </w:rPr>
              <w:t xml:space="preserve"> în care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fie </w:t>
            </w:r>
            <w:proofErr w:type="spellStart"/>
            <w:r w:rsidRPr="00B73185">
              <w:rPr>
                <w:rFonts w:eastAsia="Arial Unicode MS"/>
                <w:color w:val="000000" w:themeColor="text1"/>
                <w:sz w:val="20"/>
                <w:szCs w:val="20"/>
                <w:shd w:val="clear" w:color="auto" w:fill="FFFFFF"/>
                <w:lang w:val="en-US"/>
              </w:rPr>
              <w:t>scoase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licitație</w:t>
            </w:r>
            <w:proofErr w:type="spellEnd"/>
            <w:r w:rsidRPr="00B73185">
              <w:rPr>
                <w:rFonts w:eastAsia="Arial Unicode MS"/>
                <w:color w:val="000000" w:themeColor="text1"/>
                <w:sz w:val="20"/>
                <w:szCs w:val="20"/>
                <w:shd w:val="clear" w:color="auto" w:fill="FFFFFF"/>
                <w:lang w:val="en-US"/>
              </w:rPr>
              <w:t xml:space="preserve"> în anul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după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aplicarea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literei</w:t>
            </w:r>
            <w:proofErr w:type="spellEnd"/>
            <w:r w:rsidRPr="00B73185">
              <w:rPr>
                <w:rFonts w:eastAsia="Arial Unicode MS"/>
                <w:color w:val="000000" w:themeColor="text1"/>
                <w:sz w:val="20"/>
                <w:szCs w:val="20"/>
                <w:shd w:val="clear" w:color="auto" w:fill="FFFFFF"/>
                <w:lang w:val="en-US"/>
              </w:rPr>
              <w:t xml:space="preserve"> (f)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este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mai</w:t>
            </w:r>
            <w:proofErr w:type="spellEnd"/>
            <w:r w:rsidRPr="00B73185">
              <w:rPr>
                <w:rFonts w:eastAsia="Arial Unicode MS"/>
                <w:color w:val="000000" w:themeColor="text1"/>
                <w:sz w:val="20"/>
                <w:szCs w:val="20"/>
                <w:shd w:val="clear" w:color="auto" w:fill="FFFFFF"/>
                <w:lang w:val="en-US"/>
              </w:rPr>
              <w:t xml:space="preserve"> mic </w:t>
            </w:r>
            <w:proofErr w:type="spellStart"/>
            <w:r w:rsidRPr="00B73185">
              <w:rPr>
                <w:rFonts w:eastAsia="Arial Unicode MS"/>
                <w:color w:val="000000" w:themeColor="text1"/>
                <w:sz w:val="20"/>
                <w:szCs w:val="20"/>
                <w:shd w:val="clear" w:color="auto" w:fill="FFFFFF"/>
                <w:lang w:val="en-US"/>
              </w:rPr>
              <w:t>decât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emisii</w:t>
            </w:r>
            <w:proofErr w:type="spellEnd"/>
            <w:r w:rsidRPr="00B73185">
              <w:rPr>
                <w:rFonts w:eastAsia="Arial Unicode MS"/>
                <w:color w:val="000000" w:themeColor="text1"/>
                <w:sz w:val="20"/>
                <w:szCs w:val="20"/>
                <w:shd w:val="clear" w:color="auto" w:fill="FFFFFF"/>
                <w:lang w:val="en-US"/>
              </w:rPr>
              <w:t xml:space="preserv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fie </w:t>
            </w:r>
            <w:proofErr w:type="spellStart"/>
            <w:r w:rsidRPr="00B73185">
              <w:rPr>
                <w:rFonts w:eastAsia="Arial Unicode MS"/>
                <w:color w:val="000000" w:themeColor="text1"/>
                <w:sz w:val="20"/>
                <w:szCs w:val="20"/>
                <w:shd w:val="clear" w:color="auto" w:fill="FFFFFF"/>
                <w:lang w:val="en-US"/>
              </w:rPr>
              <w:t>anulate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asigură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emisii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corespunzător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diferenței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până</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sfârșitul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următor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anului</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referință</w:t>
            </w:r>
            <w:proofErr w:type="spellEnd"/>
            <w:r w:rsidRPr="00B73185">
              <w:rPr>
                <w:rFonts w:eastAsia="Arial Unicode MS"/>
                <w:color w:val="000000" w:themeColor="text1"/>
                <w:sz w:val="20"/>
                <w:szCs w:val="20"/>
                <w:shd w:val="clear" w:color="auto" w:fill="FFFFFF"/>
                <w:lang w:val="en-US"/>
              </w:rPr>
              <w:t>; și</w:t>
            </w:r>
          </w:p>
          <w:p w14:paraId="57F1DE35" w14:textId="1A512C02" w:rsidR="00124364" w:rsidRPr="00B73185" w:rsidRDefault="00000000" w:rsidP="00B73185">
            <w:pPr>
              <w:pStyle w:val="ti-art"/>
              <w:numPr>
                <w:ilvl w:val="0"/>
                <w:numId w:val="14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statul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membru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cauză</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angajează</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momentul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primei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notificări</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literei</w:t>
            </w:r>
            <w:proofErr w:type="spellEnd"/>
            <w:r w:rsidRPr="00B73185">
              <w:rPr>
                <w:rFonts w:eastAsia="Arial Unicode MS"/>
                <w:color w:val="000000" w:themeColor="text1"/>
                <w:sz w:val="20"/>
                <w:szCs w:val="20"/>
                <w:shd w:val="clear" w:color="auto" w:fill="FFFFFF"/>
                <w:lang w:val="en-US"/>
              </w:rPr>
              <w:t xml:space="preserve"> (a)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utilizeze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una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sau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mai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multe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dintre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măsurile</w:t>
            </w:r>
            <w:proofErr w:type="spellEnd"/>
            <w:r w:rsidRPr="00B73185">
              <w:rPr>
                <w:rFonts w:eastAsia="Arial Unicode MS"/>
                <w:color w:val="000000" w:themeColor="text1"/>
                <w:sz w:val="20"/>
                <w:szCs w:val="20"/>
                <w:shd w:val="clear" w:color="auto" w:fill="FFFFFF"/>
                <w:lang w:val="en-US"/>
              </w:rPr>
              <w:t xml:space="preserve"> enumerate </w:t>
            </w:r>
            <w:proofErr w:type="spellStart"/>
            <w:r w:rsidRPr="00B73185">
              <w:rPr>
                <w:rFonts w:eastAsia="Arial Unicode MS"/>
                <w:color w:val="000000" w:themeColor="text1"/>
                <w:sz w:val="20"/>
                <w:szCs w:val="20"/>
                <w:shd w:val="clear" w:color="auto" w:fill="FFFFFF"/>
                <w:lang w:val="en-US"/>
              </w:rPr>
              <w:t>sau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menționate</w:t>
            </w:r>
            <w:proofErr w:type="spellEnd"/>
            <w:r w:rsidRPr="00B73185">
              <w:rPr>
                <w:rFonts w:eastAsia="Arial Unicode MS"/>
                <w:color w:val="000000" w:themeColor="text1"/>
                <w:sz w:val="20"/>
                <w:szCs w:val="20"/>
                <w:shd w:val="clear" w:color="auto" w:fill="FFFFFF"/>
                <w:lang w:val="en-US"/>
              </w:rPr>
              <w:t xml:space="preserve"> la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(6) </w:t>
            </w:r>
            <w:proofErr w:type="spellStart"/>
            <w:r w:rsidRPr="00B73185">
              <w:rPr>
                <w:rFonts w:eastAsia="Arial Unicode MS"/>
                <w:color w:val="000000" w:themeColor="text1"/>
                <w:sz w:val="20"/>
                <w:szCs w:val="20"/>
                <w:shd w:val="clear" w:color="auto" w:fill="FFFFFF"/>
                <w:lang w:val="en-US"/>
              </w:rPr>
              <w:t>primul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o </w:t>
            </w:r>
            <w:proofErr w:type="spellStart"/>
            <w:r w:rsidRPr="00B73185">
              <w:rPr>
                <w:rFonts w:eastAsia="Arial Unicode MS"/>
                <w:color w:val="000000" w:themeColor="text1"/>
                <w:sz w:val="20"/>
                <w:szCs w:val="20"/>
                <w:shd w:val="clear" w:color="auto" w:fill="FFFFFF"/>
                <w:lang w:val="en-US"/>
              </w:rPr>
              <w:t>valoare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echivalentă</w:t>
            </w:r>
            <w:proofErr w:type="spellEnd"/>
            <w:r w:rsidRPr="00B73185">
              <w:rPr>
                <w:rFonts w:eastAsia="Arial Unicode MS"/>
                <w:color w:val="000000" w:themeColor="text1"/>
                <w:sz w:val="20"/>
                <w:szCs w:val="20"/>
                <w:shd w:val="clear" w:color="auto" w:fill="FFFFFF"/>
                <w:lang w:val="en-US"/>
              </w:rPr>
              <w:t xml:space="preserve"> cu </w:t>
            </w:r>
            <w:proofErr w:type="spellStart"/>
            <w:r w:rsidRPr="00B73185">
              <w:rPr>
                <w:rFonts w:eastAsia="Arial Unicode MS"/>
                <w:color w:val="000000" w:themeColor="text1"/>
                <w:sz w:val="20"/>
                <w:szCs w:val="20"/>
                <w:shd w:val="clear" w:color="auto" w:fill="FFFFFF"/>
                <w:lang w:val="en-US"/>
              </w:rPr>
              <w:t>veniturile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cărora</w:t>
            </w:r>
            <w:proofErr w:type="spellEnd"/>
            <w:r w:rsidRPr="00B73185">
              <w:rPr>
                <w:rFonts w:eastAsia="Arial Unicode MS"/>
                <w:color w:val="000000" w:themeColor="text1"/>
                <w:sz w:val="20"/>
                <w:szCs w:val="20"/>
                <w:shd w:val="clear" w:color="auto" w:fill="FFFFFF"/>
                <w:lang w:val="en-US"/>
              </w:rPr>
              <w:t xml:space="preserve"> li s-</w:t>
            </w:r>
            <w:proofErr w:type="spellStart"/>
            <w:r w:rsidRPr="00B73185">
              <w:rPr>
                <w:rFonts w:eastAsia="Arial Unicode MS"/>
                <w:color w:val="000000" w:themeColor="text1"/>
                <w:sz w:val="20"/>
                <w:szCs w:val="20"/>
                <w:shd w:val="clear" w:color="auto" w:fill="FFFFFF"/>
                <w:lang w:val="en-US"/>
              </w:rPr>
              <w:t>ar</w:t>
            </w:r>
            <w:proofErr w:type="spellEnd"/>
            <w:r w:rsidRPr="00B73185">
              <w:rPr>
                <w:rFonts w:eastAsia="Arial Unicode MS"/>
                <w:color w:val="000000" w:themeColor="text1"/>
                <w:sz w:val="20"/>
                <w:szCs w:val="20"/>
                <w:shd w:val="clear" w:color="auto" w:fill="FFFFFF"/>
                <w:lang w:val="en-US"/>
              </w:rPr>
              <w:t xml:space="preserve"> fi </w:t>
            </w:r>
            <w:proofErr w:type="spellStart"/>
            <w:r w:rsidRPr="00B73185">
              <w:rPr>
                <w:rFonts w:eastAsia="Arial Unicode MS"/>
                <w:color w:val="000000" w:themeColor="text1"/>
                <w:sz w:val="20"/>
                <w:szCs w:val="20"/>
                <w:shd w:val="clear" w:color="auto" w:fill="FFFFFF"/>
                <w:lang w:val="en-US"/>
              </w:rPr>
              <w:t>aplicat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(6) în </w:t>
            </w:r>
            <w:proofErr w:type="spellStart"/>
            <w:r w:rsidRPr="00B73185">
              <w:rPr>
                <w:rFonts w:eastAsia="Arial Unicode MS"/>
                <w:color w:val="000000" w:themeColor="text1"/>
                <w:sz w:val="20"/>
                <w:szCs w:val="20"/>
                <w:shd w:val="clear" w:color="auto" w:fill="FFFFFF"/>
                <w:lang w:val="en-US"/>
              </w:rPr>
              <w:t>absența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acestei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derogări</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aplică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(6) al </w:t>
            </w:r>
            <w:proofErr w:type="spellStart"/>
            <w:r w:rsidRPr="00B73185">
              <w:rPr>
                <w:rFonts w:eastAsia="Arial Unicode MS"/>
                <w:color w:val="000000" w:themeColor="text1"/>
                <w:sz w:val="20"/>
                <w:szCs w:val="20"/>
                <w:shd w:val="clear" w:color="auto" w:fill="FFFFFF"/>
                <w:lang w:val="en-US"/>
              </w:rPr>
              <w:t>doilea</w:t>
            </w:r>
            <w:proofErr w:type="spellEnd"/>
            <w:r w:rsidRPr="00B73185">
              <w:rPr>
                <w:rFonts w:eastAsia="Arial Unicode MS"/>
                <w:color w:val="000000" w:themeColor="text1"/>
                <w:sz w:val="20"/>
                <w:szCs w:val="20"/>
                <w:shd w:val="clear" w:color="auto" w:fill="FFFFFF"/>
                <w:lang w:val="en-US"/>
              </w:rPr>
              <w:t xml:space="preserve"> și al </w:t>
            </w:r>
            <w:proofErr w:type="spellStart"/>
            <w:r w:rsidRPr="00B73185">
              <w:rPr>
                <w:rFonts w:eastAsia="Arial Unicode MS"/>
                <w:color w:val="000000" w:themeColor="text1"/>
                <w:sz w:val="20"/>
                <w:szCs w:val="20"/>
                <w:shd w:val="clear" w:color="auto" w:fill="FFFFFF"/>
                <w:lang w:val="en-US"/>
              </w:rPr>
              <w:t>treilea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iar</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Comisia</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asigură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informațiile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primite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acestora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respectă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angajamentul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asumat</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prezentei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litere</w:t>
            </w:r>
            <w:proofErr w:type="spellEnd"/>
            <w:r w:rsidRPr="00B73185">
              <w:rPr>
                <w:rFonts w:eastAsia="Arial Unicode MS"/>
                <w:color w:val="000000" w:themeColor="text1"/>
                <w:sz w:val="20"/>
                <w:szCs w:val="20"/>
                <w:shd w:val="clear" w:color="auto" w:fill="FFFFFF"/>
                <w:lang w:val="en-US"/>
              </w:rPr>
              <w:t>.</w:t>
            </w:r>
          </w:p>
          <w:p w14:paraId="74E67FA0" w14:textId="2E303A03" w:rsidR="00124364" w:rsidRPr="00B73185" w:rsidRDefault="00000000" w:rsidP="00B7318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Volumul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care </w:t>
            </w:r>
            <w:proofErr w:type="spellStart"/>
            <w:r w:rsidRPr="00B73185">
              <w:rPr>
                <w:rFonts w:eastAsia="Arial Unicode MS"/>
                <w:color w:val="000000" w:themeColor="text1"/>
                <w:sz w:val="20"/>
                <w:szCs w:val="20"/>
                <w:shd w:val="clear" w:color="auto" w:fill="FFFFFF"/>
                <w:lang w:val="en-US"/>
              </w:rPr>
              <w:t>urmează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să</w:t>
            </w:r>
            <w:proofErr w:type="spellEnd"/>
            <w:r w:rsidRPr="00B73185">
              <w:rPr>
                <w:rFonts w:eastAsia="Arial Unicode MS"/>
                <w:color w:val="000000" w:themeColor="text1"/>
                <w:sz w:val="20"/>
                <w:szCs w:val="20"/>
                <w:shd w:val="clear" w:color="auto" w:fill="FFFFFF"/>
                <w:lang w:val="en-US"/>
              </w:rPr>
              <w:t xml:space="preserve"> fie </w:t>
            </w:r>
            <w:proofErr w:type="spellStart"/>
            <w:r w:rsidRPr="00B73185">
              <w:rPr>
                <w:rFonts w:eastAsia="Arial Unicode MS"/>
                <w:color w:val="000000" w:themeColor="text1"/>
                <w:sz w:val="20"/>
                <w:szCs w:val="20"/>
                <w:shd w:val="clear" w:color="auto" w:fill="FFFFFF"/>
                <w:lang w:val="en-US"/>
              </w:rPr>
              <w:t>anulate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primului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litera</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(g) de la </w:t>
            </w:r>
            <w:proofErr w:type="spellStart"/>
            <w:r w:rsidRPr="00B73185">
              <w:rPr>
                <w:rFonts w:eastAsia="Arial Unicode MS"/>
                <w:color w:val="000000" w:themeColor="text1"/>
                <w:sz w:val="20"/>
                <w:szCs w:val="20"/>
                <w:shd w:val="clear" w:color="auto" w:fill="FFFFFF"/>
                <w:lang w:val="en-US"/>
              </w:rPr>
              <w:t>prezentul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alineat</w:t>
            </w:r>
            <w:proofErr w:type="spellEnd"/>
            <w:r w:rsidRPr="00B73185">
              <w:rPr>
                <w:rFonts w:eastAsia="Arial Unicode MS"/>
                <w:color w:val="000000" w:themeColor="text1"/>
                <w:sz w:val="20"/>
                <w:szCs w:val="20"/>
                <w:shd w:val="clear" w:color="auto" w:fill="FFFFFF"/>
                <w:lang w:val="en-US"/>
              </w:rPr>
              <w:t xml:space="preserve"> nu </w:t>
            </w:r>
            <w:proofErr w:type="spellStart"/>
            <w:r w:rsidRPr="00B73185">
              <w:rPr>
                <w:rFonts w:eastAsia="Arial Unicode MS"/>
                <w:color w:val="000000" w:themeColor="text1"/>
                <w:sz w:val="20"/>
                <w:szCs w:val="20"/>
                <w:shd w:val="clear" w:color="auto" w:fill="FFFFFF"/>
                <w:lang w:val="en-US"/>
              </w:rPr>
              <w:t>afectează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veniturile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externe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alocate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stabilite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articolului</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w:t>
            </w:r>
            <w:proofErr w:type="spellStart"/>
            <w:r w:rsidRPr="00B73185">
              <w:rPr>
                <w:rFonts w:eastAsia="Arial Unicode MS"/>
                <w:color w:val="000000" w:themeColor="text1"/>
                <w:sz w:val="20"/>
                <w:szCs w:val="20"/>
                <w:shd w:val="clear" w:color="auto" w:fill="FFFFFF"/>
                <w:lang w:val="en-US"/>
              </w:rPr>
              <w:t>alineatul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(4) din prezenta </w:t>
            </w:r>
            <w:proofErr w:type="spellStart"/>
            <w:r w:rsidRPr="00B73185">
              <w:rPr>
                <w:rFonts w:eastAsia="Arial Unicode MS"/>
                <w:color w:val="000000" w:themeColor="text1"/>
                <w:sz w:val="20"/>
                <w:szCs w:val="20"/>
                <w:shd w:val="clear" w:color="auto" w:fill="FFFFFF"/>
                <w:lang w:val="en-US"/>
              </w:rPr>
              <w:t>directivă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sau</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cazul</w:t>
            </w:r>
            <w:proofErr w:type="spellEnd"/>
            <w:r w:rsidRPr="00B73185">
              <w:rPr>
                <w:rFonts w:eastAsia="Arial Unicode MS"/>
                <w:color w:val="000000" w:themeColor="text1"/>
                <w:sz w:val="20"/>
                <w:szCs w:val="20"/>
                <w:shd w:val="clear" w:color="auto" w:fill="FFFFFF"/>
                <w:lang w:val="en-US"/>
              </w:rPr>
              <w:t xml:space="preserve"> în care au </w:t>
            </w:r>
            <w:proofErr w:type="spellStart"/>
            <w:r w:rsidRPr="00B73185">
              <w:rPr>
                <w:rFonts w:eastAsia="Arial Unicode MS"/>
                <w:color w:val="000000" w:themeColor="text1"/>
                <w:sz w:val="20"/>
                <w:szCs w:val="20"/>
                <w:shd w:val="clear" w:color="auto" w:fill="FFFFFF"/>
                <w:lang w:val="en-US"/>
              </w:rPr>
              <w:t>fost</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stabilite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articolului</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311 al </w:t>
            </w:r>
            <w:proofErr w:type="spellStart"/>
            <w:r w:rsidRPr="00B73185">
              <w:rPr>
                <w:rFonts w:eastAsia="Arial Unicode MS"/>
                <w:color w:val="000000" w:themeColor="text1"/>
                <w:sz w:val="20"/>
                <w:szCs w:val="20"/>
                <w:shd w:val="clear" w:color="auto" w:fill="FFFFFF"/>
                <w:lang w:val="en-US"/>
              </w:rPr>
              <w:t>treilea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paragraf</w:t>
            </w:r>
            <w:proofErr w:type="spellEnd"/>
            <w:r w:rsidRPr="00B73185">
              <w:rPr>
                <w:rFonts w:eastAsia="Arial Unicode MS"/>
                <w:color w:val="000000" w:themeColor="text1"/>
                <w:sz w:val="20"/>
                <w:szCs w:val="20"/>
                <w:shd w:val="clear" w:color="auto" w:fill="FFFFFF"/>
                <w:lang w:val="en-US"/>
              </w:rPr>
              <w:t xml:space="preserve"> din TFUE, </w:t>
            </w:r>
            <w:proofErr w:type="spellStart"/>
            <w:r w:rsidRPr="00B73185">
              <w:rPr>
                <w:rFonts w:eastAsia="Arial Unicode MS"/>
                <w:color w:val="000000" w:themeColor="text1"/>
                <w:sz w:val="20"/>
                <w:szCs w:val="20"/>
                <w:shd w:val="clear" w:color="auto" w:fill="FFFFFF"/>
                <w:lang w:val="en-US"/>
              </w:rPr>
              <w:t>resursele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proprii</w:t>
            </w:r>
            <w:proofErr w:type="spellEnd"/>
            <w:r w:rsidRPr="00B73185">
              <w:rPr>
                <w:rFonts w:eastAsia="Arial Unicode MS"/>
                <w:color w:val="000000" w:themeColor="text1"/>
                <w:sz w:val="20"/>
                <w:szCs w:val="20"/>
                <w:shd w:val="clear" w:color="auto" w:fill="FFFFFF"/>
                <w:lang w:val="en-US"/>
              </w:rPr>
              <w:t xml:space="preserve"> ale </w:t>
            </w:r>
            <w:proofErr w:type="spellStart"/>
            <w:r w:rsidRPr="00B73185">
              <w:rPr>
                <w:rFonts w:eastAsia="Arial Unicode MS"/>
                <w:color w:val="000000" w:themeColor="text1"/>
                <w:sz w:val="20"/>
                <w:szCs w:val="20"/>
                <w:shd w:val="clear" w:color="auto" w:fill="FFFFFF"/>
                <w:lang w:val="en-US"/>
              </w:rPr>
              <w:t>bugetului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Uniunii</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Deciziei</w:t>
            </w:r>
            <w:proofErr w:type="spellEnd"/>
            <w:r w:rsidRPr="00B73185">
              <w:rPr>
                <w:rFonts w:eastAsia="Arial Unicode MS"/>
                <w:color w:val="000000" w:themeColor="text1"/>
                <w:sz w:val="20"/>
                <w:szCs w:val="20"/>
                <w:shd w:val="clear" w:color="auto" w:fill="FFFFFF"/>
                <w:lang w:val="en-US"/>
              </w:rPr>
              <w:t xml:space="preserve"> (UE, Euratom)</w:t>
            </w:r>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2020/2053 a </w:t>
            </w:r>
            <w:proofErr w:type="spellStart"/>
            <w:r w:rsidRPr="00B73185">
              <w:rPr>
                <w:rFonts w:eastAsia="Arial Unicode MS"/>
                <w:color w:val="000000" w:themeColor="text1"/>
                <w:sz w:val="20"/>
                <w:szCs w:val="20"/>
                <w:shd w:val="clear" w:color="auto" w:fill="FFFFFF"/>
                <w:lang w:val="en-US"/>
              </w:rPr>
              <w:t>Consiliului</w:t>
            </w:r>
            <w:proofErr w:type="spellEnd"/>
            <w:r w:rsidR="00D9773B" w:rsidRPr="00B73185">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w:t>
            </w:r>
            <w:hyperlink r:id="rId347" w:anchor="E0040" w:history="1">
              <w:r w:rsidRPr="00B73185">
                <w:rPr>
                  <w:rStyle w:val="superscript"/>
                  <w:rFonts w:eastAsia="Arial Unicode MS"/>
                  <w:color w:val="000000" w:themeColor="text1"/>
                  <w:sz w:val="20"/>
                  <w:szCs w:val="20"/>
                  <w:vertAlign w:val="superscript"/>
                  <w:lang w:val="en-US"/>
                </w:rPr>
                <w:t>39</w:t>
              </w:r>
            </w:hyperlink>
            <w:r w:rsidRPr="00B73185">
              <w:rPr>
                <w:rFonts w:eastAsia="Arial Unicode MS"/>
                <w:color w:val="000000" w:themeColor="text1"/>
                <w:sz w:val="20"/>
                <w:szCs w:val="20"/>
                <w:shd w:val="clear" w:color="auto" w:fill="FFFFFF"/>
                <w:lang w:val="en-US"/>
              </w:rPr>
              <w:t xml:space="preserve">) din </w:t>
            </w:r>
            <w:proofErr w:type="spellStart"/>
            <w:r w:rsidRPr="00B73185">
              <w:rPr>
                <w:rFonts w:eastAsia="Arial Unicode MS"/>
                <w:color w:val="000000" w:themeColor="text1"/>
                <w:sz w:val="20"/>
                <w:szCs w:val="20"/>
                <w:shd w:val="clear" w:color="auto" w:fill="FFFFFF"/>
                <w:lang w:val="en-US"/>
              </w:rPr>
              <w:t>veniturile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provenite</w:t>
            </w:r>
            <w:proofErr w:type="spellEnd"/>
            <w:r w:rsidRPr="00B73185">
              <w:rPr>
                <w:rFonts w:eastAsia="Arial Unicode MS"/>
                <w:color w:val="000000" w:themeColor="text1"/>
                <w:sz w:val="20"/>
                <w:szCs w:val="20"/>
                <w:shd w:val="clear" w:color="auto" w:fill="FFFFFF"/>
                <w:lang w:val="en-US"/>
              </w:rPr>
              <w:t xml:space="preserve"> din </w:t>
            </w:r>
            <w:proofErr w:type="spellStart"/>
            <w:r w:rsidRPr="00B73185">
              <w:rPr>
                <w:rFonts w:eastAsia="Arial Unicode MS"/>
                <w:color w:val="000000" w:themeColor="text1"/>
                <w:sz w:val="20"/>
                <w:szCs w:val="20"/>
                <w:shd w:val="clear" w:color="auto" w:fill="FFFFFF"/>
                <w:lang w:val="en-US"/>
              </w:rPr>
              <w:t>licitarea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în conformitate cu </w:t>
            </w:r>
            <w:proofErr w:type="spellStart"/>
            <w:r w:rsidRPr="00B73185">
              <w:rPr>
                <w:rFonts w:eastAsia="Arial Unicode MS"/>
                <w:color w:val="000000" w:themeColor="text1"/>
                <w:sz w:val="20"/>
                <w:szCs w:val="20"/>
                <w:shd w:val="clear" w:color="auto" w:fill="FFFFFF"/>
                <w:lang w:val="en-US"/>
              </w:rPr>
              <w:t>articolul</w:t>
            </w:r>
            <w:proofErr w:type="spellEnd"/>
            <w:r w:rsidR="00D9773B">
              <w:rPr>
                <w:rFonts w:eastAsia="Arial Unicode MS"/>
                <w:color w:val="000000" w:themeColor="text1"/>
                <w:sz w:val="20"/>
                <w:szCs w:val="20"/>
                <w:shd w:val="clear" w:color="auto" w:fill="FFFFFF"/>
                <w:lang w:val="en-US"/>
              </w:rPr>
              <w:t xml:space="preserve"> </w:t>
            </w:r>
            <w:r w:rsidRPr="00B73185">
              <w:rPr>
                <w:rFonts w:eastAsia="Arial Unicode MS"/>
                <w:color w:val="000000" w:themeColor="text1"/>
                <w:sz w:val="20"/>
                <w:szCs w:val="20"/>
                <w:shd w:val="clear" w:color="auto" w:fill="FFFFFF"/>
                <w:lang w:val="en-US"/>
              </w:rPr>
              <w:t xml:space="preserve">30d din prezenta </w:t>
            </w:r>
            <w:proofErr w:type="spellStart"/>
            <w:r w:rsidRPr="00B73185">
              <w:rPr>
                <w:rFonts w:eastAsia="Arial Unicode MS"/>
                <w:color w:val="000000" w:themeColor="text1"/>
                <w:sz w:val="20"/>
                <w:szCs w:val="20"/>
                <w:shd w:val="clear" w:color="auto" w:fill="FFFFFF"/>
                <w:lang w:val="en-US"/>
              </w:rPr>
              <w:t>directivă</w:t>
            </w:r>
            <w:proofErr w:type="spellEnd"/>
            <w:r w:rsidRPr="00B73185">
              <w:rPr>
                <w:rFonts w:eastAsia="Arial Unicode MS"/>
                <w:color w:val="000000" w:themeColor="text1"/>
                <w:sz w:val="20"/>
                <w:szCs w:val="20"/>
                <w:shd w:val="clear" w:color="auto" w:fill="FFFFFF"/>
                <w:lang w:val="en-US"/>
              </w:rPr>
              <w:t>.</w:t>
            </w:r>
          </w:p>
          <w:p w14:paraId="49BB1E4D" w14:textId="77777777" w:rsidR="00124364" w:rsidRDefault="00000000" w:rsidP="00B73185">
            <w:pPr>
              <w:pStyle w:val="ti-art"/>
              <w:numPr>
                <w:ilvl w:val="0"/>
                <w:numId w:val="14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73185">
              <w:rPr>
                <w:rFonts w:eastAsia="Arial Unicode MS"/>
                <w:color w:val="000000" w:themeColor="text1"/>
                <w:sz w:val="20"/>
                <w:szCs w:val="20"/>
                <w:shd w:val="clear" w:color="auto" w:fill="FFFFFF"/>
                <w:lang w:val="en-US"/>
              </w:rPr>
              <w:t>Spitalelor</w:t>
            </w:r>
            <w:proofErr w:type="spellEnd"/>
            <w:r w:rsidRPr="00B73185">
              <w:rPr>
                <w:rFonts w:eastAsia="Arial Unicode MS"/>
                <w:color w:val="000000" w:themeColor="text1"/>
                <w:sz w:val="20"/>
                <w:szCs w:val="20"/>
                <w:shd w:val="clear" w:color="auto" w:fill="FFFFFF"/>
                <w:lang w:val="en-US"/>
              </w:rPr>
              <w:t xml:space="preserve"> care nu </w:t>
            </w:r>
            <w:proofErr w:type="spellStart"/>
            <w:r w:rsidRPr="00B73185">
              <w:rPr>
                <w:rFonts w:eastAsia="Arial Unicode MS"/>
                <w:color w:val="000000" w:themeColor="text1"/>
                <w:sz w:val="20"/>
                <w:szCs w:val="20"/>
                <w:shd w:val="clear" w:color="auto" w:fill="FFFFFF"/>
                <w:lang w:val="en-US"/>
              </w:rPr>
              <w:t>intră</w:t>
            </w:r>
            <w:proofErr w:type="spellEnd"/>
            <w:r w:rsidRPr="00B73185">
              <w:rPr>
                <w:rFonts w:eastAsia="Arial Unicode MS"/>
                <w:color w:val="000000" w:themeColor="text1"/>
                <w:sz w:val="20"/>
                <w:szCs w:val="20"/>
                <w:shd w:val="clear" w:color="auto" w:fill="FFFFFF"/>
                <w:lang w:val="en-US"/>
              </w:rPr>
              <w:t xml:space="preserve"> sub </w:t>
            </w:r>
            <w:proofErr w:type="spellStart"/>
            <w:r w:rsidRPr="00B73185">
              <w:rPr>
                <w:rFonts w:eastAsia="Arial Unicode MS"/>
                <w:color w:val="000000" w:themeColor="text1"/>
                <w:sz w:val="20"/>
                <w:szCs w:val="20"/>
                <w:shd w:val="clear" w:color="auto" w:fill="FFFFFF"/>
                <w:lang w:val="en-US"/>
              </w:rPr>
              <w:t>incidența</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capitolului</w:t>
            </w:r>
            <w:proofErr w:type="spellEnd"/>
            <w:r w:rsidRPr="00B73185">
              <w:rPr>
                <w:rFonts w:eastAsia="Arial Unicode MS"/>
                <w:color w:val="000000" w:themeColor="text1"/>
                <w:sz w:val="20"/>
                <w:szCs w:val="20"/>
                <w:shd w:val="clear" w:color="auto" w:fill="FFFFFF"/>
                <w:lang w:val="en-US"/>
              </w:rPr>
              <w:t xml:space="preserve"> III li se </w:t>
            </w:r>
            <w:proofErr w:type="spellStart"/>
            <w:r w:rsidRPr="00B73185">
              <w:rPr>
                <w:rFonts w:eastAsia="Arial Unicode MS"/>
                <w:color w:val="000000" w:themeColor="text1"/>
                <w:sz w:val="20"/>
                <w:szCs w:val="20"/>
                <w:shd w:val="clear" w:color="auto" w:fill="FFFFFF"/>
                <w:lang w:val="en-US"/>
              </w:rPr>
              <w:t>poate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acorda</w:t>
            </w:r>
            <w:proofErr w:type="spellEnd"/>
            <w:r w:rsidRPr="00B73185">
              <w:rPr>
                <w:rFonts w:eastAsia="Arial Unicode MS"/>
                <w:color w:val="000000" w:themeColor="text1"/>
                <w:sz w:val="20"/>
                <w:szCs w:val="20"/>
                <w:shd w:val="clear" w:color="auto" w:fill="FFFFFF"/>
                <w:lang w:val="en-US"/>
              </w:rPr>
              <w:t xml:space="preserve"> o </w:t>
            </w:r>
            <w:proofErr w:type="spellStart"/>
            <w:r w:rsidRPr="00B73185">
              <w:rPr>
                <w:rFonts w:eastAsia="Arial Unicode MS"/>
                <w:color w:val="000000" w:themeColor="text1"/>
                <w:sz w:val="20"/>
                <w:szCs w:val="20"/>
                <w:shd w:val="clear" w:color="auto" w:fill="FFFFFF"/>
                <w:lang w:val="en-US"/>
              </w:rPr>
              <w:t>compensație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financiară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pentru</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costurile</w:t>
            </w:r>
            <w:proofErr w:type="spellEnd"/>
            <w:r w:rsidRPr="00B73185">
              <w:rPr>
                <w:rFonts w:eastAsia="Arial Unicode MS"/>
                <w:color w:val="000000" w:themeColor="text1"/>
                <w:sz w:val="20"/>
                <w:szCs w:val="20"/>
                <w:shd w:val="clear" w:color="auto" w:fill="FFFFFF"/>
                <w:lang w:val="en-US"/>
              </w:rPr>
              <w:t xml:space="preserve"> care le sunt </w:t>
            </w:r>
            <w:proofErr w:type="spellStart"/>
            <w:r w:rsidRPr="00B73185">
              <w:rPr>
                <w:rFonts w:eastAsia="Arial Unicode MS"/>
                <w:color w:val="000000" w:themeColor="text1"/>
                <w:sz w:val="20"/>
                <w:szCs w:val="20"/>
                <w:shd w:val="clear" w:color="auto" w:fill="FFFFFF"/>
                <w:lang w:val="en-US"/>
              </w:rPr>
              <w:t>transferate</w:t>
            </w:r>
            <w:proofErr w:type="spellEnd"/>
            <w:r w:rsidRPr="00B73185">
              <w:rPr>
                <w:rFonts w:eastAsia="Arial Unicode MS"/>
                <w:color w:val="000000" w:themeColor="text1"/>
                <w:sz w:val="20"/>
                <w:szCs w:val="20"/>
                <w:shd w:val="clear" w:color="auto" w:fill="FFFFFF"/>
                <w:lang w:val="en-US"/>
              </w:rPr>
              <w:t xml:space="preserve"> ca </w:t>
            </w:r>
            <w:proofErr w:type="spellStart"/>
            <w:r w:rsidRPr="00B73185">
              <w:rPr>
                <w:rFonts w:eastAsia="Arial Unicode MS"/>
                <w:color w:val="000000" w:themeColor="text1"/>
                <w:sz w:val="20"/>
                <w:szCs w:val="20"/>
                <w:shd w:val="clear" w:color="auto" w:fill="FFFFFF"/>
                <w:lang w:val="en-US"/>
              </w:rPr>
              <w:t>urmare</w:t>
            </w:r>
            <w:proofErr w:type="spellEnd"/>
            <w:r w:rsidRPr="00B73185">
              <w:rPr>
                <w:rFonts w:eastAsia="Arial Unicode MS"/>
                <w:color w:val="000000" w:themeColor="text1"/>
                <w:sz w:val="20"/>
                <w:szCs w:val="20"/>
                <w:shd w:val="clear" w:color="auto" w:fill="FFFFFF"/>
                <w:lang w:val="en-US"/>
              </w:rPr>
              <w:t xml:space="preserve"> a </w:t>
            </w:r>
            <w:proofErr w:type="spellStart"/>
            <w:r w:rsidRPr="00B73185">
              <w:rPr>
                <w:rFonts w:eastAsia="Arial Unicode MS"/>
                <w:color w:val="000000" w:themeColor="text1"/>
                <w:sz w:val="20"/>
                <w:szCs w:val="20"/>
                <w:shd w:val="clear" w:color="auto" w:fill="FFFFFF"/>
                <w:lang w:val="en-US"/>
              </w:rPr>
              <w:t>restituirii</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certificatelor</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temeiul</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 În </w:t>
            </w:r>
            <w:proofErr w:type="spellStart"/>
            <w:r w:rsidRPr="00B73185">
              <w:rPr>
                <w:rFonts w:eastAsia="Arial Unicode MS"/>
                <w:color w:val="000000" w:themeColor="text1"/>
                <w:sz w:val="20"/>
                <w:szCs w:val="20"/>
                <w:shd w:val="clear" w:color="auto" w:fill="FFFFFF"/>
                <w:lang w:val="en-US"/>
              </w:rPr>
              <w:t>acest</w:t>
            </w:r>
            <w:proofErr w:type="spellEnd"/>
            <w:r w:rsidRPr="00B73185">
              <w:rPr>
                <w:rFonts w:eastAsia="Arial Unicode MS"/>
                <w:color w:val="000000" w:themeColor="text1"/>
                <w:sz w:val="20"/>
                <w:szCs w:val="20"/>
                <w:shd w:val="clear" w:color="auto" w:fill="FFFFFF"/>
                <w:lang w:val="en-US"/>
              </w:rPr>
              <w:t xml:space="preserve"> scop, </w:t>
            </w:r>
            <w:proofErr w:type="spellStart"/>
            <w:r w:rsidRPr="00B73185">
              <w:rPr>
                <w:rFonts w:eastAsia="Arial Unicode MS"/>
                <w:color w:val="000000" w:themeColor="text1"/>
                <w:sz w:val="20"/>
                <w:szCs w:val="20"/>
                <w:shd w:val="clear" w:color="auto" w:fill="FFFFFF"/>
                <w:lang w:val="en-US"/>
              </w:rPr>
              <w:t>dispozițiile</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prezentului</w:t>
            </w:r>
            <w:proofErr w:type="spellEnd"/>
            <w:r w:rsidRPr="00B73185">
              <w:rPr>
                <w:rFonts w:eastAsia="Arial Unicode MS"/>
                <w:color w:val="000000" w:themeColor="text1"/>
                <w:sz w:val="20"/>
                <w:szCs w:val="20"/>
                <w:shd w:val="clear" w:color="auto" w:fill="FFFFFF"/>
                <w:lang w:val="en-US"/>
              </w:rPr>
              <w:t xml:space="preserve"> capitol </w:t>
            </w:r>
            <w:proofErr w:type="spellStart"/>
            <w:r w:rsidRPr="00B73185">
              <w:rPr>
                <w:rFonts w:eastAsia="Arial Unicode MS"/>
                <w:color w:val="000000" w:themeColor="text1"/>
                <w:sz w:val="20"/>
                <w:szCs w:val="20"/>
                <w:shd w:val="clear" w:color="auto" w:fill="FFFFFF"/>
                <w:lang w:val="en-US"/>
              </w:rPr>
              <w:lastRenderedPageBreak/>
              <w:t>aplicabile</w:t>
            </w:r>
            <w:proofErr w:type="spellEnd"/>
            <w:r w:rsidRPr="00B73185">
              <w:rPr>
                <w:rFonts w:eastAsia="Arial Unicode MS"/>
                <w:color w:val="000000" w:themeColor="text1"/>
                <w:sz w:val="20"/>
                <w:szCs w:val="20"/>
                <w:shd w:val="clear" w:color="auto" w:fill="FFFFFF"/>
                <w:lang w:val="en-US"/>
              </w:rPr>
              <w:t xml:space="preserve"> în </w:t>
            </w:r>
            <w:proofErr w:type="spellStart"/>
            <w:r w:rsidRPr="00B73185">
              <w:rPr>
                <w:rFonts w:eastAsia="Arial Unicode MS"/>
                <w:color w:val="000000" w:themeColor="text1"/>
                <w:sz w:val="20"/>
                <w:szCs w:val="20"/>
                <w:shd w:val="clear" w:color="auto" w:fill="FFFFFF"/>
                <w:lang w:val="en-US"/>
              </w:rPr>
              <w:t>cazurile</w:t>
            </w:r>
            <w:proofErr w:type="spellEnd"/>
            <w:r w:rsidRPr="00B73185">
              <w:rPr>
                <w:rFonts w:eastAsia="Arial Unicode MS"/>
                <w:color w:val="000000" w:themeColor="text1"/>
                <w:sz w:val="20"/>
                <w:szCs w:val="20"/>
                <w:shd w:val="clear" w:color="auto" w:fill="FFFFFF"/>
                <w:lang w:val="en-US"/>
              </w:rPr>
              <w:t xml:space="preserve"> de </w:t>
            </w:r>
            <w:proofErr w:type="spellStart"/>
            <w:r w:rsidRPr="00B73185">
              <w:rPr>
                <w:rFonts w:eastAsia="Arial Unicode MS"/>
                <w:color w:val="000000" w:themeColor="text1"/>
                <w:sz w:val="20"/>
                <w:szCs w:val="20"/>
                <w:shd w:val="clear" w:color="auto" w:fill="FFFFFF"/>
                <w:lang w:val="en-US"/>
              </w:rPr>
              <w:t>dublă</w:t>
            </w:r>
            <w:proofErr w:type="spellEnd"/>
            <w:r w:rsidRPr="00B73185">
              <w:rPr>
                <w:rFonts w:eastAsia="Arial Unicode MS"/>
                <w:color w:val="000000" w:themeColor="text1"/>
                <w:sz w:val="20"/>
                <w:szCs w:val="20"/>
                <w:shd w:val="clear" w:color="auto" w:fill="FFFFFF"/>
                <w:lang w:val="en-US"/>
              </w:rPr>
              <w:t xml:space="preserve"> </w:t>
            </w:r>
            <w:proofErr w:type="spellStart"/>
            <w:r w:rsidRPr="00B73185">
              <w:rPr>
                <w:rFonts w:eastAsia="Arial Unicode MS"/>
                <w:color w:val="000000" w:themeColor="text1"/>
                <w:sz w:val="20"/>
                <w:szCs w:val="20"/>
                <w:shd w:val="clear" w:color="auto" w:fill="FFFFFF"/>
                <w:lang w:val="en-US"/>
              </w:rPr>
              <w:t>contabilizare</w:t>
            </w:r>
            <w:proofErr w:type="spellEnd"/>
            <w:r w:rsidRPr="00B73185">
              <w:rPr>
                <w:rFonts w:eastAsia="Arial Unicode MS"/>
                <w:color w:val="000000" w:themeColor="text1"/>
                <w:sz w:val="20"/>
                <w:szCs w:val="20"/>
                <w:shd w:val="clear" w:color="auto" w:fill="FFFFFF"/>
                <w:lang w:val="en-US"/>
              </w:rPr>
              <w:t xml:space="preserve"> se </w:t>
            </w:r>
            <w:proofErr w:type="spellStart"/>
            <w:r w:rsidRPr="00B73185">
              <w:rPr>
                <w:rFonts w:eastAsia="Arial Unicode MS"/>
                <w:color w:val="000000" w:themeColor="text1"/>
                <w:sz w:val="20"/>
                <w:szCs w:val="20"/>
                <w:shd w:val="clear" w:color="auto" w:fill="FFFFFF"/>
                <w:lang w:val="en-US"/>
              </w:rPr>
              <w:t>aplică</w:t>
            </w:r>
            <w:proofErr w:type="spellEnd"/>
            <w:r w:rsidRPr="00B73185">
              <w:rPr>
                <w:rStyle w:val="apple-converted-space"/>
                <w:rFonts w:eastAsia="Arial Unicode MS"/>
                <w:color w:val="000000" w:themeColor="text1"/>
                <w:sz w:val="20"/>
                <w:szCs w:val="20"/>
                <w:shd w:val="clear" w:color="auto" w:fill="FFFFFF"/>
                <w:lang w:val="en-US"/>
              </w:rPr>
              <w:t> </w:t>
            </w:r>
            <w:r w:rsidRPr="00B73185">
              <w:rPr>
                <w:rStyle w:val="italics"/>
                <w:rFonts w:eastAsia="Arial Unicode MS"/>
                <w:i/>
                <w:iCs/>
                <w:color w:val="000000" w:themeColor="text1"/>
                <w:sz w:val="20"/>
                <w:szCs w:val="20"/>
                <w:lang w:val="en-US"/>
              </w:rPr>
              <w:t>mutatis mutandis</w:t>
            </w:r>
            <w:r w:rsidRPr="00B73185">
              <w:rPr>
                <w:rFonts w:eastAsia="Arial Unicode MS"/>
                <w:color w:val="000000" w:themeColor="text1"/>
                <w:sz w:val="20"/>
                <w:szCs w:val="20"/>
                <w:shd w:val="clear" w:color="auto" w:fill="FFFFFF"/>
                <w:lang w:val="en-US"/>
              </w:rPr>
              <w:t>.</w:t>
            </w:r>
          </w:p>
        </w:tc>
        <w:tc>
          <w:tcPr>
            <w:tcW w:w="4394" w:type="dxa"/>
            <w:shd w:val="clear" w:color="auto" w:fill="auto"/>
          </w:tcPr>
          <w:p w14:paraId="2A864F82"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DA4F867" w14:textId="003AE170" w:rsidR="00124364" w:rsidRDefault="00D9773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r w:rsidR="00000000">
              <w:rPr>
                <w:rFonts w:ascii="Times New Roman" w:hAnsi="Times New Roman"/>
                <w:bCs/>
                <w:sz w:val="20"/>
                <w:szCs w:val="20"/>
                <w:lang w:val="ro-RO"/>
              </w:rPr>
              <w:t xml:space="preserve"> </w:t>
            </w:r>
          </w:p>
          <w:p w14:paraId="3CDA80E1"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58EFC26"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96C116C" w14:textId="71E2D6D5" w:rsidR="00124364" w:rsidRDefault="00D9773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156E9994" w14:textId="77777777" w:rsidR="00124364" w:rsidRDefault="00124364" w:rsidP="00D9773B">
            <w:pPr>
              <w:autoSpaceDE w:val="0"/>
              <w:spacing w:after="0" w:line="240" w:lineRule="auto"/>
              <w:rPr>
                <w:rFonts w:ascii="Times New Roman" w:hAnsi="Times New Roman"/>
                <w:sz w:val="20"/>
                <w:szCs w:val="20"/>
                <w:lang w:val="fr-FR"/>
              </w:rPr>
            </w:pPr>
          </w:p>
        </w:tc>
      </w:tr>
      <w:tr w:rsidR="00124364" w14:paraId="464AD82F" w14:textId="77777777">
        <w:trPr>
          <w:trHeight w:val="558"/>
        </w:trPr>
        <w:tc>
          <w:tcPr>
            <w:tcW w:w="4957" w:type="dxa"/>
            <w:shd w:val="clear" w:color="auto" w:fill="auto"/>
          </w:tcPr>
          <w:p w14:paraId="465795AB" w14:textId="1F53B9E6"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lastRenderedPageBreak/>
              <w:t>Articolul</w:t>
            </w:r>
            <w:proofErr w:type="spellEnd"/>
            <w:r w:rsidR="003D4F0B">
              <w:rPr>
                <w:rFonts w:eastAsia="Arial Unicode MS"/>
                <w:i/>
                <w:iCs/>
                <w:color w:val="333333"/>
                <w:sz w:val="20"/>
                <w:szCs w:val="20"/>
                <w:shd w:val="clear" w:color="auto" w:fill="FFFFFF"/>
                <w:lang w:val="en-US"/>
              </w:rPr>
              <w:t xml:space="preserve"> </w:t>
            </w:r>
            <w:r w:rsidRPr="00B9573B">
              <w:rPr>
                <w:rFonts w:eastAsia="Arial Unicode MS"/>
                <w:i/>
                <w:iCs/>
                <w:color w:val="333333"/>
                <w:sz w:val="20"/>
                <w:szCs w:val="20"/>
                <w:shd w:val="clear" w:color="auto" w:fill="FFFFFF"/>
                <w:lang w:val="en-US"/>
              </w:rPr>
              <w:t>30f</w:t>
            </w:r>
          </w:p>
          <w:p w14:paraId="2915A3BA" w14:textId="77777777" w:rsidR="00124364"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Monitorizarea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raportarea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verificarea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emisiilor</w:t>
            </w:r>
            <w:proofErr w:type="spellEnd"/>
            <w:r>
              <w:rPr>
                <w:rFonts w:eastAsia="Arial Unicode MS"/>
                <w:b/>
                <w:bCs/>
                <w:color w:val="333333"/>
                <w:sz w:val="20"/>
                <w:szCs w:val="20"/>
                <w:shd w:val="clear" w:color="auto" w:fill="FFFFFF"/>
                <w:lang w:val="en-US"/>
              </w:rPr>
              <w:t xml:space="preserve"> și </w:t>
            </w:r>
            <w:proofErr w:type="spellStart"/>
            <w:r>
              <w:rPr>
                <w:rFonts w:eastAsia="Arial Unicode MS"/>
                <w:b/>
                <w:bCs/>
                <w:color w:val="333333"/>
                <w:sz w:val="20"/>
                <w:szCs w:val="20"/>
                <w:shd w:val="clear" w:color="auto" w:fill="FFFFFF"/>
                <w:lang w:val="en-US"/>
              </w:rPr>
              <w:t>acreditarea</w:t>
            </w:r>
            <w:proofErr w:type="spellEnd"/>
          </w:p>
          <w:p w14:paraId="3E36F1E9" w14:textId="6F814F6C"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Articolele</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14 și</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15 se </w:t>
            </w:r>
            <w:proofErr w:type="spellStart"/>
            <w:r w:rsidRPr="003D4F0B">
              <w:rPr>
                <w:rFonts w:eastAsia="Arial Unicode MS"/>
                <w:color w:val="000000" w:themeColor="text1"/>
                <w:sz w:val="20"/>
                <w:szCs w:val="20"/>
                <w:shd w:val="clear" w:color="auto" w:fill="FFFFFF"/>
                <w:lang w:val="en-US"/>
              </w:rPr>
              <w:t>aplică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entităților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În </w:t>
            </w:r>
            <w:proofErr w:type="spellStart"/>
            <w:r w:rsidRPr="003D4F0B">
              <w:rPr>
                <w:rFonts w:eastAsia="Arial Unicode MS"/>
                <w:color w:val="000000" w:themeColor="text1"/>
                <w:sz w:val="20"/>
                <w:szCs w:val="20"/>
                <w:shd w:val="clear" w:color="auto" w:fill="FFFFFF"/>
                <w:lang w:val="en-US"/>
              </w:rPr>
              <w:t>acest</w:t>
            </w:r>
            <w:proofErr w:type="spellEnd"/>
            <w:r w:rsidRPr="003D4F0B">
              <w:rPr>
                <w:rFonts w:eastAsia="Arial Unicode MS"/>
                <w:color w:val="000000" w:themeColor="text1"/>
                <w:sz w:val="20"/>
                <w:szCs w:val="20"/>
                <w:shd w:val="clear" w:color="auto" w:fill="FFFFFF"/>
                <w:lang w:val="en-US"/>
              </w:rPr>
              <w:t xml:space="preserve"> scop:</w:t>
            </w:r>
          </w:p>
          <w:p w14:paraId="5CEB3B3A" w14:textId="77777777" w:rsidR="00124364" w:rsidRPr="003D4F0B" w:rsidRDefault="00000000" w:rsidP="003D4F0B">
            <w:pPr>
              <w:pStyle w:val="ti-art"/>
              <w:numPr>
                <w:ilvl w:val="0"/>
                <w:numId w:val="1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p w14:paraId="474C1A21" w14:textId="61BB26F5" w:rsidR="00124364" w:rsidRPr="003D4F0B" w:rsidRDefault="00000000" w:rsidP="003D4F0B">
            <w:pPr>
              <w:pStyle w:val="ti-art"/>
              <w:numPr>
                <w:ilvl w:val="0"/>
                <w:numId w:val="1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o </w:t>
            </w:r>
            <w:proofErr w:type="spellStart"/>
            <w:r w:rsidRPr="003D4F0B">
              <w:rPr>
                <w:rFonts w:eastAsia="Arial Unicode MS"/>
                <w:color w:val="000000" w:themeColor="text1"/>
                <w:sz w:val="20"/>
                <w:szCs w:val="20"/>
                <w:shd w:val="clear" w:color="auto" w:fill="FFFFFF"/>
                <w:lang w:val="en-US"/>
              </w:rPr>
              <w:t>activitate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I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activitatea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III;</w:t>
            </w:r>
          </w:p>
          <w:p w14:paraId="4D9339B5" w14:textId="77777777" w:rsidR="00124364" w:rsidRPr="003D4F0B" w:rsidRDefault="00000000" w:rsidP="003D4F0B">
            <w:pPr>
              <w:pStyle w:val="ti-art"/>
              <w:numPr>
                <w:ilvl w:val="0"/>
                <w:numId w:val="1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operatori</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p w14:paraId="2419A6CD" w14:textId="77777777" w:rsidR="00124364" w:rsidRPr="003D4F0B" w:rsidRDefault="00000000" w:rsidP="003D4F0B">
            <w:pPr>
              <w:pStyle w:val="ti-art"/>
              <w:numPr>
                <w:ilvl w:val="0"/>
                <w:numId w:val="1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certificate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certificatele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p w14:paraId="0720DC58" w14:textId="1A002576" w:rsidR="00124364" w:rsidRPr="003D4F0B" w:rsidRDefault="00000000" w:rsidP="003D4F0B">
            <w:pPr>
              <w:pStyle w:val="ti-art"/>
              <w:numPr>
                <w:ilvl w:val="0"/>
                <w:numId w:val="14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trimiterea</w:t>
            </w:r>
            <w:proofErr w:type="spellEnd"/>
            <w:r w:rsidRPr="003D4F0B">
              <w:rPr>
                <w:rFonts w:eastAsia="Arial Unicode MS"/>
                <w:color w:val="000000" w:themeColor="text1"/>
                <w:sz w:val="20"/>
                <w:szCs w:val="20"/>
                <w:shd w:val="clear" w:color="auto" w:fill="FFFFFF"/>
                <w:lang w:val="en-US"/>
              </w:rPr>
              <w:t xml:space="preserve"> la data </w:t>
            </w:r>
            <w:proofErr w:type="spellStart"/>
            <w:r w:rsidRPr="003D4F0B">
              <w:rPr>
                <w:rFonts w:eastAsia="Arial Unicode MS"/>
                <w:color w:val="000000" w:themeColor="text1"/>
                <w:sz w:val="20"/>
                <w:szCs w:val="20"/>
                <w:shd w:val="clear" w:color="auto" w:fill="FFFFFF"/>
                <w:lang w:val="en-US"/>
              </w:rPr>
              <w:t>indicată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15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fiind</w:t>
            </w:r>
            <w:proofErr w:type="spellEnd"/>
            <w:r w:rsidRPr="003D4F0B">
              <w:rPr>
                <w:rFonts w:eastAsia="Arial Unicode MS"/>
                <w:color w:val="000000" w:themeColor="text1"/>
                <w:sz w:val="20"/>
                <w:szCs w:val="20"/>
                <w:shd w:val="clear" w:color="auto" w:fill="FFFFFF"/>
                <w:lang w:val="en-US"/>
              </w:rPr>
              <w:t xml:space="preserve"> o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data de 30 </w:t>
            </w:r>
            <w:proofErr w:type="spellStart"/>
            <w:r w:rsidRPr="003D4F0B">
              <w:rPr>
                <w:rFonts w:eastAsia="Arial Unicode MS"/>
                <w:color w:val="000000" w:themeColor="text1"/>
                <w:sz w:val="20"/>
                <w:szCs w:val="20"/>
                <w:shd w:val="clear" w:color="auto" w:fill="FFFFFF"/>
                <w:lang w:val="en-US"/>
              </w:rPr>
              <w:t>aprilie</w:t>
            </w:r>
            <w:proofErr w:type="spellEnd"/>
            <w:r w:rsidRPr="003D4F0B">
              <w:rPr>
                <w:rFonts w:eastAsia="Arial Unicode MS"/>
                <w:color w:val="000000" w:themeColor="text1"/>
                <w:sz w:val="20"/>
                <w:szCs w:val="20"/>
                <w:shd w:val="clear" w:color="auto" w:fill="FFFFFF"/>
                <w:lang w:val="en-US"/>
              </w:rPr>
              <w:t>.</w:t>
            </w:r>
          </w:p>
          <w:p w14:paraId="12B1D597" w14:textId="3330ED79"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asigură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monitorizează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an </w:t>
            </w:r>
            <w:proofErr w:type="spellStart"/>
            <w:r w:rsidRPr="003D4F0B">
              <w:rPr>
                <w:rFonts w:eastAsia="Arial Unicode MS"/>
                <w:color w:val="000000" w:themeColor="text1"/>
                <w:sz w:val="20"/>
                <w:szCs w:val="20"/>
                <w:shd w:val="clear" w:color="auto" w:fill="FFFFFF"/>
                <w:lang w:val="en-US"/>
              </w:rPr>
              <w:t>calendaristic</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începând</w:t>
            </w:r>
            <w:proofErr w:type="spellEnd"/>
            <w:r w:rsidRPr="003D4F0B">
              <w:rPr>
                <w:rFonts w:eastAsia="Arial Unicode MS"/>
                <w:color w:val="000000" w:themeColor="text1"/>
                <w:sz w:val="20"/>
                <w:szCs w:val="20"/>
                <w:shd w:val="clear" w:color="auto" w:fill="FFFFFF"/>
                <w:lang w:val="en-US"/>
              </w:rPr>
              <w:t xml:space="preserve"> cu 2025,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corespunzătoare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cantităților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combustibili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anexa</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III. De </w:t>
            </w:r>
            <w:proofErr w:type="spellStart"/>
            <w:r w:rsidRPr="003D4F0B">
              <w:rPr>
                <w:rFonts w:eastAsia="Arial Unicode MS"/>
                <w:color w:val="000000" w:themeColor="text1"/>
                <w:sz w:val="20"/>
                <w:szCs w:val="20"/>
                <w:shd w:val="clear" w:color="auto" w:fill="FFFFFF"/>
                <w:lang w:val="en-US"/>
              </w:rPr>
              <w:t>asemenea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asigură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raportează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respective </w:t>
            </w:r>
            <w:proofErr w:type="spellStart"/>
            <w:r w:rsidRPr="003D4F0B">
              <w:rPr>
                <w:rFonts w:eastAsia="Arial Unicode MS"/>
                <w:color w:val="000000" w:themeColor="text1"/>
                <w:sz w:val="20"/>
                <w:szCs w:val="20"/>
                <w:shd w:val="clear" w:color="auto" w:fill="FFFFFF"/>
                <w:lang w:val="en-US"/>
              </w:rPr>
              <w:t>autorității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competente</w:t>
            </w:r>
            <w:proofErr w:type="spellEnd"/>
            <w:r w:rsidRPr="003D4F0B">
              <w:rPr>
                <w:rFonts w:eastAsia="Arial Unicode MS"/>
                <w:color w:val="000000" w:themeColor="text1"/>
                <w:sz w:val="20"/>
                <w:szCs w:val="20"/>
                <w:shd w:val="clear" w:color="auto" w:fill="FFFFFF"/>
                <w:lang w:val="en-US"/>
              </w:rPr>
              <w:t xml:space="preserve"> în anul </w:t>
            </w:r>
            <w:proofErr w:type="spellStart"/>
            <w:r w:rsidRPr="003D4F0B">
              <w:rPr>
                <w:rFonts w:eastAsia="Arial Unicode MS"/>
                <w:color w:val="000000" w:themeColor="text1"/>
                <w:sz w:val="20"/>
                <w:szCs w:val="20"/>
                <w:shd w:val="clear" w:color="auto" w:fill="FFFFFF"/>
                <w:lang w:val="en-US"/>
              </w:rPr>
              <w:t>următor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începând</w:t>
            </w:r>
            <w:proofErr w:type="spellEnd"/>
            <w:r w:rsidRPr="003D4F0B">
              <w:rPr>
                <w:rFonts w:eastAsia="Arial Unicode MS"/>
                <w:color w:val="000000" w:themeColor="text1"/>
                <w:sz w:val="20"/>
                <w:szCs w:val="20"/>
                <w:shd w:val="clear" w:color="auto" w:fill="FFFFFF"/>
                <w:lang w:val="en-US"/>
              </w:rPr>
              <w:t xml:space="preserve"> cu 2026, în conformitate cu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14 </w:t>
            </w:r>
            <w:proofErr w:type="spellStart"/>
            <w:r w:rsidRPr="003D4F0B">
              <w:rPr>
                <w:rFonts w:eastAsia="Arial Unicode MS"/>
                <w:color w:val="000000" w:themeColor="text1"/>
                <w:sz w:val="20"/>
                <w:szCs w:val="20"/>
                <w:shd w:val="clear" w:color="auto" w:fill="FFFFFF"/>
                <w:lang w:val="en-US"/>
              </w:rPr>
              <w:t>alineatul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(1).</w:t>
            </w:r>
          </w:p>
          <w:p w14:paraId="4B5BCF7B" w14:textId="00B04F34"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Începând</w:t>
            </w:r>
            <w:proofErr w:type="spellEnd"/>
            <w:r w:rsidRPr="003D4F0B">
              <w:rPr>
                <w:rFonts w:eastAsia="Arial Unicode MS"/>
                <w:color w:val="000000" w:themeColor="text1"/>
                <w:sz w:val="20"/>
                <w:szCs w:val="20"/>
                <w:shd w:val="clear" w:color="auto" w:fill="FFFFFF"/>
                <w:lang w:val="en-US"/>
              </w:rPr>
              <w:t xml:space="preserve"> cu 1</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ianuarie</w:t>
            </w:r>
            <w:proofErr w:type="spellEnd"/>
            <w:r w:rsidRPr="003D4F0B">
              <w:rPr>
                <w:rFonts w:eastAsia="Arial Unicode MS"/>
                <w:color w:val="000000" w:themeColor="text1"/>
                <w:sz w:val="20"/>
                <w:szCs w:val="20"/>
                <w:shd w:val="clear" w:color="auto" w:fill="FFFFFF"/>
                <w:lang w:val="en-US"/>
              </w:rPr>
              <w:t xml:space="preserve"> 2028,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asigură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până</w:t>
            </w:r>
            <w:proofErr w:type="spellEnd"/>
            <w:r w:rsidRPr="003D4F0B">
              <w:rPr>
                <w:rFonts w:eastAsia="Arial Unicode MS"/>
                <w:color w:val="000000" w:themeColor="text1"/>
                <w:sz w:val="20"/>
                <w:szCs w:val="20"/>
                <w:shd w:val="clear" w:color="auto" w:fill="FFFFFF"/>
                <w:lang w:val="en-US"/>
              </w:rPr>
              <w:t xml:space="preserve"> la data de 30 </w:t>
            </w:r>
            <w:proofErr w:type="spellStart"/>
            <w:r w:rsidRPr="003D4F0B">
              <w:rPr>
                <w:rFonts w:eastAsia="Arial Unicode MS"/>
                <w:color w:val="000000" w:themeColor="text1"/>
                <w:sz w:val="20"/>
                <w:szCs w:val="20"/>
                <w:shd w:val="clear" w:color="auto" w:fill="FFFFFF"/>
                <w:lang w:val="en-US"/>
              </w:rPr>
              <w:t>aprilie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fiecărui</w:t>
            </w:r>
            <w:proofErr w:type="spellEnd"/>
            <w:r w:rsidRPr="003D4F0B">
              <w:rPr>
                <w:rFonts w:eastAsia="Arial Unicode MS"/>
                <w:color w:val="000000" w:themeColor="text1"/>
                <w:sz w:val="20"/>
                <w:szCs w:val="20"/>
                <w:shd w:val="clear" w:color="auto" w:fill="FFFFFF"/>
                <w:lang w:val="en-US"/>
              </w:rPr>
              <w:t xml:space="preserve"> an, </w:t>
            </w:r>
            <w:proofErr w:type="spellStart"/>
            <w:r w:rsidRPr="003D4F0B">
              <w:rPr>
                <w:rFonts w:eastAsia="Arial Unicode MS"/>
                <w:color w:val="000000" w:themeColor="text1"/>
                <w:sz w:val="20"/>
                <w:szCs w:val="20"/>
                <w:shd w:val="clear" w:color="auto" w:fill="FFFFFF"/>
                <w:lang w:val="en-US"/>
              </w:rPr>
              <w:t>până</w:t>
            </w:r>
            <w:proofErr w:type="spellEnd"/>
            <w:r w:rsidRPr="003D4F0B">
              <w:rPr>
                <w:rFonts w:eastAsia="Arial Unicode MS"/>
                <w:color w:val="000000" w:themeColor="text1"/>
                <w:sz w:val="20"/>
                <w:szCs w:val="20"/>
                <w:shd w:val="clear" w:color="auto" w:fill="FFFFFF"/>
                <w:lang w:val="en-US"/>
              </w:rPr>
              <w:t xml:space="preserve"> în 2030,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raportează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cota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costurilor</w:t>
            </w:r>
            <w:proofErr w:type="spellEnd"/>
            <w:r w:rsidRPr="003D4F0B">
              <w:rPr>
                <w:rFonts w:eastAsia="Arial Unicode MS"/>
                <w:color w:val="000000" w:themeColor="text1"/>
                <w:sz w:val="20"/>
                <w:szCs w:val="20"/>
                <w:shd w:val="clear" w:color="auto" w:fill="FFFFFF"/>
                <w:lang w:val="en-US"/>
              </w:rPr>
              <w:t xml:space="preserve"> legate de </w:t>
            </w:r>
            <w:proofErr w:type="spellStart"/>
            <w:r w:rsidRPr="003D4F0B">
              <w:rPr>
                <w:rFonts w:eastAsia="Arial Unicode MS"/>
                <w:color w:val="000000" w:themeColor="text1"/>
                <w:sz w:val="20"/>
                <w:szCs w:val="20"/>
                <w:shd w:val="clear" w:color="auto" w:fill="FFFFFF"/>
                <w:lang w:val="en-US"/>
              </w:rPr>
              <w:t>restituirea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pe care le-a </w:t>
            </w:r>
            <w:proofErr w:type="spellStart"/>
            <w:r w:rsidRPr="003D4F0B">
              <w:rPr>
                <w:rFonts w:eastAsia="Arial Unicode MS"/>
                <w:color w:val="000000" w:themeColor="text1"/>
                <w:sz w:val="20"/>
                <w:szCs w:val="20"/>
                <w:shd w:val="clear" w:color="auto" w:fill="FFFFFF"/>
                <w:lang w:val="en-US"/>
              </w:rPr>
              <w:t>transferat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consumatorilor</w:t>
            </w:r>
            <w:proofErr w:type="spellEnd"/>
            <w:r w:rsidRPr="003D4F0B">
              <w:rPr>
                <w:rFonts w:eastAsia="Arial Unicode MS"/>
                <w:color w:val="000000" w:themeColor="text1"/>
                <w:sz w:val="20"/>
                <w:szCs w:val="20"/>
                <w:shd w:val="clear" w:color="auto" w:fill="FFFFFF"/>
                <w:lang w:val="en-US"/>
              </w:rPr>
              <w:t xml:space="preserve"> în anul precedent.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privind</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cerințele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modelele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rapoarte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respective se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procedura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examinare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22a </w:t>
            </w:r>
            <w:proofErr w:type="spellStart"/>
            <w:r w:rsidRPr="003D4F0B">
              <w:rPr>
                <w:rFonts w:eastAsia="Arial Unicode MS"/>
                <w:color w:val="000000" w:themeColor="text1"/>
                <w:sz w:val="20"/>
                <w:szCs w:val="20"/>
                <w:shd w:val="clear" w:color="auto" w:fill="FFFFFF"/>
                <w:lang w:val="en-US"/>
              </w:rPr>
              <w:t>alineatul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evaluează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rapoartele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prezentate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raportează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anual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constatările</w:t>
            </w:r>
            <w:proofErr w:type="spellEnd"/>
            <w:r w:rsidRPr="003D4F0B">
              <w:rPr>
                <w:rFonts w:eastAsia="Arial Unicode MS"/>
                <w:color w:val="000000" w:themeColor="text1"/>
                <w:sz w:val="20"/>
                <w:szCs w:val="20"/>
                <w:shd w:val="clear" w:color="auto" w:fill="FFFFFF"/>
                <w:lang w:val="en-US"/>
              </w:rPr>
              <w:t xml:space="preserve"> sale </w:t>
            </w:r>
            <w:proofErr w:type="spellStart"/>
            <w:r w:rsidRPr="003D4F0B">
              <w:rPr>
                <w:rFonts w:eastAsia="Arial Unicode MS"/>
                <w:color w:val="000000" w:themeColor="text1"/>
                <w:sz w:val="20"/>
                <w:szCs w:val="20"/>
                <w:shd w:val="clear" w:color="auto" w:fill="FFFFFF"/>
                <w:lang w:val="en-US"/>
              </w:rPr>
              <w:t>Parlamentului</w:t>
            </w:r>
            <w:proofErr w:type="spellEnd"/>
            <w:r w:rsidRPr="003D4F0B">
              <w:rPr>
                <w:rFonts w:eastAsia="Arial Unicode MS"/>
                <w:color w:val="000000" w:themeColor="text1"/>
                <w:sz w:val="20"/>
                <w:szCs w:val="20"/>
                <w:shd w:val="clear" w:color="auto" w:fill="FFFFFF"/>
                <w:lang w:val="en-US"/>
              </w:rPr>
              <w:t xml:space="preserve"> European și </w:t>
            </w:r>
            <w:proofErr w:type="spellStart"/>
            <w:r w:rsidRPr="003D4F0B">
              <w:rPr>
                <w:rFonts w:eastAsia="Arial Unicode MS"/>
                <w:color w:val="000000" w:themeColor="text1"/>
                <w:sz w:val="20"/>
                <w:szCs w:val="20"/>
                <w:shd w:val="clear" w:color="auto" w:fill="FFFFFF"/>
                <w:lang w:val="en-US"/>
              </w:rPr>
              <w:t>Consiliului</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constată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existența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lastRenderedPageBreak/>
              <w:t>practici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incorecte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ceea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privește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transferul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costurilor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dioxid</w:t>
            </w:r>
            <w:proofErr w:type="spellEnd"/>
            <w:r w:rsidRPr="003D4F0B">
              <w:rPr>
                <w:rFonts w:eastAsia="Arial Unicode MS"/>
                <w:color w:val="000000" w:themeColor="text1"/>
                <w:sz w:val="20"/>
                <w:szCs w:val="20"/>
                <w:shd w:val="clear" w:color="auto" w:fill="FFFFFF"/>
                <w:lang w:val="en-US"/>
              </w:rPr>
              <w:t xml:space="preserve"> de carbon, </w:t>
            </w:r>
            <w:proofErr w:type="spellStart"/>
            <w:r w:rsidRPr="003D4F0B">
              <w:rPr>
                <w:rFonts w:eastAsia="Arial Unicode MS"/>
                <w:color w:val="000000" w:themeColor="text1"/>
                <w:sz w:val="20"/>
                <w:szCs w:val="20"/>
                <w:shd w:val="clear" w:color="auto" w:fill="FFFFFF"/>
                <w:lang w:val="en-US"/>
              </w:rPr>
              <w:t>raportul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poate</w:t>
            </w:r>
            <w:proofErr w:type="spellEnd"/>
            <w:r w:rsidRPr="003D4F0B">
              <w:rPr>
                <w:rFonts w:eastAsia="Arial Unicode MS"/>
                <w:color w:val="000000" w:themeColor="text1"/>
                <w:sz w:val="20"/>
                <w:szCs w:val="20"/>
                <w:shd w:val="clear" w:color="auto" w:fill="FFFFFF"/>
                <w:lang w:val="en-US"/>
              </w:rPr>
              <w:t xml:space="preserve"> fi </w:t>
            </w:r>
            <w:proofErr w:type="spellStart"/>
            <w:r w:rsidRPr="003D4F0B">
              <w:rPr>
                <w:rFonts w:eastAsia="Arial Unicode MS"/>
                <w:color w:val="000000" w:themeColor="text1"/>
                <w:sz w:val="20"/>
                <w:szCs w:val="20"/>
                <w:shd w:val="clear" w:color="auto" w:fill="FFFFFF"/>
                <w:lang w:val="en-US"/>
              </w:rPr>
              <w:t>însoțit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dacă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propuneri</w:t>
            </w:r>
            <w:proofErr w:type="spellEnd"/>
            <w:r w:rsidRPr="003D4F0B">
              <w:rPr>
                <w:rFonts w:eastAsia="Arial Unicode MS"/>
                <w:color w:val="000000" w:themeColor="text1"/>
                <w:sz w:val="20"/>
                <w:szCs w:val="20"/>
                <w:shd w:val="clear" w:color="auto" w:fill="FFFFFF"/>
                <w:lang w:val="en-US"/>
              </w:rPr>
              <w:t xml:space="preserve"> legislative </w:t>
            </w:r>
            <w:proofErr w:type="spellStart"/>
            <w:r w:rsidRPr="003D4F0B">
              <w:rPr>
                <w:rFonts w:eastAsia="Arial Unicode MS"/>
                <w:color w:val="000000" w:themeColor="text1"/>
                <w:sz w:val="20"/>
                <w:szCs w:val="20"/>
                <w:shd w:val="clear" w:color="auto" w:fill="FFFFFF"/>
                <w:lang w:val="en-US"/>
              </w:rPr>
              <w:t>menite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combată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astfel</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practici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necorespunzătoare</w:t>
            </w:r>
            <w:proofErr w:type="spellEnd"/>
            <w:r w:rsidRPr="003D4F0B">
              <w:rPr>
                <w:rFonts w:eastAsia="Arial Unicode MS"/>
                <w:color w:val="000000" w:themeColor="text1"/>
                <w:sz w:val="20"/>
                <w:szCs w:val="20"/>
                <w:shd w:val="clear" w:color="auto" w:fill="FFFFFF"/>
                <w:lang w:val="en-US"/>
              </w:rPr>
              <w:t>.</w:t>
            </w:r>
          </w:p>
          <w:p w14:paraId="1C33826B" w14:textId="4CCE35D7"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asigură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reglementată</w:t>
            </w:r>
            <w:proofErr w:type="spellEnd"/>
            <w:r w:rsidRPr="003D4F0B">
              <w:rPr>
                <w:rFonts w:eastAsia="Arial Unicode MS"/>
                <w:color w:val="000000" w:themeColor="text1"/>
                <w:sz w:val="20"/>
                <w:szCs w:val="20"/>
                <w:shd w:val="clear" w:color="auto" w:fill="FFFFFF"/>
                <w:lang w:val="en-US"/>
              </w:rPr>
              <w:t xml:space="preserve"> care, la 1</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ianuarie</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2025, </w:t>
            </w:r>
            <w:proofErr w:type="spellStart"/>
            <w:r w:rsidRPr="003D4F0B">
              <w:rPr>
                <w:rFonts w:eastAsia="Arial Unicode MS"/>
                <w:color w:val="000000" w:themeColor="text1"/>
                <w:sz w:val="20"/>
                <w:szCs w:val="20"/>
                <w:shd w:val="clear" w:color="auto" w:fill="FFFFFF"/>
                <w:lang w:val="en-US"/>
              </w:rPr>
              <w:t>deține</w:t>
            </w:r>
            <w:proofErr w:type="spellEnd"/>
            <w:r w:rsidRPr="003D4F0B">
              <w:rPr>
                <w:rFonts w:eastAsia="Arial Unicode MS"/>
                <w:color w:val="000000" w:themeColor="text1"/>
                <w:sz w:val="20"/>
                <w:szCs w:val="20"/>
                <w:shd w:val="clear" w:color="auto" w:fill="FFFFFF"/>
                <w:lang w:val="en-US"/>
              </w:rPr>
              <w:t xml:space="preserve"> o </w:t>
            </w:r>
            <w:proofErr w:type="spellStart"/>
            <w:r w:rsidRPr="003D4F0B">
              <w:rPr>
                <w:rFonts w:eastAsia="Arial Unicode MS"/>
                <w:color w:val="000000" w:themeColor="text1"/>
                <w:sz w:val="20"/>
                <w:szCs w:val="20"/>
                <w:shd w:val="clear" w:color="auto" w:fill="FFFFFF"/>
                <w:lang w:val="en-US"/>
              </w:rPr>
              <w:t>autorizație</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30b </w:t>
            </w:r>
            <w:proofErr w:type="spellStart"/>
            <w:r w:rsidRPr="003D4F0B">
              <w:rPr>
                <w:rFonts w:eastAsia="Arial Unicode MS"/>
                <w:color w:val="000000" w:themeColor="text1"/>
                <w:sz w:val="20"/>
                <w:szCs w:val="20"/>
                <w:shd w:val="clear" w:color="auto" w:fill="FFFFFF"/>
                <w:lang w:val="en-US"/>
              </w:rPr>
              <w:t>raportează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până</w:t>
            </w:r>
            <w:proofErr w:type="spellEnd"/>
            <w:r w:rsidRPr="003D4F0B">
              <w:rPr>
                <w:rFonts w:eastAsia="Arial Unicode MS"/>
                <w:color w:val="000000" w:themeColor="text1"/>
                <w:sz w:val="20"/>
                <w:szCs w:val="20"/>
                <w:shd w:val="clear" w:color="auto" w:fill="FFFFFF"/>
                <w:lang w:val="en-US"/>
              </w:rPr>
              <w:t xml:space="preserve"> la 30</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aprilie</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2025,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sale </w:t>
            </w:r>
            <w:proofErr w:type="spellStart"/>
            <w:r w:rsidRPr="003D4F0B">
              <w:rPr>
                <w:rFonts w:eastAsia="Arial Unicode MS"/>
                <w:color w:val="000000" w:themeColor="text1"/>
                <w:sz w:val="20"/>
                <w:szCs w:val="20"/>
                <w:shd w:val="clear" w:color="auto" w:fill="FFFFFF"/>
                <w:lang w:val="en-US"/>
              </w:rPr>
              <w:t>istorice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anul 2024.</w:t>
            </w:r>
          </w:p>
          <w:p w14:paraId="7F1F0973" w14:textId="77777777"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asigură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sunt în </w:t>
            </w:r>
            <w:proofErr w:type="spellStart"/>
            <w:r w:rsidRPr="003D4F0B">
              <w:rPr>
                <w:rFonts w:eastAsia="Arial Unicode MS"/>
                <w:color w:val="000000" w:themeColor="text1"/>
                <w:sz w:val="20"/>
                <w:szCs w:val="20"/>
                <w:shd w:val="clear" w:color="auto" w:fill="FFFFFF"/>
                <w:lang w:val="en-US"/>
              </w:rPr>
              <w:t>măsură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identifice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documenteze</w:t>
            </w:r>
            <w:proofErr w:type="spellEnd"/>
            <w:r w:rsidRPr="003D4F0B">
              <w:rPr>
                <w:rFonts w:eastAsia="Arial Unicode MS"/>
                <w:color w:val="000000" w:themeColor="text1"/>
                <w:sz w:val="20"/>
                <w:szCs w:val="20"/>
                <w:shd w:val="clear" w:color="auto" w:fill="FFFFFF"/>
                <w:lang w:val="en-US"/>
              </w:rPr>
              <w:t xml:space="preserve"> în mod </w:t>
            </w:r>
            <w:proofErr w:type="spellStart"/>
            <w:r w:rsidRPr="003D4F0B">
              <w:rPr>
                <w:rFonts w:eastAsia="Arial Unicode MS"/>
                <w:color w:val="000000" w:themeColor="text1"/>
                <w:sz w:val="20"/>
                <w:szCs w:val="20"/>
                <w:shd w:val="clear" w:color="auto" w:fill="FFFFFF"/>
                <w:lang w:val="en-US"/>
              </w:rPr>
              <w:t>fiabil</w:t>
            </w:r>
            <w:proofErr w:type="spellEnd"/>
            <w:r w:rsidRPr="003D4F0B">
              <w:rPr>
                <w:rFonts w:eastAsia="Arial Unicode MS"/>
                <w:color w:val="000000" w:themeColor="text1"/>
                <w:sz w:val="20"/>
                <w:szCs w:val="20"/>
                <w:shd w:val="clear" w:color="auto" w:fill="FFFFFF"/>
                <w:lang w:val="en-US"/>
              </w:rPr>
              <w:t xml:space="preserve"> și precis,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fiecare</w:t>
            </w:r>
            <w:proofErr w:type="spellEnd"/>
            <w:r w:rsidRPr="003D4F0B">
              <w:rPr>
                <w:rFonts w:eastAsia="Arial Unicode MS"/>
                <w:color w:val="000000" w:themeColor="text1"/>
                <w:sz w:val="20"/>
                <w:szCs w:val="20"/>
                <w:shd w:val="clear" w:color="auto" w:fill="FFFFFF"/>
                <w:lang w:val="en-US"/>
              </w:rPr>
              <w:t xml:space="preserve"> tip de </w:t>
            </w:r>
            <w:proofErr w:type="spellStart"/>
            <w:r w:rsidRPr="003D4F0B">
              <w:rPr>
                <w:rFonts w:eastAsia="Arial Unicode MS"/>
                <w:color w:val="000000" w:themeColor="text1"/>
                <w:sz w:val="20"/>
                <w:szCs w:val="20"/>
                <w:shd w:val="clear" w:color="auto" w:fill="FFFFFF"/>
                <w:lang w:val="en-US"/>
              </w:rPr>
              <w:t>combustibil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exacte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combustibil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w:t>
            </w:r>
            <w:proofErr w:type="spellEnd"/>
            <w:r w:rsidRPr="003D4F0B">
              <w:rPr>
                <w:rFonts w:eastAsia="Arial Unicode MS"/>
                <w:color w:val="000000" w:themeColor="text1"/>
                <w:sz w:val="20"/>
                <w:szCs w:val="20"/>
                <w:shd w:val="clear" w:color="auto" w:fill="FFFFFF"/>
                <w:lang w:val="en-US"/>
              </w:rPr>
              <w:t xml:space="preserve"> care sunt </w:t>
            </w:r>
            <w:proofErr w:type="spellStart"/>
            <w:r w:rsidRPr="003D4F0B">
              <w:rPr>
                <w:rFonts w:eastAsia="Arial Unicode MS"/>
                <w:color w:val="000000" w:themeColor="text1"/>
                <w:sz w:val="20"/>
                <w:szCs w:val="20"/>
                <w:shd w:val="clear" w:color="auto" w:fill="FFFFFF"/>
                <w:lang w:val="en-US"/>
              </w:rPr>
              <w:t>utilizate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ardere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sectoarele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III, precum și </w:t>
            </w:r>
            <w:proofErr w:type="spellStart"/>
            <w:r w:rsidRPr="003D4F0B">
              <w:rPr>
                <w:rFonts w:eastAsia="Arial Unicode MS"/>
                <w:color w:val="000000" w:themeColor="text1"/>
                <w:sz w:val="20"/>
                <w:szCs w:val="20"/>
                <w:shd w:val="clear" w:color="auto" w:fill="FFFFFF"/>
                <w:lang w:val="en-US"/>
              </w:rPr>
              <w:t>destinația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finală</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combustibililor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eliberați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către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iau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măsurile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corespunzătoare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limita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riscul</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dublă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contabilizare</w:t>
            </w:r>
            <w:proofErr w:type="spellEnd"/>
            <w:r w:rsidRPr="003D4F0B">
              <w:rPr>
                <w:rFonts w:eastAsia="Arial Unicode MS"/>
                <w:color w:val="000000" w:themeColor="text1"/>
                <w:sz w:val="20"/>
                <w:szCs w:val="20"/>
                <w:shd w:val="clear" w:color="auto" w:fill="FFFFFF"/>
                <w:lang w:val="en-US"/>
              </w:rPr>
              <w:t xml:space="preserve"> </w:t>
            </w:r>
            <w:proofErr w:type="gramStart"/>
            <w:r w:rsidRPr="003D4F0B">
              <w:rPr>
                <w:rFonts w:eastAsia="Arial Unicode MS"/>
                <w:color w:val="000000" w:themeColor="text1"/>
                <w:sz w:val="20"/>
                <w:szCs w:val="20"/>
                <w:shd w:val="clear" w:color="auto" w:fill="FFFFFF"/>
                <w:lang w:val="en-US"/>
              </w:rPr>
              <w:t>a</w:t>
            </w:r>
            <w:proofErr w:type="gram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și a </w:t>
            </w:r>
            <w:proofErr w:type="spellStart"/>
            <w:r w:rsidRPr="003D4F0B">
              <w:rPr>
                <w:rFonts w:eastAsia="Arial Unicode MS"/>
                <w:color w:val="000000" w:themeColor="text1"/>
                <w:sz w:val="20"/>
                <w:szCs w:val="20"/>
                <w:shd w:val="clear" w:color="auto" w:fill="FFFFFF"/>
                <w:lang w:val="en-US"/>
              </w:rPr>
              <w:t>celor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capitolelor</w:t>
            </w:r>
            <w:proofErr w:type="spellEnd"/>
            <w:r w:rsidRPr="003D4F0B">
              <w:rPr>
                <w:rFonts w:eastAsia="Arial Unicode MS"/>
                <w:color w:val="000000" w:themeColor="text1"/>
                <w:sz w:val="20"/>
                <w:szCs w:val="20"/>
                <w:shd w:val="clear" w:color="auto" w:fill="FFFFFF"/>
                <w:lang w:val="en-US"/>
              </w:rPr>
              <w:t xml:space="preserve"> II și III, precum și </w:t>
            </w:r>
            <w:proofErr w:type="spellStart"/>
            <w:r w:rsidRPr="003D4F0B">
              <w:rPr>
                <w:rFonts w:eastAsia="Arial Unicode MS"/>
                <w:color w:val="000000" w:themeColor="text1"/>
                <w:sz w:val="20"/>
                <w:szCs w:val="20"/>
                <w:shd w:val="clear" w:color="auto" w:fill="FFFFFF"/>
                <w:lang w:val="en-US"/>
              </w:rPr>
              <w:t>riscul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restituirii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care nu sunt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capitol.</w:t>
            </w:r>
          </w:p>
          <w:p w14:paraId="64BA8506" w14:textId="2E923315" w:rsidR="00124364" w:rsidRPr="003D4F0B" w:rsidRDefault="00000000" w:rsidP="003D4F0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privind</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normele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detaliate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evitarea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dublei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contabilizări</w:t>
            </w:r>
            <w:proofErr w:type="spellEnd"/>
            <w:r w:rsidRPr="003D4F0B">
              <w:rPr>
                <w:rFonts w:eastAsia="Arial Unicode MS"/>
                <w:color w:val="000000" w:themeColor="text1"/>
                <w:sz w:val="20"/>
                <w:szCs w:val="20"/>
                <w:shd w:val="clear" w:color="auto" w:fill="FFFFFF"/>
                <w:lang w:val="en-US"/>
              </w:rPr>
              <w:t xml:space="preserve"> și a </w:t>
            </w:r>
            <w:proofErr w:type="spellStart"/>
            <w:r w:rsidRPr="003D4F0B">
              <w:rPr>
                <w:rFonts w:eastAsia="Arial Unicode MS"/>
                <w:color w:val="000000" w:themeColor="text1"/>
                <w:sz w:val="20"/>
                <w:szCs w:val="20"/>
                <w:shd w:val="clear" w:color="auto" w:fill="FFFFFF"/>
                <w:lang w:val="en-US"/>
              </w:rPr>
              <w:t>restituirii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care nu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precum și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acordarea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compensații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financiare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consumatorilor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finali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combustibili</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cazurile</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această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dublă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contabilizare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restituire</w:t>
            </w:r>
            <w:proofErr w:type="spellEnd"/>
            <w:r w:rsidRPr="003D4F0B">
              <w:rPr>
                <w:rFonts w:eastAsia="Arial Unicode MS"/>
                <w:color w:val="000000" w:themeColor="text1"/>
                <w:sz w:val="20"/>
                <w:szCs w:val="20"/>
                <w:shd w:val="clear" w:color="auto" w:fill="FFFFFF"/>
                <w:lang w:val="en-US"/>
              </w:rPr>
              <w:t xml:space="preserve"> nu </w:t>
            </w:r>
            <w:proofErr w:type="spellStart"/>
            <w:r w:rsidRPr="003D4F0B">
              <w:rPr>
                <w:rFonts w:eastAsia="Arial Unicode MS"/>
                <w:color w:val="000000" w:themeColor="text1"/>
                <w:sz w:val="20"/>
                <w:szCs w:val="20"/>
                <w:shd w:val="clear" w:color="auto" w:fill="FFFFFF"/>
                <w:lang w:val="en-US"/>
              </w:rPr>
              <w:t>poate</w:t>
            </w:r>
            <w:proofErr w:type="spellEnd"/>
            <w:r w:rsidRPr="003D4F0B">
              <w:rPr>
                <w:rFonts w:eastAsia="Arial Unicode MS"/>
                <w:color w:val="000000" w:themeColor="text1"/>
                <w:sz w:val="20"/>
                <w:szCs w:val="20"/>
                <w:shd w:val="clear" w:color="auto" w:fill="FFFFFF"/>
                <w:lang w:val="en-US"/>
              </w:rPr>
              <w:t xml:space="preserve"> fi </w:t>
            </w:r>
            <w:proofErr w:type="spellStart"/>
            <w:r w:rsidRPr="003D4F0B">
              <w:rPr>
                <w:rFonts w:eastAsia="Arial Unicode MS"/>
                <w:color w:val="000000" w:themeColor="text1"/>
                <w:sz w:val="20"/>
                <w:szCs w:val="20"/>
                <w:shd w:val="clear" w:color="auto" w:fill="FFFFFF"/>
                <w:lang w:val="en-US"/>
              </w:rPr>
              <w:t>evitată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respective se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procedura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examinare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22a </w:t>
            </w:r>
            <w:proofErr w:type="spellStart"/>
            <w:r w:rsidRPr="003D4F0B">
              <w:rPr>
                <w:rFonts w:eastAsia="Arial Unicode MS"/>
                <w:color w:val="000000" w:themeColor="text1"/>
                <w:sz w:val="20"/>
                <w:szCs w:val="20"/>
                <w:shd w:val="clear" w:color="auto" w:fill="FFFFFF"/>
                <w:lang w:val="en-US"/>
              </w:rPr>
              <w:t>alineatul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 </w:t>
            </w:r>
            <w:proofErr w:type="spellStart"/>
            <w:r w:rsidRPr="003D4F0B">
              <w:rPr>
                <w:rFonts w:eastAsia="Arial Unicode MS"/>
                <w:color w:val="000000" w:themeColor="text1"/>
                <w:sz w:val="20"/>
                <w:szCs w:val="20"/>
                <w:shd w:val="clear" w:color="auto" w:fill="FFFFFF"/>
                <w:lang w:val="en-US"/>
              </w:rPr>
              <w:t>Calculul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compensației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financiare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acordate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consumatorilor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finali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combustibili</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bazează</w:t>
            </w:r>
            <w:proofErr w:type="spellEnd"/>
            <w:r w:rsidRPr="003D4F0B">
              <w:rPr>
                <w:rFonts w:eastAsia="Arial Unicode MS"/>
                <w:color w:val="000000" w:themeColor="text1"/>
                <w:sz w:val="20"/>
                <w:szCs w:val="20"/>
                <w:shd w:val="clear" w:color="auto" w:fill="FFFFFF"/>
                <w:lang w:val="en-US"/>
              </w:rPr>
              <w:t xml:space="preserve"> pe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cadrul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licitațiilor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desfășurate</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delegate </w:t>
            </w:r>
            <w:proofErr w:type="spellStart"/>
            <w:r w:rsidRPr="003D4F0B">
              <w:rPr>
                <w:rFonts w:eastAsia="Arial Unicode MS"/>
                <w:color w:val="000000" w:themeColor="text1"/>
                <w:sz w:val="20"/>
                <w:szCs w:val="20"/>
                <w:shd w:val="clear" w:color="auto" w:fill="FFFFFF"/>
                <w:lang w:val="en-US"/>
              </w:rPr>
              <w:t>adoptate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articolului</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10 </w:t>
            </w:r>
            <w:proofErr w:type="spellStart"/>
            <w:r w:rsidRPr="003D4F0B">
              <w:rPr>
                <w:rFonts w:eastAsia="Arial Unicode MS"/>
                <w:color w:val="000000" w:themeColor="text1"/>
                <w:sz w:val="20"/>
                <w:szCs w:val="20"/>
                <w:shd w:val="clear" w:color="auto" w:fill="FFFFFF"/>
                <w:lang w:val="en-US"/>
              </w:rPr>
              <w:t>alineatul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(4) în anul de </w:t>
            </w:r>
            <w:proofErr w:type="spellStart"/>
            <w:r w:rsidRPr="003D4F0B">
              <w:rPr>
                <w:rFonts w:eastAsia="Arial Unicode MS"/>
                <w:color w:val="000000" w:themeColor="text1"/>
                <w:sz w:val="20"/>
                <w:szCs w:val="20"/>
                <w:shd w:val="clear" w:color="auto" w:fill="FFFFFF"/>
                <w:lang w:val="en-US"/>
              </w:rPr>
              <w:t>raportare</w:t>
            </w:r>
            <w:proofErr w:type="spellEnd"/>
            <w:r w:rsidRPr="003D4F0B">
              <w:rPr>
                <w:rFonts w:eastAsia="Arial Unicode MS"/>
                <w:color w:val="000000" w:themeColor="text1"/>
                <w:sz w:val="20"/>
                <w:szCs w:val="20"/>
                <w:shd w:val="clear" w:color="auto" w:fill="FFFFFF"/>
                <w:lang w:val="en-US"/>
              </w:rPr>
              <w:t xml:space="preserve"> relevant.</w:t>
            </w:r>
          </w:p>
          <w:p w14:paraId="628E27F2" w14:textId="4654818E"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Principiile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monitorizare</w:t>
            </w:r>
            <w:proofErr w:type="spellEnd"/>
            <w:r w:rsidRPr="003D4F0B">
              <w:rPr>
                <w:rFonts w:eastAsia="Arial Unicode MS"/>
                <w:color w:val="000000" w:themeColor="text1"/>
                <w:sz w:val="20"/>
                <w:szCs w:val="20"/>
                <w:shd w:val="clear" w:color="auto" w:fill="FFFFFF"/>
                <w:lang w:val="en-US"/>
              </w:rPr>
              <w:t xml:space="preserve"> și de </w:t>
            </w:r>
            <w:proofErr w:type="spellStart"/>
            <w:r w:rsidRPr="003D4F0B">
              <w:rPr>
                <w:rFonts w:eastAsia="Arial Unicode MS"/>
                <w:color w:val="000000" w:themeColor="text1"/>
                <w:sz w:val="20"/>
                <w:szCs w:val="20"/>
                <w:shd w:val="clear" w:color="auto" w:fill="FFFFFF"/>
                <w:lang w:val="en-US"/>
              </w:rPr>
              <w:t>raportare</w:t>
            </w:r>
            <w:proofErr w:type="spellEnd"/>
            <w:r w:rsidRPr="003D4F0B">
              <w:rPr>
                <w:rFonts w:eastAsia="Arial Unicode MS"/>
                <w:color w:val="000000" w:themeColor="text1"/>
                <w:sz w:val="20"/>
                <w:szCs w:val="20"/>
                <w:shd w:val="clear" w:color="auto" w:fill="FFFFFF"/>
                <w:lang w:val="en-US"/>
              </w:rPr>
              <w:t xml:space="preserve"> </w:t>
            </w:r>
            <w:proofErr w:type="gramStart"/>
            <w:r w:rsidRPr="003D4F0B">
              <w:rPr>
                <w:rFonts w:eastAsia="Arial Unicode MS"/>
                <w:color w:val="000000" w:themeColor="text1"/>
                <w:sz w:val="20"/>
                <w:szCs w:val="20"/>
                <w:shd w:val="clear" w:color="auto" w:fill="FFFFFF"/>
                <w:lang w:val="en-US"/>
              </w:rPr>
              <w:t>a</w:t>
            </w:r>
            <w:proofErr w:type="gram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sunt </w:t>
            </w:r>
            <w:proofErr w:type="spellStart"/>
            <w:r w:rsidRPr="003D4F0B">
              <w:rPr>
                <w:rFonts w:eastAsia="Arial Unicode MS"/>
                <w:color w:val="000000" w:themeColor="text1"/>
                <w:sz w:val="20"/>
                <w:szCs w:val="20"/>
                <w:shd w:val="clear" w:color="auto" w:fill="FFFFFF"/>
                <w:lang w:val="en-US"/>
              </w:rPr>
              <w:t>prevăzute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IV </w:t>
            </w:r>
            <w:proofErr w:type="spellStart"/>
            <w:r w:rsidRPr="003D4F0B">
              <w:rPr>
                <w:rFonts w:eastAsia="Arial Unicode MS"/>
                <w:color w:val="000000" w:themeColor="text1"/>
                <w:sz w:val="20"/>
                <w:szCs w:val="20"/>
                <w:shd w:val="clear" w:color="auto" w:fill="FFFFFF"/>
                <w:lang w:val="en-US"/>
              </w:rPr>
              <w:t>partea</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C.</w:t>
            </w:r>
          </w:p>
          <w:p w14:paraId="029F56EB" w14:textId="4A5357B8" w:rsidR="00124364" w:rsidRPr="003D4F0B" w:rsidRDefault="00000000" w:rsidP="003D4F0B">
            <w:pPr>
              <w:pStyle w:val="ti-art"/>
              <w:numPr>
                <w:ilvl w:val="0"/>
                <w:numId w:val="14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Criteriile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verificare</w:t>
            </w:r>
            <w:proofErr w:type="spellEnd"/>
            <w:r w:rsidRPr="003D4F0B">
              <w:rPr>
                <w:rFonts w:eastAsia="Arial Unicode MS"/>
                <w:color w:val="000000" w:themeColor="text1"/>
                <w:sz w:val="20"/>
                <w:szCs w:val="20"/>
                <w:shd w:val="clear" w:color="auto" w:fill="FFFFFF"/>
                <w:lang w:val="en-US"/>
              </w:rPr>
              <w:t xml:space="preserve"> </w:t>
            </w:r>
            <w:proofErr w:type="gramStart"/>
            <w:r w:rsidRPr="003D4F0B">
              <w:rPr>
                <w:rFonts w:eastAsia="Arial Unicode MS"/>
                <w:color w:val="000000" w:themeColor="text1"/>
                <w:sz w:val="20"/>
                <w:szCs w:val="20"/>
                <w:shd w:val="clear" w:color="auto" w:fill="FFFFFF"/>
                <w:lang w:val="en-US"/>
              </w:rPr>
              <w:t>a</w:t>
            </w:r>
            <w:proofErr w:type="gram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sunt </w:t>
            </w:r>
            <w:proofErr w:type="spellStart"/>
            <w:r w:rsidRPr="003D4F0B">
              <w:rPr>
                <w:rFonts w:eastAsia="Arial Unicode MS"/>
                <w:color w:val="000000" w:themeColor="text1"/>
                <w:sz w:val="20"/>
                <w:szCs w:val="20"/>
                <w:shd w:val="clear" w:color="auto" w:fill="FFFFFF"/>
                <w:lang w:val="en-US"/>
              </w:rPr>
              <w:t>prevăzute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V </w:t>
            </w:r>
            <w:proofErr w:type="spellStart"/>
            <w:r w:rsidRPr="003D4F0B">
              <w:rPr>
                <w:rFonts w:eastAsia="Arial Unicode MS"/>
                <w:color w:val="000000" w:themeColor="text1"/>
                <w:sz w:val="20"/>
                <w:szCs w:val="20"/>
                <w:shd w:val="clear" w:color="auto" w:fill="FFFFFF"/>
                <w:lang w:val="en-US"/>
              </w:rPr>
              <w:t>partea</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C.</w:t>
            </w:r>
          </w:p>
          <w:p w14:paraId="35D62D58" w14:textId="1DA11158" w:rsidR="00124364" w:rsidRDefault="00000000" w:rsidP="003D4F0B">
            <w:pPr>
              <w:pStyle w:val="ti-art"/>
              <w:numPr>
                <w:ilvl w:val="0"/>
                <w:numId w:val="148"/>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pot </w:t>
            </w:r>
            <w:proofErr w:type="spellStart"/>
            <w:r w:rsidRPr="003D4F0B">
              <w:rPr>
                <w:rFonts w:eastAsia="Arial Unicode MS"/>
                <w:color w:val="000000" w:themeColor="text1"/>
                <w:sz w:val="20"/>
                <w:szCs w:val="20"/>
                <w:shd w:val="clear" w:color="auto" w:fill="FFFFFF"/>
                <w:lang w:val="en-US"/>
              </w:rPr>
              <w:t>permite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măsuri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simplificate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monitorizare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raportare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verificare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ale </w:t>
            </w:r>
            <w:proofErr w:type="spellStart"/>
            <w:r w:rsidRPr="003D4F0B">
              <w:rPr>
                <w:rFonts w:eastAsia="Arial Unicode MS"/>
                <w:color w:val="000000" w:themeColor="text1"/>
                <w:sz w:val="20"/>
                <w:szCs w:val="20"/>
                <w:shd w:val="clear" w:color="auto" w:fill="FFFFFF"/>
                <w:lang w:val="en-US"/>
              </w:rPr>
              <w:t>căror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anuale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lastRenderedPageBreak/>
              <w:t>corespunzătoare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cantităților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combustibili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eliberați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consum</w:t>
            </w:r>
            <w:proofErr w:type="spellEnd"/>
            <w:r w:rsidRPr="003D4F0B">
              <w:rPr>
                <w:rFonts w:eastAsia="Arial Unicode MS"/>
                <w:color w:val="000000" w:themeColor="text1"/>
                <w:sz w:val="20"/>
                <w:szCs w:val="20"/>
                <w:shd w:val="clear" w:color="auto" w:fill="FFFFFF"/>
                <w:lang w:val="en-US"/>
              </w:rPr>
              <w:t xml:space="preserve"> sunt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mici</w:t>
            </w:r>
            <w:proofErr w:type="spellEnd"/>
            <w:r w:rsidRPr="003D4F0B">
              <w:rPr>
                <w:rFonts w:eastAsia="Arial Unicode MS"/>
                <w:color w:val="000000" w:themeColor="text1"/>
                <w:sz w:val="20"/>
                <w:szCs w:val="20"/>
                <w:shd w:val="clear" w:color="auto" w:fill="FFFFFF"/>
                <w:lang w:val="en-US"/>
              </w:rPr>
              <w:t xml:space="preserve"> de 1</w:t>
            </w:r>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000 de tone de CO</w:t>
            </w:r>
            <w:r w:rsidRPr="003D4F0B">
              <w:rPr>
                <w:rStyle w:val="subscript"/>
                <w:rFonts w:eastAsia="Arial Unicode MS"/>
                <w:color w:val="000000" w:themeColor="text1"/>
                <w:sz w:val="20"/>
                <w:szCs w:val="20"/>
                <w:vertAlign w:val="subscript"/>
                <w:lang w:val="en-US"/>
              </w:rPr>
              <w:t>2</w:t>
            </w:r>
            <w:r w:rsidR="003D4F0B" w:rsidRPr="003D4F0B">
              <w:rPr>
                <w:rStyle w:val="apple-converted-space"/>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echivalent</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14 </w:t>
            </w:r>
            <w:proofErr w:type="spellStart"/>
            <w:proofErr w:type="gram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w:t>
            </w:r>
            <w:proofErr w:type="gramEnd"/>
            <w:r w:rsidRPr="003D4F0B">
              <w:rPr>
                <w:rFonts w:eastAsia="Arial Unicode MS"/>
                <w:color w:val="000000" w:themeColor="text1"/>
                <w:sz w:val="20"/>
                <w:szCs w:val="20"/>
                <w:shd w:val="clear" w:color="auto" w:fill="FFFFFF"/>
                <w:lang w:val="en-US"/>
              </w:rPr>
              <w:t>1).</w:t>
            </w:r>
          </w:p>
        </w:tc>
        <w:tc>
          <w:tcPr>
            <w:tcW w:w="4394" w:type="dxa"/>
            <w:shd w:val="clear" w:color="auto" w:fill="auto"/>
          </w:tcPr>
          <w:p w14:paraId="3A856B15" w14:textId="77777777" w:rsidR="003D4F0B" w:rsidRPr="0066519A" w:rsidRDefault="003D4F0B" w:rsidP="003D4F0B">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lastRenderedPageBreak/>
              <w:t>Articolul 52.</w:t>
            </w:r>
            <w:r w:rsidRPr="0066519A">
              <w:rPr>
                <w:rFonts w:ascii="Times New Roman" w:hAnsi="Times New Roman"/>
                <w:bCs/>
                <w:sz w:val="20"/>
                <w:szCs w:val="20"/>
                <w:lang w:val="ro-MD"/>
              </w:rPr>
              <w:t>Monitorizarea, raportarea și verificarea emisiilor de GES de la instalațiile staționare</w:t>
            </w:r>
          </w:p>
          <w:p w14:paraId="41DDB44D" w14:textId="7CFED128" w:rsidR="003D4F0B" w:rsidRPr="003D4F0B" w:rsidRDefault="003D4F0B" w:rsidP="003D4F0B">
            <w:pPr>
              <w:spacing w:after="120"/>
              <w:jc w:val="both"/>
              <w:rPr>
                <w:rFonts w:ascii="Times New Roman" w:hAnsi="Times New Roman"/>
                <w:color w:val="000000"/>
                <w:sz w:val="20"/>
                <w:szCs w:val="20"/>
                <w:shd w:val="clear" w:color="auto" w:fill="FFFFFF"/>
                <w:lang w:val="ro-MD"/>
              </w:rPr>
            </w:pPr>
            <w:r>
              <w:rPr>
                <w:rFonts w:ascii="Times New Roman" w:hAnsi="Times New Roman"/>
                <w:sz w:val="20"/>
                <w:szCs w:val="20"/>
                <w:lang w:val="ro-MD"/>
              </w:rPr>
              <w:t>(1)</w:t>
            </w:r>
            <w:r w:rsidRPr="0066519A">
              <w:rPr>
                <w:rFonts w:ascii="Times New Roman" w:hAnsi="Times New Roman"/>
                <w:sz w:val="20"/>
                <w:szCs w:val="20"/>
                <w:lang w:val="ro-MD"/>
              </w:rPr>
              <w:t xml:space="preserve">Operatorul instalației staționare, </w:t>
            </w:r>
            <w:r w:rsidRPr="0066519A">
              <w:rPr>
                <w:rFonts w:ascii="Times New Roman" w:hAnsi="Times New Roman"/>
                <w:sz w:val="20"/>
                <w:szCs w:val="20"/>
                <w:shd w:val="clear" w:color="auto" w:fill="FFFFFF"/>
                <w:lang w:val="ro-MD"/>
              </w:rPr>
              <w:t xml:space="preserve">în care se desfășoară un anumit tip de activitate prevăzută în Anexa nr.1 la prezenta lege și </w:t>
            </w:r>
            <w:r w:rsidRPr="0066519A">
              <w:rPr>
                <w:rFonts w:ascii="Times New Roman" w:hAnsi="Times New Roman"/>
                <w:sz w:val="20"/>
                <w:szCs w:val="20"/>
                <w:lang w:val="ro-MD"/>
              </w:rPr>
              <w:t xml:space="preserve">deține </w:t>
            </w:r>
            <w:r w:rsidRPr="0066519A">
              <w:rPr>
                <w:rFonts w:ascii="Times New Roman" w:hAnsi="Times New Roman"/>
                <w:color w:val="000000"/>
                <w:sz w:val="20"/>
                <w:szCs w:val="20"/>
                <w:shd w:val="clear" w:color="auto" w:fill="FFFFFF"/>
                <w:lang w:val="ro-MD"/>
              </w:rPr>
              <w:t>autorizația integrată de mediu pentru desfășurarea</w:t>
            </w:r>
            <w:r w:rsidRPr="0066519A">
              <w:rPr>
                <w:rFonts w:ascii="Times New Roman" w:hAnsi="Times New Roman"/>
                <w:bCs/>
                <w:sz w:val="20"/>
                <w:szCs w:val="20"/>
                <w:lang w:val="ro-MD"/>
              </w:rPr>
              <w:t xml:space="preserve">  activității, </w:t>
            </w:r>
            <w:r w:rsidRPr="0066519A">
              <w:rPr>
                <w:rFonts w:ascii="Times New Roman" w:hAnsi="Times New Roman"/>
                <w:sz w:val="20"/>
                <w:szCs w:val="20"/>
                <w:lang w:val="ro-MD"/>
              </w:rPr>
              <w:t xml:space="preserve">asigură monitorizarea și raportarea emisiilor de GES </w:t>
            </w:r>
            <w:r w:rsidRPr="0066519A">
              <w:rPr>
                <w:rFonts w:ascii="Times New Roman" w:hAnsi="Times New Roman"/>
                <w:sz w:val="20"/>
                <w:szCs w:val="20"/>
                <w:shd w:val="clear" w:color="auto" w:fill="FFFFFF"/>
                <w:lang w:val="ro-MD"/>
              </w:rPr>
              <w:t xml:space="preserve">pe baza PM, care este partea integrantă a </w:t>
            </w:r>
            <w:r w:rsidRPr="0066519A">
              <w:rPr>
                <w:rFonts w:ascii="Times New Roman" w:hAnsi="Times New Roman"/>
                <w:color w:val="000000"/>
                <w:sz w:val="20"/>
                <w:szCs w:val="20"/>
                <w:shd w:val="clear" w:color="auto" w:fill="FFFFFF"/>
                <w:lang w:val="ro-MD"/>
              </w:rPr>
              <w:t>autorizației integrate de mediu emisă de către Agenția de Mediu</w:t>
            </w:r>
            <w:r>
              <w:rPr>
                <w:rFonts w:ascii="Times New Roman" w:hAnsi="Times New Roman"/>
                <w:color w:val="000000"/>
                <w:sz w:val="20"/>
                <w:szCs w:val="20"/>
                <w:shd w:val="clear" w:color="auto" w:fill="FFFFFF"/>
                <w:lang w:val="ro-MD"/>
              </w:rPr>
              <w:t>.</w:t>
            </w:r>
          </w:p>
          <w:p w14:paraId="715AD30C" w14:textId="77777777" w:rsidR="003D4F0B" w:rsidRDefault="003D4F0B" w:rsidP="003D4F0B">
            <w:pPr>
              <w:suppressAutoHyphens w:val="0"/>
              <w:autoSpaceDN/>
              <w:spacing w:after="0" w:line="240" w:lineRule="auto"/>
              <w:textAlignment w:val="auto"/>
              <w:rPr>
                <w:rFonts w:ascii="Times New Roman" w:hAnsi="Times New Roman"/>
                <w:b/>
                <w:sz w:val="20"/>
                <w:szCs w:val="20"/>
                <w:lang w:val="ro-MD"/>
              </w:rPr>
            </w:pPr>
          </w:p>
          <w:p w14:paraId="445F74D6" w14:textId="77777777" w:rsidR="003D4F0B" w:rsidRPr="00C46326" w:rsidRDefault="003D4F0B" w:rsidP="003D4F0B">
            <w:pPr>
              <w:suppressAutoHyphens w:val="0"/>
              <w:autoSpaceDN/>
              <w:spacing w:after="0" w:line="240" w:lineRule="auto"/>
              <w:textAlignment w:val="auto"/>
              <w:rPr>
                <w:rFonts w:ascii="Times New Roman" w:hAnsi="Times New Roman"/>
                <w:bCs/>
                <w:sz w:val="20"/>
                <w:szCs w:val="20"/>
                <w:lang w:val="ro-MD"/>
              </w:rPr>
            </w:pPr>
            <w:r w:rsidRPr="0066519A">
              <w:rPr>
                <w:rFonts w:ascii="Times New Roman" w:hAnsi="Times New Roman"/>
                <w:b/>
                <w:sz w:val="20"/>
                <w:szCs w:val="20"/>
                <w:lang w:val="ro-MD"/>
              </w:rPr>
              <w:t>Articolul 5</w:t>
            </w:r>
            <w:r>
              <w:rPr>
                <w:rFonts w:ascii="Times New Roman" w:hAnsi="Times New Roman"/>
                <w:b/>
                <w:sz w:val="20"/>
                <w:szCs w:val="20"/>
                <w:lang w:val="ro-MD"/>
              </w:rPr>
              <w:t>4</w:t>
            </w:r>
            <w:r w:rsidRPr="0066519A">
              <w:rPr>
                <w:rFonts w:ascii="Times New Roman" w:hAnsi="Times New Roman"/>
                <w:b/>
                <w:sz w:val="20"/>
                <w:szCs w:val="20"/>
                <w:lang w:val="ro-MD"/>
              </w:rPr>
              <w:t>.</w:t>
            </w:r>
            <w:r w:rsidRPr="0066519A">
              <w:rPr>
                <w:rFonts w:ascii="Times New Roman" w:hAnsi="Times New Roman"/>
                <w:bCs/>
                <w:sz w:val="20"/>
                <w:szCs w:val="20"/>
                <w:lang w:val="ro-MD"/>
              </w:rPr>
              <w:t xml:space="preserve"> </w:t>
            </w:r>
            <w:r>
              <w:rPr>
                <w:rFonts w:ascii="Times New Roman" w:hAnsi="Times New Roman"/>
                <w:bCs/>
                <w:sz w:val="20"/>
                <w:szCs w:val="20"/>
                <w:lang w:val="ro-MD"/>
              </w:rPr>
              <w:t>E</w:t>
            </w:r>
            <w:r w:rsidRPr="0066519A">
              <w:rPr>
                <w:rFonts w:ascii="Times New Roman" w:hAnsi="Times New Roman"/>
                <w:bCs/>
                <w:sz w:val="20"/>
                <w:szCs w:val="20"/>
                <w:lang w:val="ro-MD"/>
              </w:rPr>
              <w:t>misiil</w:t>
            </w:r>
            <w:r>
              <w:rPr>
                <w:rFonts w:ascii="Times New Roman" w:hAnsi="Times New Roman"/>
                <w:bCs/>
                <w:sz w:val="20"/>
                <w:szCs w:val="20"/>
                <w:lang w:val="ro-MD"/>
              </w:rPr>
              <w:t>e</w:t>
            </w:r>
            <w:r w:rsidRPr="0066519A">
              <w:rPr>
                <w:rFonts w:ascii="Times New Roman" w:hAnsi="Times New Roman"/>
                <w:bCs/>
                <w:sz w:val="20"/>
                <w:szCs w:val="20"/>
                <w:lang w:val="ro-MD"/>
              </w:rPr>
              <w:t xml:space="preserve"> de GES de la </w:t>
            </w:r>
            <w:r w:rsidRPr="00C46326">
              <w:rPr>
                <w:rFonts w:ascii="Times New Roman" w:hAnsi="Times New Roman"/>
                <w:sz w:val="20"/>
                <w:szCs w:val="20"/>
                <w:lang w:val="ro-MD"/>
              </w:rPr>
              <w:t>activitățile d</w:t>
            </w:r>
            <w:r>
              <w:rPr>
                <w:rFonts w:ascii="Times New Roman" w:hAnsi="Times New Roman"/>
                <w:sz w:val="20"/>
                <w:szCs w:val="20"/>
                <w:lang w:val="ro-MD"/>
              </w:rPr>
              <w:t>e</w:t>
            </w:r>
            <w:r w:rsidRPr="00C46326">
              <w:rPr>
                <w:rFonts w:ascii="Times New Roman" w:hAnsi="Times New Roman"/>
                <w:sz w:val="20"/>
                <w:szCs w:val="20"/>
                <w:lang w:val="ro-MD"/>
              </w:rPr>
              <w:t xml:space="preserve"> aviației</w:t>
            </w:r>
          </w:p>
          <w:p w14:paraId="1D120ACA" w14:textId="77777777" w:rsidR="003D4F0B" w:rsidRDefault="003D4F0B" w:rsidP="003D4F0B">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2C0FC1">
              <w:rPr>
                <w:rFonts w:ascii="Times New Roman" w:hAnsi="Times New Roman"/>
                <w:color w:val="000000" w:themeColor="text1"/>
                <w:sz w:val="20"/>
                <w:szCs w:val="20"/>
                <w:shd w:val="clear" w:color="auto" w:fill="FFFFFF"/>
                <w:lang w:val="ro-MD"/>
              </w:rPr>
              <w:t>(3)Operatorul de aeronave</w:t>
            </w:r>
            <w:r w:rsidRPr="002C0FC1">
              <w:rPr>
                <w:rFonts w:ascii="Times New Roman" w:hAnsi="Times New Roman"/>
                <w:color w:val="000000" w:themeColor="text1"/>
                <w:sz w:val="20"/>
                <w:szCs w:val="20"/>
                <w:lang w:val="ro-MD"/>
              </w:rPr>
              <w:t xml:space="preserve"> prezintă Autorității Aeronautice Civile PM spre aprobare, care cuprinde măsurile de monitorizare și raportare a </w:t>
            </w:r>
            <w:r w:rsidRPr="002C0FC1">
              <w:rPr>
                <w:rFonts w:ascii="Times New Roman" w:eastAsia="Arial Unicode MS" w:hAnsi="Times New Roman"/>
                <w:color w:val="000000" w:themeColor="text1"/>
                <w:sz w:val="20"/>
                <w:szCs w:val="20"/>
                <w:shd w:val="clear" w:color="auto" w:fill="FFFFFF"/>
                <w:lang w:val="ro-MD"/>
              </w:rPr>
              <w:t xml:space="preserve">emisiilor de carbon </w:t>
            </w:r>
            <w:r w:rsidRPr="002C0FC1">
              <w:rPr>
                <w:rFonts w:ascii="Times New Roman" w:hAnsi="Times New Roman"/>
                <w:color w:val="000000" w:themeColor="text1"/>
                <w:sz w:val="20"/>
                <w:szCs w:val="20"/>
                <w:lang w:val="ro-MD"/>
              </w:rPr>
              <w:t>înainte de începere a activității din domeniul aviației.</w:t>
            </w:r>
          </w:p>
          <w:p w14:paraId="5834A114" w14:textId="77777777" w:rsidR="003D4F0B" w:rsidRDefault="003D4F0B" w:rsidP="003D4F0B">
            <w:pPr>
              <w:suppressAutoHyphens w:val="0"/>
              <w:autoSpaceDN/>
              <w:spacing w:after="0" w:line="240" w:lineRule="atLeast"/>
              <w:jc w:val="both"/>
              <w:textAlignment w:val="auto"/>
              <w:rPr>
                <w:rFonts w:ascii="Times New Roman" w:hAnsi="Times New Roman"/>
                <w:color w:val="000000" w:themeColor="text1"/>
                <w:sz w:val="20"/>
                <w:szCs w:val="20"/>
                <w:lang w:val="ro-MD"/>
              </w:rPr>
            </w:pPr>
            <w:r w:rsidRPr="0066519A">
              <w:rPr>
                <w:rFonts w:ascii="Times New Roman" w:hAnsi="Times New Roman"/>
                <w:b/>
                <w:sz w:val="20"/>
                <w:szCs w:val="20"/>
                <w:lang w:val="ro-MD"/>
              </w:rPr>
              <w:t>Articolul 5</w:t>
            </w:r>
            <w:r>
              <w:rPr>
                <w:rFonts w:ascii="Times New Roman" w:hAnsi="Times New Roman"/>
                <w:b/>
                <w:sz w:val="20"/>
                <w:szCs w:val="20"/>
                <w:lang w:val="ro-MD"/>
              </w:rPr>
              <w:t>5</w:t>
            </w:r>
            <w:r w:rsidRPr="0066519A">
              <w:rPr>
                <w:rFonts w:ascii="Times New Roman" w:hAnsi="Times New Roman"/>
                <w:b/>
                <w:sz w:val="20"/>
                <w:szCs w:val="20"/>
                <w:lang w:val="ro-MD"/>
              </w:rPr>
              <w:t>.</w:t>
            </w:r>
            <w:r>
              <w:rPr>
                <w:rFonts w:ascii="Times New Roman" w:hAnsi="Times New Roman"/>
                <w:bCs/>
                <w:sz w:val="20"/>
                <w:szCs w:val="20"/>
                <w:lang w:val="ro-MD"/>
              </w:rPr>
              <w:t xml:space="preserve"> E</w:t>
            </w:r>
            <w:r w:rsidRPr="0066519A">
              <w:rPr>
                <w:rFonts w:ascii="Times New Roman" w:hAnsi="Times New Roman"/>
                <w:bCs/>
                <w:sz w:val="20"/>
                <w:szCs w:val="20"/>
                <w:lang w:val="ro-MD"/>
              </w:rPr>
              <w:t>misiil</w:t>
            </w:r>
            <w:r>
              <w:rPr>
                <w:rFonts w:ascii="Times New Roman" w:hAnsi="Times New Roman"/>
                <w:bCs/>
                <w:sz w:val="20"/>
                <w:szCs w:val="20"/>
                <w:lang w:val="ro-MD"/>
              </w:rPr>
              <w:t>e</w:t>
            </w:r>
            <w:r w:rsidRPr="0066519A">
              <w:rPr>
                <w:rFonts w:ascii="Times New Roman" w:hAnsi="Times New Roman"/>
                <w:bCs/>
                <w:sz w:val="20"/>
                <w:szCs w:val="20"/>
                <w:lang w:val="ro-MD"/>
              </w:rPr>
              <w:t xml:space="preserve"> de GES </w:t>
            </w:r>
            <w:r>
              <w:rPr>
                <w:rFonts w:ascii="Times New Roman" w:hAnsi="Times New Roman"/>
                <w:bCs/>
                <w:sz w:val="20"/>
                <w:szCs w:val="20"/>
                <w:lang w:val="ro-MD"/>
              </w:rPr>
              <w:t xml:space="preserve">provenite </w:t>
            </w:r>
            <w:r w:rsidRPr="0066519A">
              <w:rPr>
                <w:rFonts w:ascii="Times New Roman" w:hAnsi="Times New Roman"/>
                <w:bCs/>
                <w:sz w:val="20"/>
                <w:szCs w:val="20"/>
                <w:lang w:val="ro-MD"/>
              </w:rPr>
              <w:t>de la</w:t>
            </w:r>
            <w:r>
              <w:rPr>
                <w:rFonts w:ascii="Times New Roman" w:hAnsi="Times New Roman"/>
                <w:bCs/>
                <w:sz w:val="20"/>
                <w:szCs w:val="20"/>
                <w:lang w:val="ro-MD"/>
              </w:rPr>
              <w:t xml:space="preserve"> transportul maritim</w:t>
            </w:r>
          </w:p>
          <w:p w14:paraId="110E981B" w14:textId="77777777" w:rsidR="00B73185" w:rsidRPr="00B73185" w:rsidRDefault="00B73185" w:rsidP="00B73185">
            <w:pPr>
              <w:pStyle w:val="af8"/>
              <w:numPr>
                <w:ilvl w:val="0"/>
                <w:numId w:val="242"/>
              </w:numPr>
              <w:suppressAutoHyphens w:val="0"/>
              <w:autoSpaceDN/>
              <w:spacing w:after="0" w:line="240" w:lineRule="atLeast"/>
              <w:ind w:left="0" w:firstLine="709"/>
              <w:jc w:val="both"/>
              <w:textAlignment w:val="auto"/>
              <w:rPr>
                <w:rFonts w:ascii="Times New Roman" w:hAnsi="Times New Roman"/>
                <w:color w:val="000000" w:themeColor="text1"/>
                <w:sz w:val="20"/>
                <w:szCs w:val="20"/>
                <w:lang w:val="ro-MD"/>
              </w:rPr>
            </w:pPr>
            <w:r w:rsidRPr="00B73185">
              <w:rPr>
                <w:rFonts w:ascii="Times New Roman" w:hAnsi="Times New Roman"/>
                <w:color w:val="000000" w:themeColor="text1"/>
                <w:sz w:val="20"/>
                <w:szCs w:val="20"/>
                <w:lang w:val="ro-MD"/>
              </w:rPr>
              <w:t xml:space="preserve">Ministerul Infrastructurii și Dezvoltării Regionale </w:t>
            </w:r>
            <w:r w:rsidRPr="00B73185">
              <w:rPr>
                <w:rFonts w:ascii="Times New Roman" w:hAnsi="Times New Roman"/>
                <w:color w:val="000000" w:themeColor="text1"/>
                <w:sz w:val="20"/>
                <w:szCs w:val="20"/>
                <w:shd w:val="clear" w:color="auto" w:fill="FFFFFF"/>
                <w:lang w:val="ro-MD"/>
              </w:rPr>
              <w:t xml:space="preserve">aprobă anual lista navelor care sosesc, se află în interiorul sau pleacă din porturile aflate sub jurisdicția Republicii Moldova, care asigură </w:t>
            </w:r>
            <w:r w:rsidRPr="00B73185">
              <w:rPr>
                <w:rFonts w:ascii="Times New Roman" w:hAnsi="Times New Roman"/>
                <w:color w:val="000000" w:themeColor="text1"/>
                <w:sz w:val="20"/>
                <w:szCs w:val="20"/>
                <w:lang w:val="ro-MD"/>
              </w:rPr>
              <w:t>MRV</w:t>
            </w:r>
            <w:r w:rsidRPr="00B73185">
              <w:rPr>
                <w:rFonts w:ascii="Times New Roman" w:hAnsi="Times New Roman"/>
                <w:bCs/>
                <w:color w:val="000000" w:themeColor="text1"/>
                <w:sz w:val="20"/>
                <w:szCs w:val="20"/>
                <w:shd w:val="clear" w:color="auto" w:fill="FFFFFF"/>
                <w:lang w:val="ro-MD"/>
              </w:rPr>
              <w:t xml:space="preserve"> emisiilor de GES generate în timpul călătoriilor lor.</w:t>
            </w:r>
          </w:p>
          <w:p w14:paraId="77EE0525" w14:textId="77777777" w:rsidR="00B73185" w:rsidRPr="00B73185" w:rsidRDefault="00B73185" w:rsidP="00B73185">
            <w:pPr>
              <w:pStyle w:val="af8"/>
              <w:numPr>
                <w:ilvl w:val="0"/>
                <w:numId w:val="242"/>
              </w:numPr>
              <w:suppressAutoHyphens w:val="0"/>
              <w:autoSpaceDN/>
              <w:spacing w:after="0" w:line="240" w:lineRule="atLeast"/>
              <w:ind w:left="0" w:firstLine="709"/>
              <w:jc w:val="both"/>
              <w:textAlignment w:val="auto"/>
              <w:rPr>
                <w:rFonts w:ascii="Times New Roman" w:hAnsi="Times New Roman"/>
                <w:color w:val="000000" w:themeColor="text1"/>
                <w:sz w:val="20"/>
                <w:szCs w:val="20"/>
                <w:lang w:val="ro-MD"/>
              </w:rPr>
            </w:pPr>
            <w:r w:rsidRPr="00B73185">
              <w:rPr>
                <w:rFonts w:ascii="Times New Roman" w:hAnsi="Times New Roman"/>
                <w:bCs/>
                <w:color w:val="000000" w:themeColor="text1"/>
                <w:sz w:val="20"/>
                <w:szCs w:val="20"/>
                <w:shd w:val="clear" w:color="auto" w:fill="FFFFFF"/>
                <w:lang w:val="ro-MD"/>
              </w:rPr>
              <w:t>În scopul promovării reducerii emisiilor de GES generate de transportul maritim companiile de transport maritim monitorizează anual emisiile de GES pentru fiecare navă și fiecare călătorie, prin aplicarea metodei de determinare a acestor emisii prevăzută în PM.</w:t>
            </w:r>
          </w:p>
          <w:p w14:paraId="749656BE" w14:textId="77777777" w:rsidR="00124364" w:rsidRPr="003D4F0B" w:rsidRDefault="00124364" w:rsidP="00B73185">
            <w:pPr>
              <w:suppressAutoHyphens w:val="0"/>
              <w:autoSpaceDN/>
              <w:spacing w:after="0" w:line="240" w:lineRule="atLeast"/>
              <w:jc w:val="both"/>
              <w:textAlignment w:val="auto"/>
              <w:rPr>
                <w:rFonts w:ascii="Times New Roman" w:hAnsi="Times New Roman"/>
                <w:sz w:val="20"/>
                <w:szCs w:val="20"/>
                <w:lang w:val="ro-MD"/>
              </w:rPr>
            </w:pPr>
          </w:p>
        </w:tc>
        <w:tc>
          <w:tcPr>
            <w:tcW w:w="1276" w:type="dxa"/>
            <w:shd w:val="clear" w:color="auto" w:fill="auto"/>
          </w:tcPr>
          <w:p w14:paraId="5375D44D" w14:textId="4D77A2A2" w:rsidR="00124364" w:rsidRDefault="003D4F0B" w:rsidP="003D4F0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Parțial compatibil</w:t>
            </w:r>
          </w:p>
        </w:tc>
        <w:tc>
          <w:tcPr>
            <w:tcW w:w="1275" w:type="dxa"/>
            <w:shd w:val="clear" w:color="auto" w:fill="auto"/>
          </w:tcPr>
          <w:p w14:paraId="6A5E6D6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398FE89"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F69A4FC"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5D3B13EF" w14:textId="77777777" w:rsidR="00124364" w:rsidRDefault="00124364">
            <w:pPr>
              <w:autoSpaceDE w:val="0"/>
              <w:spacing w:after="0" w:line="240" w:lineRule="auto"/>
              <w:rPr>
                <w:rFonts w:ascii="Times New Roman" w:hAnsi="Times New Roman"/>
                <w:sz w:val="20"/>
                <w:szCs w:val="20"/>
                <w:lang w:val="fr-FR"/>
              </w:rPr>
            </w:pPr>
          </w:p>
          <w:p w14:paraId="23B9D55B" w14:textId="77777777" w:rsidR="003D4F0B" w:rsidRDefault="003D4F0B">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r>
              <w:rPr>
                <w:rFonts w:ascii="Times New Roman" w:hAnsi="Times New Roman"/>
                <w:sz w:val="20"/>
                <w:szCs w:val="20"/>
                <w:lang w:val="fr-FR"/>
              </w:rPr>
              <w:t xml:space="preserve"> </w:t>
            </w:r>
          </w:p>
          <w:p w14:paraId="0B349FAE" w14:textId="77777777" w:rsidR="003D4F0B" w:rsidRDefault="003D4F0B">
            <w:pPr>
              <w:autoSpaceDE w:val="0"/>
              <w:spacing w:after="0" w:line="240" w:lineRule="auto"/>
              <w:rPr>
                <w:rFonts w:ascii="Times New Roman" w:hAnsi="Times New Roman"/>
                <w:sz w:val="20"/>
                <w:szCs w:val="20"/>
                <w:lang w:val="fr-FR"/>
              </w:rPr>
            </w:pPr>
          </w:p>
          <w:p w14:paraId="0C8F1BB7" w14:textId="77777777" w:rsidR="003D4F0B" w:rsidRDefault="003D4F0B">
            <w:pPr>
              <w:autoSpaceDE w:val="0"/>
              <w:spacing w:after="0" w:line="240" w:lineRule="auto"/>
              <w:rPr>
                <w:rFonts w:ascii="Times New Roman" w:hAnsi="Times New Roman"/>
                <w:color w:val="000000" w:themeColor="text1"/>
                <w:sz w:val="20"/>
                <w:szCs w:val="20"/>
                <w:lang w:val="ro-MD"/>
              </w:rPr>
            </w:pPr>
            <w:r w:rsidRPr="002C0FC1">
              <w:rPr>
                <w:rFonts w:ascii="Times New Roman" w:hAnsi="Times New Roman"/>
                <w:color w:val="000000" w:themeColor="text1"/>
                <w:sz w:val="20"/>
                <w:szCs w:val="20"/>
                <w:lang w:val="ro-MD"/>
              </w:rPr>
              <w:t>Autorit</w:t>
            </w:r>
            <w:r>
              <w:rPr>
                <w:rFonts w:ascii="Times New Roman" w:hAnsi="Times New Roman"/>
                <w:color w:val="000000" w:themeColor="text1"/>
                <w:sz w:val="20"/>
                <w:szCs w:val="20"/>
                <w:lang w:val="ro-MD"/>
              </w:rPr>
              <w:t>atea</w:t>
            </w:r>
            <w:r w:rsidRPr="002C0FC1">
              <w:rPr>
                <w:rFonts w:ascii="Times New Roman" w:hAnsi="Times New Roman"/>
                <w:color w:val="000000" w:themeColor="text1"/>
                <w:sz w:val="20"/>
                <w:szCs w:val="20"/>
                <w:lang w:val="ro-MD"/>
              </w:rPr>
              <w:t xml:space="preserve"> Aeronautic</w:t>
            </w:r>
            <w:r>
              <w:rPr>
                <w:rFonts w:ascii="Times New Roman" w:hAnsi="Times New Roman"/>
                <w:color w:val="000000" w:themeColor="text1"/>
                <w:sz w:val="20"/>
                <w:szCs w:val="20"/>
                <w:lang w:val="ro-MD"/>
              </w:rPr>
              <w:t>ă</w:t>
            </w:r>
            <w:r w:rsidRPr="002C0FC1">
              <w:rPr>
                <w:rFonts w:ascii="Times New Roman" w:hAnsi="Times New Roman"/>
                <w:color w:val="000000" w:themeColor="text1"/>
                <w:sz w:val="20"/>
                <w:szCs w:val="20"/>
                <w:lang w:val="ro-MD"/>
              </w:rPr>
              <w:t xml:space="preserve"> Civil</w:t>
            </w:r>
            <w:r>
              <w:rPr>
                <w:rFonts w:ascii="Times New Roman" w:hAnsi="Times New Roman"/>
                <w:color w:val="000000" w:themeColor="text1"/>
                <w:sz w:val="20"/>
                <w:szCs w:val="20"/>
                <w:lang w:val="ro-MD"/>
              </w:rPr>
              <w:t>ă</w:t>
            </w:r>
            <w:r w:rsidRPr="002C0FC1">
              <w:rPr>
                <w:rFonts w:ascii="Times New Roman" w:hAnsi="Times New Roman"/>
                <w:color w:val="000000" w:themeColor="text1"/>
                <w:sz w:val="20"/>
                <w:szCs w:val="20"/>
                <w:lang w:val="ro-MD"/>
              </w:rPr>
              <w:t xml:space="preserve"> PM</w:t>
            </w:r>
          </w:p>
          <w:p w14:paraId="17D1E5D9" w14:textId="77777777" w:rsidR="003D4F0B" w:rsidRDefault="003D4F0B">
            <w:pPr>
              <w:autoSpaceDE w:val="0"/>
              <w:spacing w:after="0" w:line="240" w:lineRule="auto"/>
              <w:rPr>
                <w:rFonts w:ascii="Times New Roman" w:hAnsi="Times New Roman"/>
                <w:color w:val="000000" w:themeColor="text1"/>
                <w:sz w:val="20"/>
                <w:szCs w:val="20"/>
                <w:lang w:val="ro-MD"/>
              </w:rPr>
            </w:pPr>
          </w:p>
          <w:p w14:paraId="72EB41DE" w14:textId="2FB9640B" w:rsidR="003D4F0B" w:rsidRDefault="003D4F0B">
            <w:pPr>
              <w:autoSpaceDE w:val="0"/>
              <w:spacing w:after="0" w:line="240" w:lineRule="auto"/>
              <w:rPr>
                <w:rFonts w:ascii="Times New Roman" w:hAnsi="Times New Roman"/>
                <w:sz w:val="20"/>
                <w:szCs w:val="20"/>
                <w:lang w:val="fr-FR"/>
              </w:rPr>
            </w:pPr>
            <w:r>
              <w:rPr>
                <w:rFonts w:ascii="Times New Roman" w:hAnsi="Times New Roman"/>
                <w:color w:val="000000" w:themeColor="text1"/>
                <w:sz w:val="20"/>
                <w:szCs w:val="20"/>
                <w:lang w:val="ro-MD"/>
              </w:rPr>
              <w:t>Agenția Navală</w:t>
            </w:r>
          </w:p>
        </w:tc>
      </w:tr>
      <w:tr w:rsidR="00124364" w14:paraId="26F81BC1" w14:textId="77777777">
        <w:trPr>
          <w:trHeight w:val="558"/>
        </w:trPr>
        <w:tc>
          <w:tcPr>
            <w:tcW w:w="4957" w:type="dxa"/>
            <w:shd w:val="clear" w:color="auto" w:fill="auto"/>
          </w:tcPr>
          <w:p w14:paraId="40546A8D" w14:textId="1E3BFFA4" w:rsidR="00124364" w:rsidRPr="00B9573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sidRPr="00B9573B">
              <w:rPr>
                <w:rFonts w:eastAsia="Arial Unicode MS"/>
                <w:i/>
                <w:iCs/>
                <w:color w:val="333333"/>
                <w:sz w:val="20"/>
                <w:szCs w:val="20"/>
                <w:shd w:val="clear" w:color="auto" w:fill="FFFFFF"/>
                <w:lang w:val="en-US"/>
              </w:rPr>
              <w:lastRenderedPageBreak/>
              <w:t>Articolul</w:t>
            </w:r>
            <w:proofErr w:type="spellEnd"/>
            <w:r w:rsidR="003D4F0B">
              <w:rPr>
                <w:rFonts w:eastAsia="Arial Unicode MS"/>
                <w:i/>
                <w:iCs/>
                <w:color w:val="333333"/>
                <w:sz w:val="20"/>
                <w:szCs w:val="20"/>
                <w:shd w:val="clear" w:color="auto" w:fill="FFFFFF"/>
                <w:lang w:val="en-US"/>
              </w:rPr>
              <w:t xml:space="preserve"> </w:t>
            </w:r>
            <w:r w:rsidRPr="00B9573B">
              <w:rPr>
                <w:rFonts w:eastAsia="Arial Unicode MS"/>
                <w:i/>
                <w:iCs/>
                <w:color w:val="333333"/>
                <w:sz w:val="20"/>
                <w:szCs w:val="20"/>
                <w:shd w:val="clear" w:color="auto" w:fill="FFFFFF"/>
                <w:lang w:val="en-US"/>
              </w:rPr>
              <w:t>30g</w:t>
            </w:r>
          </w:p>
          <w:p w14:paraId="01887725" w14:textId="77777777" w:rsidR="00124364" w:rsidRPr="00B9573B"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B9573B">
              <w:rPr>
                <w:rFonts w:eastAsia="Arial Unicode MS"/>
                <w:b/>
                <w:bCs/>
                <w:color w:val="333333"/>
                <w:sz w:val="20"/>
                <w:szCs w:val="20"/>
                <w:shd w:val="clear" w:color="auto" w:fill="FFFFFF"/>
                <w:lang w:val="en-US"/>
              </w:rPr>
              <w:t>Administrare</w:t>
            </w:r>
            <w:proofErr w:type="spellEnd"/>
          </w:p>
          <w:p w14:paraId="6B4F8AB3" w14:textId="5D9CB949" w:rsidR="00124364" w:rsidRPr="003D4F0B"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Articolele</w:t>
            </w:r>
            <w:proofErr w:type="spellEnd"/>
            <w:r w:rsidRPr="003D4F0B">
              <w:rPr>
                <w:rFonts w:eastAsia="Arial Unicode MS"/>
                <w:color w:val="000000" w:themeColor="text1"/>
                <w:sz w:val="20"/>
                <w:szCs w:val="20"/>
                <w:shd w:val="clear" w:color="auto" w:fill="FFFFFF"/>
                <w:lang w:val="en-US"/>
              </w:rPr>
              <w:t xml:space="preserve"> 13 și</w:t>
            </w:r>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15a, </w:t>
            </w:r>
            <w:proofErr w:type="spellStart"/>
            <w:r w:rsidRPr="003D4F0B">
              <w:rPr>
                <w:rFonts w:eastAsia="Arial Unicode MS"/>
                <w:color w:val="000000" w:themeColor="text1"/>
                <w:sz w:val="20"/>
                <w:szCs w:val="20"/>
                <w:shd w:val="clear" w:color="auto" w:fill="FFFFFF"/>
                <w:lang w:val="en-US"/>
              </w:rPr>
              <w:t>articolul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16 </w:t>
            </w:r>
            <w:proofErr w:type="spellStart"/>
            <w:r w:rsidRPr="003D4F0B">
              <w:rPr>
                <w:rFonts w:eastAsia="Arial Unicode MS"/>
                <w:color w:val="000000" w:themeColor="text1"/>
                <w:sz w:val="20"/>
                <w:szCs w:val="20"/>
                <w:shd w:val="clear" w:color="auto" w:fill="FFFFFF"/>
                <w:lang w:val="en-US"/>
              </w:rPr>
              <w:t>alineatele</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(1), (2), (3), (4) și</w:t>
            </w:r>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(12), </w:t>
            </w:r>
            <w:proofErr w:type="spellStart"/>
            <w:r w:rsidRPr="003D4F0B">
              <w:rPr>
                <w:rFonts w:eastAsia="Arial Unicode MS"/>
                <w:color w:val="000000" w:themeColor="text1"/>
                <w:sz w:val="20"/>
                <w:szCs w:val="20"/>
                <w:shd w:val="clear" w:color="auto" w:fill="FFFFFF"/>
                <w:lang w:val="en-US"/>
              </w:rPr>
              <w:t>articolele</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17, 18, 19, 20, 21, 22, 22a, 23 și</w:t>
            </w:r>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29 se </w:t>
            </w:r>
            <w:proofErr w:type="spellStart"/>
            <w:r w:rsidRPr="003D4F0B">
              <w:rPr>
                <w:rFonts w:eastAsia="Arial Unicode MS"/>
                <w:color w:val="000000" w:themeColor="text1"/>
                <w:sz w:val="20"/>
                <w:szCs w:val="20"/>
                <w:shd w:val="clear" w:color="auto" w:fill="FFFFFF"/>
                <w:lang w:val="en-US"/>
              </w:rPr>
              <w:t>aplică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entităților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În </w:t>
            </w:r>
            <w:proofErr w:type="spellStart"/>
            <w:r w:rsidRPr="003D4F0B">
              <w:rPr>
                <w:rFonts w:eastAsia="Arial Unicode MS"/>
                <w:color w:val="000000" w:themeColor="text1"/>
                <w:sz w:val="20"/>
                <w:szCs w:val="20"/>
                <w:shd w:val="clear" w:color="auto" w:fill="FFFFFF"/>
                <w:lang w:val="en-US"/>
              </w:rPr>
              <w:t>acest</w:t>
            </w:r>
            <w:proofErr w:type="spellEnd"/>
            <w:r w:rsidRPr="003D4F0B">
              <w:rPr>
                <w:rFonts w:eastAsia="Arial Unicode MS"/>
                <w:color w:val="000000" w:themeColor="text1"/>
                <w:sz w:val="20"/>
                <w:szCs w:val="20"/>
                <w:shd w:val="clear" w:color="auto" w:fill="FFFFFF"/>
                <w:lang w:val="en-US"/>
              </w:rPr>
              <w:t xml:space="preserve"> scop:</w:t>
            </w:r>
          </w:p>
          <w:p w14:paraId="6588E113" w14:textId="77777777" w:rsidR="00124364" w:rsidRPr="003D4F0B" w:rsidRDefault="00000000">
            <w:pPr>
              <w:pStyle w:val="ti-art"/>
              <w:numPr>
                <w:ilvl w:val="0"/>
                <w:numId w:val="150"/>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emisiile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p w14:paraId="4F2F786F" w14:textId="77777777" w:rsidR="00124364" w:rsidRPr="003D4F0B" w:rsidRDefault="00000000">
            <w:pPr>
              <w:pStyle w:val="ti-art"/>
              <w:numPr>
                <w:ilvl w:val="0"/>
                <w:numId w:val="150"/>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operatori</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entitățile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reglementate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p w14:paraId="6B2C0EB1" w14:textId="77777777" w:rsidR="00124364" w:rsidRDefault="00000000">
            <w:pPr>
              <w:pStyle w:val="ti-art"/>
              <w:numPr>
                <w:ilvl w:val="0"/>
                <w:numId w:val="150"/>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certificate se </w:t>
            </w:r>
            <w:proofErr w:type="spellStart"/>
            <w:r w:rsidRPr="003D4F0B">
              <w:rPr>
                <w:rFonts w:eastAsia="Arial Unicode MS"/>
                <w:color w:val="000000" w:themeColor="text1"/>
                <w:sz w:val="20"/>
                <w:szCs w:val="20"/>
                <w:shd w:val="clear" w:color="auto" w:fill="FFFFFF"/>
                <w:lang w:val="en-US"/>
              </w:rPr>
              <w:t>interpretează</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trimitere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certificatele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w:t>
            </w:r>
          </w:p>
        </w:tc>
        <w:tc>
          <w:tcPr>
            <w:tcW w:w="4394" w:type="dxa"/>
            <w:shd w:val="clear" w:color="auto" w:fill="auto"/>
          </w:tcPr>
          <w:p w14:paraId="143C8A60"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19531E7" w14:textId="2F26DDC5" w:rsidR="00124364" w:rsidRDefault="003D4F0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03A8717E"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016AAF0"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0A8B3EC" w14:textId="0BDA1655" w:rsidR="00124364" w:rsidRDefault="003D4F0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6EB4BE5E" w14:textId="77777777" w:rsidR="00124364" w:rsidRPr="003D4F0B" w:rsidRDefault="00124364" w:rsidP="003D4F0B">
            <w:pPr>
              <w:autoSpaceDE w:val="0"/>
              <w:spacing w:after="0" w:line="240" w:lineRule="auto"/>
              <w:rPr>
                <w:rFonts w:ascii="Times New Roman" w:hAnsi="Times New Roman"/>
                <w:sz w:val="20"/>
                <w:szCs w:val="20"/>
                <w:lang w:val="ro-RO"/>
              </w:rPr>
            </w:pPr>
          </w:p>
        </w:tc>
      </w:tr>
      <w:tr w:rsidR="00124364" w14:paraId="60E0F683" w14:textId="77777777">
        <w:trPr>
          <w:trHeight w:val="558"/>
        </w:trPr>
        <w:tc>
          <w:tcPr>
            <w:tcW w:w="4957" w:type="dxa"/>
            <w:shd w:val="clear" w:color="auto" w:fill="auto"/>
          </w:tcPr>
          <w:p w14:paraId="174D7B7B" w14:textId="4BE1579E" w:rsidR="00124364" w:rsidRPr="00E34C2B"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r w:rsidRPr="00E34C2B">
              <w:rPr>
                <w:rFonts w:eastAsia="Arial Unicode MS"/>
                <w:i/>
                <w:iCs/>
                <w:color w:val="333333"/>
                <w:sz w:val="20"/>
                <w:szCs w:val="20"/>
                <w:shd w:val="clear" w:color="auto" w:fill="FFFFFF"/>
                <w:lang w:val="en-US"/>
              </w:rPr>
              <w:t>Articolul30h</w:t>
            </w:r>
          </w:p>
          <w:p w14:paraId="1286D249" w14:textId="77777777" w:rsidR="00124364" w:rsidRPr="003D4F0B" w:rsidRDefault="00000000" w:rsidP="003D4F0B">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3D4F0B">
              <w:rPr>
                <w:rFonts w:eastAsia="Arial Unicode MS"/>
                <w:b/>
                <w:bCs/>
                <w:color w:val="000000" w:themeColor="text1"/>
                <w:sz w:val="20"/>
                <w:szCs w:val="20"/>
                <w:shd w:val="clear" w:color="auto" w:fill="FFFFFF"/>
                <w:lang w:val="en-US"/>
              </w:rPr>
              <w:t>Măsuri</w:t>
            </w:r>
            <w:proofErr w:type="spellEnd"/>
            <w:r w:rsidRPr="003D4F0B">
              <w:rPr>
                <w:rFonts w:eastAsia="Arial Unicode MS"/>
                <w:b/>
                <w:bCs/>
                <w:color w:val="000000" w:themeColor="text1"/>
                <w:sz w:val="20"/>
                <w:szCs w:val="20"/>
                <w:shd w:val="clear" w:color="auto" w:fill="FFFFFF"/>
                <w:lang w:val="en-US"/>
              </w:rPr>
              <w:t xml:space="preserve"> de </w:t>
            </w:r>
            <w:proofErr w:type="spellStart"/>
            <w:r w:rsidRPr="003D4F0B">
              <w:rPr>
                <w:rFonts w:eastAsia="Arial Unicode MS"/>
                <w:b/>
                <w:bCs/>
                <w:color w:val="000000" w:themeColor="text1"/>
                <w:sz w:val="20"/>
                <w:szCs w:val="20"/>
                <w:shd w:val="clear" w:color="auto" w:fill="FFFFFF"/>
                <w:lang w:val="en-US"/>
              </w:rPr>
              <w:t>luat</w:t>
            </w:r>
            <w:proofErr w:type="spellEnd"/>
            <w:r w:rsidRPr="003D4F0B">
              <w:rPr>
                <w:rFonts w:eastAsia="Arial Unicode MS"/>
                <w:b/>
                <w:bCs/>
                <w:color w:val="000000" w:themeColor="text1"/>
                <w:sz w:val="20"/>
                <w:szCs w:val="20"/>
                <w:shd w:val="clear" w:color="auto" w:fill="FFFFFF"/>
                <w:lang w:val="en-US"/>
              </w:rPr>
              <w:t xml:space="preserve"> în </w:t>
            </w:r>
            <w:proofErr w:type="spellStart"/>
            <w:r w:rsidRPr="003D4F0B">
              <w:rPr>
                <w:rFonts w:eastAsia="Arial Unicode MS"/>
                <w:b/>
                <w:bCs/>
                <w:color w:val="000000" w:themeColor="text1"/>
                <w:sz w:val="20"/>
                <w:szCs w:val="20"/>
                <w:shd w:val="clear" w:color="auto" w:fill="FFFFFF"/>
                <w:lang w:val="en-US"/>
              </w:rPr>
              <w:t>eventualitatea</w:t>
            </w:r>
            <w:proofErr w:type="spellEnd"/>
            <w:r w:rsidRPr="003D4F0B">
              <w:rPr>
                <w:rFonts w:eastAsia="Arial Unicode MS"/>
                <w:b/>
                <w:bCs/>
                <w:color w:val="000000" w:themeColor="text1"/>
                <w:sz w:val="20"/>
                <w:szCs w:val="20"/>
                <w:shd w:val="clear" w:color="auto" w:fill="FFFFFF"/>
                <w:lang w:val="en-US"/>
              </w:rPr>
              <w:t xml:space="preserve"> </w:t>
            </w:r>
            <w:proofErr w:type="spellStart"/>
            <w:r w:rsidRPr="003D4F0B">
              <w:rPr>
                <w:rFonts w:eastAsia="Arial Unicode MS"/>
                <w:b/>
                <w:bCs/>
                <w:color w:val="000000" w:themeColor="text1"/>
                <w:sz w:val="20"/>
                <w:szCs w:val="20"/>
                <w:shd w:val="clear" w:color="auto" w:fill="FFFFFF"/>
                <w:lang w:val="en-US"/>
              </w:rPr>
              <w:t>unei</w:t>
            </w:r>
            <w:proofErr w:type="spellEnd"/>
            <w:r w:rsidRPr="003D4F0B">
              <w:rPr>
                <w:rFonts w:eastAsia="Arial Unicode MS"/>
                <w:b/>
                <w:bCs/>
                <w:color w:val="000000" w:themeColor="text1"/>
                <w:sz w:val="20"/>
                <w:szCs w:val="20"/>
                <w:shd w:val="clear" w:color="auto" w:fill="FFFFFF"/>
                <w:lang w:val="en-US"/>
              </w:rPr>
              <w:t xml:space="preserve"> </w:t>
            </w:r>
            <w:proofErr w:type="spellStart"/>
            <w:r w:rsidRPr="003D4F0B">
              <w:rPr>
                <w:rFonts w:eastAsia="Arial Unicode MS"/>
                <w:b/>
                <w:bCs/>
                <w:color w:val="000000" w:themeColor="text1"/>
                <w:sz w:val="20"/>
                <w:szCs w:val="20"/>
                <w:shd w:val="clear" w:color="auto" w:fill="FFFFFF"/>
                <w:lang w:val="en-US"/>
              </w:rPr>
              <w:t>creșteri</w:t>
            </w:r>
            <w:proofErr w:type="spellEnd"/>
            <w:r w:rsidRPr="003D4F0B">
              <w:rPr>
                <w:rFonts w:eastAsia="Arial Unicode MS"/>
                <w:b/>
                <w:bCs/>
                <w:color w:val="000000" w:themeColor="text1"/>
                <w:sz w:val="20"/>
                <w:szCs w:val="20"/>
                <w:shd w:val="clear" w:color="auto" w:fill="FFFFFF"/>
                <w:lang w:val="en-US"/>
              </w:rPr>
              <w:t xml:space="preserve"> </w:t>
            </w:r>
            <w:proofErr w:type="spellStart"/>
            <w:r w:rsidRPr="003D4F0B">
              <w:rPr>
                <w:rFonts w:eastAsia="Arial Unicode MS"/>
                <w:b/>
                <w:bCs/>
                <w:color w:val="000000" w:themeColor="text1"/>
                <w:sz w:val="20"/>
                <w:szCs w:val="20"/>
                <w:shd w:val="clear" w:color="auto" w:fill="FFFFFF"/>
                <w:lang w:val="en-US"/>
              </w:rPr>
              <w:t>excesive</w:t>
            </w:r>
            <w:proofErr w:type="spellEnd"/>
            <w:r w:rsidRPr="003D4F0B">
              <w:rPr>
                <w:rFonts w:eastAsia="Arial Unicode MS"/>
                <w:b/>
                <w:bCs/>
                <w:color w:val="000000" w:themeColor="text1"/>
                <w:sz w:val="20"/>
                <w:szCs w:val="20"/>
                <w:shd w:val="clear" w:color="auto" w:fill="FFFFFF"/>
                <w:lang w:val="en-US"/>
              </w:rPr>
              <w:t xml:space="preserve"> a </w:t>
            </w:r>
            <w:proofErr w:type="spellStart"/>
            <w:r w:rsidRPr="003D4F0B">
              <w:rPr>
                <w:rFonts w:eastAsia="Arial Unicode MS"/>
                <w:b/>
                <w:bCs/>
                <w:color w:val="000000" w:themeColor="text1"/>
                <w:sz w:val="20"/>
                <w:szCs w:val="20"/>
                <w:shd w:val="clear" w:color="auto" w:fill="FFFFFF"/>
                <w:lang w:val="en-US"/>
              </w:rPr>
              <w:t>prețurilor</w:t>
            </w:r>
            <w:proofErr w:type="spellEnd"/>
          </w:p>
          <w:p w14:paraId="593E01A0" w14:textId="51F0896A"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timp</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mult</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trei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cadrul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licitațiilor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desfășurate</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actele</w:t>
            </w:r>
            <w:proofErr w:type="spellEnd"/>
            <w:r w:rsidRPr="003D4F0B">
              <w:rPr>
                <w:rFonts w:eastAsia="Arial Unicode MS"/>
                <w:color w:val="000000" w:themeColor="text1"/>
                <w:sz w:val="20"/>
                <w:szCs w:val="20"/>
                <w:shd w:val="clear" w:color="auto" w:fill="FFFFFF"/>
                <w:lang w:val="en-US"/>
              </w:rPr>
              <w:t xml:space="preserve"> delegate </w:t>
            </w:r>
            <w:proofErr w:type="spellStart"/>
            <w:r w:rsidRPr="003D4F0B">
              <w:rPr>
                <w:rFonts w:eastAsia="Arial Unicode MS"/>
                <w:color w:val="000000" w:themeColor="text1"/>
                <w:sz w:val="20"/>
                <w:szCs w:val="20"/>
                <w:shd w:val="clear" w:color="auto" w:fill="FFFFFF"/>
                <w:lang w:val="en-US"/>
              </w:rPr>
              <w:t>adoptate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articolului</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10 </w:t>
            </w:r>
            <w:proofErr w:type="spellStart"/>
            <w:r w:rsidRPr="003D4F0B">
              <w:rPr>
                <w:rFonts w:eastAsia="Arial Unicode MS"/>
                <w:color w:val="000000" w:themeColor="text1"/>
                <w:sz w:val="20"/>
                <w:szCs w:val="20"/>
                <w:shd w:val="clear" w:color="auto" w:fill="FFFFFF"/>
                <w:lang w:val="en-US"/>
              </w:rPr>
              <w:t>alineatul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(4) din prezenta </w:t>
            </w:r>
            <w:proofErr w:type="spellStart"/>
            <w:r w:rsidRPr="003D4F0B">
              <w:rPr>
                <w:rFonts w:eastAsia="Arial Unicode MS"/>
                <w:color w:val="000000" w:themeColor="text1"/>
                <w:sz w:val="20"/>
                <w:szCs w:val="20"/>
                <w:shd w:val="clear" w:color="auto" w:fill="FFFFFF"/>
                <w:lang w:val="en-US"/>
              </w:rPr>
              <w:t>directivă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două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ori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mare </w:t>
            </w:r>
            <w:proofErr w:type="spellStart"/>
            <w:r w:rsidRPr="003D4F0B">
              <w:rPr>
                <w:rFonts w:eastAsia="Arial Unicode MS"/>
                <w:color w:val="000000" w:themeColor="text1"/>
                <w:sz w:val="20"/>
                <w:szCs w:val="20"/>
                <w:shd w:val="clear" w:color="auto" w:fill="FFFFFF"/>
                <w:lang w:val="en-US"/>
              </w:rPr>
              <w:t>decât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cursul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șase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w:t>
            </w:r>
            <w:proofErr w:type="spellStart"/>
            <w:r w:rsidRPr="003D4F0B">
              <w:rPr>
                <w:rFonts w:eastAsia="Arial Unicode MS"/>
                <w:color w:val="000000" w:themeColor="text1"/>
                <w:sz w:val="20"/>
                <w:szCs w:val="20"/>
                <w:shd w:val="clear" w:color="auto" w:fill="FFFFFF"/>
                <w:lang w:val="en-US"/>
              </w:rPr>
              <w:t>precedente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cadrul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licitațiilor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50</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de </w:t>
            </w:r>
            <w:proofErr w:type="spellStart"/>
            <w:r w:rsidRPr="003D4F0B">
              <w:rPr>
                <w:rFonts w:eastAsia="Arial Unicode MS"/>
                <w:color w:val="000000" w:themeColor="text1"/>
                <w:sz w:val="20"/>
                <w:szCs w:val="20"/>
                <w:shd w:val="clear" w:color="auto" w:fill="FFFFFF"/>
                <w:lang w:val="en-US"/>
              </w:rPr>
              <w:t>milioane</w:t>
            </w:r>
            <w:proofErr w:type="spellEnd"/>
            <w:r w:rsidRPr="003D4F0B">
              <w:rPr>
                <w:rFonts w:eastAsia="Arial Unicode MS"/>
                <w:color w:val="000000" w:themeColor="text1"/>
                <w:sz w:val="20"/>
                <w:szCs w:val="20"/>
                <w:shd w:val="clear" w:color="auto" w:fill="FFFFFF"/>
                <w:lang w:val="en-US"/>
              </w:rPr>
              <w:t xml:space="preserve"> de certificate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din </w:t>
            </w:r>
            <w:proofErr w:type="spellStart"/>
            <w:r w:rsidRPr="003D4F0B">
              <w:rPr>
                <w:rFonts w:eastAsia="Arial Unicode MS"/>
                <w:color w:val="000000" w:themeColor="text1"/>
                <w:sz w:val="20"/>
                <w:szCs w:val="20"/>
                <w:shd w:val="clear" w:color="auto" w:fill="FFFFFF"/>
                <w:lang w:val="en-US"/>
              </w:rPr>
              <w:t>rezerva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stabilitatea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pieței</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1a </w:t>
            </w:r>
            <w:proofErr w:type="spellStart"/>
            <w:r w:rsidRPr="003D4F0B">
              <w:rPr>
                <w:rFonts w:eastAsia="Arial Unicode MS"/>
                <w:color w:val="000000" w:themeColor="text1"/>
                <w:sz w:val="20"/>
                <w:szCs w:val="20"/>
                <w:shd w:val="clear" w:color="auto" w:fill="FFFFFF"/>
                <w:lang w:val="en-US"/>
              </w:rPr>
              <w:t>alineatul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(7) din </w:t>
            </w:r>
            <w:proofErr w:type="spellStart"/>
            <w:r w:rsidRPr="003D4F0B">
              <w:rPr>
                <w:rFonts w:eastAsia="Arial Unicode MS"/>
                <w:color w:val="000000" w:themeColor="text1"/>
                <w:sz w:val="20"/>
                <w:szCs w:val="20"/>
                <w:shd w:val="clear" w:color="auto" w:fill="FFFFFF"/>
                <w:lang w:val="en-US"/>
              </w:rPr>
              <w:t>Decizia</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(UE)</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2015/1814.</w:t>
            </w:r>
          </w:p>
          <w:p w14:paraId="3AD13F6D" w14:textId="5D86A191" w:rsidR="00124364" w:rsidRPr="003D4F0B" w:rsidRDefault="00000000" w:rsidP="003D4F0B">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anii</w:t>
            </w:r>
            <w:proofErr w:type="spellEnd"/>
            <w:r w:rsidRPr="003D4F0B">
              <w:rPr>
                <w:rFonts w:eastAsia="Arial Unicode MS"/>
                <w:color w:val="000000" w:themeColor="text1"/>
                <w:sz w:val="20"/>
                <w:szCs w:val="20"/>
                <w:shd w:val="clear" w:color="auto" w:fill="FFFFFF"/>
                <w:lang w:val="en-US"/>
              </w:rPr>
              <w:t xml:space="preserve"> 2027 și</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2028,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primul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paragraf</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timp</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mult</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trei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peste</w:t>
            </w:r>
            <w:proofErr w:type="spellEnd"/>
            <w:r w:rsidRPr="003D4F0B">
              <w:rPr>
                <w:rFonts w:eastAsia="Arial Unicode MS"/>
                <w:color w:val="000000" w:themeColor="text1"/>
                <w:sz w:val="20"/>
                <w:szCs w:val="20"/>
                <w:shd w:val="clear" w:color="auto" w:fill="FFFFFF"/>
                <w:lang w:val="en-US"/>
              </w:rPr>
              <w:t xml:space="preserve"> 1,5 </w:t>
            </w:r>
            <w:proofErr w:type="spellStart"/>
            <w:r w:rsidRPr="003D4F0B">
              <w:rPr>
                <w:rFonts w:eastAsia="Arial Unicode MS"/>
                <w:color w:val="000000" w:themeColor="text1"/>
                <w:sz w:val="20"/>
                <w:szCs w:val="20"/>
                <w:shd w:val="clear" w:color="auto" w:fill="FFFFFF"/>
                <w:lang w:val="en-US"/>
              </w:rPr>
              <w:t>ori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mare </w:t>
            </w:r>
            <w:proofErr w:type="spellStart"/>
            <w:r w:rsidRPr="003D4F0B">
              <w:rPr>
                <w:rFonts w:eastAsia="Arial Unicode MS"/>
                <w:color w:val="000000" w:themeColor="text1"/>
                <w:sz w:val="20"/>
                <w:szCs w:val="20"/>
                <w:shd w:val="clear" w:color="auto" w:fill="FFFFFF"/>
                <w:lang w:val="en-US"/>
              </w:rPr>
              <w:t>decât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cursul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perioade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referință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constând</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șase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w:t>
            </w:r>
            <w:proofErr w:type="spellStart"/>
            <w:r w:rsidRPr="003D4F0B">
              <w:rPr>
                <w:rFonts w:eastAsia="Arial Unicode MS"/>
                <w:color w:val="000000" w:themeColor="text1"/>
                <w:sz w:val="20"/>
                <w:szCs w:val="20"/>
                <w:shd w:val="clear" w:color="auto" w:fill="FFFFFF"/>
                <w:lang w:val="en-US"/>
              </w:rPr>
              <w:t>precedente</w:t>
            </w:r>
            <w:proofErr w:type="spellEnd"/>
            <w:r w:rsidRPr="003D4F0B">
              <w:rPr>
                <w:rFonts w:eastAsia="Arial Unicode MS"/>
                <w:color w:val="000000" w:themeColor="text1"/>
                <w:sz w:val="20"/>
                <w:szCs w:val="20"/>
                <w:shd w:val="clear" w:color="auto" w:fill="FFFFFF"/>
                <w:lang w:val="en-US"/>
              </w:rPr>
              <w:t>.</w:t>
            </w:r>
          </w:p>
          <w:p w14:paraId="087B0C72" w14:textId="111C1D89"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(1)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lastRenderedPageBreak/>
              <w:t>depășește</w:t>
            </w:r>
            <w:proofErr w:type="spellEnd"/>
            <w:r w:rsidRPr="003D4F0B">
              <w:rPr>
                <w:rFonts w:eastAsia="Arial Unicode MS"/>
                <w:color w:val="000000" w:themeColor="text1"/>
                <w:sz w:val="20"/>
                <w:szCs w:val="20"/>
                <w:shd w:val="clear" w:color="auto" w:fill="FFFFFF"/>
                <w:lang w:val="en-US"/>
              </w:rPr>
              <w:t xml:space="preserve"> 45</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EUR pe o </w:t>
            </w:r>
            <w:proofErr w:type="spellStart"/>
            <w:r w:rsidRPr="003D4F0B">
              <w:rPr>
                <w:rFonts w:eastAsia="Arial Unicode MS"/>
                <w:color w:val="000000" w:themeColor="text1"/>
                <w:sz w:val="20"/>
                <w:szCs w:val="20"/>
                <w:shd w:val="clear" w:color="auto" w:fill="FFFFFF"/>
                <w:lang w:val="en-US"/>
              </w:rPr>
              <w:t>perioadă</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două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20</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de</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milioane</w:t>
            </w:r>
            <w:proofErr w:type="spellEnd"/>
            <w:r w:rsidRPr="003D4F0B">
              <w:rPr>
                <w:rFonts w:eastAsia="Arial Unicode MS"/>
                <w:color w:val="000000" w:themeColor="text1"/>
                <w:sz w:val="20"/>
                <w:szCs w:val="20"/>
                <w:shd w:val="clear" w:color="auto" w:fill="FFFFFF"/>
                <w:lang w:val="en-US"/>
              </w:rPr>
              <w:t xml:space="preserve"> de certificate de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din </w:t>
            </w:r>
            <w:proofErr w:type="spellStart"/>
            <w:r w:rsidRPr="003D4F0B">
              <w:rPr>
                <w:rFonts w:eastAsia="Arial Unicode MS"/>
                <w:color w:val="000000" w:themeColor="text1"/>
                <w:sz w:val="20"/>
                <w:szCs w:val="20"/>
                <w:shd w:val="clear" w:color="auto" w:fill="FFFFFF"/>
                <w:lang w:val="en-US"/>
              </w:rPr>
              <w:t>rezerva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stabilitatea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pieței</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(7) din </w:t>
            </w:r>
            <w:proofErr w:type="spellStart"/>
            <w:r w:rsidRPr="003D4F0B">
              <w:rPr>
                <w:rFonts w:eastAsia="Arial Unicode MS"/>
                <w:color w:val="000000" w:themeColor="text1"/>
                <w:sz w:val="20"/>
                <w:szCs w:val="20"/>
                <w:shd w:val="clear" w:color="auto" w:fill="FFFFFF"/>
                <w:lang w:val="en-US"/>
              </w:rPr>
              <w:t>Decizia</w:t>
            </w:r>
            <w:proofErr w:type="spellEnd"/>
            <w:r w:rsidRPr="003D4F0B">
              <w:rPr>
                <w:rFonts w:eastAsia="Arial Unicode MS"/>
                <w:color w:val="000000" w:themeColor="text1"/>
                <w:sz w:val="20"/>
                <w:szCs w:val="20"/>
                <w:shd w:val="clear" w:color="auto" w:fill="FFFFFF"/>
                <w:lang w:val="en-US"/>
              </w:rPr>
              <w:t xml:space="preserve"> (UE)</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2015/1814. Se </w:t>
            </w:r>
            <w:proofErr w:type="spellStart"/>
            <w:r w:rsidRPr="003D4F0B">
              <w:rPr>
                <w:rFonts w:eastAsia="Arial Unicode MS"/>
                <w:color w:val="000000" w:themeColor="text1"/>
                <w:sz w:val="20"/>
                <w:szCs w:val="20"/>
                <w:shd w:val="clear" w:color="auto" w:fill="FFFFFF"/>
                <w:lang w:val="en-US"/>
              </w:rPr>
              <w:t>aplică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indexarea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bazată</w:t>
            </w:r>
            <w:proofErr w:type="spellEnd"/>
            <w:r w:rsidRPr="003D4F0B">
              <w:rPr>
                <w:rFonts w:eastAsia="Arial Unicode MS"/>
                <w:color w:val="000000" w:themeColor="text1"/>
                <w:sz w:val="20"/>
                <w:szCs w:val="20"/>
                <w:shd w:val="clear" w:color="auto" w:fill="FFFFFF"/>
                <w:lang w:val="en-US"/>
              </w:rPr>
              <w:t xml:space="preserve"> pe </w:t>
            </w:r>
            <w:proofErr w:type="spellStart"/>
            <w:r w:rsidRPr="003D4F0B">
              <w:rPr>
                <w:rFonts w:eastAsia="Arial Unicode MS"/>
                <w:color w:val="000000" w:themeColor="text1"/>
                <w:sz w:val="20"/>
                <w:szCs w:val="20"/>
                <w:shd w:val="clear" w:color="auto" w:fill="FFFFFF"/>
                <w:lang w:val="en-US"/>
              </w:rPr>
              <w:t>indicele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european</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prețurilor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consum</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2020. </w:t>
            </w:r>
            <w:proofErr w:type="spellStart"/>
            <w:r w:rsidRPr="003D4F0B">
              <w:rPr>
                <w:rFonts w:eastAsia="Arial Unicode MS"/>
                <w:color w:val="000000" w:themeColor="text1"/>
                <w:sz w:val="20"/>
                <w:szCs w:val="20"/>
                <w:shd w:val="clear" w:color="auto" w:fill="FFFFFF"/>
                <w:lang w:val="en-US"/>
              </w:rPr>
              <w:t>Certificatele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prin</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intermediul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mecanismului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prevăzut</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până</w:t>
            </w:r>
            <w:proofErr w:type="spellEnd"/>
            <w:r w:rsidRPr="003D4F0B">
              <w:rPr>
                <w:rFonts w:eastAsia="Arial Unicode MS"/>
                <w:color w:val="000000" w:themeColor="text1"/>
                <w:sz w:val="20"/>
                <w:szCs w:val="20"/>
                <w:shd w:val="clear" w:color="auto" w:fill="FFFFFF"/>
                <w:lang w:val="en-US"/>
              </w:rPr>
              <w:t xml:space="preserve"> la 31</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decembrie</w:t>
            </w:r>
            <w:proofErr w:type="spellEnd"/>
            <w:r w:rsidRPr="003D4F0B">
              <w:rPr>
                <w:rFonts w:eastAsia="Arial Unicode MS"/>
                <w:color w:val="000000" w:themeColor="text1"/>
                <w:sz w:val="20"/>
                <w:szCs w:val="20"/>
                <w:shd w:val="clear" w:color="auto" w:fill="FFFFFF"/>
                <w:lang w:val="en-US"/>
              </w:rPr>
              <w:t xml:space="preserve"> 2029.</w:t>
            </w:r>
          </w:p>
          <w:p w14:paraId="73992EB4" w14:textId="01D0F7E0"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(1)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peste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ori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mare </w:t>
            </w:r>
            <w:proofErr w:type="spellStart"/>
            <w:r w:rsidRPr="003D4F0B">
              <w:rPr>
                <w:rFonts w:eastAsia="Arial Unicode MS"/>
                <w:color w:val="000000" w:themeColor="text1"/>
                <w:sz w:val="20"/>
                <w:szCs w:val="20"/>
                <w:shd w:val="clear" w:color="auto" w:fill="FFFFFF"/>
                <w:lang w:val="en-US"/>
              </w:rPr>
              <w:t>decât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al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cursul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șase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consecutive </w:t>
            </w:r>
            <w:proofErr w:type="spellStart"/>
            <w:r w:rsidRPr="003D4F0B">
              <w:rPr>
                <w:rFonts w:eastAsia="Arial Unicode MS"/>
                <w:color w:val="000000" w:themeColor="text1"/>
                <w:sz w:val="20"/>
                <w:szCs w:val="20"/>
                <w:shd w:val="clear" w:color="auto" w:fill="FFFFFF"/>
                <w:lang w:val="en-US"/>
              </w:rPr>
              <w:t>precedente</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150 de </w:t>
            </w:r>
            <w:proofErr w:type="spellStart"/>
            <w:r w:rsidRPr="003D4F0B">
              <w:rPr>
                <w:rFonts w:eastAsia="Arial Unicode MS"/>
                <w:color w:val="000000" w:themeColor="text1"/>
                <w:sz w:val="20"/>
                <w:szCs w:val="20"/>
                <w:shd w:val="clear" w:color="auto" w:fill="FFFFFF"/>
                <w:lang w:val="en-US"/>
              </w:rPr>
              <w:t>milioane</w:t>
            </w:r>
            <w:proofErr w:type="spellEnd"/>
            <w:r w:rsidRPr="003D4F0B">
              <w:rPr>
                <w:rFonts w:eastAsia="Arial Unicode MS"/>
                <w:color w:val="000000" w:themeColor="text1"/>
                <w:sz w:val="20"/>
                <w:szCs w:val="20"/>
                <w:shd w:val="clear" w:color="auto" w:fill="FFFFFF"/>
                <w:lang w:val="en-US"/>
              </w:rPr>
              <w:t xml:space="preserve"> de certificate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din </w:t>
            </w:r>
            <w:proofErr w:type="spellStart"/>
            <w:r w:rsidRPr="003D4F0B">
              <w:rPr>
                <w:rFonts w:eastAsia="Arial Unicode MS"/>
                <w:color w:val="000000" w:themeColor="text1"/>
                <w:sz w:val="20"/>
                <w:szCs w:val="20"/>
                <w:shd w:val="clear" w:color="auto" w:fill="FFFFFF"/>
                <w:lang w:val="en-US"/>
              </w:rPr>
              <w:t>rezerva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stabilitatea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pieței</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(7) din </w:t>
            </w:r>
            <w:proofErr w:type="spellStart"/>
            <w:r w:rsidRPr="003D4F0B">
              <w:rPr>
                <w:rFonts w:eastAsia="Arial Unicode MS"/>
                <w:color w:val="000000" w:themeColor="text1"/>
                <w:sz w:val="20"/>
                <w:szCs w:val="20"/>
                <w:shd w:val="clear" w:color="auto" w:fill="FFFFFF"/>
                <w:lang w:val="en-US"/>
              </w:rPr>
              <w:t>Decizia</w:t>
            </w:r>
            <w:proofErr w:type="spellEnd"/>
            <w:r w:rsidRPr="003D4F0B">
              <w:rPr>
                <w:rFonts w:eastAsia="Arial Unicode MS"/>
                <w:color w:val="000000" w:themeColor="text1"/>
                <w:sz w:val="20"/>
                <w:szCs w:val="20"/>
                <w:shd w:val="clear" w:color="auto" w:fill="FFFFFF"/>
                <w:lang w:val="en-US"/>
              </w:rPr>
              <w:t xml:space="preserve"> (UE)</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2015/1814.</w:t>
            </w:r>
          </w:p>
          <w:p w14:paraId="56A19F8F" w14:textId="77777777"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(2) a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aceeași</w:t>
            </w:r>
            <w:proofErr w:type="spellEnd"/>
            <w:r w:rsidRPr="003D4F0B">
              <w:rPr>
                <w:rFonts w:eastAsia="Arial Unicode MS"/>
                <w:color w:val="000000" w:themeColor="text1"/>
                <w:sz w:val="20"/>
                <w:szCs w:val="20"/>
                <w:shd w:val="clear" w:color="auto" w:fill="FFFFFF"/>
                <w:lang w:val="en-US"/>
              </w:rPr>
              <w:t xml:space="preserve"> zi cu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(1)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(3),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certificate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numai</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alineatului</w:t>
            </w:r>
            <w:proofErr w:type="spellEnd"/>
            <w:r w:rsidRPr="003D4F0B">
              <w:rPr>
                <w:rFonts w:eastAsia="Arial Unicode MS"/>
                <w:color w:val="000000" w:themeColor="text1"/>
                <w:sz w:val="20"/>
                <w:szCs w:val="20"/>
                <w:shd w:val="clear" w:color="auto" w:fill="FFFFFF"/>
                <w:lang w:val="en-US"/>
              </w:rPr>
              <w:t xml:space="preserve"> (1)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(3).</w:t>
            </w:r>
          </w:p>
          <w:p w14:paraId="117307A5" w14:textId="576F89A0"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Înainte</w:t>
            </w:r>
            <w:proofErr w:type="spellEnd"/>
            <w:r w:rsidRPr="003D4F0B">
              <w:rPr>
                <w:rFonts w:eastAsia="Arial Unicode MS"/>
                <w:color w:val="000000" w:themeColor="text1"/>
                <w:sz w:val="20"/>
                <w:szCs w:val="20"/>
                <w:shd w:val="clear" w:color="auto" w:fill="FFFFFF"/>
                <w:lang w:val="en-US"/>
              </w:rPr>
              <w:t xml:space="preserve"> de 31</w:t>
            </w:r>
            <w:r w:rsid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decembrie</w:t>
            </w:r>
            <w:proofErr w:type="spellEnd"/>
            <w:r w:rsidRPr="003D4F0B">
              <w:rPr>
                <w:rFonts w:eastAsia="Arial Unicode MS"/>
                <w:color w:val="000000" w:themeColor="text1"/>
                <w:sz w:val="20"/>
                <w:szCs w:val="20"/>
                <w:shd w:val="clear" w:color="auto" w:fill="FFFFFF"/>
                <w:lang w:val="en-US"/>
              </w:rPr>
              <w:t xml:space="preserve"> 2029,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prezintă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Parlamentului</w:t>
            </w:r>
            <w:proofErr w:type="spellEnd"/>
            <w:r w:rsidRPr="003D4F0B">
              <w:rPr>
                <w:rFonts w:eastAsia="Arial Unicode MS"/>
                <w:color w:val="000000" w:themeColor="text1"/>
                <w:sz w:val="20"/>
                <w:szCs w:val="20"/>
                <w:shd w:val="clear" w:color="auto" w:fill="FFFFFF"/>
                <w:lang w:val="en-US"/>
              </w:rPr>
              <w:t xml:space="preserve"> European și </w:t>
            </w:r>
            <w:proofErr w:type="spellStart"/>
            <w:r w:rsidRPr="003D4F0B">
              <w:rPr>
                <w:rFonts w:eastAsia="Arial Unicode MS"/>
                <w:color w:val="000000" w:themeColor="text1"/>
                <w:sz w:val="20"/>
                <w:szCs w:val="20"/>
                <w:shd w:val="clear" w:color="auto" w:fill="FFFFFF"/>
                <w:lang w:val="en-US"/>
              </w:rPr>
              <w:t>Consiliului</w:t>
            </w:r>
            <w:proofErr w:type="spellEnd"/>
            <w:r w:rsidRPr="003D4F0B">
              <w:rPr>
                <w:rFonts w:eastAsia="Arial Unicode MS"/>
                <w:color w:val="000000" w:themeColor="text1"/>
                <w:sz w:val="20"/>
                <w:szCs w:val="20"/>
                <w:shd w:val="clear" w:color="auto" w:fill="FFFFFF"/>
                <w:lang w:val="en-US"/>
              </w:rPr>
              <w:t xml:space="preserve"> un </w:t>
            </w:r>
            <w:proofErr w:type="spellStart"/>
            <w:r w:rsidRPr="003D4F0B">
              <w:rPr>
                <w:rFonts w:eastAsia="Arial Unicode MS"/>
                <w:color w:val="000000" w:themeColor="text1"/>
                <w:sz w:val="20"/>
                <w:szCs w:val="20"/>
                <w:shd w:val="clear" w:color="auto" w:fill="FFFFFF"/>
                <w:lang w:val="en-US"/>
              </w:rPr>
              <w:t>raport</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evaluează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dacă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mecanismul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(2) a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eficient</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dacă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trebui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menținut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Dacă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anexează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raportul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w:t>
            </w:r>
            <w:proofErr w:type="spellEnd"/>
            <w:r w:rsidRPr="003D4F0B">
              <w:rPr>
                <w:rFonts w:eastAsia="Arial Unicode MS"/>
                <w:color w:val="000000" w:themeColor="text1"/>
                <w:sz w:val="20"/>
                <w:szCs w:val="20"/>
                <w:shd w:val="clear" w:color="auto" w:fill="FFFFFF"/>
                <w:lang w:val="en-US"/>
              </w:rPr>
              <w:t xml:space="preserve"> o </w:t>
            </w:r>
            <w:proofErr w:type="spellStart"/>
            <w:r w:rsidRPr="003D4F0B">
              <w:rPr>
                <w:rFonts w:eastAsia="Arial Unicode MS"/>
                <w:color w:val="000000" w:themeColor="text1"/>
                <w:sz w:val="20"/>
                <w:szCs w:val="20"/>
                <w:shd w:val="clear" w:color="auto" w:fill="FFFFFF"/>
                <w:lang w:val="en-US"/>
              </w:rPr>
              <w:t>propunere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legislativă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adresată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Parlamentului</w:t>
            </w:r>
            <w:proofErr w:type="spellEnd"/>
            <w:r w:rsidRPr="003D4F0B">
              <w:rPr>
                <w:rFonts w:eastAsia="Arial Unicode MS"/>
                <w:color w:val="000000" w:themeColor="text1"/>
                <w:sz w:val="20"/>
                <w:szCs w:val="20"/>
                <w:shd w:val="clear" w:color="auto" w:fill="FFFFFF"/>
                <w:lang w:val="en-US"/>
              </w:rPr>
              <w:t xml:space="preserve"> European și </w:t>
            </w:r>
            <w:proofErr w:type="spellStart"/>
            <w:r w:rsidRPr="003D4F0B">
              <w:rPr>
                <w:rFonts w:eastAsia="Arial Unicode MS"/>
                <w:color w:val="000000" w:themeColor="text1"/>
                <w:sz w:val="20"/>
                <w:szCs w:val="20"/>
                <w:shd w:val="clear" w:color="auto" w:fill="FFFFFF"/>
                <w:lang w:val="en-US"/>
              </w:rPr>
              <w:t>Consiliului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modificare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prezentei</w:t>
            </w:r>
            <w:proofErr w:type="spellEnd"/>
            <w:r w:rsidRPr="003D4F0B">
              <w:rPr>
                <w:rFonts w:eastAsia="Arial Unicode MS"/>
                <w:color w:val="000000" w:themeColor="text1"/>
                <w:sz w:val="20"/>
                <w:szCs w:val="20"/>
                <w:shd w:val="clear" w:color="auto" w:fill="FFFFFF"/>
                <w:lang w:val="en-US"/>
              </w:rPr>
              <w:t xml:space="preserve"> directive în </w:t>
            </w:r>
            <w:proofErr w:type="spellStart"/>
            <w:r w:rsidRPr="003D4F0B">
              <w:rPr>
                <w:rFonts w:eastAsia="Arial Unicode MS"/>
                <w:color w:val="000000" w:themeColor="text1"/>
                <w:sz w:val="20"/>
                <w:szCs w:val="20"/>
                <w:shd w:val="clear" w:color="auto" w:fill="FFFFFF"/>
                <w:lang w:val="en-US"/>
              </w:rPr>
              <w:t>vederea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ajustării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mecanismului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w:t>
            </w:r>
            <w:proofErr w:type="spellEnd"/>
            <w:r w:rsidRPr="003D4F0B">
              <w:rPr>
                <w:rFonts w:eastAsia="Arial Unicode MS"/>
                <w:color w:val="000000" w:themeColor="text1"/>
                <w:sz w:val="20"/>
                <w:szCs w:val="20"/>
                <w:shd w:val="clear" w:color="auto" w:fill="FFFFFF"/>
                <w:lang w:val="en-US"/>
              </w:rPr>
              <w:t>.</w:t>
            </w:r>
          </w:p>
          <w:p w14:paraId="04F8FE7E" w14:textId="77777777"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una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multe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dintre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condițiile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(1), (2)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(3) au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îndeplinite</w:t>
            </w:r>
            <w:proofErr w:type="spellEnd"/>
            <w:r w:rsidRPr="003D4F0B">
              <w:rPr>
                <w:rFonts w:eastAsia="Arial Unicode MS"/>
                <w:color w:val="000000" w:themeColor="text1"/>
                <w:sz w:val="20"/>
                <w:szCs w:val="20"/>
                <w:shd w:val="clear" w:color="auto" w:fill="FFFFFF"/>
                <w:lang w:val="en-US"/>
              </w:rPr>
              <w:t xml:space="preserve"> și au </w:t>
            </w:r>
            <w:proofErr w:type="spellStart"/>
            <w:r w:rsidRPr="003D4F0B">
              <w:rPr>
                <w:rFonts w:eastAsia="Arial Unicode MS"/>
                <w:color w:val="000000" w:themeColor="text1"/>
                <w:sz w:val="20"/>
                <w:szCs w:val="20"/>
                <w:shd w:val="clear" w:color="auto" w:fill="FFFFFF"/>
                <w:lang w:val="en-US"/>
              </w:rPr>
              <w:t>dus</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eliberarea</w:t>
            </w:r>
            <w:proofErr w:type="spellEnd"/>
            <w:r w:rsidRPr="003D4F0B">
              <w:rPr>
                <w:rFonts w:eastAsia="Arial Unicode MS"/>
                <w:color w:val="000000" w:themeColor="text1"/>
                <w:sz w:val="20"/>
                <w:szCs w:val="20"/>
                <w:shd w:val="clear" w:color="auto" w:fill="FFFFFF"/>
                <w:lang w:val="en-US"/>
              </w:rPr>
              <w:t xml:space="preserve"> de certificate, nu se </w:t>
            </w:r>
            <w:proofErr w:type="spellStart"/>
            <w:r w:rsidRPr="003D4F0B">
              <w:rPr>
                <w:rFonts w:eastAsia="Arial Unicode MS"/>
                <w:color w:val="000000" w:themeColor="text1"/>
                <w:sz w:val="20"/>
                <w:szCs w:val="20"/>
                <w:shd w:val="clear" w:color="auto" w:fill="FFFFFF"/>
                <w:lang w:val="en-US"/>
              </w:rPr>
              <w:t>eliberează</w:t>
            </w:r>
            <w:proofErr w:type="spellEnd"/>
            <w:r w:rsidRPr="003D4F0B">
              <w:rPr>
                <w:rFonts w:eastAsia="Arial Unicode MS"/>
                <w:color w:val="000000" w:themeColor="text1"/>
                <w:sz w:val="20"/>
                <w:szCs w:val="20"/>
                <w:shd w:val="clear" w:color="auto" w:fill="FFFFFF"/>
                <w:lang w:val="en-US"/>
              </w:rPr>
              <w:t xml:space="preserve"> certificate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devreme</w:t>
            </w:r>
            <w:proofErr w:type="spellEnd"/>
            <w:r w:rsidRPr="003D4F0B">
              <w:rPr>
                <w:rFonts w:eastAsia="Arial Unicode MS"/>
                <w:color w:val="000000" w:themeColor="text1"/>
                <w:sz w:val="20"/>
                <w:szCs w:val="20"/>
                <w:shd w:val="clear" w:color="auto" w:fill="FFFFFF"/>
                <w:lang w:val="en-US"/>
              </w:rPr>
              <w:t xml:space="preserve"> de 12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de la </w:t>
            </w:r>
            <w:proofErr w:type="spellStart"/>
            <w:r w:rsidRPr="003D4F0B">
              <w:rPr>
                <w:rFonts w:eastAsia="Arial Unicode MS"/>
                <w:color w:val="000000" w:themeColor="text1"/>
                <w:sz w:val="20"/>
                <w:szCs w:val="20"/>
                <w:shd w:val="clear" w:color="auto" w:fill="FFFFFF"/>
                <w:lang w:val="en-US"/>
              </w:rPr>
              <w:t>această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dată</w:t>
            </w:r>
            <w:proofErr w:type="spellEnd"/>
            <w:r w:rsidRPr="003D4F0B">
              <w:rPr>
                <w:rFonts w:eastAsia="Arial Unicode MS"/>
                <w:color w:val="000000" w:themeColor="text1"/>
                <w:sz w:val="20"/>
                <w:szCs w:val="20"/>
                <w:shd w:val="clear" w:color="auto" w:fill="FFFFFF"/>
                <w:lang w:val="en-US"/>
              </w:rPr>
              <w:t>.</w:t>
            </w:r>
          </w:p>
          <w:p w14:paraId="5F47C811" w14:textId="46B293EA"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în a </w:t>
            </w:r>
            <w:proofErr w:type="spellStart"/>
            <w:r w:rsidRPr="003D4F0B">
              <w:rPr>
                <w:rFonts w:eastAsia="Arial Unicode MS"/>
                <w:color w:val="000000" w:themeColor="text1"/>
                <w:sz w:val="20"/>
                <w:szCs w:val="20"/>
                <w:shd w:val="clear" w:color="auto" w:fill="FFFFFF"/>
                <w:lang w:val="en-US"/>
              </w:rPr>
              <w:t>doua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jumătate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perioadei</w:t>
            </w:r>
            <w:proofErr w:type="spellEnd"/>
            <w:r w:rsidRPr="003D4F0B">
              <w:rPr>
                <w:rFonts w:eastAsia="Arial Unicode MS"/>
                <w:color w:val="000000" w:themeColor="text1"/>
                <w:sz w:val="20"/>
                <w:szCs w:val="20"/>
                <w:shd w:val="clear" w:color="auto" w:fill="FFFFFF"/>
                <w:lang w:val="en-US"/>
              </w:rPr>
              <w:t xml:space="preserve"> de 12 </w:t>
            </w:r>
            <w:proofErr w:type="spellStart"/>
            <w:r w:rsidRPr="003D4F0B">
              <w:rPr>
                <w:rFonts w:eastAsia="Arial Unicode MS"/>
                <w:color w:val="000000" w:themeColor="text1"/>
                <w:sz w:val="20"/>
                <w:szCs w:val="20"/>
                <w:shd w:val="clear" w:color="auto" w:fill="FFFFFF"/>
                <w:lang w:val="en-US"/>
              </w:rPr>
              <w:t>luni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(6)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(2)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din </w:t>
            </w:r>
            <w:proofErr w:type="spellStart"/>
            <w:r w:rsidRPr="003D4F0B">
              <w:rPr>
                <w:rFonts w:eastAsia="Arial Unicode MS"/>
                <w:color w:val="000000" w:themeColor="text1"/>
                <w:sz w:val="20"/>
                <w:szCs w:val="20"/>
                <w:shd w:val="clear" w:color="auto" w:fill="FFFFFF"/>
                <w:lang w:val="en-US"/>
              </w:rPr>
              <w:t>nou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asistată</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comitetul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instituit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prin</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44 din </w:t>
            </w:r>
            <w:proofErr w:type="spellStart"/>
            <w:r w:rsidRPr="003D4F0B">
              <w:rPr>
                <w:rFonts w:eastAsia="Arial Unicode MS"/>
                <w:color w:val="000000" w:themeColor="text1"/>
                <w:sz w:val="20"/>
                <w:szCs w:val="20"/>
                <w:shd w:val="clear" w:color="auto" w:fill="FFFFFF"/>
                <w:lang w:val="en-US"/>
              </w:rPr>
              <w:t>Regulamentul</w:t>
            </w:r>
            <w:proofErr w:type="spellEnd"/>
            <w:r w:rsidRPr="003D4F0B">
              <w:rPr>
                <w:rFonts w:eastAsia="Arial Unicode MS"/>
                <w:color w:val="000000" w:themeColor="text1"/>
                <w:sz w:val="20"/>
                <w:szCs w:val="20"/>
                <w:shd w:val="clear" w:color="auto" w:fill="FFFFFF"/>
                <w:lang w:val="en-US"/>
              </w:rPr>
              <w:t xml:space="preserve"> (UE)</w:t>
            </w:r>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2018/1999, </w:t>
            </w:r>
            <w:proofErr w:type="spellStart"/>
            <w:r w:rsidRPr="003D4F0B">
              <w:rPr>
                <w:rFonts w:eastAsia="Arial Unicode MS"/>
                <w:color w:val="000000" w:themeColor="text1"/>
                <w:sz w:val="20"/>
                <w:szCs w:val="20"/>
                <w:shd w:val="clear" w:color="auto" w:fill="FFFFFF"/>
                <w:lang w:val="en-US"/>
              </w:rPr>
              <w:t>evaluează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eficiența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măsurii</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poate</w:t>
            </w:r>
            <w:proofErr w:type="spellEnd"/>
            <w:r w:rsidRPr="003D4F0B">
              <w:rPr>
                <w:rFonts w:eastAsia="Arial Unicode MS"/>
                <w:color w:val="000000" w:themeColor="text1"/>
                <w:sz w:val="20"/>
                <w:szCs w:val="20"/>
                <w:shd w:val="clear" w:color="auto" w:fill="FFFFFF"/>
                <w:lang w:val="en-US"/>
              </w:rPr>
              <w:t xml:space="preserve"> decide, </w:t>
            </w:r>
            <w:proofErr w:type="spellStart"/>
            <w:r w:rsidRPr="003D4F0B">
              <w:rPr>
                <w:rFonts w:eastAsia="Arial Unicode MS"/>
                <w:color w:val="000000" w:themeColor="text1"/>
                <w:sz w:val="20"/>
                <w:szCs w:val="20"/>
                <w:shd w:val="clear" w:color="auto" w:fill="FFFFFF"/>
                <w:lang w:val="en-US"/>
              </w:rPr>
              <w:t>prin</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intermediul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unui</w:t>
            </w:r>
            <w:proofErr w:type="spellEnd"/>
            <w:r w:rsidRPr="003D4F0B">
              <w:rPr>
                <w:rFonts w:eastAsia="Arial Unicode MS"/>
                <w:color w:val="000000" w:themeColor="text1"/>
                <w:sz w:val="20"/>
                <w:szCs w:val="20"/>
                <w:shd w:val="clear" w:color="auto" w:fill="FFFFFF"/>
                <w:lang w:val="en-US"/>
              </w:rPr>
              <w:t xml:space="preserve"> act de </w:t>
            </w:r>
            <w:proofErr w:type="spellStart"/>
            <w:r w:rsidRPr="003D4F0B">
              <w:rPr>
                <w:rFonts w:eastAsia="Arial Unicode MS"/>
                <w:color w:val="000000" w:themeColor="text1"/>
                <w:sz w:val="20"/>
                <w:szCs w:val="20"/>
                <w:shd w:val="clear" w:color="auto" w:fill="FFFFFF"/>
                <w:lang w:val="en-US"/>
              </w:rPr>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(6)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nu se </w:t>
            </w:r>
            <w:proofErr w:type="spellStart"/>
            <w:r w:rsidRPr="003D4F0B">
              <w:rPr>
                <w:rFonts w:eastAsia="Arial Unicode MS"/>
                <w:color w:val="000000" w:themeColor="text1"/>
                <w:sz w:val="20"/>
                <w:szCs w:val="20"/>
                <w:shd w:val="clear" w:color="auto" w:fill="FFFFFF"/>
                <w:lang w:val="en-US"/>
              </w:rPr>
              <w:t>aplică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Respectivul</w:t>
            </w:r>
            <w:proofErr w:type="spellEnd"/>
            <w:r w:rsidRPr="003D4F0B">
              <w:rPr>
                <w:rFonts w:eastAsia="Arial Unicode MS"/>
                <w:color w:val="000000" w:themeColor="text1"/>
                <w:sz w:val="20"/>
                <w:szCs w:val="20"/>
                <w:shd w:val="clear" w:color="auto" w:fill="FFFFFF"/>
                <w:lang w:val="en-US"/>
              </w:rPr>
              <w:t xml:space="preserve"> act de </w:t>
            </w:r>
            <w:proofErr w:type="spellStart"/>
            <w:r w:rsidRPr="003D4F0B">
              <w:rPr>
                <w:rFonts w:eastAsia="Arial Unicode MS"/>
                <w:color w:val="000000" w:themeColor="text1"/>
                <w:sz w:val="20"/>
                <w:szCs w:val="20"/>
                <w:shd w:val="clear" w:color="auto" w:fill="FFFFFF"/>
                <w:lang w:val="en-US"/>
              </w:rPr>
              <w:lastRenderedPageBreak/>
              <w:t>punere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respective se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procedura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examinare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22a </w:t>
            </w:r>
            <w:proofErr w:type="spellStart"/>
            <w:r w:rsidRPr="003D4F0B">
              <w:rPr>
                <w:rFonts w:eastAsia="Arial Unicode MS"/>
                <w:color w:val="000000" w:themeColor="text1"/>
                <w:sz w:val="20"/>
                <w:szCs w:val="20"/>
                <w:shd w:val="clear" w:color="auto" w:fill="FFFFFF"/>
                <w:lang w:val="en-US"/>
              </w:rPr>
              <w:t>alineatul</w:t>
            </w:r>
            <w:proofErr w:type="spellEnd"/>
            <w:r w:rsidR="003D4F0B"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 din prezenta </w:t>
            </w:r>
            <w:proofErr w:type="spellStart"/>
            <w:r w:rsidRPr="003D4F0B">
              <w:rPr>
                <w:rFonts w:eastAsia="Arial Unicode MS"/>
                <w:color w:val="000000" w:themeColor="text1"/>
                <w:sz w:val="20"/>
                <w:szCs w:val="20"/>
                <w:shd w:val="clear" w:color="auto" w:fill="FFFFFF"/>
                <w:lang w:val="en-US"/>
              </w:rPr>
              <w:t>directivă</w:t>
            </w:r>
            <w:proofErr w:type="spellEnd"/>
            <w:r w:rsidRPr="003D4F0B">
              <w:rPr>
                <w:rFonts w:eastAsia="Arial Unicode MS"/>
                <w:color w:val="000000" w:themeColor="text1"/>
                <w:sz w:val="20"/>
                <w:szCs w:val="20"/>
                <w:shd w:val="clear" w:color="auto" w:fill="FFFFFF"/>
                <w:lang w:val="en-US"/>
              </w:rPr>
              <w:t>.</w:t>
            </w:r>
          </w:p>
          <w:p w14:paraId="5FD31907" w14:textId="5141C5E9" w:rsidR="00124364" w:rsidRPr="003D4F0B" w:rsidRDefault="00000000" w:rsidP="003D4F0B">
            <w:pPr>
              <w:pStyle w:val="ti-art"/>
              <w:numPr>
                <w:ilvl w:val="0"/>
                <w:numId w:val="15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3D4F0B">
              <w:rPr>
                <w:rFonts w:eastAsia="Arial Unicode MS"/>
                <w:color w:val="000000" w:themeColor="text1"/>
                <w:sz w:val="20"/>
                <w:szCs w:val="20"/>
                <w:shd w:val="clear" w:color="auto" w:fill="FFFFFF"/>
                <w:lang w:val="en-US"/>
              </w:rPr>
              <w:t xml:space="preserve">În </w:t>
            </w:r>
            <w:proofErr w:type="spellStart"/>
            <w:r w:rsidRPr="003D4F0B">
              <w:rPr>
                <w:rFonts w:eastAsia="Arial Unicode MS"/>
                <w:color w:val="000000" w:themeColor="text1"/>
                <w:sz w:val="20"/>
                <w:szCs w:val="20"/>
                <w:shd w:val="clear" w:color="auto" w:fill="FFFFFF"/>
                <w:lang w:val="en-US"/>
              </w:rPr>
              <w:t>cazul</w:t>
            </w:r>
            <w:proofErr w:type="spellEnd"/>
            <w:r w:rsidRPr="003D4F0B">
              <w:rPr>
                <w:rFonts w:eastAsia="Arial Unicode MS"/>
                <w:color w:val="000000" w:themeColor="text1"/>
                <w:sz w:val="20"/>
                <w:szCs w:val="20"/>
                <w:shd w:val="clear" w:color="auto" w:fill="FFFFFF"/>
                <w:lang w:val="en-US"/>
              </w:rPr>
              <w:t xml:space="preserve"> în care </w:t>
            </w:r>
            <w:proofErr w:type="spellStart"/>
            <w:r w:rsidRPr="003D4F0B">
              <w:rPr>
                <w:rFonts w:eastAsia="Arial Unicode MS"/>
                <w:color w:val="000000" w:themeColor="text1"/>
                <w:sz w:val="20"/>
                <w:szCs w:val="20"/>
                <w:shd w:val="clear" w:color="auto" w:fill="FFFFFF"/>
                <w:lang w:val="en-US"/>
              </w:rPr>
              <w:t>una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mai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multe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dintre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condițiile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(1), (2)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(3) au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iar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alineatul</w:t>
            </w:r>
            <w:proofErr w:type="spellEnd"/>
            <w:r w:rsidRPr="003D4F0B">
              <w:rPr>
                <w:rFonts w:eastAsia="Arial Unicode MS"/>
                <w:color w:val="000000" w:themeColor="text1"/>
                <w:sz w:val="20"/>
                <w:szCs w:val="20"/>
                <w:shd w:val="clear" w:color="auto" w:fill="FFFFFF"/>
                <w:lang w:val="en-US"/>
              </w:rPr>
              <w:t xml:space="preserve"> (6) nu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aplicabil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publică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imediat</w:t>
            </w:r>
            <w:proofErr w:type="spellEnd"/>
            <w:r w:rsidRPr="003D4F0B">
              <w:rPr>
                <w:rFonts w:eastAsia="Arial Unicode MS"/>
                <w:color w:val="000000" w:themeColor="text1"/>
                <w:sz w:val="20"/>
                <w:szCs w:val="20"/>
                <w:shd w:val="clear" w:color="auto" w:fill="FFFFFF"/>
                <w:lang w:val="en-US"/>
              </w:rPr>
              <w:t xml:space="preserve"> în</w:t>
            </w:r>
            <w:r w:rsidR="003D4F0B" w:rsidRPr="003D4F0B">
              <w:rPr>
                <w:rStyle w:val="apple-converted-space"/>
                <w:rFonts w:eastAsia="Arial Unicode MS"/>
                <w:color w:val="000000" w:themeColor="text1"/>
                <w:sz w:val="20"/>
                <w:szCs w:val="20"/>
                <w:shd w:val="clear" w:color="auto" w:fill="FFFFFF"/>
                <w:lang w:val="en-US"/>
              </w:rPr>
              <w:t xml:space="preserve"> </w:t>
            </w:r>
            <w:proofErr w:type="spellStart"/>
            <w:r w:rsidRPr="003D4F0B">
              <w:rPr>
                <w:rStyle w:val="italics"/>
                <w:rFonts w:eastAsia="Arial Unicode MS"/>
                <w:i/>
                <w:iCs/>
                <w:color w:val="000000" w:themeColor="text1"/>
                <w:sz w:val="20"/>
                <w:szCs w:val="20"/>
                <w:lang w:val="en-US"/>
              </w:rPr>
              <w:t>Jurnalul</w:t>
            </w:r>
            <w:proofErr w:type="spellEnd"/>
            <w:r w:rsidRPr="003D4F0B">
              <w:rPr>
                <w:rStyle w:val="italics"/>
                <w:rFonts w:eastAsia="Arial Unicode MS"/>
                <w:i/>
                <w:iCs/>
                <w:color w:val="000000" w:themeColor="text1"/>
                <w:sz w:val="20"/>
                <w:szCs w:val="20"/>
                <w:lang w:val="en-US"/>
              </w:rPr>
              <w:t xml:space="preserve"> </w:t>
            </w:r>
            <w:proofErr w:type="spellStart"/>
            <w:r w:rsidRPr="003D4F0B">
              <w:rPr>
                <w:rStyle w:val="italics"/>
                <w:rFonts w:eastAsia="Arial Unicode MS"/>
                <w:i/>
                <w:iCs/>
                <w:color w:val="000000" w:themeColor="text1"/>
                <w:sz w:val="20"/>
                <w:szCs w:val="20"/>
                <w:lang w:val="en-US"/>
              </w:rPr>
              <w:t>Oficial</w:t>
            </w:r>
            <w:proofErr w:type="spellEnd"/>
            <w:r w:rsidRPr="003D4F0B">
              <w:rPr>
                <w:rStyle w:val="italics"/>
                <w:rFonts w:eastAsia="Arial Unicode MS"/>
                <w:i/>
                <w:iCs/>
                <w:color w:val="000000" w:themeColor="text1"/>
                <w:sz w:val="20"/>
                <w:szCs w:val="20"/>
                <w:lang w:val="en-US"/>
              </w:rPr>
              <w:t xml:space="preserve"> al </w:t>
            </w:r>
            <w:proofErr w:type="spellStart"/>
            <w:r w:rsidRPr="003D4F0B">
              <w:rPr>
                <w:rStyle w:val="italics"/>
                <w:rFonts w:eastAsia="Arial Unicode MS"/>
                <w:i/>
                <w:iCs/>
                <w:color w:val="000000" w:themeColor="text1"/>
                <w:sz w:val="20"/>
                <w:szCs w:val="20"/>
                <w:lang w:val="en-US"/>
              </w:rPr>
              <w:t>Uniunii</w:t>
            </w:r>
            <w:proofErr w:type="spellEnd"/>
            <w:r w:rsidRPr="003D4F0B">
              <w:rPr>
                <w:rStyle w:val="italics"/>
                <w:rFonts w:eastAsia="Arial Unicode MS"/>
                <w:i/>
                <w:iCs/>
                <w:color w:val="000000" w:themeColor="text1"/>
                <w:sz w:val="20"/>
                <w:szCs w:val="20"/>
                <w:lang w:val="en-US"/>
              </w:rPr>
              <w:t xml:space="preserve"> </w:t>
            </w:r>
            <w:proofErr w:type="spellStart"/>
            <w:r w:rsidRPr="003D4F0B">
              <w:rPr>
                <w:rStyle w:val="italics"/>
                <w:rFonts w:eastAsia="Arial Unicode MS"/>
                <w:i/>
                <w:iCs/>
                <w:color w:val="000000" w:themeColor="text1"/>
                <w:sz w:val="20"/>
                <w:szCs w:val="20"/>
                <w:lang w:val="en-US"/>
              </w:rPr>
              <w:t>Europene</w:t>
            </w:r>
            <w:proofErr w:type="spellEnd"/>
            <w:r w:rsidR="003D4F0B" w:rsidRPr="003D4F0B">
              <w:rPr>
                <w:rStyle w:val="apple-converted-space"/>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un </w:t>
            </w:r>
            <w:proofErr w:type="spellStart"/>
            <w:r w:rsidRPr="003D4F0B">
              <w:rPr>
                <w:rFonts w:eastAsia="Arial Unicode MS"/>
                <w:color w:val="000000" w:themeColor="text1"/>
                <w:sz w:val="20"/>
                <w:szCs w:val="20"/>
                <w:shd w:val="clear" w:color="auto" w:fill="FFFFFF"/>
                <w:lang w:val="en-US"/>
              </w:rPr>
              <w:t>aviz</w:t>
            </w:r>
            <w:proofErr w:type="spellEnd"/>
            <w:r w:rsidRPr="003D4F0B">
              <w:rPr>
                <w:rFonts w:eastAsia="Arial Unicode MS"/>
                <w:color w:val="000000" w:themeColor="text1"/>
                <w:sz w:val="20"/>
                <w:szCs w:val="20"/>
                <w:shd w:val="clear" w:color="auto" w:fill="FFFFFF"/>
                <w:lang w:val="en-US"/>
              </w:rPr>
              <w:t xml:space="preserve"> cu </w:t>
            </w:r>
            <w:proofErr w:type="spellStart"/>
            <w:r w:rsidRPr="003D4F0B">
              <w:rPr>
                <w:rFonts w:eastAsia="Arial Unicode MS"/>
                <w:color w:val="000000" w:themeColor="text1"/>
                <w:sz w:val="20"/>
                <w:szCs w:val="20"/>
                <w:shd w:val="clear" w:color="auto" w:fill="FFFFFF"/>
                <w:lang w:val="en-US"/>
              </w:rPr>
              <w:t>privire</w:t>
            </w:r>
            <w:proofErr w:type="spellEnd"/>
            <w:r w:rsidRPr="003D4F0B">
              <w:rPr>
                <w:rFonts w:eastAsia="Arial Unicode MS"/>
                <w:color w:val="000000" w:themeColor="text1"/>
                <w:sz w:val="20"/>
                <w:szCs w:val="20"/>
                <w:shd w:val="clear" w:color="auto" w:fill="FFFFFF"/>
                <w:lang w:val="en-US"/>
              </w:rPr>
              <w:t xml:space="preserve"> la data la care a </w:t>
            </w:r>
            <w:proofErr w:type="spellStart"/>
            <w:r w:rsidRPr="003D4F0B">
              <w:rPr>
                <w:rFonts w:eastAsia="Arial Unicode MS"/>
                <w:color w:val="000000" w:themeColor="text1"/>
                <w:sz w:val="20"/>
                <w:szCs w:val="20"/>
                <w:shd w:val="clear" w:color="auto" w:fill="FFFFFF"/>
                <w:lang w:val="en-US"/>
              </w:rPr>
              <w:t>fost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sau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condițiile</w:t>
            </w:r>
            <w:proofErr w:type="spellEnd"/>
            <w:r w:rsidRPr="003D4F0B">
              <w:rPr>
                <w:rFonts w:eastAsia="Arial Unicode MS"/>
                <w:color w:val="000000" w:themeColor="text1"/>
                <w:sz w:val="20"/>
                <w:szCs w:val="20"/>
                <w:shd w:val="clear" w:color="auto" w:fill="FFFFFF"/>
                <w:lang w:val="en-US"/>
              </w:rPr>
              <w:t xml:space="preserve"> respective.</w:t>
            </w:r>
          </w:p>
          <w:p w14:paraId="40740E1D" w14:textId="7582D02C" w:rsidR="00124364" w:rsidRDefault="00000000" w:rsidP="003D4F0B">
            <w:pPr>
              <w:pStyle w:val="ti-art"/>
              <w:numPr>
                <w:ilvl w:val="0"/>
                <w:numId w:val="151"/>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care fac </w:t>
            </w:r>
            <w:proofErr w:type="spellStart"/>
            <w:r w:rsidRPr="003D4F0B">
              <w:rPr>
                <w:rFonts w:eastAsia="Arial Unicode MS"/>
                <w:color w:val="000000" w:themeColor="text1"/>
                <w:sz w:val="20"/>
                <w:szCs w:val="20"/>
                <w:shd w:val="clear" w:color="auto" w:fill="FFFFFF"/>
                <w:lang w:val="en-US"/>
              </w:rPr>
              <w:t>obiectul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obligației</w:t>
            </w:r>
            <w:proofErr w:type="spellEnd"/>
            <w:r w:rsidRPr="003D4F0B">
              <w:rPr>
                <w:rFonts w:eastAsia="Arial Unicode MS"/>
                <w:color w:val="000000" w:themeColor="text1"/>
                <w:sz w:val="20"/>
                <w:szCs w:val="20"/>
                <w:shd w:val="clear" w:color="auto" w:fill="FFFFFF"/>
                <w:lang w:val="en-US"/>
              </w:rPr>
              <w:t xml:space="preserve"> de a prezenta un plan de </w:t>
            </w:r>
            <w:proofErr w:type="spellStart"/>
            <w:r w:rsidRPr="003D4F0B">
              <w:rPr>
                <w:rFonts w:eastAsia="Arial Unicode MS"/>
                <w:color w:val="000000" w:themeColor="text1"/>
                <w:sz w:val="20"/>
                <w:szCs w:val="20"/>
                <w:shd w:val="clear" w:color="auto" w:fill="FFFFFF"/>
                <w:lang w:val="en-US"/>
              </w:rPr>
              <w:t>acțiuni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corective</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8 din </w:t>
            </w:r>
            <w:proofErr w:type="spellStart"/>
            <w:r w:rsidRPr="003D4F0B">
              <w:rPr>
                <w:rFonts w:eastAsia="Arial Unicode MS"/>
                <w:color w:val="000000" w:themeColor="text1"/>
                <w:sz w:val="20"/>
                <w:szCs w:val="20"/>
                <w:shd w:val="clear" w:color="auto" w:fill="FFFFFF"/>
                <w:lang w:val="en-US"/>
              </w:rPr>
              <w:t>Regulamentul</w:t>
            </w:r>
            <w:proofErr w:type="spellEnd"/>
            <w:r w:rsidRPr="003D4F0B">
              <w:rPr>
                <w:rFonts w:eastAsia="Arial Unicode MS"/>
                <w:color w:val="000000" w:themeColor="text1"/>
                <w:sz w:val="20"/>
                <w:szCs w:val="20"/>
                <w:shd w:val="clear" w:color="auto" w:fill="FFFFFF"/>
                <w:lang w:val="en-US"/>
              </w:rPr>
              <w:t xml:space="preserve"> (UE)</w:t>
            </w:r>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2018/842 </w:t>
            </w:r>
            <w:proofErr w:type="spellStart"/>
            <w:r w:rsidRPr="003D4F0B">
              <w:rPr>
                <w:rFonts w:eastAsia="Arial Unicode MS"/>
                <w:color w:val="000000" w:themeColor="text1"/>
                <w:sz w:val="20"/>
                <w:szCs w:val="20"/>
                <w:shd w:val="clear" w:color="auto" w:fill="FFFFFF"/>
                <w:lang w:val="en-US"/>
              </w:rPr>
              <w:t>țin</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seama</w:t>
            </w:r>
            <w:proofErr w:type="spellEnd"/>
            <w:r w:rsidRPr="003D4F0B">
              <w:rPr>
                <w:rFonts w:eastAsia="Arial Unicode MS"/>
                <w:color w:val="000000" w:themeColor="text1"/>
                <w:sz w:val="20"/>
                <w:szCs w:val="20"/>
                <w:shd w:val="clear" w:color="auto" w:fill="FFFFFF"/>
                <w:lang w:val="en-US"/>
              </w:rPr>
              <w:t xml:space="preserve"> în mod </w:t>
            </w:r>
            <w:proofErr w:type="spellStart"/>
            <w:r w:rsidRPr="003D4F0B">
              <w:rPr>
                <w:rFonts w:eastAsia="Arial Unicode MS"/>
                <w:color w:val="000000" w:themeColor="text1"/>
                <w:sz w:val="20"/>
                <w:szCs w:val="20"/>
                <w:shd w:val="clear" w:color="auto" w:fill="FFFFFF"/>
                <w:lang w:val="en-US"/>
              </w:rPr>
              <w:t>corespunzător</w:t>
            </w:r>
            <w:proofErr w:type="spellEnd"/>
            <w:r w:rsidRPr="003D4F0B">
              <w:rPr>
                <w:rFonts w:eastAsia="Arial Unicode MS"/>
                <w:color w:val="000000" w:themeColor="text1"/>
                <w:sz w:val="20"/>
                <w:szCs w:val="20"/>
                <w:shd w:val="clear" w:color="auto" w:fill="FFFFFF"/>
                <w:lang w:val="en-US"/>
              </w:rPr>
              <w:t xml:space="preserve"> de efectele </w:t>
            </w:r>
            <w:proofErr w:type="spellStart"/>
            <w:r w:rsidRPr="003D4F0B">
              <w:rPr>
                <w:rFonts w:eastAsia="Arial Unicode MS"/>
                <w:color w:val="000000" w:themeColor="text1"/>
                <w:sz w:val="20"/>
                <w:szCs w:val="20"/>
                <w:shd w:val="clear" w:color="auto" w:fill="FFFFFF"/>
                <w:lang w:val="en-US"/>
              </w:rPr>
              <w:t>unei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eliberări</w:t>
            </w:r>
            <w:proofErr w:type="spellEnd"/>
            <w:r w:rsidRPr="003D4F0B">
              <w:rPr>
                <w:rFonts w:eastAsia="Arial Unicode MS"/>
                <w:color w:val="000000" w:themeColor="text1"/>
                <w:sz w:val="20"/>
                <w:szCs w:val="20"/>
                <w:shd w:val="clear" w:color="auto" w:fill="FFFFFF"/>
                <w:lang w:val="en-US"/>
              </w:rPr>
              <w:t xml:space="preserve"> de certificate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alineatului</w:t>
            </w:r>
            <w:proofErr w:type="spellEnd"/>
            <w:r w:rsidRPr="003D4F0B">
              <w:rPr>
                <w:rFonts w:eastAsia="Arial Unicode MS"/>
                <w:color w:val="000000" w:themeColor="text1"/>
                <w:sz w:val="20"/>
                <w:szCs w:val="20"/>
                <w:shd w:val="clear" w:color="auto" w:fill="FFFFFF"/>
                <w:lang w:val="en-US"/>
              </w:rPr>
              <w:t xml:space="preserve"> (2)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cursul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doi</w:t>
            </w:r>
            <w:proofErr w:type="spellEnd"/>
            <w:r w:rsidRPr="003D4F0B">
              <w:rPr>
                <w:rFonts w:eastAsia="Arial Unicode MS"/>
                <w:color w:val="000000" w:themeColor="text1"/>
                <w:sz w:val="20"/>
                <w:szCs w:val="20"/>
                <w:shd w:val="clear" w:color="auto" w:fill="FFFFFF"/>
                <w:lang w:val="en-US"/>
              </w:rPr>
              <w:t xml:space="preserve"> ani </w:t>
            </w:r>
            <w:proofErr w:type="spellStart"/>
            <w:r w:rsidRPr="003D4F0B">
              <w:rPr>
                <w:rFonts w:eastAsia="Arial Unicode MS"/>
                <w:color w:val="000000" w:themeColor="text1"/>
                <w:sz w:val="20"/>
                <w:szCs w:val="20"/>
                <w:shd w:val="clear" w:color="auto" w:fill="FFFFFF"/>
                <w:lang w:val="en-US"/>
              </w:rPr>
              <w:t>precedenți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atunci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când</w:t>
            </w:r>
            <w:proofErr w:type="spellEnd"/>
            <w:r w:rsidRPr="003D4F0B">
              <w:rPr>
                <w:rFonts w:eastAsia="Arial Unicode MS"/>
                <w:color w:val="000000" w:themeColor="text1"/>
                <w:sz w:val="20"/>
                <w:szCs w:val="20"/>
                <w:shd w:val="clear" w:color="auto" w:fill="FFFFFF"/>
                <w:lang w:val="en-US"/>
              </w:rPr>
              <w:t xml:space="preserve"> au în </w:t>
            </w:r>
            <w:proofErr w:type="spellStart"/>
            <w:r w:rsidRPr="003D4F0B">
              <w:rPr>
                <w:rFonts w:eastAsia="Arial Unicode MS"/>
                <w:color w:val="000000" w:themeColor="text1"/>
                <w:sz w:val="20"/>
                <w:szCs w:val="20"/>
                <w:shd w:val="clear" w:color="auto" w:fill="FFFFFF"/>
                <w:lang w:val="en-US"/>
              </w:rPr>
              <w:t>vedere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acțiuni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care </w:t>
            </w:r>
            <w:proofErr w:type="spellStart"/>
            <w:r w:rsidRPr="003D4F0B">
              <w:rPr>
                <w:rFonts w:eastAsia="Arial Unicode MS"/>
                <w:color w:val="000000" w:themeColor="text1"/>
                <w:sz w:val="20"/>
                <w:szCs w:val="20"/>
                <w:shd w:val="clear" w:color="auto" w:fill="FFFFFF"/>
                <w:lang w:val="en-US"/>
              </w:rPr>
              <w:t>urmează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fie </w:t>
            </w:r>
            <w:proofErr w:type="spellStart"/>
            <w:r w:rsidRPr="003D4F0B">
              <w:rPr>
                <w:rFonts w:eastAsia="Arial Unicode MS"/>
                <w:color w:val="000000" w:themeColor="text1"/>
                <w:sz w:val="20"/>
                <w:szCs w:val="20"/>
                <w:shd w:val="clear" w:color="auto" w:fill="FFFFFF"/>
                <w:lang w:val="en-US"/>
              </w:rPr>
              <w:t>puse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astfel</w:t>
            </w:r>
            <w:proofErr w:type="spellEnd"/>
            <w:r w:rsidRPr="003D4F0B">
              <w:rPr>
                <w:rFonts w:eastAsia="Arial Unicode MS"/>
                <w:color w:val="000000" w:themeColor="text1"/>
                <w:sz w:val="20"/>
                <w:szCs w:val="20"/>
                <w:shd w:val="clear" w:color="auto" w:fill="FFFFFF"/>
                <w:lang w:val="en-US"/>
              </w:rPr>
              <w:t xml:space="preserve"> cum se </w:t>
            </w:r>
            <w:proofErr w:type="spellStart"/>
            <w:r w:rsidRPr="003D4F0B">
              <w:rPr>
                <w:rFonts w:eastAsia="Arial Unicode MS"/>
                <w:color w:val="000000" w:themeColor="text1"/>
                <w:sz w:val="20"/>
                <w:szCs w:val="20"/>
                <w:shd w:val="clear" w:color="auto" w:fill="FFFFFF"/>
                <w:lang w:val="en-US"/>
              </w:rPr>
              <w:t>menționează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8 </w:t>
            </w:r>
            <w:proofErr w:type="spellStart"/>
            <w:r w:rsidRPr="003D4F0B">
              <w:rPr>
                <w:rFonts w:eastAsia="Arial Unicode MS"/>
                <w:color w:val="000000" w:themeColor="text1"/>
                <w:sz w:val="20"/>
                <w:szCs w:val="20"/>
                <w:shd w:val="clear" w:color="auto" w:fill="FFFFFF"/>
                <w:lang w:val="en-US"/>
              </w:rPr>
              <w:t>alineatul</w:t>
            </w:r>
            <w:proofErr w:type="spellEnd"/>
            <w:r w:rsid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 </w:t>
            </w:r>
            <w:proofErr w:type="spellStart"/>
            <w:r w:rsidRPr="003D4F0B">
              <w:rPr>
                <w:rFonts w:eastAsia="Arial Unicode MS"/>
                <w:color w:val="000000" w:themeColor="text1"/>
                <w:sz w:val="20"/>
                <w:szCs w:val="20"/>
                <w:shd w:val="clear" w:color="auto" w:fill="FFFFFF"/>
                <w:lang w:val="en-US"/>
              </w:rPr>
              <w:t>primul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paragraf</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litera</w:t>
            </w:r>
            <w:proofErr w:type="spellEnd"/>
            <w:r w:rsidRPr="003D4F0B">
              <w:rPr>
                <w:rFonts w:eastAsia="Arial Unicode MS"/>
                <w:color w:val="000000" w:themeColor="text1"/>
                <w:sz w:val="20"/>
                <w:szCs w:val="20"/>
                <w:shd w:val="clear" w:color="auto" w:fill="FFFFFF"/>
                <w:lang w:val="en-US"/>
              </w:rPr>
              <w:t xml:space="preserve"> (c) din </w:t>
            </w:r>
            <w:proofErr w:type="spellStart"/>
            <w:r w:rsidRPr="003D4F0B">
              <w:rPr>
                <w:rFonts w:eastAsia="Arial Unicode MS"/>
                <w:color w:val="000000" w:themeColor="text1"/>
                <w:sz w:val="20"/>
                <w:szCs w:val="20"/>
                <w:shd w:val="clear" w:color="auto" w:fill="FFFFFF"/>
                <w:lang w:val="en-US"/>
              </w:rPr>
              <w:t>respectivul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regulament</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vederea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îndeplinirii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obligațiilor</w:t>
            </w:r>
            <w:proofErr w:type="spellEnd"/>
            <w:r w:rsidRPr="003D4F0B">
              <w:rPr>
                <w:rFonts w:eastAsia="Arial Unicode MS"/>
                <w:color w:val="000000" w:themeColor="text1"/>
                <w:sz w:val="20"/>
                <w:szCs w:val="20"/>
                <w:shd w:val="clear" w:color="auto" w:fill="FFFFFF"/>
                <w:lang w:val="en-US"/>
              </w:rPr>
              <w:t xml:space="preserve"> care le </w:t>
            </w:r>
            <w:proofErr w:type="spellStart"/>
            <w:r w:rsidRPr="003D4F0B">
              <w:rPr>
                <w:rFonts w:eastAsia="Arial Unicode MS"/>
                <w:color w:val="000000" w:themeColor="text1"/>
                <w:sz w:val="20"/>
                <w:szCs w:val="20"/>
                <w:shd w:val="clear" w:color="auto" w:fill="FFFFFF"/>
                <w:lang w:val="en-US"/>
              </w:rPr>
              <w:t>revin</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regulamentului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w:t>
            </w:r>
            <w:proofErr w:type="spellEnd"/>
            <w:r w:rsidRPr="003D4F0B">
              <w:rPr>
                <w:rFonts w:eastAsia="Arial Unicode MS"/>
                <w:color w:val="000000" w:themeColor="text1"/>
                <w:sz w:val="20"/>
                <w:szCs w:val="20"/>
                <w:shd w:val="clear" w:color="auto" w:fill="FFFFFF"/>
                <w:lang w:val="en-US"/>
              </w:rPr>
              <w:t>.</w:t>
            </w:r>
          </w:p>
        </w:tc>
        <w:tc>
          <w:tcPr>
            <w:tcW w:w="4394" w:type="dxa"/>
            <w:shd w:val="clear" w:color="auto" w:fill="auto"/>
          </w:tcPr>
          <w:p w14:paraId="3F4E4FF1"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7220735" w14:textId="1A53A67B" w:rsidR="00124364" w:rsidRDefault="003D4F0B" w:rsidP="003D4F0B">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2F7B49F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7D0FD58" w14:textId="6F9FB02F" w:rsidR="00124364" w:rsidRDefault="003D4F0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1E55E939" w14:textId="77777777" w:rsidR="00124364" w:rsidRDefault="00124364" w:rsidP="003D4F0B">
            <w:pPr>
              <w:autoSpaceDE w:val="0"/>
              <w:spacing w:after="0" w:line="240" w:lineRule="auto"/>
              <w:rPr>
                <w:rFonts w:ascii="Times New Roman" w:hAnsi="Times New Roman"/>
                <w:sz w:val="20"/>
                <w:szCs w:val="20"/>
                <w:lang w:val="fr-FR"/>
              </w:rPr>
            </w:pPr>
          </w:p>
        </w:tc>
      </w:tr>
      <w:tr w:rsidR="00124364" w14:paraId="58E613E3" w14:textId="77777777">
        <w:trPr>
          <w:trHeight w:val="558"/>
        </w:trPr>
        <w:tc>
          <w:tcPr>
            <w:tcW w:w="4957" w:type="dxa"/>
            <w:shd w:val="clear" w:color="auto" w:fill="auto"/>
          </w:tcPr>
          <w:p w14:paraId="315DF262" w14:textId="1793350D"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proofErr w:type="spellStart"/>
            <w:r w:rsidRPr="00406CAF">
              <w:rPr>
                <w:rFonts w:eastAsia="Arial Unicode MS"/>
                <w:i/>
                <w:iCs/>
                <w:color w:val="000000" w:themeColor="text1"/>
                <w:sz w:val="20"/>
                <w:szCs w:val="20"/>
                <w:shd w:val="clear" w:color="auto" w:fill="FFFFFF"/>
                <w:lang w:val="en-GB"/>
              </w:rPr>
              <w:lastRenderedPageBreak/>
              <w:t>Articolul</w:t>
            </w:r>
            <w:proofErr w:type="spellEnd"/>
            <w:r w:rsidR="00406CAF" w:rsidRPr="00406CAF">
              <w:rPr>
                <w:rFonts w:eastAsia="Arial Unicode MS"/>
                <w:i/>
                <w:iCs/>
                <w:color w:val="000000" w:themeColor="text1"/>
                <w:sz w:val="20"/>
                <w:szCs w:val="20"/>
                <w:shd w:val="clear" w:color="auto" w:fill="FFFFFF"/>
                <w:lang w:val="en-GB"/>
              </w:rPr>
              <w:t xml:space="preserve"> </w:t>
            </w:r>
            <w:r w:rsidRPr="00406CAF">
              <w:rPr>
                <w:rFonts w:eastAsia="Arial Unicode MS"/>
                <w:i/>
                <w:iCs/>
                <w:color w:val="000000" w:themeColor="text1"/>
                <w:sz w:val="20"/>
                <w:szCs w:val="20"/>
                <w:shd w:val="clear" w:color="auto" w:fill="FFFFFF"/>
                <w:lang w:val="en-GB"/>
              </w:rPr>
              <w:t>30i</w:t>
            </w:r>
          </w:p>
          <w:p w14:paraId="7C285790"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GB"/>
              </w:rPr>
            </w:pPr>
            <w:proofErr w:type="spellStart"/>
            <w:r w:rsidRPr="00406CAF">
              <w:rPr>
                <w:rFonts w:eastAsia="Arial Unicode MS"/>
                <w:b/>
                <w:bCs/>
                <w:color w:val="000000" w:themeColor="text1"/>
                <w:sz w:val="20"/>
                <w:szCs w:val="20"/>
                <w:shd w:val="clear" w:color="auto" w:fill="FFFFFF"/>
                <w:lang w:val="en-GB"/>
              </w:rPr>
              <w:t>Revizuirea</w:t>
            </w:r>
            <w:proofErr w:type="spellEnd"/>
            <w:r w:rsidRPr="00406CAF">
              <w:rPr>
                <w:rFonts w:eastAsia="Arial Unicode MS"/>
                <w:b/>
                <w:bCs/>
                <w:color w:val="000000" w:themeColor="text1"/>
                <w:sz w:val="20"/>
                <w:szCs w:val="20"/>
                <w:shd w:val="clear" w:color="auto" w:fill="FFFFFF"/>
                <w:lang w:val="en-GB"/>
              </w:rPr>
              <w:t xml:space="preserve"> </w:t>
            </w:r>
            <w:proofErr w:type="spellStart"/>
            <w:r w:rsidRPr="00406CAF">
              <w:rPr>
                <w:rFonts w:eastAsia="Arial Unicode MS"/>
                <w:b/>
                <w:bCs/>
                <w:color w:val="000000" w:themeColor="text1"/>
                <w:sz w:val="20"/>
                <w:szCs w:val="20"/>
                <w:shd w:val="clear" w:color="auto" w:fill="FFFFFF"/>
                <w:lang w:val="en-GB"/>
              </w:rPr>
              <w:t>prezentului</w:t>
            </w:r>
            <w:proofErr w:type="spellEnd"/>
            <w:r w:rsidRPr="00406CAF">
              <w:rPr>
                <w:rFonts w:eastAsia="Arial Unicode MS"/>
                <w:b/>
                <w:bCs/>
                <w:color w:val="000000" w:themeColor="text1"/>
                <w:sz w:val="20"/>
                <w:szCs w:val="20"/>
                <w:shd w:val="clear" w:color="auto" w:fill="FFFFFF"/>
                <w:lang w:val="en-GB"/>
              </w:rPr>
              <w:t xml:space="preserve"> capitol</w:t>
            </w:r>
          </w:p>
          <w:p w14:paraId="32B437D5" w14:textId="48E84DB7" w:rsidR="00124364" w:rsidRDefault="00000000" w:rsidP="00406CA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GB"/>
              </w:rPr>
              <w:t>Până</w:t>
            </w:r>
            <w:proofErr w:type="spellEnd"/>
            <w:r w:rsidRPr="00406CAF">
              <w:rPr>
                <w:rFonts w:eastAsia="Arial Unicode MS"/>
                <w:color w:val="000000" w:themeColor="text1"/>
                <w:sz w:val="20"/>
                <w:szCs w:val="20"/>
                <w:shd w:val="clear" w:color="auto" w:fill="FFFFFF"/>
                <w:lang w:val="en-GB"/>
              </w:rPr>
              <w:t xml:space="preserve"> la 1</w:t>
            </w:r>
            <w:r w:rsidR="00406CAF"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ianuarie</w:t>
            </w:r>
            <w:proofErr w:type="spellEnd"/>
            <w:r w:rsidR="00406CAF" w:rsidRPr="00406CAF">
              <w:rPr>
                <w:rFonts w:eastAsia="Arial Unicode MS"/>
                <w:color w:val="000000" w:themeColor="text1"/>
                <w:sz w:val="20"/>
                <w:szCs w:val="20"/>
                <w:shd w:val="clear" w:color="auto" w:fill="FFFFFF"/>
                <w:lang w:val="en-GB"/>
              </w:rPr>
              <w:t xml:space="preserve"> </w:t>
            </w:r>
            <w:r w:rsidRPr="00406CAF">
              <w:rPr>
                <w:rFonts w:eastAsia="Arial Unicode MS"/>
                <w:color w:val="000000" w:themeColor="text1"/>
                <w:sz w:val="20"/>
                <w:szCs w:val="20"/>
                <w:shd w:val="clear" w:color="auto" w:fill="FFFFFF"/>
                <w:lang w:val="en-GB"/>
              </w:rPr>
              <w:t xml:space="preserve">2028, </w:t>
            </w:r>
            <w:proofErr w:type="spellStart"/>
            <w:r w:rsidRPr="00406CAF">
              <w:rPr>
                <w:rFonts w:eastAsia="Arial Unicode MS"/>
                <w:color w:val="000000" w:themeColor="text1"/>
                <w:sz w:val="20"/>
                <w:szCs w:val="20"/>
                <w:shd w:val="clear" w:color="auto" w:fill="FFFFFF"/>
                <w:lang w:val="en-GB"/>
              </w:rPr>
              <w:t>Comisia</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prezintă</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Parlamentului</w:t>
            </w:r>
            <w:proofErr w:type="spellEnd"/>
            <w:r w:rsidRPr="00406CAF">
              <w:rPr>
                <w:rFonts w:eastAsia="Arial Unicode MS"/>
                <w:color w:val="000000" w:themeColor="text1"/>
                <w:sz w:val="20"/>
                <w:szCs w:val="20"/>
                <w:shd w:val="clear" w:color="auto" w:fill="FFFFFF"/>
                <w:lang w:val="en-GB"/>
              </w:rPr>
              <w:t xml:space="preserve"> European și </w:t>
            </w:r>
            <w:proofErr w:type="spellStart"/>
            <w:r w:rsidRPr="00406CAF">
              <w:rPr>
                <w:rFonts w:eastAsia="Arial Unicode MS"/>
                <w:color w:val="000000" w:themeColor="text1"/>
                <w:sz w:val="20"/>
                <w:szCs w:val="20"/>
                <w:shd w:val="clear" w:color="auto" w:fill="FFFFFF"/>
                <w:lang w:val="en-GB"/>
              </w:rPr>
              <w:t>Consiliului</w:t>
            </w:r>
            <w:proofErr w:type="spellEnd"/>
            <w:r w:rsidRPr="00406CAF">
              <w:rPr>
                <w:rFonts w:eastAsia="Arial Unicode MS"/>
                <w:color w:val="000000" w:themeColor="text1"/>
                <w:sz w:val="20"/>
                <w:szCs w:val="20"/>
                <w:shd w:val="clear" w:color="auto" w:fill="FFFFFF"/>
                <w:lang w:val="en-GB"/>
              </w:rPr>
              <w:t xml:space="preserve"> un </w:t>
            </w:r>
            <w:proofErr w:type="spellStart"/>
            <w:r w:rsidRPr="00406CAF">
              <w:rPr>
                <w:rFonts w:eastAsia="Arial Unicode MS"/>
                <w:color w:val="000000" w:themeColor="text1"/>
                <w:sz w:val="20"/>
                <w:szCs w:val="20"/>
                <w:shd w:val="clear" w:color="auto" w:fill="FFFFFF"/>
                <w:lang w:val="en-GB"/>
              </w:rPr>
              <w:t>raport</w:t>
            </w:r>
            <w:proofErr w:type="spellEnd"/>
            <w:r w:rsidRPr="00406CAF">
              <w:rPr>
                <w:rFonts w:eastAsia="Arial Unicode MS"/>
                <w:color w:val="000000" w:themeColor="text1"/>
                <w:sz w:val="20"/>
                <w:szCs w:val="20"/>
                <w:shd w:val="clear" w:color="auto" w:fill="FFFFFF"/>
                <w:lang w:val="en-GB"/>
              </w:rPr>
              <w:t xml:space="preserve"> cu </w:t>
            </w:r>
            <w:proofErr w:type="spellStart"/>
            <w:r w:rsidRPr="00406CAF">
              <w:rPr>
                <w:rFonts w:eastAsia="Arial Unicode MS"/>
                <w:color w:val="000000" w:themeColor="text1"/>
                <w:sz w:val="20"/>
                <w:szCs w:val="20"/>
                <w:shd w:val="clear" w:color="auto" w:fill="FFFFFF"/>
                <w:lang w:val="en-GB"/>
              </w:rPr>
              <w:t>privire</w:t>
            </w:r>
            <w:proofErr w:type="spellEnd"/>
            <w:r w:rsidRPr="00406CAF">
              <w:rPr>
                <w:rFonts w:eastAsia="Arial Unicode MS"/>
                <w:color w:val="000000" w:themeColor="text1"/>
                <w:sz w:val="20"/>
                <w:szCs w:val="20"/>
                <w:shd w:val="clear" w:color="auto" w:fill="FFFFFF"/>
                <w:lang w:val="en-GB"/>
              </w:rPr>
              <w:t xml:space="preserve"> la </w:t>
            </w:r>
            <w:proofErr w:type="spellStart"/>
            <w:r w:rsidRPr="00406CAF">
              <w:rPr>
                <w:rFonts w:eastAsia="Arial Unicode MS"/>
                <w:color w:val="000000" w:themeColor="text1"/>
                <w:sz w:val="20"/>
                <w:szCs w:val="20"/>
                <w:shd w:val="clear" w:color="auto" w:fill="FFFFFF"/>
                <w:lang w:val="en-GB"/>
              </w:rPr>
              <w:t>punerea</w:t>
            </w:r>
            <w:proofErr w:type="spellEnd"/>
            <w:r w:rsidRPr="00406CAF">
              <w:rPr>
                <w:rFonts w:eastAsia="Arial Unicode MS"/>
                <w:color w:val="000000" w:themeColor="text1"/>
                <w:sz w:val="20"/>
                <w:szCs w:val="20"/>
                <w:shd w:val="clear" w:color="auto" w:fill="FFFFFF"/>
                <w:lang w:val="en-GB"/>
              </w:rPr>
              <w:t xml:space="preserve"> în </w:t>
            </w:r>
            <w:proofErr w:type="spellStart"/>
            <w:r w:rsidRPr="00406CAF">
              <w:rPr>
                <w:rFonts w:eastAsia="Arial Unicode MS"/>
                <w:color w:val="000000" w:themeColor="text1"/>
                <w:sz w:val="20"/>
                <w:szCs w:val="20"/>
                <w:shd w:val="clear" w:color="auto" w:fill="FFFFFF"/>
                <w:lang w:val="en-GB"/>
              </w:rPr>
              <w:t>aplicare</w:t>
            </w:r>
            <w:proofErr w:type="spellEnd"/>
            <w:r w:rsidRPr="00406CAF">
              <w:rPr>
                <w:rFonts w:eastAsia="Arial Unicode MS"/>
                <w:color w:val="000000" w:themeColor="text1"/>
                <w:sz w:val="20"/>
                <w:szCs w:val="20"/>
                <w:shd w:val="clear" w:color="auto" w:fill="FFFFFF"/>
                <w:lang w:val="en-GB"/>
              </w:rPr>
              <w:t xml:space="preserve"> a </w:t>
            </w:r>
            <w:proofErr w:type="spellStart"/>
            <w:r w:rsidRPr="00406CAF">
              <w:rPr>
                <w:rFonts w:eastAsia="Arial Unicode MS"/>
                <w:color w:val="000000" w:themeColor="text1"/>
                <w:sz w:val="20"/>
                <w:szCs w:val="20"/>
                <w:shd w:val="clear" w:color="auto" w:fill="FFFFFF"/>
                <w:lang w:val="en-GB"/>
              </w:rPr>
              <w:t>dispozițiilor</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prezentului</w:t>
            </w:r>
            <w:proofErr w:type="spellEnd"/>
            <w:r w:rsidRPr="00406CAF">
              <w:rPr>
                <w:rFonts w:eastAsia="Arial Unicode MS"/>
                <w:color w:val="000000" w:themeColor="text1"/>
                <w:sz w:val="20"/>
                <w:szCs w:val="20"/>
                <w:shd w:val="clear" w:color="auto" w:fill="FFFFFF"/>
                <w:lang w:val="en-GB"/>
              </w:rPr>
              <w:t xml:space="preserve"> capitol în </w:t>
            </w:r>
            <w:proofErr w:type="spellStart"/>
            <w:r w:rsidRPr="00406CAF">
              <w:rPr>
                <w:rFonts w:eastAsia="Arial Unicode MS"/>
                <w:color w:val="000000" w:themeColor="text1"/>
                <w:sz w:val="20"/>
                <w:szCs w:val="20"/>
                <w:shd w:val="clear" w:color="auto" w:fill="FFFFFF"/>
                <w:lang w:val="en-GB"/>
              </w:rPr>
              <w:t>legătură</w:t>
            </w:r>
            <w:proofErr w:type="spellEnd"/>
            <w:r w:rsidRPr="00406CAF">
              <w:rPr>
                <w:rFonts w:eastAsia="Arial Unicode MS"/>
                <w:color w:val="000000" w:themeColor="text1"/>
                <w:sz w:val="20"/>
                <w:szCs w:val="20"/>
                <w:shd w:val="clear" w:color="auto" w:fill="FFFFFF"/>
                <w:lang w:val="en-GB"/>
              </w:rPr>
              <w:t xml:space="preserve"> cu </w:t>
            </w:r>
            <w:proofErr w:type="spellStart"/>
            <w:r w:rsidRPr="00406CAF">
              <w:rPr>
                <w:rFonts w:eastAsia="Arial Unicode MS"/>
                <w:color w:val="000000" w:themeColor="text1"/>
                <w:sz w:val="20"/>
                <w:szCs w:val="20"/>
                <w:shd w:val="clear" w:color="auto" w:fill="FFFFFF"/>
                <w:lang w:val="en-GB"/>
              </w:rPr>
              <w:t>eficiența</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administrarea</w:t>
            </w:r>
            <w:proofErr w:type="spellEnd"/>
            <w:r w:rsidRPr="00406CAF">
              <w:rPr>
                <w:rFonts w:eastAsia="Arial Unicode MS"/>
                <w:color w:val="000000" w:themeColor="text1"/>
                <w:sz w:val="20"/>
                <w:szCs w:val="20"/>
                <w:shd w:val="clear" w:color="auto" w:fill="FFFFFF"/>
                <w:lang w:val="en-GB"/>
              </w:rPr>
              <w:t xml:space="preserve"> și </w:t>
            </w:r>
            <w:proofErr w:type="spellStart"/>
            <w:r w:rsidRPr="00406CAF">
              <w:rPr>
                <w:rFonts w:eastAsia="Arial Unicode MS"/>
                <w:color w:val="000000" w:themeColor="text1"/>
                <w:sz w:val="20"/>
                <w:szCs w:val="20"/>
                <w:shd w:val="clear" w:color="auto" w:fill="FFFFFF"/>
                <w:lang w:val="en-GB"/>
              </w:rPr>
              <w:t>aplicarea</w:t>
            </w:r>
            <w:proofErr w:type="spellEnd"/>
            <w:r w:rsidRPr="00406CAF">
              <w:rPr>
                <w:rFonts w:eastAsia="Arial Unicode MS"/>
                <w:color w:val="000000" w:themeColor="text1"/>
                <w:sz w:val="20"/>
                <w:szCs w:val="20"/>
                <w:shd w:val="clear" w:color="auto" w:fill="FFFFFF"/>
                <w:lang w:val="en-GB"/>
              </w:rPr>
              <w:t xml:space="preserve"> lor </w:t>
            </w:r>
            <w:proofErr w:type="spellStart"/>
            <w:r w:rsidRPr="00406CAF">
              <w:rPr>
                <w:rFonts w:eastAsia="Arial Unicode MS"/>
                <w:color w:val="000000" w:themeColor="text1"/>
                <w:sz w:val="20"/>
                <w:szCs w:val="20"/>
                <w:shd w:val="clear" w:color="auto" w:fill="FFFFFF"/>
                <w:lang w:val="en-GB"/>
              </w:rPr>
              <w:t>practică</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inclusiv</w:t>
            </w:r>
            <w:proofErr w:type="spellEnd"/>
            <w:r w:rsidRPr="00406CAF">
              <w:rPr>
                <w:rFonts w:eastAsia="Arial Unicode MS"/>
                <w:color w:val="000000" w:themeColor="text1"/>
                <w:sz w:val="20"/>
                <w:szCs w:val="20"/>
                <w:shd w:val="clear" w:color="auto" w:fill="FFFFFF"/>
                <w:lang w:val="en-GB"/>
              </w:rPr>
              <w:t xml:space="preserve"> cu </w:t>
            </w:r>
            <w:proofErr w:type="spellStart"/>
            <w:r w:rsidRPr="00406CAF">
              <w:rPr>
                <w:rFonts w:eastAsia="Arial Unicode MS"/>
                <w:color w:val="000000" w:themeColor="text1"/>
                <w:sz w:val="20"/>
                <w:szCs w:val="20"/>
                <w:shd w:val="clear" w:color="auto" w:fill="FFFFFF"/>
                <w:lang w:val="en-GB"/>
              </w:rPr>
              <w:t>privire</w:t>
            </w:r>
            <w:proofErr w:type="spellEnd"/>
            <w:r w:rsidRPr="00406CAF">
              <w:rPr>
                <w:rFonts w:eastAsia="Arial Unicode MS"/>
                <w:color w:val="000000" w:themeColor="text1"/>
                <w:sz w:val="20"/>
                <w:szCs w:val="20"/>
                <w:shd w:val="clear" w:color="auto" w:fill="FFFFFF"/>
                <w:lang w:val="en-GB"/>
              </w:rPr>
              <w:t xml:space="preserve"> la </w:t>
            </w:r>
            <w:proofErr w:type="spellStart"/>
            <w:r w:rsidRPr="00406CAF">
              <w:rPr>
                <w:rFonts w:eastAsia="Arial Unicode MS"/>
                <w:color w:val="000000" w:themeColor="text1"/>
                <w:sz w:val="20"/>
                <w:szCs w:val="20"/>
                <w:shd w:val="clear" w:color="auto" w:fill="FFFFFF"/>
                <w:lang w:val="en-GB"/>
              </w:rPr>
              <w:t>aplicarea</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normelor</w:t>
            </w:r>
            <w:proofErr w:type="spellEnd"/>
            <w:r w:rsidRPr="00406CAF">
              <w:rPr>
                <w:rFonts w:eastAsia="Arial Unicode MS"/>
                <w:color w:val="000000" w:themeColor="text1"/>
                <w:sz w:val="20"/>
                <w:szCs w:val="20"/>
                <w:shd w:val="clear" w:color="auto" w:fill="FFFFFF"/>
                <w:lang w:val="en-GB"/>
              </w:rPr>
              <w:t xml:space="preserve"> </w:t>
            </w:r>
            <w:proofErr w:type="spellStart"/>
            <w:r w:rsidRPr="00406CAF">
              <w:rPr>
                <w:rFonts w:eastAsia="Arial Unicode MS"/>
                <w:color w:val="000000" w:themeColor="text1"/>
                <w:sz w:val="20"/>
                <w:szCs w:val="20"/>
                <w:shd w:val="clear" w:color="auto" w:fill="FFFFFF"/>
                <w:lang w:val="en-GB"/>
              </w:rPr>
              <w:t>prevăzute</w:t>
            </w:r>
            <w:proofErr w:type="spellEnd"/>
            <w:r w:rsidRPr="00406CAF">
              <w:rPr>
                <w:rFonts w:eastAsia="Arial Unicode MS"/>
                <w:color w:val="000000" w:themeColor="text1"/>
                <w:sz w:val="20"/>
                <w:szCs w:val="20"/>
                <w:shd w:val="clear" w:color="auto" w:fill="FFFFFF"/>
                <w:lang w:val="en-GB"/>
              </w:rPr>
              <w:t xml:space="preserve"> în </w:t>
            </w:r>
            <w:proofErr w:type="spellStart"/>
            <w:r w:rsidRPr="00406CAF">
              <w:rPr>
                <w:rFonts w:eastAsia="Arial Unicode MS"/>
                <w:color w:val="000000" w:themeColor="text1"/>
                <w:sz w:val="20"/>
                <w:szCs w:val="20"/>
                <w:shd w:val="clear" w:color="auto" w:fill="FFFFFF"/>
                <w:lang w:val="en-GB"/>
              </w:rPr>
              <w:t>Decizia</w:t>
            </w:r>
            <w:proofErr w:type="spellEnd"/>
            <w:r w:rsidR="00406CAF" w:rsidRPr="00406CAF">
              <w:rPr>
                <w:rFonts w:eastAsia="Arial Unicode MS"/>
                <w:color w:val="000000" w:themeColor="text1"/>
                <w:sz w:val="20"/>
                <w:szCs w:val="20"/>
                <w:shd w:val="clear" w:color="auto" w:fill="FFFFFF"/>
                <w:lang w:val="en-GB"/>
              </w:rPr>
              <w:t xml:space="preserve"> </w:t>
            </w:r>
            <w:r w:rsidRPr="00406CAF">
              <w:rPr>
                <w:rFonts w:eastAsia="Arial Unicode MS"/>
                <w:color w:val="000000" w:themeColor="text1"/>
                <w:sz w:val="20"/>
                <w:szCs w:val="20"/>
                <w:shd w:val="clear" w:color="auto" w:fill="FFFFFF"/>
                <w:lang w:val="en-GB"/>
              </w:rPr>
              <w:t>(UE)</w:t>
            </w:r>
            <w:r w:rsidR="00406CAF" w:rsidRPr="00406CAF">
              <w:rPr>
                <w:rFonts w:eastAsia="Arial Unicode MS"/>
                <w:color w:val="000000" w:themeColor="text1"/>
                <w:sz w:val="20"/>
                <w:szCs w:val="20"/>
                <w:shd w:val="clear" w:color="auto" w:fill="FFFFFF"/>
                <w:lang w:val="en-GB"/>
              </w:rPr>
              <w:t xml:space="preserve"> </w:t>
            </w:r>
            <w:r w:rsidRPr="00406CAF">
              <w:rPr>
                <w:rFonts w:eastAsia="Arial Unicode MS"/>
                <w:color w:val="000000" w:themeColor="text1"/>
                <w:sz w:val="20"/>
                <w:szCs w:val="20"/>
                <w:shd w:val="clear" w:color="auto" w:fill="FFFFFF"/>
                <w:lang w:val="en-GB"/>
              </w:rPr>
              <w:t xml:space="preserve">2015/1814. </w:t>
            </w:r>
            <w:proofErr w:type="spellStart"/>
            <w:r w:rsidRPr="00406CAF">
              <w:rPr>
                <w:rFonts w:eastAsia="Arial Unicode MS"/>
                <w:color w:val="000000" w:themeColor="text1"/>
                <w:sz w:val="20"/>
                <w:szCs w:val="20"/>
                <w:shd w:val="clear" w:color="auto" w:fill="FFFFFF"/>
                <w:lang w:val="en-US"/>
              </w:rPr>
              <w:t>Dacă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este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cazul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împreună</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raportul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respectiv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prezintă</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propunere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legislativă</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modificare</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prezentului</w:t>
            </w:r>
            <w:proofErr w:type="spellEnd"/>
            <w:r w:rsidRPr="00406CAF">
              <w:rPr>
                <w:rFonts w:eastAsia="Arial Unicode MS"/>
                <w:color w:val="000000" w:themeColor="text1"/>
                <w:sz w:val="20"/>
                <w:szCs w:val="20"/>
                <w:shd w:val="clear" w:color="auto" w:fill="FFFFFF"/>
                <w:lang w:val="en-US"/>
              </w:rPr>
              <w:t xml:space="preserve"> capitol. </w:t>
            </w:r>
            <w:proofErr w:type="spellStart"/>
            <w:r w:rsidRPr="00406CAF">
              <w:rPr>
                <w:rFonts w:eastAsia="Arial Unicode MS"/>
                <w:color w:val="000000" w:themeColor="text1"/>
                <w:sz w:val="20"/>
                <w:szCs w:val="20"/>
                <w:shd w:val="clear" w:color="auto" w:fill="FFFFFF"/>
                <w:lang w:val="en-US"/>
              </w:rPr>
              <w:t>Până</w:t>
            </w:r>
            <w:proofErr w:type="spellEnd"/>
            <w:r w:rsidRPr="00406CAF">
              <w:rPr>
                <w:rFonts w:eastAsia="Arial Unicode MS"/>
                <w:color w:val="000000" w:themeColor="text1"/>
                <w:sz w:val="20"/>
                <w:szCs w:val="20"/>
                <w:shd w:val="clear" w:color="auto" w:fill="FFFFFF"/>
                <w:lang w:val="en-US"/>
              </w:rPr>
              <w:t xml:space="preserve"> la 31</w:t>
            </w:r>
            <w:r w:rsidR="00406CAF"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octombrie</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2031,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evaluează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fezabilitatea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integrării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sectoarelor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vizate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anexa</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III la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domeniul</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aplicare</w:t>
            </w:r>
            <w:proofErr w:type="spellEnd"/>
            <w:r w:rsidRPr="00406CAF">
              <w:rPr>
                <w:rFonts w:eastAsia="Arial Unicode MS"/>
                <w:color w:val="000000" w:themeColor="text1"/>
                <w:sz w:val="20"/>
                <w:szCs w:val="20"/>
                <w:shd w:val="clear" w:color="auto" w:fill="FFFFFF"/>
                <w:lang w:val="en-US"/>
              </w:rPr>
              <w:t xml:space="preserve"> al EU ETS care include </w:t>
            </w:r>
            <w:proofErr w:type="spellStart"/>
            <w:r w:rsidRPr="00406CAF">
              <w:rPr>
                <w:rFonts w:eastAsia="Arial Unicode MS"/>
                <w:color w:val="000000" w:themeColor="text1"/>
                <w:sz w:val="20"/>
                <w:szCs w:val="20"/>
                <w:shd w:val="clear" w:color="auto" w:fill="FFFFFF"/>
                <w:lang w:val="en-US"/>
              </w:rPr>
              <w:t>sectoarele</w:t>
            </w:r>
            <w:proofErr w:type="spellEnd"/>
            <w:r w:rsidRPr="00406CAF">
              <w:rPr>
                <w:rFonts w:eastAsia="Arial Unicode MS"/>
                <w:color w:val="000000" w:themeColor="text1"/>
                <w:sz w:val="20"/>
                <w:szCs w:val="20"/>
                <w:shd w:val="clear" w:color="auto" w:fill="FFFFFF"/>
                <w:lang w:val="en-US"/>
              </w:rPr>
              <w:t xml:space="preserve"> enumerate în </w:t>
            </w:r>
            <w:proofErr w:type="spellStart"/>
            <w:r w:rsidRPr="00406CAF">
              <w:rPr>
                <w:rFonts w:eastAsia="Arial Unicode MS"/>
                <w:color w:val="000000" w:themeColor="text1"/>
                <w:sz w:val="20"/>
                <w:szCs w:val="20"/>
                <w:shd w:val="clear" w:color="auto" w:fill="FFFFFF"/>
                <w:lang w:val="en-US"/>
              </w:rPr>
              <w:t>anexa</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 la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w:t>
            </w:r>
          </w:p>
        </w:tc>
        <w:tc>
          <w:tcPr>
            <w:tcW w:w="4394" w:type="dxa"/>
            <w:shd w:val="clear" w:color="auto" w:fill="auto"/>
          </w:tcPr>
          <w:p w14:paraId="46CEBE4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0B40FAF" w14:textId="509C2B9A" w:rsidR="00124364" w:rsidRDefault="003D4F0B" w:rsidP="003D4F0B">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76CA976B"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51FE4D2" w14:textId="6DDF59F0" w:rsidR="00124364" w:rsidRDefault="003D4F0B">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0F30A993" w14:textId="77777777" w:rsidR="00124364" w:rsidRDefault="00124364" w:rsidP="003D4F0B">
            <w:pPr>
              <w:autoSpaceDE w:val="0"/>
              <w:spacing w:after="0" w:line="240" w:lineRule="auto"/>
              <w:rPr>
                <w:rFonts w:ascii="Times New Roman" w:hAnsi="Times New Roman"/>
                <w:sz w:val="20"/>
                <w:szCs w:val="20"/>
                <w:lang w:val="fr-FR"/>
              </w:rPr>
            </w:pPr>
          </w:p>
        </w:tc>
      </w:tr>
      <w:tr w:rsidR="00124364" w14:paraId="1155BB75" w14:textId="77777777">
        <w:trPr>
          <w:trHeight w:val="558"/>
        </w:trPr>
        <w:tc>
          <w:tcPr>
            <w:tcW w:w="4957" w:type="dxa"/>
            <w:shd w:val="clear" w:color="auto" w:fill="auto"/>
          </w:tcPr>
          <w:p w14:paraId="0D95E11B" w14:textId="5673049B"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t>Articolul</w:t>
            </w:r>
            <w:proofErr w:type="spellEnd"/>
            <w:r w:rsidR="00406CAF" w:rsidRPr="00406CAF">
              <w:rPr>
                <w:rFonts w:eastAsia="Arial Unicode MS"/>
                <w:i/>
                <w:iCs/>
                <w:color w:val="000000" w:themeColor="text1"/>
                <w:sz w:val="20"/>
                <w:szCs w:val="20"/>
                <w:shd w:val="clear" w:color="auto" w:fill="FFFFFF"/>
                <w:lang w:val="en-US"/>
              </w:rPr>
              <w:t xml:space="preserve"> </w:t>
            </w:r>
            <w:r w:rsidRPr="00406CAF">
              <w:rPr>
                <w:rFonts w:eastAsia="Arial Unicode MS"/>
                <w:i/>
                <w:iCs/>
                <w:color w:val="000000" w:themeColor="text1"/>
                <w:sz w:val="20"/>
                <w:szCs w:val="20"/>
                <w:shd w:val="clear" w:color="auto" w:fill="FFFFFF"/>
                <w:lang w:val="en-US"/>
              </w:rPr>
              <w:t>30j</w:t>
            </w:r>
          </w:p>
          <w:p w14:paraId="49E98307"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06CAF">
              <w:rPr>
                <w:rFonts w:eastAsia="Arial Unicode MS"/>
                <w:b/>
                <w:bCs/>
                <w:color w:val="000000" w:themeColor="text1"/>
                <w:sz w:val="20"/>
                <w:szCs w:val="20"/>
                <w:shd w:val="clear" w:color="auto" w:fill="FFFFFF"/>
                <w:lang w:val="en-US"/>
              </w:rPr>
              <w:t>Proceduri</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pentru</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extinderea</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unilaterală</w:t>
            </w:r>
            <w:proofErr w:type="spellEnd"/>
            <w:r w:rsidRPr="00406CAF">
              <w:rPr>
                <w:rFonts w:eastAsia="Arial Unicode MS"/>
                <w:b/>
                <w:bCs/>
                <w:color w:val="000000" w:themeColor="text1"/>
                <w:sz w:val="20"/>
                <w:szCs w:val="20"/>
                <w:shd w:val="clear" w:color="auto" w:fill="FFFFFF"/>
                <w:lang w:val="en-US"/>
              </w:rPr>
              <w:t xml:space="preserve"> </w:t>
            </w:r>
            <w:proofErr w:type="gramStart"/>
            <w:r w:rsidRPr="00406CAF">
              <w:rPr>
                <w:rFonts w:eastAsia="Arial Unicode MS"/>
                <w:b/>
                <w:bCs/>
                <w:color w:val="000000" w:themeColor="text1"/>
                <w:sz w:val="20"/>
                <w:szCs w:val="20"/>
                <w:shd w:val="clear" w:color="auto" w:fill="FFFFFF"/>
                <w:lang w:val="en-US"/>
              </w:rPr>
              <w:t>a</w:t>
            </w:r>
            <w:proofErr w:type="gram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activității</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menționate</w:t>
            </w:r>
            <w:proofErr w:type="spellEnd"/>
            <w:r w:rsidRPr="00406CAF">
              <w:rPr>
                <w:rFonts w:eastAsia="Arial Unicode MS"/>
                <w:b/>
                <w:bCs/>
                <w:color w:val="000000" w:themeColor="text1"/>
                <w:sz w:val="20"/>
                <w:szCs w:val="20"/>
                <w:shd w:val="clear" w:color="auto" w:fill="FFFFFF"/>
                <w:lang w:val="en-US"/>
              </w:rPr>
              <w:t xml:space="preserve"> în </w:t>
            </w:r>
            <w:proofErr w:type="spellStart"/>
            <w:r w:rsidRPr="00406CAF">
              <w:rPr>
                <w:rFonts w:eastAsia="Arial Unicode MS"/>
                <w:b/>
                <w:bCs/>
                <w:color w:val="000000" w:themeColor="text1"/>
                <w:sz w:val="20"/>
                <w:szCs w:val="20"/>
                <w:shd w:val="clear" w:color="auto" w:fill="FFFFFF"/>
                <w:lang w:val="en-US"/>
              </w:rPr>
              <w:t>anexa</w:t>
            </w:r>
            <w:proofErr w:type="spellEnd"/>
            <w:r w:rsidRPr="00406CAF">
              <w:rPr>
                <w:rFonts w:eastAsia="Arial Unicode MS"/>
                <w:b/>
                <w:bCs/>
                <w:color w:val="000000" w:themeColor="text1"/>
                <w:sz w:val="20"/>
                <w:szCs w:val="20"/>
                <w:shd w:val="clear" w:color="auto" w:fill="FFFFFF"/>
                <w:lang w:val="en-US"/>
              </w:rPr>
              <w:t xml:space="preserve"> III la </w:t>
            </w:r>
            <w:proofErr w:type="spellStart"/>
            <w:r w:rsidRPr="00406CAF">
              <w:rPr>
                <w:rFonts w:eastAsia="Arial Unicode MS"/>
                <w:b/>
                <w:bCs/>
                <w:color w:val="000000" w:themeColor="text1"/>
                <w:sz w:val="20"/>
                <w:szCs w:val="20"/>
                <w:shd w:val="clear" w:color="auto" w:fill="FFFFFF"/>
                <w:lang w:val="en-US"/>
              </w:rPr>
              <w:t>alte</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sectoare</w:t>
            </w:r>
            <w:proofErr w:type="spellEnd"/>
            <w:r w:rsidRPr="00406CAF">
              <w:rPr>
                <w:rFonts w:eastAsia="Arial Unicode MS"/>
                <w:b/>
                <w:bCs/>
                <w:color w:val="000000" w:themeColor="text1"/>
                <w:sz w:val="20"/>
                <w:szCs w:val="20"/>
                <w:shd w:val="clear" w:color="auto" w:fill="FFFFFF"/>
                <w:lang w:val="en-US"/>
              </w:rPr>
              <w:t xml:space="preserve"> care nu sunt </w:t>
            </w:r>
            <w:proofErr w:type="spellStart"/>
            <w:r w:rsidRPr="00406CAF">
              <w:rPr>
                <w:rFonts w:eastAsia="Arial Unicode MS"/>
                <w:b/>
                <w:bCs/>
                <w:color w:val="000000" w:themeColor="text1"/>
                <w:sz w:val="20"/>
                <w:szCs w:val="20"/>
                <w:shd w:val="clear" w:color="auto" w:fill="FFFFFF"/>
                <w:lang w:val="en-US"/>
              </w:rPr>
              <w:t>vizate</w:t>
            </w:r>
            <w:proofErr w:type="spellEnd"/>
            <w:r w:rsidRPr="00406CAF">
              <w:rPr>
                <w:rFonts w:eastAsia="Arial Unicode MS"/>
                <w:b/>
                <w:bCs/>
                <w:color w:val="000000" w:themeColor="text1"/>
                <w:sz w:val="20"/>
                <w:szCs w:val="20"/>
                <w:shd w:val="clear" w:color="auto" w:fill="FFFFFF"/>
                <w:lang w:val="en-US"/>
              </w:rPr>
              <w:t xml:space="preserve"> de </w:t>
            </w:r>
            <w:proofErr w:type="spellStart"/>
            <w:r w:rsidRPr="00406CAF">
              <w:rPr>
                <w:rFonts w:eastAsia="Arial Unicode MS"/>
                <w:b/>
                <w:bCs/>
                <w:color w:val="000000" w:themeColor="text1"/>
                <w:sz w:val="20"/>
                <w:szCs w:val="20"/>
                <w:shd w:val="clear" w:color="auto" w:fill="FFFFFF"/>
                <w:lang w:val="en-US"/>
              </w:rPr>
              <w:t>capitolele</w:t>
            </w:r>
            <w:proofErr w:type="spellEnd"/>
            <w:r w:rsidRPr="00406CAF">
              <w:rPr>
                <w:rFonts w:eastAsia="Arial Unicode MS"/>
                <w:b/>
                <w:bCs/>
                <w:color w:val="000000" w:themeColor="text1"/>
                <w:sz w:val="20"/>
                <w:szCs w:val="20"/>
                <w:shd w:val="clear" w:color="auto" w:fill="FFFFFF"/>
                <w:lang w:val="en-US"/>
              </w:rPr>
              <w:t xml:space="preserve"> II și III</w:t>
            </w:r>
          </w:p>
          <w:p w14:paraId="1E54828E" w14:textId="77777777" w:rsidR="00124364" w:rsidRPr="003D4F0B" w:rsidRDefault="00000000" w:rsidP="00406CAF">
            <w:pPr>
              <w:pStyle w:val="ti-art"/>
              <w:numPr>
                <w:ilvl w:val="0"/>
                <w:numId w:val="1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Începând</w:t>
            </w:r>
            <w:proofErr w:type="spellEnd"/>
            <w:r w:rsidRPr="003D4F0B">
              <w:rPr>
                <w:rFonts w:eastAsia="Arial Unicode MS"/>
                <w:color w:val="000000" w:themeColor="text1"/>
                <w:sz w:val="20"/>
                <w:szCs w:val="20"/>
                <w:shd w:val="clear" w:color="auto" w:fill="FFFFFF"/>
                <w:lang w:val="en-US"/>
              </w:rPr>
              <w:t xml:space="preserve"> cu 2027,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pot </w:t>
            </w:r>
            <w:proofErr w:type="spellStart"/>
            <w:r w:rsidRPr="003D4F0B">
              <w:rPr>
                <w:rFonts w:eastAsia="Arial Unicode MS"/>
                <w:color w:val="000000" w:themeColor="text1"/>
                <w:sz w:val="20"/>
                <w:szCs w:val="20"/>
                <w:shd w:val="clear" w:color="auto" w:fill="FFFFFF"/>
                <w:lang w:val="en-US"/>
              </w:rPr>
              <w:t>extinde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activitatea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III la </w:t>
            </w:r>
            <w:proofErr w:type="spellStart"/>
            <w:r w:rsidRPr="003D4F0B">
              <w:rPr>
                <w:rFonts w:eastAsia="Arial Unicode MS"/>
                <w:color w:val="000000" w:themeColor="text1"/>
                <w:sz w:val="20"/>
                <w:szCs w:val="20"/>
                <w:shd w:val="clear" w:color="auto" w:fill="FFFFFF"/>
                <w:lang w:val="en-US"/>
              </w:rPr>
              <w:t>sectoarele</w:t>
            </w:r>
            <w:proofErr w:type="spellEnd"/>
            <w:r w:rsidRPr="003D4F0B">
              <w:rPr>
                <w:rFonts w:eastAsia="Arial Unicode MS"/>
                <w:color w:val="000000" w:themeColor="text1"/>
                <w:sz w:val="20"/>
                <w:szCs w:val="20"/>
                <w:shd w:val="clear" w:color="auto" w:fill="FFFFFF"/>
                <w:lang w:val="en-US"/>
              </w:rPr>
              <w:t xml:space="preserve"> care nu sunt enumerate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respectivă</w:t>
            </w:r>
            <w:proofErr w:type="spellEnd"/>
            <w:r w:rsidRPr="003D4F0B">
              <w:rPr>
                <w:rFonts w:eastAsia="Arial Unicode MS"/>
                <w:color w:val="000000" w:themeColor="text1"/>
                <w:sz w:val="20"/>
                <w:szCs w:val="20"/>
                <w:shd w:val="clear" w:color="auto" w:fill="FFFFFF"/>
                <w:lang w:val="en-US"/>
              </w:rPr>
              <w:t xml:space="preserve"> și pot </w:t>
            </w:r>
            <w:proofErr w:type="spellStart"/>
            <w:r w:rsidRPr="003D4F0B">
              <w:rPr>
                <w:rFonts w:eastAsia="Arial Unicode MS"/>
                <w:color w:val="000000" w:themeColor="text1"/>
                <w:sz w:val="20"/>
                <w:szCs w:val="20"/>
                <w:shd w:val="clear" w:color="auto" w:fill="FFFFFF"/>
                <w:lang w:val="en-US"/>
              </w:rPr>
              <w:t>pune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aplicare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comercializarea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capitol în </w:t>
            </w:r>
            <w:proofErr w:type="spellStart"/>
            <w:r w:rsidRPr="003D4F0B">
              <w:rPr>
                <w:rFonts w:eastAsia="Arial Unicode MS"/>
                <w:color w:val="000000" w:themeColor="text1"/>
                <w:sz w:val="20"/>
                <w:szCs w:val="20"/>
                <w:shd w:val="clear" w:color="auto" w:fill="FFFFFF"/>
                <w:lang w:val="en-US"/>
              </w:rPr>
              <w:t>astfel</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sectoare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ținând</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seama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toate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criteriile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relevante</w:t>
            </w:r>
            <w:proofErr w:type="spellEnd"/>
            <w:r w:rsidRPr="003D4F0B">
              <w:rPr>
                <w:rFonts w:eastAsia="Arial Unicode MS"/>
                <w:color w:val="000000" w:themeColor="text1"/>
                <w:sz w:val="20"/>
                <w:szCs w:val="20"/>
                <w:shd w:val="clear" w:color="auto" w:fill="FFFFFF"/>
                <w:lang w:val="en-US"/>
              </w:rPr>
              <w:t xml:space="preserve">, în special de efectele </w:t>
            </w:r>
            <w:proofErr w:type="spellStart"/>
            <w:r w:rsidRPr="003D4F0B">
              <w:rPr>
                <w:rFonts w:eastAsia="Arial Unicode MS"/>
                <w:color w:val="000000" w:themeColor="text1"/>
                <w:sz w:val="20"/>
                <w:szCs w:val="20"/>
                <w:shd w:val="clear" w:color="auto" w:fill="FFFFFF"/>
                <w:lang w:val="en-US"/>
              </w:rPr>
              <w:t>asupra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pieței</w:t>
            </w:r>
            <w:proofErr w:type="spellEnd"/>
            <w:r w:rsidRPr="003D4F0B">
              <w:rPr>
                <w:rFonts w:eastAsia="Arial Unicode MS"/>
                <w:color w:val="000000" w:themeColor="text1"/>
                <w:sz w:val="20"/>
                <w:szCs w:val="20"/>
                <w:shd w:val="clear" w:color="auto" w:fill="FFFFFF"/>
                <w:lang w:val="en-US"/>
              </w:rPr>
              <w:t xml:space="preserve"> interne, de </w:t>
            </w:r>
            <w:proofErr w:type="spellStart"/>
            <w:r w:rsidRPr="003D4F0B">
              <w:rPr>
                <w:rFonts w:eastAsia="Arial Unicode MS"/>
                <w:color w:val="000000" w:themeColor="text1"/>
                <w:sz w:val="20"/>
                <w:szCs w:val="20"/>
                <w:shd w:val="clear" w:color="auto" w:fill="FFFFFF"/>
                <w:lang w:val="en-US"/>
              </w:rPr>
              <w:t>de</w:t>
            </w:r>
            <w:r w:rsidRPr="003D4F0B">
              <w:rPr>
                <w:rFonts w:eastAsia="Arial Unicode MS"/>
                <w:color w:val="000000" w:themeColor="text1"/>
                <w:sz w:val="20"/>
                <w:szCs w:val="20"/>
                <w:shd w:val="clear" w:color="auto" w:fill="FFFFFF"/>
                <w:lang w:val="en-US"/>
              </w:rPr>
              <w:lastRenderedPageBreak/>
              <w:t>naturările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potențiale</w:t>
            </w:r>
            <w:proofErr w:type="spellEnd"/>
            <w:r w:rsidRPr="003D4F0B">
              <w:rPr>
                <w:rFonts w:eastAsia="Arial Unicode MS"/>
                <w:color w:val="000000" w:themeColor="text1"/>
                <w:sz w:val="20"/>
                <w:szCs w:val="20"/>
                <w:shd w:val="clear" w:color="auto" w:fill="FFFFFF"/>
                <w:lang w:val="en-US"/>
              </w:rPr>
              <w:t xml:space="preserve"> ale </w:t>
            </w:r>
            <w:proofErr w:type="spellStart"/>
            <w:r w:rsidRPr="003D4F0B">
              <w:rPr>
                <w:rFonts w:eastAsia="Arial Unicode MS"/>
                <w:color w:val="000000" w:themeColor="text1"/>
                <w:sz w:val="20"/>
                <w:szCs w:val="20"/>
                <w:shd w:val="clear" w:color="auto" w:fill="FFFFFF"/>
                <w:lang w:val="en-US"/>
              </w:rPr>
              <w:t>concurenței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integritatea</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mediu</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schemei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comercializare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emisii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stabilite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prezentului</w:t>
            </w:r>
            <w:proofErr w:type="spellEnd"/>
            <w:r w:rsidRPr="003D4F0B">
              <w:rPr>
                <w:rFonts w:eastAsia="Arial Unicode MS"/>
                <w:color w:val="000000" w:themeColor="text1"/>
                <w:sz w:val="20"/>
                <w:szCs w:val="20"/>
                <w:shd w:val="clear" w:color="auto" w:fill="FFFFFF"/>
                <w:lang w:val="en-US"/>
              </w:rPr>
              <w:t xml:space="preserve"> capitol și de </w:t>
            </w:r>
            <w:proofErr w:type="spellStart"/>
            <w:r w:rsidRPr="003D4F0B">
              <w:rPr>
                <w:rFonts w:eastAsia="Arial Unicode MS"/>
                <w:color w:val="000000" w:themeColor="text1"/>
                <w:sz w:val="20"/>
                <w:szCs w:val="20"/>
                <w:shd w:val="clear" w:color="auto" w:fill="FFFFFF"/>
                <w:lang w:val="en-US"/>
              </w:rPr>
              <w:t>fiabilitatea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sistemului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monitorizare</w:t>
            </w:r>
            <w:proofErr w:type="spellEnd"/>
            <w:r w:rsidRPr="003D4F0B">
              <w:rPr>
                <w:rFonts w:eastAsia="Arial Unicode MS"/>
                <w:color w:val="000000" w:themeColor="text1"/>
                <w:sz w:val="20"/>
                <w:szCs w:val="20"/>
                <w:shd w:val="clear" w:color="auto" w:fill="FFFFFF"/>
                <w:lang w:val="en-US"/>
              </w:rPr>
              <w:t xml:space="preserve"> și de </w:t>
            </w:r>
            <w:proofErr w:type="spellStart"/>
            <w:r w:rsidRPr="003D4F0B">
              <w:rPr>
                <w:rFonts w:eastAsia="Arial Unicode MS"/>
                <w:color w:val="000000" w:themeColor="text1"/>
                <w:sz w:val="20"/>
                <w:szCs w:val="20"/>
                <w:shd w:val="clear" w:color="auto" w:fill="FFFFFF"/>
                <w:lang w:val="en-US"/>
              </w:rPr>
              <w:t>raportare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planificat</w:t>
            </w:r>
            <w:proofErr w:type="spellEnd"/>
            <w:r w:rsidRPr="003D4F0B">
              <w:rPr>
                <w:rFonts w:eastAsia="Arial Unicode MS"/>
                <w:color w:val="000000" w:themeColor="text1"/>
                <w:sz w:val="20"/>
                <w:szCs w:val="20"/>
                <w:shd w:val="clear" w:color="auto" w:fill="FFFFFF"/>
                <w:lang w:val="en-US"/>
              </w:rPr>
              <w:t xml:space="preserve">, cu </w:t>
            </w:r>
            <w:proofErr w:type="spellStart"/>
            <w:r w:rsidRPr="003D4F0B">
              <w:rPr>
                <w:rFonts w:eastAsia="Arial Unicode MS"/>
                <w:color w:val="000000" w:themeColor="text1"/>
                <w:sz w:val="20"/>
                <w:szCs w:val="20"/>
                <w:shd w:val="clear" w:color="auto" w:fill="FFFFFF"/>
                <w:lang w:val="en-US"/>
              </w:rPr>
              <w:t>condiția</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extinderea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activității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fie </w:t>
            </w:r>
            <w:proofErr w:type="spellStart"/>
            <w:r w:rsidRPr="003D4F0B">
              <w:rPr>
                <w:rFonts w:eastAsia="Arial Unicode MS"/>
                <w:color w:val="000000" w:themeColor="text1"/>
                <w:sz w:val="20"/>
                <w:szCs w:val="20"/>
                <w:shd w:val="clear" w:color="auto" w:fill="FFFFFF"/>
                <w:lang w:val="en-US"/>
              </w:rPr>
              <w:t>aprobată</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Comisie</w:t>
            </w:r>
            <w:proofErr w:type="spellEnd"/>
            <w:r w:rsidRPr="003D4F0B">
              <w:rPr>
                <w:rFonts w:eastAsia="Arial Unicode MS"/>
                <w:color w:val="000000" w:themeColor="text1"/>
                <w:sz w:val="20"/>
                <w:szCs w:val="20"/>
                <w:shd w:val="clear" w:color="auto" w:fill="FFFFFF"/>
                <w:lang w:val="en-US"/>
              </w:rPr>
              <w:t>.</w:t>
            </w:r>
          </w:p>
          <w:p w14:paraId="2B21415A" w14:textId="1EC4BDCD" w:rsidR="00124364" w:rsidRPr="003D4F0B" w:rsidRDefault="00000000" w:rsidP="00406CA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împuternicită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adopte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w:t>
            </w:r>
            <w:proofErr w:type="spellEnd"/>
            <w:r w:rsidRPr="003D4F0B">
              <w:rPr>
                <w:rFonts w:eastAsia="Arial Unicode MS"/>
                <w:color w:val="000000" w:themeColor="text1"/>
                <w:sz w:val="20"/>
                <w:szCs w:val="20"/>
                <w:shd w:val="clear" w:color="auto" w:fill="FFFFFF"/>
                <w:lang w:val="en-US"/>
              </w:rPr>
              <w:t xml:space="preserve"> delegate în conformitate cu </w:t>
            </w:r>
            <w:proofErr w:type="spellStart"/>
            <w:r w:rsidRPr="003D4F0B">
              <w:rPr>
                <w:rFonts w:eastAsia="Arial Unicode MS"/>
                <w:color w:val="000000" w:themeColor="text1"/>
                <w:sz w:val="20"/>
                <w:szCs w:val="20"/>
                <w:shd w:val="clear" w:color="auto" w:fill="FFFFFF"/>
                <w:lang w:val="en-US"/>
              </w:rPr>
              <w:t>articolul</w:t>
            </w:r>
            <w:proofErr w:type="spellEnd"/>
            <w:r w:rsidR="00406CAF"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23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completa</w:t>
            </w:r>
            <w:proofErr w:type="spellEnd"/>
            <w:r w:rsidRPr="003D4F0B">
              <w:rPr>
                <w:rFonts w:eastAsia="Arial Unicode MS"/>
                <w:color w:val="000000" w:themeColor="text1"/>
                <w:sz w:val="20"/>
                <w:szCs w:val="20"/>
                <w:shd w:val="clear" w:color="auto" w:fill="FFFFFF"/>
                <w:lang w:val="en-US"/>
              </w:rPr>
              <w:t xml:space="preserve"> prezenta </w:t>
            </w:r>
            <w:proofErr w:type="spellStart"/>
            <w:r w:rsidRPr="003D4F0B">
              <w:rPr>
                <w:rFonts w:eastAsia="Arial Unicode MS"/>
                <w:color w:val="000000" w:themeColor="text1"/>
                <w:sz w:val="20"/>
                <w:szCs w:val="20"/>
                <w:shd w:val="clear" w:color="auto" w:fill="FFFFFF"/>
                <w:lang w:val="en-US"/>
              </w:rPr>
              <w:t>directivă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ceea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privește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aprobarea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extinderi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astfel</w:t>
            </w:r>
            <w:proofErr w:type="spellEnd"/>
            <w:r w:rsidRPr="003D4F0B">
              <w:rPr>
                <w:rFonts w:eastAsia="Arial Unicode MS"/>
                <w:color w:val="000000" w:themeColor="text1"/>
                <w:sz w:val="20"/>
                <w:szCs w:val="20"/>
                <w:shd w:val="clear" w:color="auto" w:fill="FFFFFF"/>
                <w:lang w:val="en-US"/>
              </w:rPr>
              <w:t xml:space="preserve"> cum se </w:t>
            </w:r>
            <w:proofErr w:type="spellStart"/>
            <w:r w:rsidRPr="003D4F0B">
              <w:rPr>
                <w:rFonts w:eastAsia="Arial Unicode MS"/>
                <w:color w:val="000000" w:themeColor="text1"/>
                <w:sz w:val="20"/>
                <w:szCs w:val="20"/>
                <w:shd w:val="clear" w:color="auto" w:fill="FFFFFF"/>
                <w:lang w:val="en-US"/>
              </w:rPr>
              <w:t>menționează</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primul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paragraf</w:t>
            </w:r>
            <w:proofErr w:type="spellEnd"/>
            <w:r w:rsidRPr="003D4F0B">
              <w:rPr>
                <w:rFonts w:eastAsia="Arial Unicode MS"/>
                <w:color w:val="000000" w:themeColor="text1"/>
                <w:sz w:val="20"/>
                <w:szCs w:val="20"/>
                <w:shd w:val="clear" w:color="auto" w:fill="FFFFFF"/>
                <w:lang w:val="en-US"/>
              </w:rPr>
              <w:t xml:space="preserve"> de la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alineat</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autorizarea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emiterii</w:t>
            </w:r>
            <w:proofErr w:type="spellEnd"/>
            <w:r w:rsidRPr="003D4F0B">
              <w:rPr>
                <w:rFonts w:eastAsia="Arial Unicode MS"/>
                <w:color w:val="000000" w:themeColor="text1"/>
                <w:sz w:val="20"/>
                <w:szCs w:val="20"/>
                <w:shd w:val="clear" w:color="auto" w:fill="FFFFFF"/>
                <w:lang w:val="en-US"/>
              </w:rPr>
              <w:t xml:space="preserve"> de certificate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autorizarea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altor</w:t>
            </w:r>
            <w:proofErr w:type="spellEnd"/>
            <w:r w:rsidRPr="003D4F0B">
              <w:rPr>
                <w:rFonts w:eastAsia="Arial Unicode MS"/>
                <w:color w:val="000000" w:themeColor="text1"/>
                <w:sz w:val="20"/>
                <w:szCs w:val="20"/>
                <w:shd w:val="clear" w:color="auto" w:fill="FFFFFF"/>
                <w:lang w:val="en-US"/>
              </w:rPr>
              <w:t xml:space="preserve"> state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își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extindă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activitatea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menționată</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III. </w:t>
            </w:r>
            <w:proofErr w:type="spellStart"/>
            <w:r w:rsidRPr="003D4F0B">
              <w:rPr>
                <w:rFonts w:eastAsia="Arial Unicode MS"/>
                <w:color w:val="000000" w:themeColor="text1"/>
                <w:sz w:val="20"/>
                <w:szCs w:val="20"/>
                <w:shd w:val="clear" w:color="auto" w:fill="FFFFFF"/>
                <w:lang w:val="en-US"/>
              </w:rPr>
              <w:t>Atunci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când</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adoptă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aceste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acte</w:t>
            </w:r>
            <w:proofErr w:type="spellEnd"/>
            <w:r w:rsidRPr="003D4F0B">
              <w:rPr>
                <w:rFonts w:eastAsia="Arial Unicode MS"/>
                <w:color w:val="000000" w:themeColor="text1"/>
                <w:sz w:val="20"/>
                <w:szCs w:val="20"/>
                <w:shd w:val="clear" w:color="auto" w:fill="FFFFFF"/>
                <w:lang w:val="en-US"/>
              </w:rPr>
              <w:t xml:space="preserve"> delegate, </w:t>
            </w:r>
            <w:proofErr w:type="spellStart"/>
            <w:r w:rsidRPr="003D4F0B">
              <w:rPr>
                <w:rFonts w:eastAsia="Arial Unicode MS"/>
                <w:color w:val="000000" w:themeColor="text1"/>
                <w:sz w:val="20"/>
                <w:szCs w:val="20"/>
                <w:shd w:val="clear" w:color="auto" w:fill="FFFFFF"/>
                <w:lang w:val="en-US"/>
              </w:rPr>
              <w:t>Comisia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poate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asemenea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completeze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extinderea</w:t>
            </w:r>
            <w:proofErr w:type="spellEnd"/>
            <w:r w:rsidRPr="003D4F0B">
              <w:rPr>
                <w:rFonts w:eastAsia="Arial Unicode MS"/>
                <w:color w:val="000000" w:themeColor="text1"/>
                <w:sz w:val="20"/>
                <w:szCs w:val="20"/>
                <w:shd w:val="clear" w:color="auto" w:fill="FFFFFF"/>
                <w:lang w:val="en-US"/>
              </w:rPr>
              <w:t xml:space="preserve"> cu </w:t>
            </w:r>
            <w:proofErr w:type="spellStart"/>
            <w:r w:rsidRPr="003D4F0B">
              <w:rPr>
                <w:rFonts w:eastAsia="Arial Unicode MS"/>
                <w:color w:val="000000" w:themeColor="text1"/>
                <w:sz w:val="20"/>
                <w:szCs w:val="20"/>
                <w:shd w:val="clear" w:color="auto" w:fill="FFFFFF"/>
                <w:lang w:val="en-US"/>
              </w:rPr>
              <w:t>norme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reglementare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măsurilor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abordare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posibilelor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cazuri</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dublă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contabilizare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inclusiv</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emiterea</w:t>
            </w:r>
            <w:proofErr w:type="spellEnd"/>
            <w:r w:rsidRPr="003D4F0B">
              <w:rPr>
                <w:rFonts w:eastAsia="Arial Unicode MS"/>
                <w:color w:val="000000" w:themeColor="text1"/>
                <w:sz w:val="20"/>
                <w:szCs w:val="20"/>
                <w:shd w:val="clear" w:color="auto" w:fill="FFFFFF"/>
                <w:lang w:val="en-US"/>
              </w:rPr>
              <w:t xml:space="preserve"> de certificate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compensarea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certificatelor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restituite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pentru</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utilizarea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combustibililor</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activitățile</w:t>
            </w:r>
            <w:proofErr w:type="spellEnd"/>
            <w:r w:rsidRPr="003D4F0B">
              <w:rPr>
                <w:rFonts w:eastAsia="Arial Unicode MS"/>
                <w:color w:val="000000" w:themeColor="text1"/>
                <w:sz w:val="20"/>
                <w:szCs w:val="20"/>
                <w:shd w:val="clear" w:color="auto" w:fill="FFFFFF"/>
                <w:lang w:val="en-US"/>
              </w:rPr>
              <w:t xml:space="preserve"> enumerate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I. </w:t>
            </w:r>
            <w:proofErr w:type="spellStart"/>
            <w:r w:rsidRPr="003D4F0B">
              <w:rPr>
                <w:rFonts w:eastAsia="Arial Unicode MS"/>
                <w:color w:val="000000" w:themeColor="text1"/>
                <w:sz w:val="20"/>
                <w:szCs w:val="20"/>
                <w:shd w:val="clear" w:color="auto" w:fill="FFFFFF"/>
                <w:lang w:val="en-US"/>
              </w:rPr>
              <w:t>Orice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măsuri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financiare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adoptate</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favoarea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întreprinderilor</w:t>
            </w:r>
            <w:proofErr w:type="spellEnd"/>
            <w:r w:rsidRPr="003D4F0B">
              <w:rPr>
                <w:rFonts w:eastAsia="Arial Unicode MS"/>
                <w:color w:val="000000" w:themeColor="text1"/>
                <w:sz w:val="20"/>
                <w:szCs w:val="20"/>
                <w:shd w:val="clear" w:color="auto" w:fill="FFFFFF"/>
                <w:lang w:val="en-US"/>
              </w:rPr>
              <w:t xml:space="preserve"> din </w:t>
            </w:r>
            <w:proofErr w:type="spellStart"/>
            <w:r w:rsidRPr="003D4F0B">
              <w:rPr>
                <w:rFonts w:eastAsia="Arial Unicode MS"/>
                <w:color w:val="000000" w:themeColor="text1"/>
                <w:sz w:val="20"/>
                <w:szCs w:val="20"/>
                <w:shd w:val="clear" w:color="auto" w:fill="FFFFFF"/>
                <w:lang w:val="en-US"/>
              </w:rPr>
              <w:t>sectoarele</w:t>
            </w:r>
            <w:proofErr w:type="spellEnd"/>
            <w:r w:rsidRPr="003D4F0B">
              <w:rPr>
                <w:rFonts w:eastAsia="Arial Unicode MS"/>
                <w:color w:val="000000" w:themeColor="text1"/>
                <w:sz w:val="20"/>
                <w:szCs w:val="20"/>
                <w:shd w:val="clear" w:color="auto" w:fill="FFFFFF"/>
                <w:lang w:val="en-US"/>
              </w:rPr>
              <w:t xml:space="preserve"> și </w:t>
            </w:r>
            <w:proofErr w:type="spellStart"/>
            <w:r w:rsidRPr="003D4F0B">
              <w:rPr>
                <w:rFonts w:eastAsia="Arial Unicode MS"/>
                <w:color w:val="000000" w:themeColor="text1"/>
                <w:sz w:val="20"/>
                <w:szCs w:val="20"/>
                <w:shd w:val="clear" w:color="auto" w:fill="FFFFFF"/>
                <w:lang w:val="en-US"/>
              </w:rPr>
              <w:t>subsectoarele</w:t>
            </w:r>
            <w:proofErr w:type="spellEnd"/>
            <w:r w:rsidRPr="003D4F0B">
              <w:rPr>
                <w:rFonts w:eastAsia="Arial Unicode MS"/>
                <w:color w:val="000000" w:themeColor="text1"/>
                <w:sz w:val="20"/>
                <w:szCs w:val="20"/>
                <w:shd w:val="clear" w:color="auto" w:fill="FFFFFF"/>
                <w:lang w:val="en-US"/>
              </w:rPr>
              <w:t xml:space="preserve"> care sunt </w:t>
            </w:r>
            <w:proofErr w:type="spellStart"/>
            <w:r w:rsidRPr="003D4F0B">
              <w:rPr>
                <w:rFonts w:eastAsia="Arial Unicode MS"/>
                <w:color w:val="000000" w:themeColor="text1"/>
                <w:sz w:val="20"/>
                <w:szCs w:val="20"/>
                <w:shd w:val="clear" w:color="auto" w:fill="FFFFFF"/>
                <w:lang w:val="en-US"/>
              </w:rPr>
              <w:t>expuse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unui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risc</w:t>
            </w:r>
            <w:proofErr w:type="spellEnd"/>
            <w:r w:rsidRPr="003D4F0B">
              <w:rPr>
                <w:rFonts w:eastAsia="Arial Unicode MS"/>
                <w:color w:val="000000" w:themeColor="text1"/>
                <w:sz w:val="20"/>
                <w:szCs w:val="20"/>
                <w:shd w:val="clear" w:color="auto" w:fill="FFFFFF"/>
                <w:lang w:val="en-US"/>
              </w:rPr>
              <w:t xml:space="preserve"> real de </w:t>
            </w:r>
            <w:proofErr w:type="spellStart"/>
            <w:r w:rsidRPr="003D4F0B">
              <w:rPr>
                <w:rFonts w:eastAsia="Arial Unicode MS"/>
                <w:color w:val="000000" w:themeColor="text1"/>
                <w:sz w:val="20"/>
                <w:szCs w:val="20"/>
                <w:shd w:val="clear" w:color="auto" w:fill="FFFFFF"/>
                <w:lang w:val="en-US"/>
              </w:rPr>
              <w:t>relocare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dioxid</w:t>
            </w:r>
            <w:proofErr w:type="spellEnd"/>
            <w:r w:rsidRPr="003D4F0B">
              <w:rPr>
                <w:rFonts w:eastAsia="Arial Unicode MS"/>
                <w:color w:val="000000" w:themeColor="text1"/>
                <w:sz w:val="20"/>
                <w:szCs w:val="20"/>
                <w:shd w:val="clear" w:color="auto" w:fill="FFFFFF"/>
                <w:lang w:val="en-US"/>
              </w:rPr>
              <w:t xml:space="preserve"> de carbon, din </w:t>
            </w:r>
            <w:proofErr w:type="spellStart"/>
            <w:r w:rsidRPr="003D4F0B">
              <w:rPr>
                <w:rFonts w:eastAsia="Arial Unicode MS"/>
                <w:color w:val="000000" w:themeColor="text1"/>
                <w:sz w:val="20"/>
                <w:szCs w:val="20"/>
                <w:shd w:val="clear" w:color="auto" w:fill="FFFFFF"/>
                <w:lang w:val="en-US"/>
              </w:rPr>
              <w:t>cauza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costurilor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indirecte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semnificative</w:t>
            </w:r>
            <w:proofErr w:type="spellEnd"/>
            <w:r w:rsidRPr="003D4F0B">
              <w:rPr>
                <w:rFonts w:eastAsia="Arial Unicode MS"/>
                <w:color w:val="000000" w:themeColor="text1"/>
                <w:sz w:val="20"/>
                <w:szCs w:val="20"/>
                <w:shd w:val="clear" w:color="auto" w:fill="FFFFFF"/>
                <w:lang w:val="en-US"/>
              </w:rPr>
              <w:t xml:space="preserve"> care sunt </w:t>
            </w:r>
            <w:proofErr w:type="spellStart"/>
            <w:r w:rsidRPr="003D4F0B">
              <w:rPr>
                <w:rFonts w:eastAsia="Arial Unicode MS"/>
                <w:color w:val="000000" w:themeColor="text1"/>
                <w:sz w:val="20"/>
                <w:szCs w:val="20"/>
                <w:shd w:val="clear" w:color="auto" w:fill="FFFFFF"/>
                <w:lang w:val="en-US"/>
              </w:rPr>
              <w:t>suportate</w:t>
            </w:r>
            <w:proofErr w:type="spellEnd"/>
            <w:r w:rsidRPr="003D4F0B">
              <w:rPr>
                <w:rFonts w:eastAsia="Arial Unicode MS"/>
                <w:color w:val="000000" w:themeColor="text1"/>
                <w:sz w:val="20"/>
                <w:szCs w:val="20"/>
                <w:shd w:val="clear" w:color="auto" w:fill="FFFFFF"/>
                <w:lang w:val="en-US"/>
              </w:rPr>
              <w:t xml:space="preserve"> din </w:t>
            </w:r>
            <w:proofErr w:type="spellStart"/>
            <w:r w:rsidRPr="003D4F0B">
              <w:rPr>
                <w:rFonts w:eastAsia="Arial Unicode MS"/>
                <w:color w:val="000000" w:themeColor="text1"/>
                <w:sz w:val="20"/>
                <w:szCs w:val="20"/>
                <w:shd w:val="clear" w:color="auto" w:fill="FFFFFF"/>
                <w:lang w:val="en-US"/>
              </w:rPr>
              <w:t>costurile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emisiilor</w:t>
            </w:r>
            <w:proofErr w:type="spellEnd"/>
            <w:r w:rsidRPr="003D4F0B">
              <w:rPr>
                <w:rFonts w:eastAsia="Arial Unicode MS"/>
                <w:color w:val="000000" w:themeColor="text1"/>
                <w:sz w:val="20"/>
                <w:szCs w:val="20"/>
                <w:shd w:val="clear" w:color="auto" w:fill="FFFFFF"/>
                <w:lang w:val="en-US"/>
              </w:rPr>
              <w:t xml:space="preserve"> de gaze cu </w:t>
            </w:r>
            <w:proofErr w:type="spellStart"/>
            <w:r w:rsidRPr="003D4F0B">
              <w:rPr>
                <w:rFonts w:eastAsia="Arial Unicode MS"/>
                <w:color w:val="000000" w:themeColor="text1"/>
                <w:sz w:val="20"/>
                <w:szCs w:val="20"/>
                <w:shd w:val="clear" w:color="auto" w:fill="FFFFFF"/>
                <w:lang w:val="en-US"/>
              </w:rPr>
              <w:t>efect</w:t>
            </w:r>
            <w:proofErr w:type="spellEnd"/>
            <w:r w:rsidRPr="003D4F0B">
              <w:rPr>
                <w:rFonts w:eastAsia="Arial Unicode MS"/>
                <w:color w:val="000000" w:themeColor="text1"/>
                <w:sz w:val="20"/>
                <w:szCs w:val="20"/>
                <w:shd w:val="clear" w:color="auto" w:fill="FFFFFF"/>
                <w:lang w:val="en-US"/>
              </w:rPr>
              <w:t xml:space="preserve"> de </w:t>
            </w:r>
            <w:proofErr w:type="spellStart"/>
            <w:r w:rsidRPr="003D4F0B">
              <w:rPr>
                <w:rFonts w:eastAsia="Arial Unicode MS"/>
                <w:color w:val="000000" w:themeColor="text1"/>
                <w:sz w:val="20"/>
                <w:szCs w:val="20"/>
                <w:shd w:val="clear" w:color="auto" w:fill="FFFFFF"/>
                <w:lang w:val="en-US"/>
              </w:rPr>
              <w:t>seră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transferate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prețul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combustibililor</w:t>
            </w:r>
            <w:proofErr w:type="spellEnd"/>
            <w:r w:rsidRPr="003D4F0B">
              <w:rPr>
                <w:rFonts w:eastAsia="Arial Unicode MS"/>
                <w:color w:val="000000" w:themeColor="text1"/>
                <w:sz w:val="20"/>
                <w:szCs w:val="20"/>
                <w:shd w:val="clear" w:color="auto" w:fill="FFFFFF"/>
                <w:lang w:val="en-US"/>
              </w:rPr>
              <w:t xml:space="preserve"> ca </w:t>
            </w:r>
            <w:proofErr w:type="spellStart"/>
            <w:r w:rsidRPr="003D4F0B">
              <w:rPr>
                <w:rFonts w:eastAsia="Arial Unicode MS"/>
                <w:color w:val="000000" w:themeColor="text1"/>
                <w:sz w:val="20"/>
                <w:szCs w:val="20"/>
                <w:shd w:val="clear" w:color="auto" w:fill="FFFFFF"/>
                <w:lang w:val="en-US"/>
              </w:rPr>
              <w:t>urmare</w:t>
            </w:r>
            <w:proofErr w:type="spellEnd"/>
            <w:r w:rsidRPr="003D4F0B">
              <w:rPr>
                <w:rFonts w:eastAsia="Arial Unicode MS"/>
                <w:color w:val="000000" w:themeColor="text1"/>
                <w:sz w:val="20"/>
                <w:szCs w:val="20"/>
                <w:shd w:val="clear" w:color="auto" w:fill="FFFFFF"/>
                <w:lang w:val="en-US"/>
              </w:rPr>
              <w:t xml:space="preserve"> a </w:t>
            </w:r>
            <w:proofErr w:type="spellStart"/>
            <w:r w:rsidRPr="003D4F0B">
              <w:rPr>
                <w:rFonts w:eastAsia="Arial Unicode MS"/>
                <w:color w:val="000000" w:themeColor="text1"/>
                <w:sz w:val="20"/>
                <w:szCs w:val="20"/>
                <w:shd w:val="clear" w:color="auto" w:fill="FFFFFF"/>
                <w:lang w:val="en-US"/>
              </w:rPr>
              <w:t>extinderii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unilaterale</w:t>
            </w:r>
            <w:proofErr w:type="spellEnd"/>
            <w:r w:rsidRPr="003D4F0B">
              <w:rPr>
                <w:rFonts w:eastAsia="Arial Unicode MS"/>
                <w:color w:val="000000" w:themeColor="text1"/>
                <w:sz w:val="20"/>
                <w:szCs w:val="20"/>
                <w:shd w:val="clear" w:color="auto" w:fill="FFFFFF"/>
                <w:lang w:val="en-US"/>
              </w:rPr>
              <w:t xml:space="preserve">, sunt în conformitate cu </w:t>
            </w:r>
            <w:proofErr w:type="spellStart"/>
            <w:r w:rsidRPr="003D4F0B">
              <w:rPr>
                <w:rFonts w:eastAsia="Arial Unicode MS"/>
                <w:color w:val="000000" w:themeColor="text1"/>
                <w:sz w:val="20"/>
                <w:szCs w:val="20"/>
                <w:shd w:val="clear" w:color="auto" w:fill="FFFFFF"/>
                <w:lang w:val="en-US"/>
              </w:rPr>
              <w:t>normele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privind</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ajutoarele</w:t>
            </w:r>
            <w:proofErr w:type="spellEnd"/>
            <w:r w:rsidRPr="003D4F0B">
              <w:rPr>
                <w:rFonts w:eastAsia="Arial Unicode MS"/>
                <w:color w:val="000000" w:themeColor="text1"/>
                <w:sz w:val="20"/>
                <w:szCs w:val="20"/>
                <w:shd w:val="clear" w:color="auto" w:fill="FFFFFF"/>
                <w:lang w:val="en-US"/>
              </w:rPr>
              <w:t xml:space="preserve"> de stat și nu </w:t>
            </w:r>
            <w:proofErr w:type="spellStart"/>
            <w:r w:rsidRPr="003D4F0B">
              <w:rPr>
                <w:rFonts w:eastAsia="Arial Unicode MS"/>
                <w:color w:val="000000" w:themeColor="text1"/>
                <w:sz w:val="20"/>
                <w:szCs w:val="20"/>
                <w:shd w:val="clear" w:color="auto" w:fill="FFFFFF"/>
                <w:lang w:val="en-US"/>
              </w:rPr>
              <w:t>provoacă</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denaturări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nejustificate</w:t>
            </w:r>
            <w:proofErr w:type="spellEnd"/>
            <w:r w:rsidRPr="003D4F0B">
              <w:rPr>
                <w:rFonts w:eastAsia="Arial Unicode MS"/>
                <w:color w:val="000000" w:themeColor="text1"/>
                <w:sz w:val="20"/>
                <w:szCs w:val="20"/>
                <w:shd w:val="clear" w:color="auto" w:fill="FFFFFF"/>
                <w:lang w:val="en-US"/>
              </w:rPr>
              <w:t xml:space="preserve"> ale </w:t>
            </w:r>
            <w:proofErr w:type="spellStart"/>
            <w:r w:rsidRPr="003D4F0B">
              <w:rPr>
                <w:rFonts w:eastAsia="Arial Unicode MS"/>
                <w:color w:val="000000" w:themeColor="text1"/>
                <w:sz w:val="20"/>
                <w:szCs w:val="20"/>
                <w:shd w:val="clear" w:color="auto" w:fill="FFFFFF"/>
                <w:lang w:val="en-US"/>
              </w:rPr>
              <w:t>concurenței</w:t>
            </w:r>
            <w:proofErr w:type="spellEnd"/>
            <w:r w:rsidRPr="003D4F0B">
              <w:rPr>
                <w:rFonts w:eastAsia="Arial Unicode MS"/>
                <w:color w:val="000000" w:themeColor="text1"/>
                <w:sz w:val="20"/>
                <w:szCs w:val="20"/>
                <w:shd w:val="clear" w:color="auto" w:fill="FFFFFF"/>
                <w:lang w:val="en-US"/>
              </w:rPr>
              <w:t xml:space="preserve"> pe </w:t>
            </w:r>
            <w:proofErr w:type="spellStart"/>
            <w:r w:rsidRPr="003D4F0B">
              <w:rPr>
                <w:rFonts w:eastAsia="Arial Unicode MS"/>
                <w:color w:val="000000" w:themeColor="text1"/>
                <w:sz w:val="20"/>
                <w:szCs w:val="20"/>
                <w:shd w:val="clear" w:color="auto" w:fill="FFFFFF"/>
                <w:lang w:val="en-US"/>
              </w:rPr>
              <w:t>piața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internă</w:t>
            </w:r>
            <w:proofErr w:type="spellEnd"/>
            <w:r w:rsidRPr="003D4F0B">
              <w:rPr>
                <w:rFonts w:eastAsia="Arial Unicode MS"/>
                <w:color w:val="000000" w:themeColor="text1"/>
                <w:sz w:val="20"/>
                <w:szCs w:val="20"/>
                <w:shd w:val="clear" w:color="auto" w:fill="FFFFFF"/>
                <w:lang w:val="en-US"/>
              </w:rPr>
              <w:t>.</w:t>
            </w:r>
          </w:p>
          <w:p w14:paraId="35D4E347" w14:textId="4CA06838" w:rsidR="00124364" w:rsidRDefault="00000000" w:rsidP="00406CAF">
            <w:pPr>
              <w:pStyle w:val="ti-art"/>
              <w:numPr>
                <w:ilvl w:val="0"/>
                <w:numId w:val="152"/>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3D4F0B">
              <w:rPr>
                <w:rFonts w:eastAsia="Arial Unicode MS"/>
                <w:color w:val="000000" w:themeColor="text1"/>
                <w:sz w:val="20"/>
                <w:szCs w:val="20"/>
                <w:shd w:val="clear" w:color="auto" w:fill="FFFFFF"/>
                <w:lang w:val="en-US"/>
              </w:rPr>
              <w:t>Certificatele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suplimentare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eliberate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temeiul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unei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autorizații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prevăzute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se </w:t>
            </w:r>
            <w:proofErr w:type="spellStart"/>
            <w:r w:rsidRPr="003D4F0B">
              <w:rPr>
                <w:rFonts w:eastAsia="Arial Unicode MS"/>
                <w:color w:val="000000" w:themeColor="text1"/>
                <w:sz w:val="20"/>
                <w:szCs w:val="20"/>
                <w:shd w:val="clear" w:color="auto" w:fill="FFFFFF"/>
                <w:lang w:val="en-US"/>
              </w:rPr>
              <w:t>scot</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licitație</w:t>
            </w:r>
            <w:proofErr w:type="spellEnd"/>
            <w:r w:rsidRPr="003D4F0B">
              <w:rPr>
                <w:rFonts w:eastAsia="Arial Unicode MS"/>
                <w:color w:val="000000" w:themeColor="text1"/>
                <w:sz w:val="20"/>
                <w:szCs w:val="20"/>
                <w:shd w:val="clear" w:color="auto" w:fill="FFFFFF"/>
                <w:lang w:val="en-US"/>
              </w:rPr>
              <w:t xml:space="preserve"> în conformitate cu </w:t>
            </w:r>
            <w:proofErr w:type="spellStart"/>
            <w:r w:rsidRPr="003D4F0B">
              <w:rPr>
                <w:rFonts w:eastAsia="Arial Unicode MS"/>
                <w:color w:val="000000" w:themeColor="text1"/>
                <w:sz w:val="20"/>
                <w:szCs w:val="20"/>
                <w:shd w:val="clear" w:color="auto" w:fill="FFFFFF"/>
                <w:lang w:val="en-US"/>
              </w:rPr>
              <w:t>cerințele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prevăzute</w:t>
            </w:r>
            <w:proofErr w:type="spellEnd"/>
            <w:r w:rsidRPr="003D4F0B">
              <w:rPr>
                <w:rFonts w:eastAsia="Arial Unicode MS"/>
                <w:color w:val="000000" w:themeColor="text1"/>
                <w:sz w:val="20"/>
                <w:szCs w:val="20"/>
                <w:shd w:val="clear" w:color="auto" w:fill="FFFFFF"/>
                <w:lang w:val="en-US"/>
              </w:rPr>
              <w:t xml:space="preserve"> la </w:t>
            </w:r>
            <w:proofErr w:type="spellStart"/>
            <w:r w:rsidRPr="003D4F0B">
              <w:rPr>
                <w:rFonts w:eastAsia="Arial Unicode MS"/>
                <w:color w:val="000000" w:themeColor="text1"/>
                <w:sz w:val="20"/>
                <w:szCs w:val="20"/>
                <w:shd w:val="clear" w:color="auto" w:fill="FFFFFF"/>
                <w:lang w:val="en-US"/>
              </w:rPr>
              <w:t>articolul</w:t>
            </w:r>
            <w:proofErr w:type="spellEnd"/>
            <w:r w:rsidR="00406CAF"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30d. </w:t>
            </w:r>
            <w:proofErr w:type="spellStart"/>
            <w:r w:rsidRPr="003D4F0B">
              <w:rPr>
                <w:rFonts w:eastAsia="Arial Unicode MS"/>
                <w:color w:val="000000" w:themeColor="text1"/>
                <w:sz w:val="20"/>
                <w:szCs w:val="20"/>
                <w:shd w:val="clear" w:color="auto" w:fill="FFFFFF"/>
                <w:lang w:val="en-US"/>
              </w:rPr>
              <w:t>Fără</w:t>
            </w:r>
            <w:proofErr w:type="spellEnd"/>
            <w:r w:rsidRPr="003D4F0B">
              <w:rPr>
                <w:rFonts w:eastAsia="Arial Unicode MS"/>
                <w:color w:val="000000" w:themeColor="text1"/>
                <w:sz w:val="20"/>
                <w:szCs w:val="20"/>
                <w:shd w:val="clear" w:color="auto" w:fill="FFFFFF"/>
                <w:lang w:val="en-US"/>
              </w:rPr>
              <w:t xml:space="preserve"> </w:t>
            </w:r>
            <w:proofErr w:type="gramStart"/>
            <w:r w:rsidRPr="003D4F0B">
              <w:rPr>
                <w:rFonts w:eastAsia="Arial Unicode MS"/>
                <w:color w:val="000000" w:themeColor="text1"/>
                <w:sz w:val="20"/>
                <w:szCs w:val="20"/>
                <w:shd w:val="clear" w:color="auto" w:fill="FFFFFF"/>
                <w:lang w:val="en-US"/>
              </w:rPr>
              <w:t>a</w:t>
            </w:r>
            <w:proofErr w:type="gram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aduce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atingere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articolului</w:t>
            </w:r>
            <w:proofErr w:type="spellEnd"/>
            <w:r w:rsidR="00406CAF"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30d </w:t>
            </w:r>
            <w:proofErr w:type="spellStart"/>
            <w:r w:rsidRPr="003D4F0B">
              <w:rPr>
                <w:rFonts w:eastAsia="Arial Unicode MS"/>
                <w:color w:val="000000" w:themeColor="text1"/>
                <w:sz w:val="20"/>
                <w:szCs w:val="20"/>
                <w:shd w:val="clear" w:color="auto" w:fill="FFFFFF"/>
                <w:lang w:val="en-US"/>
              </w:rPr>
              <w:t>alineatele</w:t>
            </w:r>
            <w:proofErr w:type="spellEnd"/>
            <w:r w:rsidR="00406CAF" w:rsidRPr="003D4F0B">
              <w:rPr>
                <w:rFonts w:eastAsia="Arial Unicode MS"/>
                <w:color w:val="000000" w:themeColor="text1"/>
                <w:sz w:val="20"/>
                <w:szCs w:val="20"/>
                <w:shd w:val="clear" w:color="auto" w:fill="FFFFFF"/>
                <w:lang w:val="en-US"/>
              </w:rPr>
              <w:t xml:space="preserve"> </w:t>
            </w:r>
            <w:r w:rsidRPr="003D4F0B">
              <w:rPr>
                <w:rFonts w:eastAsia="Arial Unicode MS"/>
                <w:color w:val="000000" w:themeColor="text1"/>
                <w:sz w:val="20"/>
                <w:szCs w:val="20"/>
                <w:shd w:val="clear" w:color="auto" w:fill="FFFFFF"/>
                <w:lang w:val="en-US"/>
              </w:rPr>
              <w:t xml:space="preserve">(1)-(6), </w:t>
            </w:r>
            <w:proofErr w:type="spellStart"/>
            <w:r w:rsidRPr="003D4F0B">
              <w:rPr>
                <w:rFonts w:eastAsia="Arial Unicode MS"/>
                <w:color w:val="000000" w:themeColor="text1"/>
                <w:sz w:val="20"/>
                <w:szCs w:val="20"/>
                <w:shd w:val="clear" w:color="auto" w:fill="FFFFFF"/>
                <w:lang w:val="en-US"/>
              </w:rPr>
              <w:t>statele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membre</w:t>
            </w:r>
            <w:proofErr w:type="spellEnd"/>
            <w:r w:rsidRPr="003D4F0B">
              <w:rPr>
                <w:rFonts w:eastAsia="Arial Unicode MS"/>
                <w:color w:val="000000" w:themeColor="text1"/>
                <w:sz w:val="20"/>
                <w:szCs w:val="20"/>
                <w:shd w:val="clear" w:color="auto" w:fill="FFFFFF"/>
                <w:lang w:val="en-US"/>
              </w:rPr>
              <w:t xml:space="preserve"> care au </w:t>
            </w:r>
            <w:proofErr w:type="spellStart"/>
            <w:r w:rsidRPr="003D4F0B">
              <w:rPr>
                <w:rFonts w:eastAsia="Arial Unicode MS"/>
                <w:color w:val="000000" w:themeColor="text1"/>
                <w:sz w:val="20"/>
                <w:szCs w:val="20"/>
                <w:shd w:val="clear" w:color="auto" w:fill="FFFFFF"/>
                <w:lang w:val="en-US"/>
              </w:rPr>
              <w:t>extins</w:t>
            </w:r>
            <w:proofErr w:type="spellEnd"/>
            <w:r w:rsidRPr="003D4F0B">
              <w:rPr>
                <w:rFonts w:eastAsia="Arial Unicode MS"/>
                <w:color w:val="000000" w:themeColor="text1"/>
                <w:sz w:val="20"/>
                <w:szCs w:val="20"/>
                <w:shd w:val="clear" w:color="auto" w:fill="FFFFFF"/>
                <w:lang w:val="en-US"/>
              </w:rPr>
              <w:t xml:space="preserve"> unilateral </w:t>
            </w:r>
            <w:proofErr w:type="spellStart"/>
            <w:r w:rsidRPr="003D4F0B">
              <w:rPr>
                <w:rFonts w:eastAsia="Arial Unicode MS"/>
                <w:color w:val="000000" w:themeColor="text1"/>
                <w:sz w:val="20"/>
                <w:szCs w:val="20"/>
                <w:shd w:val="clear" w:color="auto" w:fill="FFFFFF"/>
                <w:lang w:val="en-US"/>
              </w:rPr>
              <w:t>activitățile</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menționate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anexa</w:t>
            </w:r>
            <w:proofErr w:type="spellEnd"/>
            <w:r w:rsidRPr="003D4F0B">
              <w:rPr>
                <w:rFonts w:eastAsia="Arial Unicode MS"/>
                <w:color w:val="000000" w:themeColor="text1"/>
                <w:sz w:val="20"/>
                <w:szCs w:val="20"/>
                <w:shd w:val="clear" w:color="auto" w:fill="FFFFFF"/>
                <w:lang w:val="en-US"/>
              </w:rPr>
              <w:t xml:space="preserve"> III în conformitate cu </w:t>
            </w:r>
            <w:proofErr w:type="spellStart"/>
            <w:r w:rsidRPr="003D4F0B">
              <w:rPr>
                <w:rFonts w:eastAsia="Arial Unicode MS"/>
                <w:color w:val="000000" w:themeColor="text1"/>
                <w:sz w:val="20"/>
                <w:szCs w:val="20"/>
                <w:shd w:val="clear" w:color="auto" w:fill="FFFFFF"/>
                <w:lang w:val="en-US"/>
              </w:rPr>
              <w:t>prezentul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articol</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stabilesc</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destinația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veniturilor</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obținute</w:t>
            </w:r>
            <w:proofErr w:type="spellEnd"/>
            <w:r w:rsidRPr="003D4F0B">
              <w:rPr>
                <w:rFonts w:eastAsia="Arial Unicode MS"/>
                <w:color w:val="000000" w:themeColor="text1"/>
                <w:sz w:val="20"/>
                <w:szCs w:val="20"/>
                <w:shd w:val="clear" w:color="auto" w:fill="FFFFFF"/>
                <w:lang w:val="en-US"/>
              </w:rPr>
              <w:t xml:space="preserve"> în </w:t>
            </w:r>
            <w:proofErr w:type="spellStart"/>
            <w:r w:rsidRPr="003D4F0B">
              <w:rPr>
                <w:rFonts w:eastAsia="Arial Unicode MS"/>
                <w:color w:val="000000" w:themeColor="text1"/>
                <w:sz w:val="20"/>
                <w:szCs w:val="20"/>
                <w:shd w:val="clear" w:color="auto" w:fill="FFFFFF"/>
                <w:lang w:val="en-US"/>
              </w:rPr>
              <w:t>urma</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licitării</w:t>
            </w:r>
            <w:proofErr w:type="spellEnd"/>
            <w:r w:rsidRPr="003D4F0B">
              <w:rPr>
                <w:rFonts w:eastAsia="Arial Unicode MS"/>
                <w:color w:val="000000" w:themeColor="text1"/>
                <w:sz w:val="20"/>
                <w:szCs w:val="20"/>
                <w:shd w:val="clear" w:color="auto" w:fill="FFFFFF"/>
                <w:lang w:val="en-US"/>
              </w:rPr>
              <w:t xml:space="preserve"> </w:t>
            </w:r>
            <w:proofErr w:type="spellStart"/>
            <w:r w:rsidRPr="003D4F0B">
              <w:rPr>
                <w:rFonts w:eastAsia="Arial Unicode MS"/>
                <w:color w:val="000000" w:themeColor="text1"/>
                <w:sz w:val="20"/>
                <w:szCs w:val="20"/>
                <w:shd w:val="clear" w:color="auto" w:fill="FFFFFF"/>
                <w:lang w:val="en-US"/>
              </w:rPr>
              <w:t>respectivelor</w:t>
            </w:r>
            <w:proofErr w:type="spellEnd"/>
            <w:r w:rsidRPr="003D4F0B">
              <w:rPr>
                <w:rFonts w:eastAsia="Arial Unicode MS"/>
                <w:color w:val="000000" w:themeColor="text1"/>
                <w:sz w:val="20"/>
                <w:szCs w:val="20"/>
                <w:shd w:val="clear" w:color="auto" w:fill="FFFFFF"/>
                <w:lang w:val="en-US"/>
              </w:rPr>
              <w:t xml:space="preserve"> certificate </w:t>
            </w:r>
            <w:proofErr w:type="spellStart"/>
            <w:r w:rsidRPr="003D4F0B">
              <w:rPr>
                <w:rFonts w:eastAsia="Arial Unicode MS"/>
                <w:color w:val="000000" w:themeColor="text1"/>
                <w:sz w:val="20"/>
                <w:szCs w:val="20"/>
                <w:shd w:val="clear" w:color="auto" w:fill="FFFFFF"/>
                <w:lang w:val="en-US"/>
              </w:rPr>
              <w:t>suplimentare</w:t>
            </w:r>
            <w:proofErr w:type="spellEnd"/>
            <w:r w:rsidRPr="00406CAF">
              <w:rPr>
                <w:rFonts w:eastAsia="Arial Unicode MS"/>
                <w:color w:val="000000" w:themeColor="text1"/>
                <w:sz w:val="20"/>
                <w:szCs w:val="20"/>
                <w:shd w:val="clear" w:color="auto" w:fill="FFFFFF"/>
                <w:lang w:val="en-US"/>
              </w:rPr>
              <w:t>.</w:t>
            </w:r>
          </w:p>
        </w:tc>
        <w:tc>
          <w:tcPr>
            <w:tcW w:w="4394" w:type="dxa"/>
            <w:shd w:val="clear" w:color="auto" w:fill="auto"/>
          </w:tcPr>
          <w:p w14:paraId="431FDC81"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85B262B" w14:textId="27CBE211" w:rsidR="00124364" w:rsidRDefault="003D4F0B">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Incompatibil</w:t>
            </w:r>
          </w:p>
          <w:p w14:paraId="1BD40947"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074B17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8D1D759" w14:textId="77777777" w:rsidR="003D4F0B" w:rsidRPr="00DF1AB5" w:rsidRDefault="003D4F0B" w:rsidP="003D4F0B">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07C95025" w14:textId="453F3C09" w:rsidR="00124364" w:rsidRDefault="003D4F0B" w:rsidP="003D4F0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w:t>
            </w:r>
            <w:r w:rsidRPr="00DF1AB5">
              <w:rPr>
                <w:rFonts w:ascii="Times New Roman" w:hAnsi="Times New Roman"/>
                <w:color w:val="000000" w:themeColor="text1"/>
                <w:sz w:val="20"/>
                <w:szCs w:val="20"/>
                <w:lang w:val="ro-RO"/>
              </w:rPr>
              <w:lastRenderedPageBreak/>
              <w:t xml:space="preserve">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10C5DA55" w14:textId="77777777" w:rsidR="00124364" w:rsidRDefault="00124364" w:rsidP="003D4F0B">
            <w:pPr>
              <w:autoSpaceDE w:val="0"/>
              <w:spacing w:after="0" w:line="240" w:lineRule="auto"/>
              <w:rPr>
                <w:rFonts w:ascii="Times New Roman" w:hAnsi="Times New Roman"/>
                <w:sz w:val="20"/>
                <w:szCs w:val="20"/>
                <w:lang w:val="fr-FR"/>
              </w:rPr>
            </w:pPr>
          </w:p>
        </w:tc>
      </w:tr>
      <w:tr w:rsidR="00124364" w14:paraId="52289DEB" w14:textId="77777777">
        <w:trPr>
          <w:trHeight w:val="558"/>
        </w:trPr>
        <w:tc>
          <w:tcPr>
            <w:tcW w:w="4957" w:type="dxa"/>
            <w:shd w:val="clear" w:color="auto" w:fill="auto"/>
          </w:tcPr>
          <w:p w14:paraId="21054369" w14:textId="0AD783E8"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t>Articolul</w:t>
            </w:r>
            <w:proofErr w:type="spellEnd"/>
            <w:r w:rsidR="00406CAF" w:rsidRPr="00406CAF">
              <w:rPr>
                <w:rFonts w:eastAsia="Arial Unicode MS"/>
                <w:i/>
                <w:iCs/>
                <w:color w:val="000000" w:themeColor="text1"/>
                <w:sz w:val="20"/>
                <w:szCs w:val="20"/>
                <w:shd w:val="clear" w:color="auto" w:fill="FFFFFF"/>
                <w:lang w:val="en-US"/>
              </w:rPr>
              <w:t xml:space="preserve"> </w:t>
            </w:r>
            <w:r w:rsidRPr="00406CAF">
              <w:rPr>
                <w:rFonts w:eastAsia="Arial Unicode MS"/>
                <w:i/>
                <w:iCs/>
                <w:color w:val="000000" w:themeColor="text1"/>
                <w:sz w:val="20"/>
                <w:szCs w:val="20"/>
                <w:shd w:val="clear" w:color="auto" w:fill="FFFFFF"/>
                <w:lang w:val="en-US"/>
              </w:rPr>
              <w:t>30k</w:t>
            </w:r>
          </w:p>
          <w:p w14:paraId="61F7C6B2"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06CAF">
              <w:rPr>
                <w:rFonts w:eastAsia="Arial Unicode MS"/>
                <w:b/>
                <w:bCs/>
                <w:color w:val="000000" w:themeColor="text1"/>
                <w:sz w:val="20"/>
                <w:szCs w:val="20"/>
                <w:shd w:val="clear" w:color="auto" w:fill="FFFFFF"/>
                <w:lang w:val="en-US"/>
              </w:rPr>
              <w:t>Amânarea</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comercializării</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certificatelor</w:t>
            </w:r>
            <w:proofErr w:type="spellEnd"/>
            <w:r w:rsidRPr="00406CAF">
              <w:rPr>
                <w:rFonts w:eastAsia="Arial Unicode MS"/>
                <w:b/>
                <w:bCs/>
                <w:color w:val="000000" w:themeColor="text1"/>
                <w:sz w:val="20"/>
                <w:szCs w:val="20"/>
                <w:shd w:val="clear" w:color="auto" w:fill="FFFFFF"/>
                <w:lang w:val="en-US"/>
              </w:rPr>
              <w:t xml:space="preserve"> de </w:t>
            </w:r>
            <w:proofErr w:type="spellStart"/>
            <w:r w:rsidRPr="00406CAF">
              <w:rPr>
                <w:rFonts w:eastAsia="Arial Unicode MS"/>
                <w:b/>
                <w:bCs/>
                <w:color w:val="000000" w:themeColor="text1"/>
                <w:sz w:val="20"/>
                <w:szCs w:val="20"/>
                <w:shd w:val="clear" w:color="auto" w:fill="FFFFFF"/>
                <w:lang w:val="en-US"/>
              </w:rPr>
              <w:t>emisii</w:t>
            </w:r>
            <w:proofErr w:type="spellEnd"/>
            <w:r w:rsidRPr="00406CAF">
              <w:rPr>
                <w:rFonts w:eastAsia="Arial Unicode MS"/>
                <w:b/>
                <w:bCs/>
                <w:color w:val="000000" w:themeColor="text1"/>
                <w:sz w:val="20"/>
                <w:szCs w:val="20"/>
                <w:shd w:val="clear" w:color="auto" w:fill="FFFFFF"/>
                <w:lang w:val="en-US"/>
              </w:rPr>
              <w:t xml:space="preserve"> în </w:t>
            </w:r>
            <w:proofErr w:type="spellStart"/>
            <w:r w:rsidRPr="00406CAF">
              <w:rPr>
                <w:rFonts w:eastAsia="Arial Unicode MS"/>
                <w:b/>
                <w:bCs/>
                <w:color w:val="000000" w:themeColor="text1"/>
                <w:sz w:val="20"/>
                <w:szCs w:val="20"/>
                <w:shd w:val="clear" w:color="auto" w:fill="FFFFFF"/>
                <w:lang w:val="en-US"/>
              </w:rPr>
              <w:t>sectorul</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clădirilor</w:t>
            </w:r>
            <w:proofErr w:type="spellEnd"/>
            <w:r w:rsidRPr="00406CAF">
              <w:rPr>
                <w:rFonts w:eastAsia="Arial Unicode MS"/>
                <w:b/>
                <w:bCs/>
                <w:color w:val="000000" w:themeColor="text1"/>
                <w:sz w:val="20"/>
                <w:szCs w:val="20"/>
                <w:shd w:val="clear" w:color="auto" w:fill="FFFFFF"/>
                <w:lang w:val="en-US"/>
              </w:rPr>
              <w:t xml:space="preserve">, al </w:t>
            </w:r>
            <w:proofErr w:type="spellStart"/>
            <w:r w:rsidRPr="00406CAF">
              <w:rPr>
                <w:rFonts w:eastAsia="Arial Unicode MS"/>
                <w:b/>
                <w:bCs/>
                <w:color w:val="000000" w:themeColor="text1"/>
                <w:sz w:val="20"/>
                <w:szCs w:val="20"/>
                <w:shd w:val="clear" w:color="auto" w:fill="FFFFFF"/>
                <w:lang w:val="en-US"/>
              </w:rPr>
              <w:t>transportului</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rutier</w:t>
            </w:r>
            <w:proofErr w:type="spellEnd"/>
            <w:r w:rsidRPr="00406CAF">
              <w:rPr>
                <w:rFonts w:eastAsia="Arial Unicode MS"/>
                <w:b/>
                <w:bCs/>
                <w:color w:val="000000" w:themeColor="text1"/>
                <w:sz w:val="20"/>
                <w:szCs w:val="20"/>
                <w:shd w:val="clear" w:color="auto" w:fill="FFFFFF"/>
                <w:lang w:val="en-US"/>
              </w:rPr>
              <w:t xml:space="preserve"> și în </w:t>
            </w:r>
            <w:proofErr w:type="spellStart"/>
            <w:r w:rsidRPr="00406CAF">
              <w:rPr>
                <w:rFonts w:eastAsia="Arial Unicode MS"/>
                <w:b/>
                <w:bCs/>
                <w:color w:val="000000" w:themeColor="text1"/>
                <w:sz w:val="20"/>
                <w:szCs w:val="20"/>
                <w:shd w:val="clear" w:color="auto" w:fill="FFFFFF"/>
                <w:lang w:val="en-US"/>
              </w:rPr>
              <w:t>alte</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sectoare</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până</w:t>
            </w:r>
            <w:proofErr w:type="spellEnd"/>
            <w:r w:rsidRPr="00406CAF">
              <w:rPr>
                <w:rFonts w:eastAsia="Arial Unicode MS"/>
                <w:b/>
                <w:bCs/>
                <w:color w:val="000000" w:themeColor="text1"/>
                <w:sz w:val="20"/>
                <w:szCs w:val="20"/>
                <w:shd w:val="clear" w:color="auto" w:fill="FFFFFF"/>
                <w:lang w:val="en-US"/>
              </w:rPr>
              <w:t xml:space="preserve"> în 2028 în </w:t>
            </w:r>
            <w:proofErr w:type="spellStart"/>
            <w:r w:rsidRPr="00406CAF">
              <w:rPr>
                <w:rFonts w:eastAsia="Arial Unicode MS"/>
                <w:b/>
                <w:bCs/>
                <w:color w:val="000000" w:themeColor="text1"/>
                <w:sz w:val="20"/>
                <w:szCs w:val="20"/>
                <w:shd w:val="clear" w:color="auto" w:fill="FFFFFF"/>
                <w:lang w:val="en-US"/>
              </w:rPr>
              <w:t>cazul</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unor</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prețuri</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extrem</w:t>
            </w:r>
            <w:proofErr w:type="spellEnd"/>
            <w:r w:rsidRPr="00406CAF">
              <w:rPr>
                <w:rFonts w:eastAsia="Arial Unicode MS"/>
                <w:b/>
                <w:bCs/>
                <w:color w:val="000000" w:themeColor="text1"/>
                <w:sz w:val="20"/>
                <w:szCs w:val="20"/>
                <w:shd w:val="clear" w:color="auto" w:fill="FFFFFF"/>
                <w:lang w:val="en-US"/>
              </w:rPr>
              <w:t xml:space="preserve"> de </w:t>
            </w:r>
            <w:proofErr w:type="spellStart"/>
            <w:r w:rsidRPr="00406CAF">
              <w:rPr>
                <w:rFonts w:eastAsia="Arial Unicode MS"/>
                <w:b/>
                <w:bCs/>
                <w:color w:val="000000" w:themeColor="text1"/>
                <w:sz w:val="20"/>
                <w:szCs w:val="20"/>
                <w:shd w:val="clear" w:color="auto" w:fill="FFFFFF"/>
                <w:lang w:val="en-US"/>
              </w:rPr>
              <w:t>ridicate</w:t>
            </w:r>
            <w:proofErr w:type="spellEnd"/>
            <w:r w:rsidRPr="00406CAF">
              <w:rPr>
                <w:rFonts w:eastAsia="Arial Unicode MS"/>
                <w:b/>
                <w:bCs/>
                <w:color w:val="000000" w:themeColor="text1"/>
                <w:sz w:val="20"/>
                <w:szCs w:val="20"/>
                <w:shd w:val="clear" w:color="auto" w:fill="FFFFFF"/>
                <w:lang w:val="en-US"/>
              </w:rPr>
              <w:t xml:space="preserve"> la </w:t>
            </w:r>
            <w:proofErr w:type="spellStart"/>
            <w:r w:rsidRPr="00406CAF">
              <w:rPr>
                <w:rFonts w:eastAsia="Arial Unicode MS"/>
                <w:b/>
                <w:bCs/>
                <w:color w:val="000000" w:themeColor="text1"/>
                <w:sz w:val="20"/>
                <w:szCs w:val="20"/>
                <w:shd w:val="clear" w:color="auto" w:fill="FFFFFF"/>
                <w:lang w:val="en-US"/>
              </w:rPr>
              <w:t>energie</w:t>
            </w:r>
            <w:proofErr w:type="spellEnd"/>
          </w:p>
          <w:p w14:paraId="798E734D" w14:textId="10B08786" w:rsidR="00124364" w:rsidRPr="009B5D3D" w:rsidRDefault="00000000" w:rsidP="00406CAF">
            <w:pPr>
              <w:pStyle w:val="ti-art"/>
              <w:numPr>
                <w:ilvl w:val="0"/>
                <w:numId w:val="15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Până</w:t>
            </w:r>
            <w:proofErr w:type="spellEnd"/>
            <w:r w:rsidRPr="009B5D3D">
              <w:rPr>
                <w:rFonts w:eastAsia="Arial Unicode MS"/>
                <w:color w:val="000000" w:themeColor="text1"/>
                <w:sz w:val="20"/>
                <w:szCs w:val="20"/>
                <w:shd w:val="clear" w:color="auto" w:fill="FFFFFF"/>
                <w:lang w:val="en-US"/>
              </w:rPr>
              <w:t xml:space="preserve"> la 15</w:t>
            </w:r>
            <w:r w:rsidR="00406CAF"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iulie</w:t>
            </w:r>
            <w:proofErr w:type="spellEnd"/>
            <w:r w:rsidRPr="009B5D3D">
              <w:rPr>
                <w:rFonts w:eastAsia="Arial Unicode MS"/>
                <w:color w:val="000000" w:themeColor="text1"/>
                <w:sz w:val="20"/>
                <w:szCs w:val="20"/>
                <w:shd w:val="clear" w:color="auto" w:fill="FFFFFF"/>
                <w:lang w:val="en-US"/>
              </w:rPr>
              <w:t xml:space="preserve"> 2026, </w:t>
            </w:r>
            <w:proofErr w:type="spellStart"/>
            <w:r w:rsidRPr="009B5D3D">
              <w:rPr>
                <w:rFonts w:eastAsia="Arial Unicode MS"/>
                <w:color w:val="000000" w:themeColor="text1"/>
                <w:sz w:val="20"/>
                <w:szCs w:val="20"/>
                <w:shd w:val="clear" w:color="auto" w:fill="FFFFFF"/>
                <w:lang w:val="en-US"/>
              </w:rPr>
              <w:t>Comisia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publică</w:t>
            </w:r>
            <w:proofErr w:type="spellEnd"/>
            <w:r w:rsidRPr="009B5D3D">
              <w:rPr>
                <w:rFonts w:eastAsia="Arial Unicode MS"/>
                <w:color w:val="000000" w:themeColor="text1"/>
                <w:sz w:val="20"/>
                <w:szCs w:val="20"/>
                <w:shd w:val="clear" w:color="auto" w:fill="FFFFFF"/>
                <w:lang w:val="en-US"/>
              </w:rPr>
              <w:t xml:space="preserve"> în</w:t>
            </w:r>
            <w:r w:rsidR="009B5D3D" w:rsidRPr="009B5D3D">
              <w:rPr>
                <w:rStyle w:val="apple-converted-space"/>
                <w:rFonts w:eastAsia="Arial Unicode MS"/>
                <w:color w:val="000000" w:themeColor="text1"/>
                <w:sz w:val="20"/>
                <w:szCs w:val="20"/>
                <w:shd w:val="clear" w:color="auto" w:fill="FFFFFF"/>
                <w:lang w:val="en-US"/>
              </w:rPr>
              <w:t xml:space="preserve"> </w:t>
            </w:r>
            <w:proofErr w:type="spellStart"/>
            <w:r w:rsidRPr="009B5D3D">
              <w:rPr>
                <w:rStyle w:val="italics"/>
                <w:rFonts w:eastAsia="Arial Unicode MS"/>
                <w:i/>
                <w:iCs/>
                <w:color w:val="000000" w:themeColor="text1"/>
                <w:sz w:val="20"/>
                <w:szCs w:val="20"/>
                <w:lang w:val="en-US"/>
              </w:rPr>
              <w:t>Jurnalul</w:t>
            </w:r>
            <w:proofErr w:type="spellEnd"/>
            <w:r w:rsidRPr="009B5D3D">
              <w:rPr>
                <w:rStyle w:val="italics"/>
                <w:rFonts w:eastAsia="Arial Unicode MS"/>
                <w:i/>
                <w:iCs/>
                <w:color w:val="000000" w:themeColor="text1"/>
                <w:sz w:val="20"/>
                <w:szCs w:val="20"/>
                <w:lang w:val="en-US"/>
              </w:rPr>
              <w:t xml:space="preserve"> </w:t>
            </w:r>
            <w:proofErr w:type="spellStart"/>
            <w:r w:rsidRPr="009B5D3D">
              <w:rPr>
                <w:rStyle w:val="italics"/>
                <w:rFonts w:eastAsia="Arial Unicode MS"/>
                <w:i/>
                <w:iCs/>
                <w:color w:val="000000" w:themeColor="text1"/>
                <w:sz w:val="20"/>
                <w:szCs w:val="20"/>
                <w:lang w:val="en-US"/>
              </w:rPr>
              <w:t>Oficial</w:t>
            </w:r>
            <w:proofErr w:type="spellEnd"/>
            <w:r w:rsidRPr="009B5D3D">
              <w:rPr>
                <w:rStyle w:val="italics"/>
                <w:rFonts w:eastAsia="Arial Unicode MS"/>
                <w:i/>
                <w:iCs/>
                <w:color w:val="000000" w:themeColor="text1"/>
                <w:sz w:val="20"/>
                <w:szCs w:val="20"/>
                <w:lang w:val="en-US"/>
              </w:rPr>
              <w:t xml:space="preserve"> al </w:t>
            </w:r>
            <w:proofErr w:type="spellStart"/>
            <w:r w:rsidRPr="009B5D3D">
              <w:rPr>
                <w:rStyle w:val="italics"/>
                <w:rFonts w:eastAsia="Arial Unicode MS"/>
                <w:i/>
                <w:iCs/>
                <w:color w:val="000000" w:themeColor="text1"/>
                <w:sz w:val="20"/>
                <w:szCs w:val="20"/>
                <w:lang w:val="en-US"/>
              </w:rPr>
              <w:t>Uniunii</w:t>
            </w:r>
            <w:proofErr w:type="spellEnd"/>
            <w:r w:rsidRPr="009B5D3D">
              <w:rPr>
                <w:rStyle w:val="italics"/>
                <w:rFonts w:eastAsia="Arial Unicode MS"/>
                <w:i/>
                <w:iCs/>
                <w:color w:val="000000" w:themeColor="text1"/>
                <w:sz w:val="20"/>
                <w:szCs w:val="20"/>
                <w:lang w:val="en-US"/>
              </w:rPr>
              <w:t xml:space="preserve"> </w:t>
            </w:r>
            <w:proofErr w:type="spellStart"/>
            <w:r w:rsidRPr="009B5D3D">
              <w:rPr>
                <w:rStyle w:val="italics"/>
                <w:rFonts w:eastAsia="Arial Unicode MS"/>
                <w:i/>
                <w:iCs/>
                <w:color w:val="000000" w:themeColor="text1"/>
                <w:sz w:val="20"/>
                <w:szCs w:val="20"/>
                <w:lang w:val="en-US"/>
              </w:rPr>
              <w:t>Europene</w:t>
            </w:r>
            <w:proofErr w:type="spellEnd"/>
            <w:r w:rsidR="003D4F0B">
              <w:rPr>
                <w:rStyle w:val="apple-converted-space"/>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un </w:t>
            </w:r>
            <w:proofErr w:type="spellStart"/>
            <w:r w:rsidRPr="009B5D3D">
              <w:rPr>
                <w:rFonts w:eastAsia="Arial Unicode MS"/>
                <w:color w:val="000000" w:themeColor="text1"/>
                <w:sz w:val="20"/>
                <w:szCs w:val="20"/>
                <w:shd w:val="clear" w:color="auto" w:fill="FFFFFF"/>
                <w:lang w:val="en-US"/>
              </w:rPr>
              <w:t>aviz</w:t>
            </w:r>
            <w:proofErr w:type="spellEnd"/>
            <w:r w:rsidRPr="009B5D3D">
              <w:rPr>
                <w:rFonts w:eastAsia="Arial Unicode MS"/>
                <w:color w:val="000000" w:themeColor="text1"/>
                <w:sz w:val="20"/>
                <w:szCs w:val="20"/>
                <w:shd w:val="clear" w:color="auto" w:fill="FFFFFF"/>
                <w:lang w:val="en-US"/>
              </w:rPr>
              <w:t xml:space="preserve"> cu </w:t>
            </w:r>
            <w:proofErr w:type="spellStart"/>
            <w:r w:rsidRPr="009B5D3D">
              <w:rPr>
                <w:rFonts w:eastAsia="Arial Unicode MS"/>
                <w:color w:val="000000" w:themeColor="text1"/>
                <w:sz w:val="20"/>
                <w:szCs w:val="20"/>
                <w:shd w:val="clear" w:color="auto" w:fill="FFFFFF"/>
                <w:lang w:val="en-US"/>
              </w:rPr>
              <w:t>privire</w:t>
            </w:r>
            <w:proofErr w:type="spellEnd"/>
            <w:r w:rsidRPr="009B5D3D">
              <w:rPr>
                <w:rFonts w:eastAsia="Arial Unicode MS"/>
                <w:color w:val="000000" w:themeColor="text1"/>
                <w:sz w:val="20"/>
                <w:szCs w:val="20"/>
                <w:shd w:val="clear" w:color="auto" w:fill="FFFFFF"/>
                <w:lang w:val="en-US"/>
              </w:rPr>
              <w:t xml:space="preserve"> la </w:t>
            </w:r>
            <w:proofErr w:type="spellStart"/>
            <w:r w:rsidRPr="009B5D3D">
              <w:rPr>
                <w:rFonts w:eastAsia="Arial Unicode MS"/>
                <w:color w:val="000000" w:themeColor="text1"/>
                <w:sz w:val="20"/>
                <w:szCs w:val="20"/>
                <w:shd w:val="clear" w:color="auto" w:fill="FFFFFF"/>
                <w:lang w:val="en-US"/>
              </w:rPr>
              <w:t>îndeplinirea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uneia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sau</w:t>
            </w:r>
            <w:proofErr w:type="spellEnd"/>
            <w:r w:rsidRPr="009B5D3D">
              <w:rPr>
                <w:rFonts w:eastAsia="Arial Unicode MS"/>
                <w:color w:val="000000" w:themeColor="text1"/>
                <w:sz w:val="20"/>
                <w:szCs w:val="20"/>
                <w:shd w:val="clear" w:color="auto" w:fill="FFFFFF"/>
                <w:lang w:val="en-US"/>
              </w:rPr>
              <w:t xml:space="preserve"> </w:t>
            </w:r>
            <w:proofErr w:type="gramStart"/>
            <w:r w:rsidRPr="009B5D3D">
              <w:rPr>
                <w:rFonts w:eastAsia="Arial Unicode MS"/>
                <w:color w:val="000000" w:themeColor="text1"/>
                <w:sz w:val="20"/>
                <w:szCs w:val="20"/>
                <w:shd w:val="clear" w:color="auto" w:fill="FFFFFF"/>
                <w:lang w:val="en-US"/>
              </w:rPr>
              <w:t>a</w:t>
            </w:r>
            <w:proofErr w:type="gram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amândurora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dintre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următoarele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condiții</w:t>
            </w:r>
            <w:proofErr w:type="spellEnd"/>
            <w:r w:rsidRPr="009B5D3D">
              <w:rPr>
                <w:rFonts w:eastAsia="Arial Unicode MS"/>
                <w:color w:val="000000" w:themeColor="text1"/>
                <w:sz w:val="20"/>
                <w:szCs w:val="20"/>
                <w:shd w:val="clear" w:color="auto" w:fill="FFFFFF"/>
                <w:lang w:val="en-US"/>
              </w:rPr>
              <w:t>:</w:t>
            </w:r>
          </w:p>
          <w:p w14:paraId="68EA4C9A" w14:textId="5EC8B52F" w:rsidR="00124364" w:rsidRPr="009B5D3D" w:rsidRDefault="00000000" w:rsidP="00406CAF">
            <w:pPr>
              <w:pStyle w:val="ti-art"/>
              <w:numPr>
                <w:ilvl w:val="0"/>
                <w:numId w:val="15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lastRenderedPageBreak/>
              <w:t>prețul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mediu</w:t>
            </w:r>
            <w:proofErr w:type="spellEnd"/>
            <w:r w:rsidRPr="009B5D3D">
              <w:rPr>
                <w:rFonts w:eastAsia="Arial Unicode MS"/>
                <w:color w:val="000000" w:themeColor="text1"/>
                <w:sz w:val="20"/>
                <w:szCs w:val="20"/>
                <w:shd w:val="clear" w:color="auto" w:fill="FFFFFF"/>
                <w:lang w:val="en-US"/>
              </w:rPr>
              <w:t xml:space="preserve"> al TTF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gaze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cele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șase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luni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calendaristice</w:t>
            </w:r>
            <w:proofErr w:type="spellEnd"/>
            <w:r w:rsidRPr="009B5D3D">
              <w:rPr>
                <w:rFonts w:eastAsia="Arial Unicode MS"/>
                <w:color w:val="000000" w:themeColor="text1"/>
                <w:sz w:val="20"/>
                <w:szCs w:val="20"/>
                <w:shd w:val="clear" w:color="auto" w:fill="FFFFFF"/>
                <w:lang w:val="en-US"/>
              </w:rPr>
              <w:t xml:space="preserve"> care se </w:t>
            </w:r>
            <w:proofErr w:type="spellStart"/>
            <w:r w:rsidRPr="009B5D3D">
              <w:rPr>
                <w:rFonts w:eastAsia="Arial Unicode MS"/>
                <w:color w:val="000000" w:themeColor="text1"/>
                <w:sz w:val="20"/>
                <w:szCs w:val="20"/>
                <w:shd w:val="clear" w:color="auto" w:fill="FFFFFF"/>
                <w:lang w:val="en-US"/>
              </w:rPr>
              <w:t>încheie</w:t>
            </w:r>
            <w:proofErr w:type="spellEnd"/>
            <w:r w:rsidRPr="009B5D3D">
              <w:rPr>
                <w:rFonts w:eastAsia="Arial Unicode MS"/>
                <w:color w:val="000000" w:themeColor="text1"/>
                <w:sz w:val="20"/>
                <w:szCs w:val="20"/>
                <w:shd w:val="clear" w:color="auto" w:fill="FFFFFF"/>
                <w:lang w:val="en-US"/>
              </w:rPr>
              <w:t xml:space="preserve"> la 30</w:t>
            </w:r>
            <w:r w:rsidR="00406CAF"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iunie</w:t>
            </w:r>
            <w:proofErr w:type="spellEnd"/>
            <w:r w:rsidRPr="009B5D3D">
              <w:rPr>
                <w:rFonts w:eastAsia="Arial Unicode MS"/>
                <w:color w:val="000000" w:themeColor="text1"/>
                <w:sz w:val="20"/>
                <w:szCs w:val="20"/>
                <w:shd w:val="clear" w:color="auto" w:fill="FFFFFF"/>
                <w:lang w:val="en-US"/>
              </w:rPr>
              <w:t xml:space="preserve"> 2026 a </w:t>
            </w:r>
            <w:proofErr w:type="spellStart"/>
            <w:r w:rsidRPr="009B5D3D">
              <w:rPr>
                <w:rFonts w:eastAsia="Arial Unicode MS"/>
                <w:color w:val="000000" w:themeColor="text1"/>
                <w:sz w:val="20"/>
                <w:szCs w:val="20"/>
                <w:shd w:val="clear" w:color="auto" w:fill="FFFFFF"/>
                <w:lang w:val="en-US"/>
              </w:rPr>
              <w:t>fost</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mai</w:t>
            </w:r>
            <w:proofErr w:type="spellEnd"/>
            <w:r w:rsidRPr="009B5D3D">
              <w:rPr>
                <w:rFonts w:eastAsia="Arial Unicode MS"/>
                <w:color w:val="000000" w:themeColor="text1"/>
                <w:sz w:val="20"/>
                <w:szCs w:val="20"/>
                <w:shd w:val="clear" w:color="auto" w:fill="FFFFFF"/>
                <w:lang w:val="en-US"/>
              </w:rPr>
              <w:t xml:space="preserve"> mare </w:t>
            </w:r>
            <w:proofErr w:type="spellStart"/>
            <w:r w:rsidRPr="009B5D3D">
              <w:rPr>
                <w:rFonts w:eastAsia="Arial Unicode MS"/>
                <w:color w:val="000000" w:themeColor="text1"/>
                <w:sz w:val="20"/>
                <w:szCs w:val="20"/>
                <w:shd w:val="clear" w:color="auto" w:fill="FFFFFF"/>
                <w:lang w:val="en-US"/>
              </w:rPr>
              <w:t>decât</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prețul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mediu</w:t>
            </w:r>
            <w:proofErr w:type="spellEnd"/>
            <w:r w:rsidRPr="009B5D3D">
              <w:rPr>
                <w:rFonts w:eastAsia="Arial Unicode MS"/>
                <w:color w:val="000000" w:themeColor="text1"/>
                <w:sz w:val="20"/>
                <w:szCs w:val="20"/>
                <w:shd w:val="clear" w:color="auto" w:fill="FFFFFF"/>
                <w:lang w:val="en-US"/>
              </w:rPr>
              <w:t xml:space="preserve"> al TTF al </w:t>
            </w:r>
            <w:proofErr w:type="spellStart"/>
            <w:r w:rsidRPr="009B5D3D">
              <w:rPr>
                <w:rFonts w:eastAsia="Arial Unicode MS"/>
                <w:color w:val="000000" w:themeColor="text1"/>
                <w:sz w:val="20"/>
                <w:szCs w:val="20"/>
                <w:shd w:val="clear" w:color="auto" w:fill="FFFFFF"/>
                <w:lang w:val="en-US"/>
              </w:rPr>
              <w:t>gazelor</w:t>
            </w:r>
            <w:proofErr w:type="spellEnd"/>
            <w:r w:rsidRPr="009B5D3D">
              <w:rPr>
                <w:rFonts w:eastAsia="Arial Unicode MS"/>
                <w:color w:val="000000" w:themeColor="text1"/>
                <w:sz w:val="20"/>
                <w:szCs w:val="20"/>
                <w:shd w:val="clear" w:color="auto" w:fill="FFFFFF"/>
                <w:lang w:val="en-US"/>
              </w:rPr>
              <w:t xml:space="preserve"> în </w:t>
            </w:r>
            <w:proofErr w:type="spellStart"/>
            <w:r w:rsidRPr="009B5D3D">
              <w:rPr>
                <w:rFonts w:eastAsia="Arial Unicode MS"/>
                <w:color w:val="000000" w:themeColor="text1"/>
                <w:sz w:val="20"/>
                <w:szCs w:val="20"/>
                <w:shd w:val="clear" w:color="auto" w:fill="FFFFFF"/>
                <w:lang w:val="en-US"/>
              </w:rPr>
              <w:t>februarie</w:t>
            </w:r>
            <w:proofErr w:type="spellEnd"/>
            <w:r w:rsidRPr="009B5D3D">
              <w:rPr>
                <w:rFonts w:eastAsia="Arial Unicode MS"/>
                <w:color w:val="000000" w:themeColor="text1"/>
                <w:sz w:val="20"/>
                <w:szCs w:val="20"/>
                <w:shd w:val="clear" w:color="auto" w:fill="FFFFFF"/>
                <w:lang w:val="en-US"/>
              </w:rPr>
              <w:t xml:space="preserve"> și </w:t>
            </w:r>
            <w:proofErr w:type="spellStart"/>
            <w:r w:rsidRPr="009B5D3D">
              <w:rPr>
                <w:rFonts w:eastAsia="Arial Unicode MS"/>
                <w:color w:val="000000" w:themeColor="text1"/>
                <w:sz w:val="20"/>
                <w:szCs w:val="20"/>
                <w:shd w:val="clear" w:color="auto" w:fill="FFFFFF"/>
                <w:lang w:val="en-US"/>
              </w:rPr>
              <w:t>martie</w:t>
            </w:r>
            <w:proofErr w:type="spellEnd"/>
            <w:r w:rsidRPr="009B5D3D">
              <w:rPr>
                <w:rFonts w:eastAsia="Arial Unicode MS"/>
                <w:color w:val="000000" w:themeColor="text1"/>
                <w:sz w:val="20"/>
                <w:szCs w:val="20"/>
                <w:shd w:val="clear" w:color="auto" w:fill="FFFFFF"/>
                <w:lang w:val="en-US"/>
              </w:rPr>
              <w:t xml:space="preserve"> 2022;</w:t>
            </w:r>
          </w:p>
          <w:p w14:paraId="7F89A4E8" w14:textId="164456EB" w:rsidR="00124364" w:rsidRPr="009B5D3D" w:rsidRDefault="00000000" w:rsidP="00406CAF">
            <w:pPr>
              <w:pStyle w:val="ti-art"/>
              <w:numPr>
                <w:ilvl w:val="0"/>
                <w:numId w:val="15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prețul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mediu</w:t>
            </w:r>
            <w:proofErr w:type="spellEnd"/>
            <w:r w:rsidRPr="009B5D3D">
              <w:rPr>
                <w:rFonts w:eastAsia="Arial Unicode MS"/>
                <w:color w:val="000000" w:themeColor="text1"/>
                <w:sz w:val="20"/>
                <w:szCs w:val="20"/>
                <w:shd w:val="clear" w:color="auto" w:fill="FFFFFF"/>
                <w:lang w:val="en-US"/>
              </w:rPr>
              <w:t xml:space="preserve"> al </w:t>
            </w:r>
            <w:proofErr w:type="spellStart"/>
            <w:r w:rsidRPr="009B5D3D">
              <w:rPr>
                <w:rFonts w:eastAsia="Arial Unicode MS"/>
                <w:color w:val="000000" w:themeColor="text1"/>
                <w:sz w:val="20"/>
                <w:szCs w:val="20"/>
                <w:shd w:val="clear" w:color="auto" w:fill="FFFFFF"/>
                <w:lang w:val="en-US"/>
              </w:rPr>
              <w:t>țițeiului</w:t>
            </w:r>
            <w:proofErr w:type="spellEnd"/>
            <w:r w:rsidRPr="009B5D3D">
              <w:rPr>
                <w:rFonts w:eastAsia="Arial Unicode MS"/>
                <w:color w:val="000000" w:themeColor="text1"/>
                <w:sz w:val="20"/>
                <w:szCs w:val="20"/>
                <w:shd w:val="clear" w:color="auto" w:fill="FFFFFF"/>
                <w:lang w:val="en-US"/>
              </w:rPr>
              <w:t xml:space="preserve"> Brent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cele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șase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luni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calendaristice</w:t>
            </w:r>
            <w:proofErr w:type="spellEnd"/>
            <w:r w:rsidRPr="009B5D3D">
              <w:rPr>
                <w:rFonts w:eastAsia="Arial Unicode MS"/>
                <w:color w:val="000000" w:themeColor="text1"/>
                <w:sz w:val="20"/>
                <w:szCs w:val="20"/>
                <w:shd w:val="clear" w:color="auto" w:fill="FFFFFF"/>
                <w:lang w:val="en-US"/>
              </w:rPr>
              <w:t xml:space="preserve"> care se </w:t>
            </w:r>
            <w:proofErr w:type="spellStart"/>
            <w:r w:rsidRPr="009B5D3D">
              <w:rPr>
                <w:rFonts w:eastAsia="Arial Unicode MS"/>
                <w:color w:val="000000" w:themeColor="text1"/>
                <w:sz w:val="20"/>
                <w:szCs w:val="20"/>
                <w:shd w:val="clear" w:color="auto" w:fill="FFFFFF"/>
                <w:lang w:val="en-US"/>
              </w:rPr>
              <w:t>încheie</w:t>
            </w:r>
            <w:proofErr w:type="spellEnd"/>
            <w:r w:rsidRPr="009B5D3D">
              <w:rPr>
                <w:rFonts w:eastAsia="Arial Unicode MS"/>
                <w:color w:val="000000" w:themeColor="text1"/>
                <w:sz w:val="20"/>
                <w:szCs w:val="20"/>
                <w:shd w:val="clear" w:color="auto" w:fill="FFFFFF"/>
                <w:lang w:val="en-US"/>
              </w:rPr>
              <w:t xml:space="preserve"> la 30</w:t>
            </w:r>
            <w:r w:rsidR="00406CAF"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iunie</w:t>
            </w:r>
            <w:proofErr w:type="spellEnd"/>
            <w:r w:rsidRPr="009B5D3D">
              <w:rPr>
                <w:rFonts w:eastAsia="Arial Unicode MS"/>
                <w:color w:val="000000" w:themeColor="text1"/>
                <w:sz w:val="20"/>
                <w:szCs w:val="20"/>
                <w:shd w:val="clear" w:color="auto" w:fill="FFFFFF"/>
                <w:lang w:val="en-US"/>
              </w:rPr>
              <w:t xml:space="preserve"> 2026 a </w:t>
            </w:r>
            <w:proofErr w:type="spellStart"/>
            <w:r w:rsidRPr="009B5D3D">
              <w:rPr>
                <w:rFonts w:eastAsia="Arial Unicode MS"/>
                <w:color w:val="000000" w:themeColor="text1"/>
                <w:sz w:val="20"/>
                <w:szCs w:val="20"/>
                <w:shd w:val="clear" w:color="auto" w:fill="FFFFFF"/>
                <w:lang w:val="en-US"/>
              </w:rPr>
              <w:t>fost</w:t>
            </w:r>
            <w:proofErr w:type="spellEnd"/>
            <w:r w:rsidRPr="009B5D3D">
              <w:rPr>
                <w:rFonts w:eastAsia="Arial Unicode MS"/>
                <w:color w:val="000000" w:themeColor="text1"/>
                <w:sz w:val="20"/>
                <w:szCs w:val="20"/>
                <w:shd w:val="clear" w:color="auto" w:fill="FFFFFF"/>
                <w:lang w:val="en-US"/>
              </w:rPr>
              <w:t xml:space="preserve"> de </w:t>
            </w:r>
            <w:proofErr w:type="spellStart"/>
            <w:r w:rsidRPr="009B5D3D">
              <w:rPr>
                <w:rFonts w:eastAsia="Arial Unicode MS"/>
                <w:color w:val="000000" w:themeColor="text1"/>
                <w:sz w:val="20"/>
                <w:szCs w:val="20"/>
                <w:shd w:val="clear" w:color="auto" w:fill="FFFFFF"/>
                <w:lang w:val="en-US"/>
              </w:rPr>
              <w:t>peste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două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ori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mai</w:t>
            </w:r>
            <w:proofErr w:type="spellEnd"/>
            <w:r w:rsidRPr="009B5D3D">
              <w:rPr>
                <w:rFonts w:eastAsia="Arial Unicode MS"/>
                <w:color w:val="000000" w:themeColor="text1"/>
                <w:sz w:val="20"/>
                <w:szCs w:val="20"/>
                <w:shd w:val="clear" w:color="auto" w:fill="FFFFFF"/>
                <w:lang w:val="en-US"/>
              </w:rPr>
              <w:t xml:space="preserve"> mare </w:t>
            </w:r>
            <w:proofErr w:type="spellStart"/>
            <w:r w:rsidRPr="009B5D3D">
              <w:rPr>
                <w:rFonts w:eastAsia="Arial Unicode MS"/>
                <w:color w:val="000000" w:themeColor="text1"/>
                <w:sz w:val="20"/>
                <w:szCs w:val="20"/>
                <w:shd w:val="clear" w:color="auto" w:fill="FFFFFF"/>
                <w:lang w:val="en-US"/>
              </w:rPr>
              <w:t>decât</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prețul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mediu</w:t>
            </w:r>
            <w:proofErr w:type="spellEnd"/>
            <w:r w:rsidRPr="009B5D3D">
              <w:rPr>
                <w:rFonts w:eastAsia="Arial Unicode MS"/>
                <w:color w:val="000000" w:themeColor="text1"/>
                <w:sz w:val="20"/>
                <w:szCs w:val="20"/>
                <w:shd w:val="clear" w:color="auto" w:fill="FFFFFF"/>
                <w:lang w:val="en-US"/>
              </w:rPr>
              <w:t xml:space="preserve"> al </w:t>
            </w:r>
            <w:proofErr w:type="spellStart"/>
            <w:r w:rsidRPr="009B5D3D">
              <w:rPr>
                <w:rFonts w:eastAsia="Arial Unicode MS"/>
                <w:color w:val="000000" w:themeColor="text1"/>
                <w:sz w:val="20"/>
                <w:szCs w:val="20"/>
                <w:shd w:val="clear" w:color="auto" w:fill="FFFFFF"/>
                <w:lang w:val="en-US"/>
              </w:rPr>
              <w:t>țițeiului</w:t>
            </w:r>
            <w:proofErr w:type="spellEnd"/>
            <w:r w:rsidRPr="009B5D3D">
              <w:rPr>
                <w:rFonts w:eastAsia="Arial Unicode MS"/>
                <w:color w:val="000000" w:themeColor="text1"/>
                <w:sz w:val="20"/>
                <w:szCs w:val="20"/>
                <w:shd w:val="clear" w:color="auto" w:fill="FFFFFF"/>
                <w:lang w:val="en-US"/>
              </w:rPr>
              <w:t xml:space="preserve"> Brent în </w:t>
            </w:r>
            <w:proofErr w:type="spellStart"/>
            <w:r w:rsidRPr="009B5D3D">
              <w:rPr>
                <w:rFonts w:eastAsia="Arial Unicode MS"/>
                <w:color w:val="000000" w:themeColor="text1"/>
                <w:sz w:val="20"/>
                <w:szCs w:val="20"/>
                <w:shd w:val="clear" w:color="auto" w:fill="FFFFFF"/>
                <w:lang w:val="en-US"/>
              </w:rPr>
              <w:t>cei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cinci</w:t>
            </w:r>
            <w:proofErr w:type="spellEnd"/>
            <w:r w:rsidRPr="009B5D3D">
              <w:rPr>
                <w:rFonts w:eastAsia="Arial Unicode MS"/>
                <w:color w:val="000000" w:themeColor="text1"/>
                <w:sz w:val="20"/>
                <w:szCs w:val="20"/>
                <w:shd w:val="clear" w:color="auto" w:fill="FFFFFF"/>
                <w:lang w:val="en-US"/>
              </w:rPr>
              <w:t xml:space="preserve"> ani </w:t>
            </w:r>
            <w:proofErr w:type="spellStart"/>
            <w:r w:rsidRPr="009B5D3D">
              <w:rPr>
                <w:rFonts w:eastAsia="Arial Unicode MS"/>
                <w:color w:val="000000" w:themeColor="text1"/>
                <w:sz w:val="20"/>
                <w:szCs w:val="20"/>
                <w:shd w:val="clear" w:color="auto" w:fill="FFFFFF"/>
                <w:lang w:val="en-US"/>
              </w:rPr>
              <w:t>precedenți</w:t>
            </w:r>
            <w:proofErr w:type="spellEnd"/>
            <w:r w:rsidRPr="009B5D3D">
              <w:rPr>
                <w:rFonts w:eastAsia="Arial Unicode MS"/>
                <w:color w:val="000000" w:themeColor="text1"/>
                <w:sz w:val="20"/>
                <w:szCs w:val="20"/>
                <w:shd w:val="clear" w:color="auto" w:fill="FFFFFF"/>
                <w:lang w:val="en-US"/>
              </w:rPr>
              <w:t xml:space="preserve">; perioada de </w:t>
            </w:r>
            <w:proofErr w:type="spellStart"/>
            <w:r w:rsidRPr="009B5D3D">
              <w:rPr>
                <w:rFonts w:eastAsia="Arial Unicode MS"/>
                <w:color w:val="000000" w:themeColor="text1"/>
                <w:sz w:val="20"/>
                <w:szCs w:val="20"/>
                <w:shd w:val="clear" w:color="auto" w:fill="FFFFFF"/>
                <w:lang w:val="en-US"/>
              </w:rPr>
              <w:t>referință</w:t>
            </w:r>
            <w:proofErr w:type="spellEnd"/>
            <w:r w:rsidRPr="009B5D3D">
              <w:rPr>
                <w:rFonts w:eastAsia="Arial Unicode MS"/>
                <w:color w:val="000000" w:themeColor="text1"/>
                <w:sz w:val="20"/>
                <w:szCs w:val="20"/>
                <w:shd w:val="clear" w:color="auto" w:fill="FFFFFF"/>
                <w:lang w:val="en-US"/>
              </w:rPr>
              <w:t xml:space="preserve"> de </w:t>
            </w:r>
            <w:proofErr w:type="spellStart"/>
            <w:r w:rsidRPr="009B5D3D">
              <w:rPr>
                <w:rFonts w:eastAsia="Arial Unicode MS"/>
                <w:color w:val="000000" w:themeColor="text1"/>
                <w:sz w:val="20"/>
                <w:szCs w:val="20"/>
                <w:shd w:val="clear" w:color="auto" w:fill="FFFFFF"/>
                <w:lang w:val="en-US"/>
              </w:rPr>
              <w:t>cinci</w:t>
            </w:r>
            <w:proofErr w:type="spellEnd"/>
            <w:r w:rsidRPr="009B5D3D">
              <w:rPr>
                <w:rFonts w:eastAsia="Arial Unicode MS"/>
                <w:color w:val="000000" w:themeColor="text1"/>
                <w:sz w:val="20"/>
                <w:szCs w:val="20"/>
                <w:shd w:val="clear" w:color="auto" w:fill="FFFFFF"/>
                <w:lang w:val="en-US"/>
              </w:rPr>
              <w:t xml:space="preserve"> ani </w:t>
            </w:r>
            <w:proofErr w:type="spellStart"/>
            <w:r w:rsidRPr="009B5D3D">
              <w:rPr>
                <w:rFonts w:eastAsia="Arial Unicode MS"/>
                <w:color w:val="000000" w:themeColor="text1"/>
                <w:sz w:val="20"/>
                <w:szCs w:val="20"/>
                <w:shd w:val="clear" w:color="auto" w:fill="FFFFFF"/>
                <w:lang w:val="en-US"/>
              </w:rPr>
              <w:t>este</w:t>
            </w:r>
            <w:proofErr w:type="spellEnd"/>
            <w:r w:rsidRPr="009B5D3D">
              <w:rPr>
                <w:rFonts w:eastAsia="Arial Unicode MS"/>
                <w:color w:val="000000" w:themeColor="text1"/>
                <w:sz w:val="20"/>
                <w:szCs w:val="20"/>
                <w:shd w:val="clear" w:color="auto" w:fill="FFFFFF"/>
                <w:lang w:val="en-US"/>
              </w:rPr>
              <w:t xml:space="preserve"> perioada de </w:t>
            </w:r>
            <w:proofErr w:type="spellStart"/>
            <w:r w:rsidRPr="009B5D3D">
              <w:rPr>
                <w:rFonts w:eastAsia="Arial Unicode MS"/>
                <w:color w:val="000000" w:themeColor="text1"/>
                <w:sz w:val="20"/>
                <w:szCs w:val="20"/>
                <w:shd w:val="clear" w:color="auto" w:fill="FFFFFF"/>
                <w:lang w:val="en-US"/>
              </w:rPr>
              <w:t>cinci</w:t>
            </w:r>
            <w:proofErr w:type="spellEnd"/>
            <w:r w:rsidRPr="009B5D3D">
              <w:rPr>
                <w:rFonts w:eastAsia="Arial Unicode MS"/>
                <w:color w:val="000000" w:themeColor="text1"/>
                <w:sz w:val="20"/>
                <w:szCs w:val="20"/>
                <w:shd w:val="clear" w:color="auto" w:fill="FFFFFF"/>
                <w:lang w:val="en-US"/>
              </w:rPr>
              <w:t xml:space="preserve"> ani care se </w:t>
            </w:r>
            <w:proofErr w:type="spellStart"/>
            <w:r w:rsidRPr="009B5D3D">
              <w:rPr>
                <w:rFonts w:eastAsia="Arial Unicode MS"/>
                <w:color w:val="000000" w:themeColor="text1"/>
                <w:sz w:val="20"/>
                <w:szCs w:val="20"/>
                <w:shd w:val="clear" w:color="auto" w:fill="FFFFFF"/>
                <w:lang w:val="en-US"/>
              </w:rPr>
              <w:t>încheie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înainte</w:t>
            </w:r>
            <w:proofErr w:type="spellEnd"/>
            <w:r w:rsidRPr="009B5D3D">
              <w:rPr>
                <w:rFonts w:eastAsia="Arial Unicode MS"/>
                <w:color w:val="000000" w:themeColor="text1"/>
                <w:sz w:val="20"/>
                <w:szCs w:val="20"/>
                <w:shd w:val="clear" w:color="auto" w:fill="FFFFFF"/>
                <w:lang w:val="en-US"/>
              </w:rPr>
              <w:t xml:space="preserve"> de prima </w:t>
            </w:r>
            <w:proofErr w:type="spellStart"/>
            <w:r w:rsidRPr="009B5D3D">
              <w:rPr>
                <w:rFonts w:eastAsia="Arial Unicode MS"/>
                <w:color w:val="000000" w:themeColor="text1"/>
                <w:sz w:val="20"/>
                <w:szCs w:val="20"/>
                <w:shd w:val="clear" w:color="auto" w:fill="FFFFFF"/>
                <w:lang w:val="en-US"/>
              </w:rPr>
              <w:t>lună</w:t>
            </w:r>
            <w:proofErr w:type="spellEnd"/>
            <w:r w:rsidRPr="009B5D3D">
              <w:rPr>
                <w:rFonts w:eastAsia="Arial Unicode MS"/>
                <w:color w:val="000000" w:themeColor="text1"/>
                <w:sz w:val="20"/>
                <w:szCs w:val="20"/>
                <w:shd w:val="clear" w:color="auto" w:fill="FFFFFF"/>
                <w:lang w:val="en-US"/>
              </w:rPr>
              <w:t xml:space="preserve"> a </w:t>
            </w:r>
            <w:proofErr w:type="spellStart"/>
            <w:r w:rsidRPr="009B5D3D">
              <w:rPr>
                <w:rFonts w:eastAsia="Arial Unicode MS"/>
                <w:color w:val="000000" w:themeColor="text1"/>
                <w:sz w:val="20"/>
                <w:szCs w:val="20"/>
                <w:shd w:val="clear" w:color="auto" w:fill="FFFFFF"/>
                <w:lang w:val="en-US"/>
              </w:rPr>
              <w:t>perioadei</w:t>
            </w:r>
            <w:proofErr w:type="spellEnd"/>
            <w:r w:rsidRPr="009B5D3D">
              <w:rPr>
                <w:rFonts w:eastAsia="Arial Unicode MS"/>
                <w:color w:val="000000" w:themeColor="text1"/>
                <w:sz w:val="20"/>
                <w:szCs w:val="20"/>
                <w:shd w:val="clear" w:color="auto" w:fill="FFFFFF"/>
                <w:lang w:val="en-US"/>
              </w:rPr>
              <w:t xml:space="preserve"> de </w:t>
            </w:r>
            <w:proofErr w:type="spellStart"/>
            <w:r w:rsidRPr="009B5D3D">
              <w:rPr>
                <w:rFonts w:eastAsia="Arial Unicode MS"/>
                <w:color w:val="000000" w:themeColor="text1"/>
                <w:sz w:val="20"/>
                <w:szCs w:val="20"/>
                <w:shd w:val="clear" w:color="auto" w:fill="FFFFFF"/>
                <w:lang w:val="en-US"/>
              </w:rPr>
              <w:t>șase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luni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calendaristice</w:t>
            </w:r>
            <w:proofErr w:type="spellEnd"/>
            <w:r w:rsidRPr="009B5D3D">
              <w:rPr>
                <w:rFonts w:eastAsia="Arial Unicode MS"/>
                <w:color w:val="000000" w:themeColor="text1"/>
                <w:sz w:val="20"/>
                <w:szCs w:val="20"/>
                <w:shd w:val="clear" w:color="auto" w:fill="FFFFFF"/>
                <w:lang w:val="en-US"/>
              </w:rPr>
              <w:t>.</w:t>
            </w:r>
          </w:p>
          <w:p w14:paraId="5E8846E0" w14:textId="77777777" w:rsidR="00124364" w:rsidRPr="009B5D3D" w:rsidRDefault="00000000" w:rsidP="00406CAF">
            <w:pPr>
              <w:pStyle w:val="ti-art"/>
              <w:numPr>
                <w:ilvl w:val="0"/>
                <w:numId w:val="15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B5D3D">
              <w:rPr>
                <w:rFonts w:eastAsia="Arial Unicode MS"/>
                <w:color w:val="000000" w:themeColor="text1"/>
                <w:sz w:val="20"/>
                <w:szCs w:val="20"/>
                <w:lang w:val="en-US"/>
              </w:rPr>
              <w:t xml:space="preserve">În </w:t>
            </w:r>
            <w:proofErr w:type="spellStart"/>
            <w:r w:rsidRPr="009B5D3D">
              <w:rPr>
                <w:rFonts w:eastAsia="Arial Unicode MS"/>
                <w:color w:val="000000" w:themeColor="text1"/>
                <w:sz w:val="20"/>
                <w:szCs w:val="20"/>
                <w:lang w:val="en-US"/>
              </w:rPr>
              <w:t>cazul</w:t>
            </w:r>
            <w:proofErr w:type="spellEnd"/>
            <w:r w:rsidRPr="009B5D3D">
              <w:rPr>
                <w:rFonts w:eastAsia="Arial Unicode MS"/>
                <w:color w:val="000000" w:themeColor="text1"/>
                <w:sz w:val="20"/>
                <w:szCs w:val="20"/>
                <w:lang w:val="en-US"/>
              </w:rPr>
              <w:t xml:space="preserve"> în care </w:t>
            </w:r>
            <w:proofErr w:type="spellStart"/>
            <w:r w:rsidRPr="009B5D3D">
              <w:rPr>
                <w:rFonts w:eastAsia="Arial Unicode MS"/>
                <w:color w:val="000000" w:themeColor="text1"/>
                <w:sz w:val="20"/>
                <w:szCs w:val="20"/>
                <w:lang w:val="en-US"/>
              </w:rPr>
              <w:t>una</w:t>
            </w:r>
            <w:proofErr w:type="spellEnd"/>
            <w:r w:rsidRPr="009B5D3D">
              <w:rPr>
                <w:rFonts w:eastAsia="Arial Unicode MS"/>
                <w:color w:val="000000" w:themeColor="text1"/>
                <w:sz w:val="20"/>
                <w:szCs w:val="20"/>
                <w:lang w:val="en-US"/>
              </w:rPr>
              <w:t xml:space="preserve"> </w:t>
            </w:r>
            <w:proofErr w:type="spellStart"/>
            <w:r w:rsidRPr="009B5D3D">
              <w:rPr>
                <w:rFonts w:eastAsia="Arial Unicode MS"/>
                <w:color w:val="000000" w:themeColor="text1"/>
                <w:sz w:val="20"/>
                <w:szCs w:val="20"/>
                <w:lang w:val="en-US"/>
              </w:rPr>
              <w:t>sau</w:t>
            </w:r>
            <w:proofErr w:type="spellEnd"/>
            <w:r w:rsidRPr="009B5D3D">
              <w:rPr>
                <w:rFonts w:eastAsia="Arial Unicode MS"/>
                <w:color w:val="000000" w:themeColor="text1"/>
                <w:sz w:val="20"/>
                <w:szCs w:val="20"/>
                <w:lang w:val="en-US"/>
              </w:rPr>
              <w:t xml:space="preserve"> </w:t>
            </w:r>
            <w:proofErr w:type="spellStart"/>
            <w:r w:rsidRPr="009B5D3D">
              <w:rPr>
                <w:rFonts w:eastAsia="Arial Unicode MS"/>
                <w:color w:val="000000" w:themeColor="text1"/>
                <w:sz w:val="20"/>
                <w:szCs w:val="20"/>
                <w:lang w:val="en-US"/>
              </w:rPr>
              <w:t>ambele</w:t>
            </w:r>
            <w:proofErr w:type="spellEnd"/>
            <w:r w:rsidRPr="009B5D3D">
              <w:rPr>
                <w:rFonts w:eastAsia="Arial Unicode MS"/>
                <w:color w:val="000000" w:themeColor="text1"/>
                <w:sz w:val="20"/>
                <w:szCs w:val="20"/>
                <w:lang w:val="en-US"/>
              </w:rPr>
              <w:t xml:space="preserve"> </w:t>
            </w:r>
            <w:proofErr w:type="spellStart"/>
            <w:r w:rsidRPr="009B5D3D">
              <w:rPr>
                <w:rFonts w:eastAsia="Arial Unicode MS"/>
                <w:color w:val="000000" w:themeColor="text1"/>
                <w:sz w:val="20"/>
                <w:szCs w:val="20"/>
                <w:lang w:val="en-US"/>
              </w:rPr>
              <w:t>condiții</w:t>
            </w:r>
            <w:proofErr w:type="spellEnd"/>
            <w:r w:rsidRPr="009B5D3D">
              <w:rPr>
                <w:rFonts w:eastAsia="Arial Unicode MS"/>
                <w:color w:val="000000" w:themeColor="text1"/>
                <w:sz w:val="20"/>
                <w:szCs w:val="20"/>
                <w:lang w:val="en-US"/>
              </w:rPr>
              <w:t xml:space="preserve"> </w:t>
            </w:r>
            <w:proofErr w:type="spellStart"/>
            <w:r w:rsidRPr="009B5D3D">
              <w:rPr>
                <w:rFonts w:eastAsia="Arial Unicode MS"/>
                <w:color w:val="000000" w:themeColor="text1"/>
                <w:sz w:val="20"/>
                <w:szCs w:val="20"/>
                <w:lang w:val="en-US"/>
              </w:rPr>
              <w:t>menționate</w:t>
            </w:r>
            <w:proofErr w:type="spellEnd"/>
            <w:r w:rsidRPr="009B5D3D">
              <w:rPr>
                <w:rFonts w:eastAsia="Arial Unicode MS"/>
                <w:color w:val="000000" w:themeColor="text1"/>
                <w:sz w:val="20"/>
                <w:szCs w:val="20"/>
                <w:lang w:val="en-US"/>
              </w:rPr>
              <w:t xml:space="preserve"> la </w:t>
            </w:r>
            <w:proofErr w:type="spellStart"/>
            <w:r w:rsidRPr="009B5D3D">
              <w:rPr>
                <w:rFonts w:eastAsia="Arial Unicode MS"/>
                <w:color w:val="000000" w:themeColor="text1"/>
                <w:sz w:val="20"/>
                <w:szCs w:val="20"/>
                <w:lang w:val="en-US"/>
              </w:rPr>
              <w:t>alineatul</w:t>
            </w:r>
            <w:proofErr w:type="spellEnd"/>
            <w:r w:rsidRPr="009B5D3D">
              <w:rPr>
                <w:rFonts w:eastAsia="Arial Unicode MS"/>
                <w:color w:val="000000" w:themeColor="text1"/>
                <w:sz w:val="20"/>
                <w:szCs w:val="20"/>
                <w:lang w:val="en-US"/>
              </w:rPr>
              <w:t xml:space="preserve"> (1) sunt </w:t>
            </w:r>
            <w:proofErr w:type="spellStart"/>
            <w:r w:rsidRPr="009B5D3D">
              <w:rPr>
                <w:rFonts w:eastAsia="Arial Unicode MS"/>
                <w:color w:val="000000" w:themeColor="text1"/>
                <w:sz w:val="20"/>
                <w:szCs w:val="20"/>
                <w:lang w:val="en-US"/>
              </w:rPr>
              <w:t>îndeplinite</w:t>
            </w:r>
            <w:proofErr w:type="spellEnd"/>
            <w:r w:rsidRPr="009B5D3D">
              <w:rPr>
                <w:rFonts w:eastAsia="Arial Unicode MS"/>
                <w:color w:val="000000" w:themeColor="text1"/>
                <w:sz w:val="20"/>
                <w:szCs w:val="20"/>
                <w:lang w:val="en-US"/>
              </w:rPr>
              <w:t xml:space="preserve">, se </w:t>
            </w:r>
            <w:proofErr w:type="spellStart"/>
            <w:r w:rsidRPr="009B5D3D">
              <w:rPr>
                <w:rFonts w:eastAsia="Arial Unicode MS"/>
                <w:color w:val="000000" w:themeColor="text1"/>
                <w:sz w:val="20"/>
                <w:szCs w:val="20"/>
                <w:lang w:val="en-US"/>
              </w:rPr>
              <w:t>aplică</w:t>
            </w:r>
            <w:proofErr w:type="spellEnd"/>
            <w:r w:rsidRPr="009B5D3D">
              <w:rPr>
                <w:rFonts w:eastAsia="Arial Unicode MS"/>
                <w:color w:val="000000" w:themeColor="text1"/>
                <w:sz w:val="20"/>
                <w:szCs w:val="20"/>
                <w:lang w:val="en-US"/>
              </w:rPr>
              <w:t xml:space="preserve"> </w:t>
            </w:r>
            <w:proofErr w:type="spellStart"/>
            <w:r w:rsidRPr="009B5D3D">
              <w:rPr>
                <w:rFonts w:eastAsia="Arial Unicode MS"/>
                <w:color w:val="000000" w:themeColor="text1"/>
                <w:sz w:val="20"/>
                <w:szCs w:val="20"/>
                <w:lang w:val="en-US"/>
              </w:rPr>
              <w:t>următoarele</w:t>
            </w:r>
            <w:proofErr w:type="spellEnd"/>
            <w:r w:rsidRPr="009B5D3D">
              <w:rPr>
                <w:rFonts w:eastAsia="Arial Unicode MS"/>
                <w:color w:val="000000" w:themeColor="text1"/>
                <w:sz w:val="20"/>
                <w:szCs w:val="20"/>
                <w:lang w:val="en-US"/>
              </w:rPr>
              <w:t xml:space="preserve"> reguli:</w:t>
            </w:r>
          </w:p>
          <w:p w14:paraId="2D13DD1D" w14:textId="4174D8EE" w:rsidR="00124364" w:rsidRPr="009B5D3D" w:rsidRDefault="00000000" w:rsidP="00406CAF">
            <w:pPr>
              <w:pStyle w:val="ti-art"/>
              <w:numPr>
                <w:ilvl w:val="0"/>
                <w:numId w:val="1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30c </w:t>
            </w:r>
            <w:proofErr w:type="spellStart"/>
            <w:r w:rsidRPr="009B5D3D">
              <w:rPr>
                <w:rFonts w:eastAsia="Arial Unicode MS"/>
                <w:color w:val="000000" w:themeColor="text1"/>
                <w:sz w:val="20"/>
                <w:szCs w:val="20"/>
                <w:shd w:val="clear" w:color="auto" w:fill="FFFFFF"/>
                <w:lang w:val="en-US"/>
              </w:rPr>
              <w:t>alineatul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(1), </w:t>
            </w:r>
            <w:proofErr w:type="spellStart"/>
            <w:r w:rsidRPr="009B5D3D">
              <w:rPr>
                <w:rFonts w:eastAsia="Arial Unicode MS"/>
                <w:color w:val="000000" w:themeColor="text1"/>
                <w:sz w:val="20"/>
                <w:szCs w:val="20"/>
                <w:shd w:val="clear" w:color="auto" w:fill="FFFFFF"/>
                <w:lang w:val="en-US"/>
              </w:rPr>
              <w:t>primul</w:t>
            </w:r>
            <w:proofErr w:type="spellEnd"/>
            <w:r w:rsidRPr="009B5D3D">
              <w:rPr>
                <w:rFonts w:eastAsia="Arial Unicode MS"/>
                <w:color w:val="000000" w:themeColor="text1"/>
                <w:sz w:val="20"/>
                <w:szCs w:val="20"/>
                <w:shd w:val="clear" w:color="auto" w:fill="FFFFFF"/>
                <w:lang w:val="en-US"/>
              </w:rPr>
              <w:t xml:space="preserve"> an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care se </w:t>
            </w:r>
            <w:proofErr w:type="spellStart"/>
            <w:r w:rsidRPr="009B5D3D">
              <w:rPr>
                <w:rFonts w:eastAsia="Arial Unicode MS"/>
                <w:color w:val="000000" w:themeColor="text1"/>
                <w:sz w:val="20"/>
                <w:szCs w:val="20"/>
                <w:shd w:val="clear" w:color="auto" w:fill="FFFFFF"/>
                <w:lang w:val="en-US"/>
              </w:rPr>
              <w:t>stabilește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cantitatea</w:t>
            </w:r>
            <w:proofErr w:type="spellEnd"/>
            <w:r w:rsidRPr="009B5D3D">
              <w:rPr>
                <w:rFonts w:eastAsia="Arial Unicode MS"/>
                <w:color w:val="000000" w:themeColor="text1"/>
                <w:sz w:val="20"/>
                <w:szCs w:val="20"/>
                <w:shd w:val="clear" w:color="auto" w:fill="FFFFFF"/>
                <w:lang w:val="en-US"/>
              </w:rPr>
              <w:t xml:space="preserve"> de certificate la </w:t>
            </w:r>
            <w:proofErr w:type="spellStart"/>
            <w:r w:rsidRPr="009B5D3D">
              <w:rPr>
                <w:rFonts w:eastAsia="Arial Unicode MS"/>
                <w:color w:val="000000" w:themeColor="text1"/>
                <w:sz w:val="20"/>
                <w:szCs w:val="20"/>
                <w:shd w:val="clear" w:color="auto" w:fill="FFFFFF"/>
                <w:lang w:val="en-US"/>
              </w:rPr>
              <w:t>nivelul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Uniunii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este</w:t>
            </w:r>
            <w:proofErr w:type="spellEnd"/>
            <w:r w:rsidRPr="009B5D3D">
              <w:rPr>
                <w:rFonts w:eastAsia="Arial Unicode MS"/>
                <w:color w:val="000000" w:themeColor="text1"/>
                <w:sz w:val="20"/>
                <w:szCs w:val="20"/>
                <w:shd w:val="clear" w:color="auto" w:fill="FFFFFF"/>
                <w:lang w:val="en-US"/>
              </w:rPr>
              <w:t xml:space="preserve"> 2028 și, </w:t>
            </w: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30c </w:t>
            </w:r>
            <w:proofErr w:type="spellStart"/>
            <w:r w:rsidRPr="009B5D3D">
              <w:rPr>
                <w:rFonts w:eastAsia="Arial Unicode MS"/>
                <w:color w:val="000000" w:themeColor="text1"/>
                <w:sz w:val="20"/>
                <w:szCs w:val="20"/>
                <w:shd w:val="clear" w:color="auto" w:fill="FFFFFF"/>
                <w:lang w:val="en-US"/>
              </w:rPr>
              <w:t>alineatul</w:t>
            </w:r>
            <w:proofErr w:type="spellEnd"/>
            <w:r w:rsidRPr="009B5D3D">
              <w:rPr>
                <w:rFonts w:eastAsia="Arial Unicode MS"/>
                <w:color w:val="000000" w:themeColor="text1"/>
                <w:sz w:val="20"/>
                <w:szCs w:val="20"/>
                <w:shd w:val="clear" w:color="auto" w:fill="FFFFFF"/>
                <w:lang w:val="en-US"/>
              </w:rPr>
              <w:t xml:space="preserve"> (3), </w:t>
            </w:r>
            <w:proofErr w:type="spellStart"/>
            <w:r w:rsidRPr="009B5D3D">
              <w:rPr>
                <w:rFonts w:eastAsia="Arial Unicode MS"/>
                <w:color w:val="000000" w:themeColor="text1"/>
                <w:sz w:val="20"/>
                <w:szCs w:val="20"/>
                <w:shd w:val="clear" w:color="auto" w:fill="FFFFFF"/>
                <w:lang w:val="en-US"/>
              </w:rPr>
              <w:t>primul</w:t>
            </w:r>
            <w:proofErr w:type="spellEnd"/>
            <w:r w:rsidRPr="009B5D3D">
              <w:rPr>
                <w:rFonts w:eastAsia="Arial Unicode MS"/>
                <w:color w:val="000000" w:themeColor="text1"/>
                <w:sz w:val="20"/>
                <w:szCs w:val="20"/>
                <w:shd w:val="clear" w:color="auto" w:fill="FFFFFF"/>
                <w:lang w:val="en-US"/>
              </w:rPr>
              <w:t xml:space="preserve"> an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care se </w:t>
            </w:r>
            <w:proofErr w:type="spellStart"/>
            <w:r w:rsidRPr="009B5D3D">
              <w:rPr>
                <w:rFonts w:eastAsia="Arial Unicode MS"/>
                <w:color w:val="000000" w:themeColor="text1"/>
                <w:sz w:val="20"/>
                <w:szCs w:val="20"/>
                <w:shd w:val="clear" w:color="auto" w:fill="FFFFFF"/>
                <w:lang w:val="en-US"/>
              </w:rPr>
              <w:t>ajustează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cantitatea</w:t>
            </w:r>
            <w:proofErr w:type="spellEnd"/>
            <w:r w:rsidRPr="009B5D3D">
              <w:rPr>
                <w:rFonts w:eastAsia="Arial Unicode MS"/>
                <w:color w:val="000000" w:themeColor="text1"/>
                <w:sz w:val="20"/>
                <w:szCs w:val="20"/>
                <w:shd w:val="clear" w:color="auto" w:fill="FFFFFF"/>
                <w:lang w:val="en-US"/>
              </w:rPr>
              <w:t xml:space="preserve"> de certificate la </w:t>
            </w:r>
            <w:proofErr w:type="spellStart"/>
            <w:r w:rsidRPr="009B5D3D">
              <w:rPr>
                <w:rFonts w:eastAsia="Arial Unicode MS"/>
                <w:color w:val="000000" w:themeColor="text1"/>
                <w:sz w:val="20"/>
                <w:szCs w:val="20"/>
                <w:shd w:val="clear" w:color="auto" w:fill="FFFFFF"/>
                <w:lang w:val="en-US"/>
              </w:rPr>
              <w:t>nivelul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Uniunii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este</w:t>
            </w:r>
            <w:proofErr w:type="spellEnd"/>
            <w:r w:rsidRPr="009B5D3D">
              <w:rPr>
                <w:rFonts w:eastAsia="Arial Unicode MS"/>
                <w:color w:val="000000" w:themeColor="text1"/>
                <w:sz w:val="20"/>
                <w:szCs w:val="20"/>
                <w:shd w:val="clear" w:color="auto" w:fill="FFFFFF"/>
                <w:lang w:val="en-US"/>
              </w:rPr>
              <w:t xml:space="preserve"> 2029;</w:t>
            </w:r>
          </w:p>
          <w:p w14:paraId="6E165DED" w14:textId="666EE4E4" w:rsidR="00124364" w:rsidRPr="009B5D3D" w:rsidRDefault="00000000" w:rsidP="00406CAF">
            <w:pPr>
              <w:pStyle w:val="ti-art"/>
              <w:numPr>
                <w:ilvl w:val="0"/>
                <w:numId w:val="1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30d </w:t>
            </w:r>
            <w:proofErr w:type="spellStart"/>
            <w:r w:rsidRPr="009B5D3D">
              <w:rPr>
                <w:rFonts w:eastAsia="Arial Unicode MS"/>
                <w:color w:val="000000" w:themeColor="text1"/>
                <w:sz w:val="20"/>
                <w:szCs w:val="20"/>
                <w:shd w:val="clear" w:color="auto" w:fill="FFFFFF"/>
                <w:lang w:val="en-US"/>
              </w:rPr>
              <w:t>alineatele</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(1) și</w:t>
            </w:r>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(2), </w:t>
            </w:r>
            <w:proofErr w:type="spellStart"/>
            <w:r w:rsidRPr="009B5D3D">
              <w:rPr>
                <w:rFonts w:eastAsia="Arial Unicode MS"/>
                <w:color w:val="000000" w:themeColor="text1"/>
                <w:sz w:val="20"/>
                <w:szCs w:val="20"/>
                <w:shd w:val="clear" w:color="auto" w:fill="FFFFFF"/>
                <w:lang w:val="en-US"/>
              </w:rPr>
              <w:t>începerea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licitării</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certificatelor</w:t>
            </w:r>
            <w:proofErr w:type="spellEnd"/>
            <w:r w:rsidRPr="009B5D3D">
              <w:rPr>
                <w:rFonts w:eastAsia="Arial Unicode MS"/>
                <w:color w:val="000000" w:themeColor="text1"/>
                <w:sz w:val="20"/>
                <w:szCs w:val="20"/>
                <w:shd w:val="clear" w:color="auto" w:fill="FFFFFF"/>
                <w:lang w:val="en-US"/>
              </w:rPr>
              <w:t xml:space="preserve"> în </w:t>
            </w:r>
            <w:proofErr w:type="spellStart"/>
            <w:r w:rsidRPr="009B5D3D">
              <w:rPr>
                <w:rFonts w:eastAsia="Arial Unicode MS"/>
                <w:color w:val="000000" w:themeColor="text1"/>
                <w:sz w:val="20"/>
                <w:szCs w:val="20"/>
                <w:shd w:val="clear" w:color="auto" w:fill="FFFFFF"/>
                <w:lang w:val="en-US"/>
              </w:rPr>
              <w:t>temeiul</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prezentului</w:t>
            </w:r>
            <w:proofErr w:type="spellEnd"/>
            <w:r w:rsidRPr="009B5D3D">
              <w:rPr>
                <w:rFonts w:eastAsia="Arial Unicode MS"/>
                <w:color w:val="000000" w:themeColor="text1"/>
                <w:sz w:val="20"/>
                <w:szCs w:val="20"/>
                <w:shd w:val="clear" w:color="auto" w:fill="FFFFFF"/>
                <w:lang w:val="en-US"/>
              </w:rPr>
              <w:t xml:space="preserve"> capitol se </w:t>
            </w:r>
            <w:proofErr w:type="spellStart"/>
            <w:r w:rsidRPr="009B5D3D">
              <w:rPr>
                <w:rFonts w:eastAsia="Arial Unicode MS"/>
                <w:color w:val="000000" w:themeColor="text1"/>
                <w:sz w:val="20"/>
                <w:szCs w:val="20"/>
                <w:shd w:val="clear" w:color="auto" w:fill="FFFFFF"/>
                <w:lang w:val="en-US"/>
              </w:rPr>
              <w:t>amână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până</w:t>
            </w:r>
            <w:proofErr w:type="spellEnd"/>
            <w:r w:rsidRPr="009B5D3D">
              <w:rPr>
                <w:rFonts w:eastAsia="Arial Unicode MS"/>
                <w:color w:val="000000" w:themeColor="text1"/>
                <w:sz w:val="20"/>
                <w:szCs w:val="20"/>
                <w:shd w:val="clear" w:color="auto" w:fill="FFFFFF"/>
                <w:lang w:val="en-US"/>
              </w:rPr>
              <w:t xml:space="preserve"> în 2028;</w:t>
            </w:r>
          </w:p>
          <w:p w14:paraId="6B1E365F" w14:textId="615C9A12" w:rsidR="00124364" w:rsidRPr="009B5D3D" w:rsidRDefault="00000000" w:rsidP="00406CAF">
            <w:pPr>
              <w:pStyle w:val="ti-art"/>
              <w:numPr>
                <w:ilvl w:val="0"/>
                <w:numId w:val="1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30d </w:t>
            </w:r>
            <w:proofErr w:type="spellStart"/>
            <w:r w:rsidRPr="009B5D3D">
              <w:rPr>
                <w:rFonts w:eastAsia="Arial Unicode MS"/>
                <w:color w:val="000000" w:themeColor="text1"/>
                <w:sz w:val="20"/>
                <w:szCs w:val="20"/>
                <w:shd w:val="clear" w:color="auto" w:fill="FFFFFF"/>
                <w:lang w:val="en-US"/>
              </w:rPr>
              <w:t>alineatul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(2), </w:t>
            </w:r>
            <w:proofErr w:type="spellStart"/>
            <w:r w:rsidRPr="009B5D3D">
              <w:rPr>
                <w:rFonts w:eastAsia="Arial Unicode MS"/>
                <w:color w:val="000000" w:themeColor="text1"/>
                <w:sz w:val="20"/>
                <w:szCs w:val="20"/>
                <w:shd w:val="clear" w:color="auto" w:fill="FFFFFF"/>
                <w:lang w:val="en-US"/>
              </w:rPr>
              <w:t>volumele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suplimentare</w:t>
            </w:r>
            <w:proofErr w:type="spellEnd"/>
            <w:r w:rsidRPr="009B5D3D">
              <w:rPr>
                <w:rFonts w:eastAsia="Arial Unicode MS"/>
                <w:color w:val="000000" w:themeColor="text1"/>
                <w:sz w:val="20"/>
                <w:szCs w:val="20"/>
                <w:shd w:val="clear" w:color="auto" w:fill="FFFFFF"/>
                <w:lang w:val="en-US"/>
              </w:rPr>
              <w:t xml:space="preserve"> de certificate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primul</w:t>
            </w:r>
            <w:proofErr w:type="spellEnd"/>
            <w:r w:rsidRPr="009B5D3D">
              <w:rPr>
                <w:rFonts w:eastAsia="Arial Unicode MS"/>
                <w:color w:val="000000" w:themeColor="text1"/>
                <w:sz w:val="20"/>
                <w:szCs w:val="20"/>
                <w:shd w:val="clear" w:color="auto" w:fill="FFFFFF"/>
                <w:lang w:val="en-US"/>
              </w:rPr>
              <w:t xml:space="preserve"> an de </w:t>
            </w:r>
            <w:proofErr w:type="spellStart"/>
            <w:r w:rsidRPr="009B5D3D">
              <w:rPr>
                <w:rFonts w:eastAsia="Arial Unicode MS"/>
                <w:color w:val="000000" w:themeColor="text1"/>
                <w:sz w:val="20"/>
                <w:szCs w:val="20"/>
                <w:shd w:val="clear" w:color="auto" w:fill="FFFFFF"/>
                <w:lang w:val="en-US"/>
              </w:rPr>
              <w:t>licitații</w:t>
            </w:r>
            <w:proofErr w:type="spellEnd"/>
            <w:r w:rsidRPr="009B5D3D">
              <w:rPr>
                <w:rFonts w:eastAsia="Arial Unicode MS"/>
                <w:color w:val="000000" w:themeColor="text1"/>
                <w:sz w:val="20"/>
                <w:szCs w:val="20"/>
                <w:shd w:val="clear" w:color="auto" w:fill="FFFFFF"/>
                <w:lang w:val="en-US"/>
              </w:rPr>
              <w:t xml:space="preserve"> se </w:t>
            </w:r>
            <w:proofErr w:type="spellStart"/>
            <w:r w:rsidRPr="009B5D3D">
              <w:rPr>
                <w:rFonts w:eastAsia="Arial Unicode MS"/>
                <w:color w:val="000000" w:themeColor="text1"/>
                <w:sz w:val="20"/>
                <w:szCs w:val="20"/>
                <w:shd w:val="clear" w:color="auto" w:fill="FFFFFF"/>
                <w:lang w:val="en-US"/>
              </w:rPr>
              <w:t>deduc</w:t>
            </w:r>
            <w:proofErr w:type="spellEnd"/>
            <w:r w:rsidRPr="009B5D3D">
              <w:rPr>
                <w:rFonts w:eastAsia="Arial Unicode MS"/>
                <w:color w:val="000000" w:themeColor="text1"/>
                <w:sz w:val="20"/>
                <w:szCs w:val="20"/>
                <w:shd w:val="clear" w:color="auto" w:fill="FFFFFF"/>
                <w:lang w:val="en-US"/>
              </w:rPr>
              <w:t xml:space="preserve"> din </w:t>
            </w:r>
            <w:proofErr w:type="spellStart"/>
            <w:r w:rsidRPr="009B5D3D">
              <w:rPr>
                <w:rFonts w:eastAsia="Arial Unicode MS"/>
                <w:color w:val="000000" w:themeColor="text1"/>
                <w:sz w:val="20"/>
                <w:szCs w:val="20"/>
                <w:shd w:val="clear" w:color="auto" w:fill="FFFFFF"/>
                <w:lang w:val="en-US"/>
              </w:rPr>
              <w:t>volumele</w:t>
            </w:r>
            <w:proofErr w:type="spellEnd"/>
            <w:r w:rsidRPr="009B5D3D">
              <w:rPr>
                <w:rFonts w:eastAsia="Arial Unicode MS"/>
                <w:color w:val="000000" w:themeColor="text1"/>
                <w:sz w:val="20"/>
                <w:szCs w:val="20"/>
                <w:shd w:val="clear" w:color="auto" w:fill="FFFFFF"/>
                <w:lang w:val="en-US"/>
              </w:rPr>
              <w:t xml:space="preserve"> de certificate </w:t>
            </w:r>
            <w:proofErr w:type="spellStart"/>
            <w:r w:rsidRPr="009B5D3D">
              <w:rPr>
                <w:rFonts w:eastAsia="Arial Unicode MS"/>
                <w:color w:val="000000" w:themeColor="text1"/>
                <w:sz w:val="20"/>
                <w:szCs w:val="20"/>
                <w:shd w:val="clear" w:color="auto" w:fill="FFFFFF"/>
                <w:lang w:val="en-US"/>
              </w:rPr>
              <w:t>scoase</w:t>
            </w:r>
            <w:proofErr w:type="spellEnd"/>
            <w:r w:rsidRPr="009B5D3D">
              <w:rPr>
                <w:rFonts w:eastAsia="Arial Unicode MS"/>
                <w:color w:val="000000" w:themeColor="text1"/>
                <w:sz w:val="20"/>
                <w:szCs w:val="20"/>
                <w:shd w:val="clear" w:color="auto" w:fill="FFFFFF"/>
                <w:lang w:val="en-US"/>
              </w:rPr>
              <w:t xml:space="preserve"> la </w:t>
            </w:r>
            <w:proofErr w:type="spellStart"/>
            <w:r w:rsidRPr="009B5D3D">
              <w:rPr>
                <w:rFonts w:eastAsia="Arial Unicode MS"/>
                <w:color w:val="000000" w:themeColor="text1"/>
                <w:sz w:val="20"/>
                <w:szCs w:val="20"/>
                <w:shd w:val="clear" w:color="auto" w:fill="FFFFFF"/>
                <w:lang w:val="en-US"/>
              </w:rPr>
              <w:t>licitație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perioada 2030-2032, </w:t>
            </w:r>
            <w:proofErr w:type="spellStart"/>
            <w:r w:rsidRPr="009B5D3D">
              <w:rPr>
                <w:rFonts w:eastAsia="Arial Unicode MS"/>
                <w:color w:val="000000" w:themeColor="text1"/>
                <w:sz w:val="20"/>
                <w:szCs w:val="20"/>
                <w:shd w:val="clear" w:color="auto" w:fill="FFFFFF"/>
                <w:lang w:val="en-US"/>
              </w:rPr>
              <w:t>iar</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contribuțiile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inițiale</w:t>
            </w:r>
            <w:proofErr w:type="spellEnd"/>
            <w:r w:rsidRPr="009B5D3D">
              <w:rPr>
                <w:rFonts w:eastAsia="Arial Unicode MS"/>
                <w:color w:val="000000" w:themeColor="text1"/>
                <w:sz w:val="20"/>
                <w:szCs w:val="20"/>
                <w:shd w:val="clear" w:color="auto" w:fill="FFFFFF"/>
                <w:lang w:val="en-US"/>
              </w:rPr>
              <w:t xml:space="preserve"> la </w:t>
            </w:r>
            <w:proofErr w:type="spellStart"/>
            <w:r w:rsidRPr="009B5D3D">
              <w:rPr>
                <w:rFonts w:eastAsia="Arial Unicode MS"/>
                <w:color w:val="000000" w:themeColor="text1"/>
                <w:sz w:val="20"/>
                <w:szCs w:val="20"/>
                <w:shd w:val="clear" w:color="auto" w:fill="FFFFFF"/>
                <w:lang w:val="en-US"/>
              </w:rPr>
              <w:t>rezerva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stabilitatea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pieței</w:t>
            </w:r>
            <w:proofErr w:type="spellEnd"/>
            <w:r w:rsidRPr="009B5D3D">
              <w:rPr>
                <w:rFonts w:eastAsia="Arial Unicode MS"/>
                <w:color w:val="000000" w:themeColor="text1"/>
                <w:sz w:val="20"/>
                <w:szCs w:val="20"/>
                <w:shd w:val="clear" w:color="auto" w:fill="FFFFFF"/>
                <w:lang w:val="en-US"/>
              </w:rPr>
              <w:t xml:space="preserve"> se </w:t>
            </w:r>
            <w:proofErr w:type="spellStart"/>
            <w:r w:rsidRPr="009B5D3D">
              <w:rPr>
                <w:rFonts w:eastAsia="Arial Unicode MS"/>
                <w:color w:val="000000" w:themeColor="text1"/>
                <w:sz w:val="20"/>
                <w:szCs w:val="20"/>
                <w:shd w:val="clear" w:color="auto" w:fill="FFFFFF"/>
                <w:lang w:val="en-US"/>
              </w:rPr>
              <w:t>constituie</w:t>
            </w:r>
            <w:proofErr w:type="spellEnd"/>
            <w:r w:rsidRPr="009B5D3D">
              <w:rPr>
                <w:rFonts w:eastAsia="Arial Unicode MS"/>
                <w:color w:val="000000" w:themeColor="text1"/>
                <w:sz w:val="20"/>
                <w:szCs w:val="20"/>
                <w:shd w:val="clear" w:color="auto" w:fill="FFFFFF"/>
                <w:lang w:val="en-US"/>
              </w:rPr>
              <w:t xml:space="preserve"> în 2028;</w:t>
            </w:r>
          </w:p>
          <w:p w14:paraId="0118BC4C" w14:textId="3693B8AB" w:rsidR="00124364" w:rsidRPr="009B5D3D" w:rsidRDefault="00000000" w:rsidP="00406CAF">
            <w:pPr>
              <w:pStyle w:val="ti-art"/>
              <w:numPr>
                <w:ilvl w:val="0"/>
                <w:numId w:val="1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30e </w:t>
            </w:r>
            <w:proofErr w:type="spellStart"/>
            <w:r w:rsidRPr="009B5D3D">
              <w:rPr>
                <w:rFonts w:eastAsia="Arial Unicode MS"/>
                <w:color w:val="000000" w:themeColor="text1"/>
                <w:sz w:val="20"/>
                <w:szCs w:val="20"/>
                <w:shd w:val="clear" w:color="auto" w:fill="FFFFFF"/>
                <w:lang w:val="en-US"/>
              </w:rPr>
              <w:t>alineatul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(2), </w:t>
            </w:r>
            <w:proofErr w:type="spellStart"/>
            <w:r w:rsidRPr="009B5D3D">
              <w:rPr>
                <w:rFonts w:eastAsia="Arial Unicode MS"/>
                <w:color w:val="000000" w:themeColor="text1"/>
                <w:sz w:val="20"/>
                <w:szCs w:val="20"/>
                <w:shd w:val="clear" w:color="auto" w:fill="FFFFFF"/>
                <w:lang w:val="en-US"/>
              </w:rPr>
              <w:t>termenul-limită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restituirea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inițială</w:t>
            </w:r>
            <w:proofErr w:type="spellEnd"/>
            <w:r w:rsidRPr="009B5D3D">
              <w:rPr>
                <w:rFonts w:eastAsia="Arial Unicode MS"/>
                <w:color w:val="000000" w:themeColor="text1"/>
                <w:sz w:val="20"/>
                <w:szCs w:val="20"/>
                <w:shd w:val="clear" w:color="auto" w:fill="FFFFFF"/>
                <w:lang w:val="en-US"/>
              </w:rPr>
              <w:t xml:space="preserve"> a </w:t>
            </w:r>
            <w:proofErr w:type="spellStart"/>
            <w:r w:rsidRPr="009B5D3D">
              <w:rPr>
                <w:rFonts w:eastAsia="Arial Unicode MS"/>
                <w:color w:val="000000" w:themeColor="text1"/>
                <w:sz w:val="20"/>
                <w:szCs w:val="20"/>
                <w:shd w:val="clear" w:color="auto" w:fill="FFFFFF"/>
                <w:lang w:val="en-US"/>
              </w:rPr>
              <w:t>certificatelor</w:t>
            </w:r>
            <w:proofErr w:type="spellEnd"/>
            <w:r w:rsidRPr="009B5D3D">
              <w:rPr>
                <w:rFonts w:eastAsia="Arial Unicode MS"/>
                <w:color w:val="000000" w:themeColor="text1"/>
                <w:sz w:val="20"/>
                <w:szCs w:val="20"/>
                <w:shd w:val="clear" w:color="auto" w:fill="FFFFFF"/>
                <w:lang w:val="en-US"/>
              </w:rPr>
              <w:t xml:space="preserve"> se </w:t>
            </w:r>
            <w:proofErr w:type="spellStart"/>
            <w:r w:rsidRPr="009B5D3D">
              <w:rPr>
                <w:rFonts w:eastAsia="Arial Unicode MS"/>
                <w:color w:val="000000" w:themeColor="text1"/>
                <w:sz w:val="20"/>
                <w:szCs w:val="20"/>
                <w:shd w:val="clear" w:color="auto" w:fill="FFFFFF"/>
                <w:lang w:val="en-US"/>
              </w:rPr>
              <w:t>amână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până</w:t>
            </w:r>
            <w:proofErr w:type="spellEnd"/>
            <w:r w:rsidRPr="009B5D3D">
              <w:rPr>
                <w:rFonts w:eastAsia="Arial Unicode MS"/>
                <w:color w:val="000000" w:themeColor="text1"/>
                <w:sz w:val="20"/>
                <w:szCs w:val="20"/>
                <w:shd w:val="clear" w:color="auto" w:fill="FFFFFF"/>
                <w:lang w:val="en-US"/>
              </w:rPr>
              <w:t xml:space="preserve"> la 31</w:t>
            </w:r>
            <w:r w:rsidR="00406CAF"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mai</w:t>
            </w:r>
            <w:proofErr w:type="spellEnd"/>
            <w:r w:rsidRPr="009B5D3D">
              <w:rPr>
                <w:rFonts w:eastAsia="Arial Unicode MS"/>
                <w:color w:val="000000" w:themeColor="text1"/>
                <w:sz w:val="20"/>
                <w:szCs w:val="20"/>
                <w:shd w:val="clear" w:color="auto" w:fill="FFFFFF"/>
                <w:lang w:val="en-US"/>
              </w:rPr>
              <w:t xml:space="preserve"> 2029 </w:t>
            </w:r>
            <w:proofErr w:type="spellStart"/>
            <w:r w:rsidRPr="009B5D3D">
              <w:rPr>
                <w:rFonts w:eastAsia="Arial Unicode MS"/>
                <w:color w:val="000000" w:themeColor="text1"/>
                <w:sz w:val="20"/>
                <w:szCs w:val="20"/>
                <w:shd w:val="clear" w:color="auto" w:fill="FFFFFF"/>
                <w:lang w:val="en-US"/>
              </w:rPr>
              <w:t>pentru</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emisiile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totale</w:t>
            </w:r>
            <w:proofErr w:type="spellEnd"/>
            <w:r w:rsidRPr="009B5D3D">
              <w:rPr>
                <w:rFonts w:eastAsia="Arial Unicode MS"/>
                <w:color w:val="000000" w:themeColor="text1"/>
                <w:sz w:val="20"/>
                <w:szCs w:val="20"/>
                <w:shd w:val="clear" w:color="auto" w:fill="FFFFFF"/>
                <w:lang w:val="en-US"/>
              </w:rPr>
              <w:t xml:space="preserve"> din anul 2028;</w:t>
            </w:r>
          </w:p>
          <w:p w14:paraId="2CFC64BC" w14:textId="14538A04" w:rsidR="00124364" w:rsidRDefault="00000000" w:rsidP="00406CAF">
            <w:pPr>
              <w:pStyle w:val="ti-art"/>
              <w:numPr>
                <w:ilvl w:val="0"/>
                <w:numId w:val="156"/>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9B5D3D">
              <w:rPr>
                <w:rFonts w:eastAsia="Arial Unicode MS"/>
                <w:color w:val="000000" w:themeColor="text1"/>
                <w:sz w:val="20"/>
                <w:szCs w:val="20"/>
                <w:shd w:val="clear" w:color="auto" w:fill="FFFFFF"/>
                <w:lang w:val="en-US"/>
              </w:rPr>
              <w:t>prin</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derogare</w:t>
            </w:r>
            <w:proofErr w:type="spellEnd"/>
            <w:r w:rsidRPr="009B5D3D">
              <w:rPr>
                <w:rFonts w:eastAsia="Arial Unicode MS"/>
                <w:color w:val="000000" w:themeColor="text1"/>
                <w:sz w:val="20"/>
                <w:szCs w:val="20"/>
                <w:shd w:val="clear" w:color="auto" w:fill="FFFFFF"/>
                <w:lang w:val="en-US"/>
              </w:rPr>
              <w:t xml:space="preserve"> de la </w:t>
            </w:r>
            <w:proofErr w:type="spellStart"/>
            <w:r w:rsidRPr="009B5D3D">
              <w:rPr>
                <w:rFonts w:eastAsia="Arial Unicode MS"/>
                <w:color w:val="000000" w:themeColor="text1"/>
                <w:sz w:val="20"/>
                <w:szCs w:val="20"/>
                <w:shd w:val="clear" w:color="auto" w:fill="FFFFFF"/>
                <w:lang w:val="en-US"/>
              </w:rPr>
              <w:t>articolul</w:t>
            </w:r>
            <w:proofErr w:type="spellEnd"/>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 xml:space="preserve">30i, </w:t>
            </w:r>
            <w:proofErr w:type="spellStart"/>
            <w:r w:rsidRPr="009B5D3D">
              <w:rPr>
                <w:rFonts w:eastAsia="Arial Unicode MS"/>
                <w:color w:val="000000" w:themeColor="text1"/>
                <w:sz w:val="20"/>
                <w:szCs w:val="20"/>
                <w:shd w:val="clear" w:color="auto" w:fill="FFFFFF"/>
                <w:lang w:val="en-US"/>
              </w:rPr>
              <w:t>termenul-limită</w:t>
            </w:r>
            <w:proofErr w:type="spellEnd"/>
            <w:r w:rsidRPr="009B5D3D">
              <w:rPr>
                <w:rFonts w:eastAsia="Arial Unicode MS"/>
                <w:color w:val="000000" w:themeColor="text1"/>
                <w:sz w:val="20"/>
                <w:szCs w:val="20"/>
                <w:shd w:val="clear" w:color="auto" w:fill="FFFFFF"/>
                <w:lang w:val="en-US"/>
              </w:rPr>
              <w:t xml:space="preserve"> în care </w:t>
            </w:r>
            <w:proofErr w:type="spellStart"/>
            <w:r w:rsidRPr="009B5D3D">
              <w:rPr>
                <w:rFonts w:eastAsia="Arial Unicode MS"/>
                <w:color w:val="000000" w:themeColor="text1"/>
                <w:sz w:val="20"/>
                <w:szCs w:val="20"/>
                <w:shd w:val="clear" w:color="auto" w:fill="FFFFFF"/>
                <w:lang w:val="en-US"/>
              </w:rPr>
              <w:t>Comisia</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trebuie</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să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prezinte</w:t>
            </w:r>
            <w:proofErr w:type="spellEnd"/>
            <w:r w:rsidRPr="009B5D3D">
              <w:rPr>
                <w:rFonts w:eastAsia="Arial Unicode MS"/>
                <w:color w:val="000000" w:themeColor="text1"/>
                <w:sz w:val="20"/>
                <w:szCs w:val="20"/>
                <w:shd w:val="clear" w:color="auto" w:fill="FFFFFF"/>
                <w:lang w:val="en-US"/>
              </w:rPr>
              <w:t xml:space="preserve"> un </w:t>
            </w:r>
            <w:proofErr w:type="spellStart"/>
            <w:r w:rsidRPr="009B5D3D">
              <w:rPr>
                <w:rFonts w:eastAsia="Arial Unicode MS"/>
                <w:color w:val="000000" w:themeColor="text1"/>
                <w:sz w:val="20"/>
                <w:szCs w:val="20"/>
                <w:shd w:val="clear" w:color="auto" w:fill="FFFFFF"/>
                <w:lang w:val="en-US"/>
              </w:rPr>
              <w:t>raport</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Parlamentului</w:t>
            </w:r>
            <w:proofErr w:type="spellEnd"/>
            <w:r w:rsidRPr="009B5D3D">
              <w:rPr>
                <w:rFonts w:eastAsia="Arial Unicode MS"/>
                <w:color w:val="000000" w:themeColor="text1"/>
                <w:sz w:val="20"/>
                <w:szCs w:val="20"/>
                <w:shd w:val="clear" w:color="auto" w:fill="FFFFFF"/>
                <w:lang w:val="en-US"/>
              </w:rPr>
              <w:t xml:space="preserve"> European și </w:t>
            </w:r>
            <w:proofErr w:type="spellStart"/>
            <w:r w:rsidRPr="009B5D3D">
              <w:rPr>
                <w:rFonts w:eastAsia="Arial Unicode MS"/>
                <w:color w:val="000000" w:themeColor="text1"/>
                <w:sz w:val="20"/>
                <w:szCs w:val="20"/>
                <w:shd w:val="clear" w:color="auto" w:fill="FFFFFF"/>
                <w:lang w:val="en-US"/>
              </w:rPr>
              <w:t>Consiliului</w:t>
            </w:r>
            <w:proofErr w:type="spellEnd"/>
            <w:r w:rsidRPr="009B5D3D">
              <w:rPr>
                <w:rFonts w:eastAsia="Arial Unicode MS"/>
                <w:color w:val="000000" w:themeColor="text1"/>
                <w:sz w:val="20"/>
                <w:szCs w:val="20"/>
                <w:shd w:val="clear" w:color="auto" w:fill="FFFFFF"/>
                <w:lang w:val="en-US"/>
              </w:rPr>
              <w:t xml:space="preserve"> se </w:t>
            </w:r>
            <w:proofErr w:type="spellStart"/>
            <w:r w:rsidRPr="009B5D3D">
              <w:rPr>
                <w:rFonts w:eastAsia="Arial Unicode MS"/>
                <w:color w:val="000000" w:themeColor="text1"/>
                <w:sz w:val="20"/>
                <w:szCs w:val="20"/>
                <w:shd w:val="clear" w:color="auto" w:fill="FFFFFF"/>
                <w:lang w:val="en-US"/>
              </w:rPr>
              <w:t>amână</w:t>
            </w:r>
            <w:proofErr w:type="spellEnd"/>
            <w:r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până</w:t>
            </w:r>
            <w:proofErr w:type="spellEnd"/>
            <w:r w:rsidRPr="009B5D3D">
              <w:rPr>
                <w:rFonts w:eastAsia="Arial Unicode MS"/>
                <w:color w:val="000000" w:themeColor="text1"/>
                <w:sz w:val="20"/>
                <w:szCs w:val="20"/>
                <w:shd w:val="clear" w:color="auto" w:fill="FFFFFF"/>
                <w:lang w:val="en-US"/>
              </w:rPr>
              <w:t xml:space="preserve"> la</w:t>
            </w:r>
            <w:r w:rsidR="00406CAF" w:rsidRPr="009B5D3D">
              <w:rPr>
                <w:rFonts w:eastAsia="Arial Unicode MS"/>
                <w:color w:val="000000" w:themeColor="text1"/>
                <w:sz w:val="20"/>
                <w:szCs w:val="20"/>
                <w:shd w:val="clear" w:color="auto" w:fill="FFFFFF"/>
                <w:lang w:val="en-US"/>
              </w:rPr>
              <w:t xml:space="preserve"> </w:t>
            </w:r>
            <w:r w:rsidRPr="009B5D3D">
              <w:rPr>
                <w:rFonts w:eastAsia="Arial Unicode MS"/>
                <w:color w:val="000000" w:themeColor="text1"/>
                <w:sz w:val="20"/>
                <w:szCs w:val="20"/>
                <w:shd w:val="clear" w:color="auto" w:fill="FFFFFF"/>
                <w:lang w:val="en-US"/>
              </w:rPr>
              <w:t>1</w:t>
            </w:r>
            <w:r w:rsidR="00406CAF" w:rsidRPr="009B5D3D">
              <w:rPr>
                <w:rFonts w:eastAsia="Arial Unicode MS"/>
                <w:color w:val="000000" w:themeColor="text1"/>
                <w:sz w:val="20"/>
                <w:szCs w:val="20"/>
                <w:shd w:val="clear" w:color="auto" w:fill="FFFFFF"/>
                <w:lang w:val="en-US"/>
              </w:rPr>
              <w:t xml:space="preserve"> </w:t>
            </w:r>
            <w:proofErr w:type="spellStart"/>
            <w:r w:rsidRPr="009B5D3D">
              <w:rPr>
                <w:rFonts w:eastAsia="Arial Unicode MS"/>
                <w:color w:val="000000" w:themeColor="text1"/>
                <w:sz w:val="20"/>
                <w:szCs w:val="20"/>
                <w:shd w:val="clear" w:color="auto" w:fill="FFFFFF"/>
                <w:lang w:val="en-US"/>
              </w:rPr>
              <w:t>ianuarie</w:t>
            </w:r>
            <w:proofErr w:type="spellEnd"/>
            <w:r w:rsidRPr="009B5D3D">
              <w:rPr>
                <w:rFonts w:eastAsia="Arial Unicode MS"/>
                <w:color w:val="000000" w:themeColor="text1"/>
                <w:sz w:val="20"/>
                <w:szCs w:val="20"/>
                <w:shd w:val="clear" w:color="auto" w:fill="FFFFFF"/>
                <w:lang w:val="en-US"/>
              </w:rPr>
              <w:t xml:space="preserve"> 2029.</w:t>
            </w:r>
          </w:p>
        </w:tc>
        <w:tc>
          <w:tcPr>
            <w:tcW w:w="4394" w:type="dxa"/>
            <w:shd w:val="clear" w:color="auto" w:fill="auto"/>
          </w:tcPr>
          <w:p w14:paraId="69B151D1"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1EE7BAD" w14:textId="7B436890" w:rsidR="00124364" w:rsidRDefault="009B5D3D" w:rsidP="009B5D3D">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 xml:space="preserve">Incompatibil </w:t>
            </w:r>
          </w:p>
        </w:tc>
        <w:tc>
          <w:tcPr>
            <w:tcW w:w="1275" w:type="dxa"/>
            <w:shd w:val="clear" w:color="auto" w:fill="auto"/>
          </w:tcPr>
          <w:p w14:paraId="150B7DEF"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F32ABC3" w14:textId="77777777" w:rsidR="003D4F0B" w:rsidRPr="00DF1AB5" w:rsidRDefault="003D4F0B" w:rsidP="003D4F0B">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74EAE461" w14:textId="25F40998" w:rsidR="00124364" w:rsidRDefault="003D4F0B" w:rsidP="003D4F0B">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w:t>
            </w:r>
            <w:r w:rsidRPr="00DF1AB5">
              <w:rPr>
                <w:rFonts w:ascii="Times New Roman" w:hAnsi="Times New Roman"/>
                <w:color w:val="000000" w:themeColor="text1"/>
                <w:sz w:val="20"/>
                <w:szCs w:val="20"/>
                <w:lang w:val="ro-RO"/>
              </w:rPr>
              <w:lastRenderedPageBreak/>
              <w:t xml:space="preserve">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5E327E6A" w14:textId="77777777" w:rsidR="00124364" w:rsidRDefault="00124364" w:rsidP="009B5D3D">
            <w:pPr>
              <w:autoSpaceDE w:val="0"/>
              <w:spacing w:after="0" w:line="240" w:lineRule="auto"/>
              <w:rPr>
                <w:rFonts w:ascii="Times New Roman" w:hAnsi="Times New Roman"/>
                <w:sz w:val="20"/>
                <w:szCs w:val="20"/>
                <w:lang w:val="fr-FR"/>
              </w:rPr>
            </w:pPr>
          </w:p>
        </w:tc>
      </w:tr>
      <w:tr w:rsidR="00124364" w14:paraId="7F908859" w14:textId="77777777">
        <w:trPr>
          <w:trHeight w:val="558"/>
        </w:trPr>
        <w:tc>
          <w:tcPr>
            <w:tcW w:w="4957" w:type="dxa"/>
            <w:shd w:val="clear" w:color="auto" w:fill="auto"/>
          </w:tcPr>
          <w:p w14:paraId="7B3F3269" w14:textId="77777777" w:rsidR="00124364" w:rsidRPr="00406CAF"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CAPITOLUL </w:t>
            </w:r>
            <w:proofErr w:type="spellStart"/>
            <w:r w:rsidRPr="00406CAF">
              <w:rPr>
                <w:rFonts w:eastAsia="Arial Unicode MS"/>
                <w:color w:val="000000" w:themeColor="text1"/>
                <w:sz w:val="20"/>
                <w:szCs w:val="20"/>
                <w:shd w:val="clear" w:color="auto" w:fill="FFFFFF"/>
                <w:lang w:val="en-US"/>
              </w:rPr>
              <w:t>IVb</w:t>
            </w:r>
            <w:proofErr w:type="spellEnd"/>
          </w:p>
          <w:p w14:paraId="427DD184"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406CAF">
              <w:rPr>
                <w:rFonts w:eastAsia="Arial Unicode MS"/>
                <w:b/>
                <w:bCs/>
                <w:color w:val="000000" w:themeColor="text1"/>
                <w:sz w:val="20"/>
                <w:szCs w:val="20"/>
                <w:shd w:val="clear" w:color="auto" w:fill="FFFFFF"/>
                <w:lang w:val="en-US"/>
              </w:rPr>
              <w:t>CONSILIEREA ȘTIINȚIFICĂ ȘI VIZIBILITATEA FINANȚĂRII</w:t>
            </w:r>
          </w:p>
          <w:p w14:paraId="6FDB9A07" w14:textId="1F65D5A1"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t>Articolul</w:t>
            </w:r>
            <w:proofErr w:type="spellEnd"/>
            <w:r w:rsidR="00406CAF" w:rsidRPr="00406CAF">
              <w:rPr>
                <w:rFonts w:eastAsia="Arial Unicode MS"/>
                <w:i/>
                <w:iCs/>
                <w:color w:val="000000" w:themeColor="text1"/>
                <w:sz w:val="20"/>
                <w:szCs w:val="20"/>
                <w:shd w:val="clear" w:color="auto" w:fill="FFFFFF"/>
                <w:lang w:val="en-US"/>
              </w:rPr>
              <w:t xml:space="preserve"> </w:t>
            </w:r>
            <w:r w:rsidRPr="00406CAF">
              <w:rPr>
                <w:rFonts w:eastAsia="Arial Unicode MS"/>
                <w:i/>
                <w:iCs/>
                <w:color w:val="000000" w:themeColor="text1"/>
                <w:sz w:val="20"/>
                <w:szCs w:val="20"/>
                <w:shd w:val="clear" w:color="auto" w:fill="FFFFFF"/>
                <w:lang w:val="en-US"/>
              </w:rPr>
              <w:t>30l</w:t>
            </w:r>
          </w:p>
          <w:p w14:paraId="56B10005"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06CAF">
              <w:rPr>
                <w:rFonts w:eastAsia="Arial Unicode MS"/>
                <w:b/>
                <w:bCs/>
                <w:color w:val="000000" w:themeColor="text1"/>
                <w:sz w:val="20"/>
                <w:szCs w:val="20"/>
                <w:shd w:val="clear" w:color="auto" w:fill="FFFFFF"/>
                <w:lang w:val="en-US"/>
              </w:rPr>
              <w:lastRenderedPageBreak/>
              <w:t>Consiliere</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științifică</w:t>
            </w:r>
            <w:proofErr w:type="spellEnd"/>
          </w:p>
          <w:p w14:paraId="5F5A94DC" w14:textId="0549B6C6" w:rsidR="00124364" w:rsidRDefault="00000000" w:rsidP="00406CAF">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Consiliul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științific</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consultativ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european</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privind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schimbările</w:t>
            </w:r>
            <w:proofErr w:type="spellEnd"/>
            <w:r w:rsidRPr="00406CAF">
              <w:rPr>
                <w:rFonts w:eastAsia="Arial Unicode MS"/>
                <w:color w:val="000000" w:themeColor="text1"/>
                <w:sz w:val="20"/>
                <w:szCs w:val="20"/>
                <w:shd w:val="clear" w:color="auto" w:fill="FFFFFF"/>
                <w:lang w:val="en-US"/>
              </w:rPr>
              <w:t xml:space="preserve"> climatice (</w:t>
            </w:r>
            <w:proofErr w:type="spellStart"/>
            <w:r w:rsidRPr="00406CAF">
              <w:rPr>
                <w:rFonts w:eastAsia="Arial Unicode MS"/>
                <w:color w:val="000000" w:themeColor="text1"/>
                <w:sz w:val="20"/>
                <w:szCs w:val="20"/>
                <w:shd w:val="clear" w:color="auto" w:fill="FFFFFF"/>
                <w:lang w:val="en-US"/>
              </w:rPr>
              <w:t>denumit</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continuare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Consiliul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consultativ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instituit</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temeiul</w:t>
            </w:r>
            <w:proofErr w:type="spellEnd"/>
            <w:r w:rsidRPr="00406CAF">
              <w:rPr>
                <w:rFonts w:eastAsia="Arial Unicode MS"/>
                <w:color w:val="000000" w:themeColor="text1"/>
                <w:sz w:val="20"/>
                <w:szCs w:val="20"/>
                <w:shd w:val="clear" w:color="auto" w:fill="FFFFFF"/>
                <w:lang w:val="en-US"/>
              </w:rPr>
              <w:t xml:space="preserve"> articolului10a din </w:t>
            </w:r>
            <w:proofErr w:type="spellStart"/>
            <w:r w:rsidRPr="00406CAF">
              <w:rPr>
                <w:rFonts w:eastAsia="Arial Unicode MS"/>
                <w:color w:val="000000" w:themeColor="text1"/>
                <w:sz w:val="20"/>
                <w:szCs w:val="20"/>
                <w:shd w:val="clear" w:color="auto" w:fill="FFFFFF"/>
                <w:lang w:val="en-US"/>
              </w:rPr>
              <w:t>Regulamentul</w:t>
            </w:r>
            <w:proofErr w:type="spellEnd"/>
            <w:r w:rsidRPr="00406CAF">
              <w:rPr>
                <w:rFonts w:eastAsia="Arial Unicode MS"/>
                <w:color w:val="000000" w:themeColor="text1"/>
                <w:sz w:val="20"/>
                <w:szCs w:val="20"/>
                <w:shd w:val="clear" w:color="auto" w:fill="FFFFFF"/>
                <w:lang w:val="en-US"/>
              </w:rPr>
              <w:t xml:space="preserve"> (CE) nr.</w:t>
            </w:r>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401/2009 al </w:t>
            </w:r>
            <w:proofErr w:type="spellStart"/>
            <w:r w:rsidRPr="00406CAF">
              <w:rPr>
                <w:rFonts w:eastAsia="Arial Unicode MS"/>
                <w:color w:val="000000" w:themeColor="text1"/>
                <w:sz w:val="20"/>
                <w:szCs w:val="20"/>
                <w:shd w:val="clear" w:color="auto" w:fill="FFFFFF"/>
                <w:lang w:val="en-US"/>
              </w:rPr>
              <w:t>Parlamentului</w:t>
            </w:r>
            <w:proofErr w:type="spellEnd"/>
            <w:r w:rsidRPr="00406CAF">
              <w:rPr>
                <w:rFonts w:eastAsia="Arial Unicode MS"/>
                <w:color w:val="000000" w:themeColor="text1"/>
                <w:sz w:val="20"/>
                <w:szCs w:val="20"/>
                <w:shd w:val="clear" w:color="auto" w:fill="FFFFFF"/>
                <w:lang w:val="en-US"/>
              </w:rPr>
              <w:t xml:space="preserve"> European și al </w:t>
            </w:r>
            <w:proofErr w:type="spellStart"/>
            <w:r w:rsidRPr="00406CAF">
              <w:rPr>
                <w:rFonts w:eastAsia="Arial Unicode MS"/>
                <w:color w:val="000000" w:themeColor="text1"/>
                <w:sz w:val="20"/>
                <w:szCs w:val="20"/>
                <w:shd w:val="clear" w:color="auto" w:fill="FFFFFF"/>
                <w:lang w:val="en-US"/>
              </w:rPr>
              <w:t>Consiliului</w:t>
            </w:r>
            <w:proofErr w:type="spellEnd"/>
            <w:r>
              <w:rPr>
                <w:rFonts w:eastAsia="Arial Unicode MS"/>
                <w:color w:val="333333"/>
                <w:sz w:val="20"/>
                <w:szCs w:val="20"/>
                <w:shd w:val="clear" w:color="auto" w:fill="FFFFFF"/>
                <w:lang w:val="en-US"/>
              </w:rPr>
              <w:t>(</w:t>
            </w:r>
            <w:hyperlink r:id="rId348" w:anchor="E0041" w:history="1">
              <w:r>
                <w:rPr>
                  <w:rStyle w:val="superscript"/>
                  <w:rFonts w:eastAsia="Arial Unicode MS"/>
                  <w:color w:val="4472C4" w:themeColor="accent1"/>
                  <w:sz w:val="20"/>
                  <w:szCs w:val="20"/>
                  <w:vertAlign w:val="superscript"/>
                  <w:lang w:val="en-US"/>
                </w:rPr>
                <w:t>40</w:t>
              </w:r>
            </w:hyperlink>
            <w:r w:rsidR="00406CAF">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poate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ofere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proprie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inițiativă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consiliere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științifică</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să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publice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rapoarte</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privire</w:t>
            </w:r>
            <w:proofErr w:type="spellEnd"/>
            <w:r w:rsidRPr="00406CAF">
              <w:rPr>
                <w:rFonts w:eastAsia="Arial Unicode MS"/>
                <w:color w:val="000000" w:themeColor="text1"/>
                <w:sz w:val="20"/>
                <w:szCs w:val="20"/>
                <w:shd w:val="clear" w:color="auto" w:fill="FFFFFF"/>
                <w:lang w:val="en-US"/>
              </w:rPr>
              <w:t xml:space="preserve"> la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ia</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considerare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avizele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rapoartele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relevante</w:t>
            </w:r>
            <w:proofErr w:type="spellEnd"/>
            <w:r w:rsidRPr="00406CAF">
              <w:rPr>
                <w:rFonts w:eastAsia="Arial Unicode MS"/>
                <w:color w:val="000000" w:themeColor="text1"/>
                <w:sz w:val="20"/>
                <w:szCs w:val="20"/>
                <w:shd w:val="clear" w:color="auto" w:fill="FFFFFF"/>
                <w:lang w:val="en-US"/>
              </w:rPr>
              <w:t xml:space="preserve"> ale </w:t>
            </w:r>
            <w:proofErr w:type="spellStart"/>
            <w:r w:rsidRPr="00406CAF">
              <w:rPr>
                <w:rFonts w:eastAsia="Arial Unicode MS"/>
                <w:color w:val="000000" w:themeColor="text1"/>
                <w:sz w:val="20"/>
                <w:szCs w:val="20"/>
                <w:shd w:val="clear" w:color="auto" w:fill="FFFFFF"/>
                <w:lang w:val="en-US"/>
              </w:rPr>
              <w:t>Consiliului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consultativ</w:t>
            </w:r>
            <w:proofErr w:type="spellEnd"/>
            <w:r w:rsidRPr="00406CAF">
              <w:rPr>
                <w:rFonts w:eastAsia="Arial Unicode MS"/>
                <w:color w:val="000000" w:themeColor="text1"/>
                <w:sz w:val="20"/>
                <w:szCs w:val="20"/>
                <w:shd w:val="clear" w:color="auto" w:fill="FFFFFF"/>
                <w:lang w:val="en-US"/>
              </w:rPr>
              <w:t xml:space="preserve">, în special în </w:t>
            </w:r>
            <w:proofErr w:type="spellStart"/>
            <w:r w:rsidRPr="00406CAF">
              <w:rPr>
                <w:rFonts w:eastAsia="Arial Unicode MS"/>
                <w:color w:val="000000" w:themeColor="text1"/>
                <w:sz w:val="20"/>
                <w:szCs w:val="20"/>
                <w:shd w:val="clear" w:color="auto" w:fill="FFFFFF"/>
                <w:lang w:val="en-US"/>
              </w:rPr>
              <w:t>ceea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privește</w:t>
            </w:r>
            <w:proofErr w:type="spellEnd"/>
            <w:r w:rsidRPr="00406CAF">
              <w:rPr>
                <w:rFonts w:eastAsia="Arial Unicode MS"/>
                <w:color w:val="000000" w:themeColor="text1"/>
                <w:sz w:val="20"/>
                <w:szCs w:val="20"/>
                <w:shd w:val="clear" w:color="auto" w:fill="FFFFFF"/>
                <w:lang w:val="en-US"/>
              </w:rPr>
              <w:t>:</w:t>
            </w:r>
          </w:p>
          <w:p w14:paraId="310D9BFB" w14:textId="05259707" w:rsidR="00124364" w:rsidRPr="00406CAF" w:rsidRDefault="00000000" w:rsidP="00406CAF">
            <w:pPr>
              <w:pStyle w:val="ti-art"/>
              <w:numPr>
                <w:ilvl w:val="0"/>
                <w:numId w:val="15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necesitatea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politici</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măsuri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suplimentare</w:t>
            </w:r>
            <w:proofErr w:type="spellEnd"/>
            <w:r w:rsidRPr="00406CAF">
              <w:rPr>
                <w:rFonts w:eastAsia="Arial Unicode MS"/>
                <w:color w:val="000000" w:themeColor="text1"/>
                <w:sz w:val="20"/>
                <w:szCs w:val="20"/>
                <w:shd w:val="clear" w:color="auto" w:fill="FFFFFF"/>
                <w:lang w:val="en-US"/>
              </w:rPr>
              <w:t xml:space="preserve"> ale </w:t>
            </w:r>
            <w:proofErr w:type="spellStart"/>
            <w:r w:rsidRPr="00406CAF">
              <w:rPr>
                <w:rFonts w:eastAsia="Arial Unicode MS"/>
                <w:color w:val="000000" w:themeColor="text1"/>
                <w:sz w:val="20"/>
                <w:szCs w:val="20"/>
                <w:shd w:val="clear" w:color="auto" w:fill="FFFFFF"/>
                <w:lang w:val="en-US"/>
              </w:rPr>
              <w:t>Uniunii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gramStart"/>
            <w:r w:rsidRPr="00406CAF">
              <w:rPr>
                <w:rFonts w:eastAsia="Arial Unicode MS"/>
                <w:color w:val="000000" w:themeColor="text1"/>
                <w:sz w:val="20"/>
                <w:szCs w:val="20"/>
                <w:shd w:val="clear" w:color="auto" w:fill="FFFFFF"/>
                <w:lang w:val="en-US"/>
              </w:rPr>
              <w:t>a</w:t>
            </w:r>
            <w:proofErr w:type="gram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asigura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conformitatea</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obiectivele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țintele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30 </w:t>
            </w:r>
            <w:proofErr w:type="spellStart"/>
            <w:r w:rsidRPr="00406CAF">
              <w:rPr>
                <w:rFonts w:eastAsia="Arial Unicode MS"/>
                <w:color w:val="000000" w:themeColor="text1"/>
                <w:sz w:val="20"/>
                <w:szCs w:val="20"/>
                <w:shd w:val="clear" w:color="auto" w:fill="FFFFFF"/>
                <w:lang w:val="en-US"/>
              </w:rPr>
              <w:t>alineatul</w:t>
            </w:r>
            <w:proofErr w:type="spellEnd"/>
            <w:r w:rsidRPr="00406CAF">
              <w:rPr>
                <w:rFonts w:eastAsia="Arial Unicode MS"/>
                <w:color w:val="000000" w:themeColor="text1"/>
                <w:sz w:val="20"/>
                <w:szCs w:val="20"/>
                <w:shd w:val="clear" w:color="auto" w:fill="FFFFFF"/>
                <w:lang w:val="en-US"/>
              </w:rPr>
              <w:t xml:space="preserve"> (3) din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w:t>
            </w:r>
          </w:p>
          <w:p w14:paraId="7225C0C6" w14:textId="20AE8F46" w:rsidR="00124364" w:rsidRDefault="00000000" w:rsidP="00406CAF">
            <w:pPr>
              <w:pStyle w:val="ti-art"/>
              <w:numPr>
                <w:ilvl w:val="0"/>
                <w:numId w:val="15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necesitatea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politici</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măsuri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suplimentare</w:t>
            </w:r>
            <w:proofErr w:type="spellEnd"/>
            <w:r w:rsidRPr="00406CAF">
              <w:rPr>
                <w:rFonts w:eastAsia="Arial Unicode MS"/>
                <w:color w:val="000000" w:themeColor="text1"/>
                <w:sz w:val="20"/>
                <w:szCs w:val="20"/>
                <w:shd w:val="clear" w:color="auto" w:fill="FFFFFF"/>
                <w:lang w:val="en-US"/>
              </w:rPr>
              <w:t xml:space="preserve"> ale </w:t>
            </w:r>
            <w:proofErr w:type="spellStart"/>
            <w:r w:rsidRPr="00406CAF">
              <w:rPr>
                <w:rFonts w:eastAsia="Arial Unicode MS"/>
                <w:color w:val="000000" w:themeColor="text1"/>
                <w:sz w:val="20"/>
                <w:szCs w:val="20"/>
                <w:shd w:val="clear" w:color="auto" w:fill="FFFFFF"/>
                <w:lang w:val="en-US"/>
              </w:rPr>
              <w:t>Uniunii</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vederea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încheierii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acorduri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privind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măsuri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globale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cadrul</w:t>
            </w:r>
            <w:proofErr w:type="spellEnd"/>
            <w:r w:rsidRPr="00406CAF">
              <w:rPr>
                <w:rFonts w:eastAsia="Arial Unicode MS"/>
                <w:color w:val="000000" w:themeColor="text1"/>
                <w:sz w:val="20"/>
                <w:szCs w:val="20"/>
                <w:shd w:val="clear" w:color="auto" w:fill="FFFFFF"/>
                <w:lang w:val="en-US"/>
              </w:rPr>
              <w:t xml:space="preserve"> OACI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a reduce </w:t>
            </w:r>
            <w:proofErr w:type="spellStart"/>
            <w:r w:rsidRPr="00406CAF">
              <w:rPr>
                <w:rFonts w:eastAsia="Arial Unicode MS"/>
                <w:color w:val="000000" w:themeColor="text1"/>
                <w:sz w:val="20"/>
                <w:szCs w:val="20"/>
                <w:shd w:val="clear" w:color="auto" w:fill="FFFFFF"/>
                <w:lang w:val="en-US"/>
              </w:rPr>
              <w:t>impactul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aviației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asupra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climei</w:t>
            </w:r>
            <w:proofErr w:type="spellEnd"/>
            <w:r w:rsidRPr="00406CAF">
              <w:rPr>
                <w:rFonts w:eastAsia="Arial Unicode MS"/>
                <w:color w:val="000000" w:themeColor="text1"/>
                <w:sz w:val="20"/>
                <w:szCs w:val="20"/>
                <w:shd w:val="clear" w:color="auto" w:fill="FFFFFF"/>
                <w:lang w:val="en-US"/>
              </w:rPr>
              <w:t xml:space="preserve">, precum și </w:t>
            </w:r>
            <w:proofErr w:type="spellStart"/>
            <w:r w:rsidRPr="00406CAF">
              <w:rPr>
                <w:rFonts w:eastAsia="Arial Unicode MS"/>
                <w:color w:val="000000" w:themeColor="text1"/>
                <w:sz w:val="20"/>
                <w:szCs w:val="20"/>
                <w:shd w:val="clear" w:color="auto" w:fill="FFFFFF"/>
                <w:lang w:val="en-US"/>
              </w:rPr>
              <w:t>ambiția</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integritatea</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mediu</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măsurii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globale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bazate</w:t>
            </w:r>
            <w:proofErr w:type="spellEnd"/>
            <w:r w:rsidRPr="00406CAF">
              <w:rPr>
                <w:rFonts w:eastAsia="Arial Unicode MS"/>
                <w:color w:val="000000" w:themeColor="text1"/>
                <w:sz w:val="20"/>
                <w:szCs w:val="20"/>
                <w:shd w:val="clear" w:color="auto" w:fill="FFFFFF"/>
                <w:lang w:val="en-US"/>
              </w:rPr>
              <w:t xml:space="preserve"> pe </w:t>
            </w:r>
            <w:proofErr w:type="spellStart"/>
            <w:r w:rsidRPr="00406CAF">
              <w:rPr>
                <w:rFonts w:eastAsia="Arial Unicode MS"/>
                <w:color w:val="000000" w:themeColor="text1"/>
                <w:sz w:val="20"/>
                <w:szCs w:val="20"/>
                <w:shd w:val="clear" w:color="auto" w:fill="FFFFFF"/>
                <w:lang w:val="en-US"/>
              </w:rPr>
              <w:t>piață</w:t>
            </w:r>
            <w:proofErr w:type="spellEnd"/>
            <w:r w:rsidRPr="00406CAF">
              <w:rPr>
                <w:rFonts w:eastAsia="Arial Unicode MS"/>
                <w:color w:val="000000" w:themeColor="text1"/>
                <w:sz w:val="20"/>
                <w:szCs w:val="20"/>
                <w:shd w:val="clear" w:color="auto" w:fill="FFFFFF"/>
                <w:lang w:val="en-US"/>
              </w:rPr>
              <w:t xml:space="preserve"> </w:t>
            </w:r>
            <w:proofErr w:type="gramStart"/>
            <w:r w:rsidRPr="00406CAF">
              <w:rPr>
                <w:rFonts w:eastAsia="Arial Unicode MS"/>
                <w:color w:val="000000" w:themeColor="text1"/>
                <w:sz w:val="20"/>
                <w:szCs w:val="20"/>
                <w:shd w:val="clear" w:color="auto" w:fill="FFFFFF"/>
                <w:lang w:val="en-US"/>
              </w:rPr>
              <w:t>a</w:t>
            </w:r>
            <w:proofErr w:type="gramEnd"/>
            <w:r w:rsidRPr="00406CAF">
              <w:rPr>
                <w:rFonts w:eastAsia="Arial Unicode MS"/>
                <w:color w:val="000000" w:themeColor="text1"/>
                <w:sz w:val="20"/>
                <w:szCs w:val="20"/>
                <w:shd w:val="clear" w:color="auto" w:fill="FFFFFF"/>
                <w:lang w:val="en-US"/>
              </w:rPr>
              <w:t xml:space="preserve"> OMI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3gg din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w:t>
            </w:r>
          </w:p>
        </w:tc>
        <w:tc>
          <w:tcPr>
            <w:tcW w:w="4394" w:type="dxa"/>
            <w:shd w:val="clear" w:color="auto" w:fill="auto"/>
          </w:tcPr>
          <w:p w14:paraId="2D616EE8"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BB2DB86" w14:textId="421CC74D" w:rsidR="00124364" w:rsidRDefault="0042693F" w:rsidP="0042693F">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079C7FC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9DE651C" w14:textId="4F0E0DD0" w:rsidR="00124364" w:rsidRDefault="0042693F">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w:t>
            </w:r>
            <w:r>
              <w:rPr>
                <w:rFonts w:ascii="Times New Roman" w:hAnsi="Times New Roman"/>
                <w:sz w:val="20"/>
                <w:szCs w:val="20"/>
                <w:lang w:val="ro-RO"/>
              </w:rPr>
              <w:t xml:space="preserve"> raportului între </w:t>
            </w:r>
            <w:r>
              <w:rPr>
                <w:rFonts w:ascii="Times New Roman" w:hAnsi="Times New Roman"/>
                <w:sz w:val="20"/>
                <w:szCs w:val="20"/>
                <w:lang w:val="ro-RO"/>
              </w:rPr>
              <w:lastRenderedPageBreak/>
              <w:t>Comisia și statele membre</w:t>
            </w:r>
            <w:r w:rsidRPr="00C951E7">
              <w:rPr>
                <w:rFonts w:ascii="Times New Roman" w:hAnsi="Times New Roman"/>
                <w:sz w:val="20"/>
                <w:szCs w:val="20"/>
                <w:lang w:val="ro-RO"/>
              </w:rPr>
              <w:t>.</w:t>
            </w:r>
          </w:p>
        </w:tc>
        <w:tc>
          <w:tcPr>
            <w:tcW w:w="1464" w:type="dxa"/>
            <w:shd w:val="clear" w:color="auto" w:fill="auto"/>
          </w:tcPr>
          <w:p w14:paraId="51DBFD48" w14:textId="77777777" w:rsidR="00124364" w:rsidRDefault="00124364" w:rsidP="0042693F">
            <w:pPr>
              <w:autoSpaceDE w:val="0"/>
              <w:spacing w:after="0" w:line="240" w:lineRule="auto"/>
              <w:rPr>
                <w:rFonts w:ascii="Times New Roman" w:hAnsi="Times New Roman"/>
                <w:sz w:val="20"/>
                <w:szCs w:val="20"/>
                <w:lang w:val="fr-FR"/>
              </w:rPr>
            </w:pPr>
          </w:p>
        </w:tc>
      </w:tr>
      <w:tr w:rsidR="00124364" w14:paraId="463CCF1F" w14:textId="77777777">
        <w:trPr>
          <w:trHeight w:val="558"/>
        </w:trPr>
        <w:tc>
          <w:tcPr>
            <w:tcW w:w="4957" w:type="dxa"/>
            <w:shd w:val="clear" w:color="auto" w:fill="auto"/>
          </w:tcPr>
          <w:p w14:paraId="66CBAC53" w14:textId="057135A0" w:rsidR="00124364" w:rsidRPr="00406CAF" w:rsidRDefault="00000000" w:rsidP="00406CAF">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t>Articolul</w:t>
            </w:r>
            <w:proofErr w:type="spellEnd"/>
            <w:r w:rsidR="00406CAF">
              <w:rPr>
                <w:rFonts w:eastAsia="Arial Unicode MS"/>
                <w:i/>
                <w:iCs/>
                <w:color w:val="000000" w:themeColor="text1"/>
                <w:sz w:val="20"/>
                <w:szCs w:val="20"/>
                <w:shd w:val="clear" w:color="auto" w:fill="FFFFFF"/>
                <w:lang w:val="en-US"/>
              </w:rPr>
              <w:t xml:space="preserve"> </w:t>
            </w:r>
            <w:r w:rsidRPr="00406CAF">
              <w:rPr>
                <w:rFonts w:eastAsia="Arial Unicode MS"/>
                <w:i/>
                <w:iCs/>
                <w:color w:val="000000" w:themeColor="text1"/>
                <w:sz w:val="20"/>
                <w:szCs w:val="20"/>
                <w:shd w:val="clear" w:color="auto" w:fill="FFFFFF"/>
                <w:lang w:val="en-US"/>
              </w:rPr>
              <w:t>30m</w:t>
            </w:r>
          </w:p>
          <w:p w14:paraId="2E9EDEDE" w14:textId="77777777" w:rsidR="00124364" w:rsidRPr="00406CAF" w:rsidRDefault="00000000" w:rsidP="00406CAF">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06CAF">
              <w:rPr>
                <w:rFonts w:eastAsia="Arial Unicode MS"/>
                <w:b/>
                <w:bCs/>
                <w:color w:val="000000" w:themeColor="text1"/>
                <w:sz w:val="20"/>
                <w:szCs w:val="20"/>
                <w:shd w:val="clear" w:color="auto" w:fill="FFFFFF"/>
                <w:lang w:val="en-US"/>
              </w:rPr>
              <w:t>Informare</w:t>
            </w:r>
            <w:proofErr w:type="spellEnd"/>
            <w:r w:rsidRPr="00406CAF">
              <w:rPr>
                <w:rFonts w:eastAsia="Arial Unicode MS"/>
                <w:b/>
                <w:bCs/>
                <w:color w:val="000000" w:themeColor="text1"/>
                <w:sz w:val="20"/>
                <w:szCs w:val="20"/>
                <w:shd w:val="clear" w:color="auto" w:fill="FFFFFF"/>
                <w:lang w:val="en-US"/>
              </w:rPr>
              <w:t xml:space="preserve">, </w:t>
            </w:r>
            <w:proofErr w:type="spellStart"/>
            <w:r w:rsidRPr="00406CAF">
              <w:rPr>
                <w:rFonts w:eastAsia="Arial Unicode MS"/>
                <w:b/>
                <w:bCs/>
                <w:color w:val="000000" w:themeColor="text1"/>
                <w:sz w:val="20"/>
                <w:szCs w:val="20"/>
                <w:shd w:val="clear" w:color="auto" w:fill="FFFFFF"/>
                <w:lang w:val="en-US"/>
              </w:rPr>
              <w:t>comunicare</w:t>
            </w:r>
            <w:proofErr w:type="spellEnd"/>
            <w:r w:rsidRPr="00406CAF">
              <w:rPr>
                <w:rFonts w:eastAsia="Arial Unicode MS"/>
                <w:b/>
                <w:bCs/>
                <w:color w:val="000000" w:themeColor="text1"/>
                <w:sz w:val="20"/>
                <w:szCs w:val="20"/>
                <w:shd w:val="clear" w:color="auto" w:fill="FFFFFF"/>
                <w:lang w:val="en-US"/>
              </w:rPr>
              <w:t xml:space="preserve"> și </w:t>
            </w:r>
            <w:proofErr w:type="spellStart"/>
            <w:r w:rsidRPr="00406CAF">
              <w:rPr>
                <w:rFonts w:eastAsia="Arial Unicode MS"/>
                <w:b/>
                <w:bCs/>
                <w:color w:val="000000" w:themeColor="text1"/>
                <w:sz w:val="20"/>
                <w:szCs w:val="20"/>
                <w:shd w:val="clear" w:color="auto" w:fill="FFFFFF"/>
                <w:lang w:val="en-US"/>
              </w:rPr>
              <w:t>publicitate</w:t>
            </w:r>
            <w:proofErr w:type="spellEnd"/>
          </w:p>
          <w:p w14:paraId="1FD8C803" w14:textId="0ECAF1B0" w:rsidR="00124364" w:rsidRPr="00406CAF" w:rsidRDefault="00000000" w:rsidP="00406CAF">
            <w:pPr>
              <w:pStyle w:val="ti-art"/>
              <w:numPr>
                <w:ilvl w:val="0"/>
                <w:numId w:val="15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asigură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finanțării</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veniturile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obținute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licitarea</w:t>
            </w:r>
            <w:proofErr w:type="spellEnd"/>
            <w:r w:rsidRPr="00406CAF">
              <w:rPr>
                <w:rFonts w:eastAsia="Arial Unicode MS"/>
                <w:color w:val="000000" w:themeColor="text1"/>
                <w:sz w:val="20"/>
                <w:szCs w:val="20"/>
                <w:shd w:val="clear" w:color="auto" w:fill="FFFFFF"/>
                <w:lang w:val="en-US"/>
              </w:rPr>
              <w:t xml:space="preserve"> EU ETS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articolul10a </w:t>
            </w:r>
            <w:proofErr w:type="spellStart"/>
            <w:r w:rsidRPr="00406CAF">
              <w:rPr>
                <w:rFonts w:eastAsia="Arial Unicode MS"/>
                <w:color w:val="000000" w:themeColor="text1"/>
                <w:sz w:val="20"/>
                <w:szCs w:val="20"/>
                <w:shd w:val="clear" w:color="auto" w:fill="FFFFFF"/>
                <w:lang w:val="en-US"/>
              </w:rPr>
              <w:t>alineatul</w:t>
            </w:r>
            <w:proofErr w:type="spellEnd"/>
            <w:r w:rsid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(8) </w:t>
            </w:r>
            <w:proofErr w:type="spellStart"/>
            <w:r w:rsidRPr="00406CAF">
              <w:rPr>
                <w:rFonts w:eastAsia="Arial Unicode MS"/>
                <w:color w:val="000000" w:themeColor="text1"/>
                <w:sz w:val="20"/>
                <w:szCs w:val="20"/>
                <w:shd w:val="clear" w:color="auto" w:fill="FFFFFF"/>
                <w:lang w:val="en-US"/>
              </w:rPr>
              <w:t>prin</w:t>
            </w:r>
            <w:proofErr w:type="spellEnd"/>
            <w:r w:rsidRPr="00406CAF">
              <w:rPr>
                <w:rFonts w:eastAsia="Arial Unicode MS"/>
                <w:color w:val="000000" w:themeColor="text1"/>
                <w:sz w:val="20"/>
                <w:szCs w:val="20"/>
                <w:shd w:val="clear" w:color="auto" w:fill="FFFFFF"/>
                <w:lang w:val="en-US"/>
              </w:rPr>
              <w:t>:</w:t>
            </w:r>
          </w:p>
          <w:p w14:paraId="5A7DDB01" w14:textId="77777777" w:rsidR="00124364" w:rsidRPr="00406CAF" w:rsidRDefault="00000000" w:rsidP="00406CAF">
            <w:pPr>
              <w:pStyle w:val="ti-art"/>
              <w:numPr>
                <w:ilvl w:val="0"/>
                <w:numId w:val="1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garantarea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faptului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beneficiarii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finanțări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recunosc</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originea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fondurilor</w:t>
            </w:r>
            <w:proofErr w:type="spellEnd"/>
            <w:r w:rsidRPr="00406CAF">
              <w:rPr>
                <w:rFonts w:eastAsia="Arial Unicode MS"/>
                <w:color w:val="000000" w:themeColor="text1"/>
                <w:sz w:val="20"/>
                <w:szCs w:val="20"/>
                <w:shd w:val="clear" w:color="auto" w:fill="FFFFFF"/>
                <w:lang w:val="en-US"/>
              </w:rPr>
              <w:t xml:space="preserve"> respective și </w:t>
            </w:r>
            <w:proofErr w:type="spellStart"/>
            <w:r w:rsidRPr="00406CAF">
              <w:rPr>
                <w:rFonts w:eastAsia="Arial Unicode MS"/>
                <w:color w:val="000000" w:themeColor="text1"/>
                <w:sz w:val="20"/>
                <w:szCs w:val="20"/>
                <w:shd w:val="clear" w:color="auto" w:fill="FFFFFF"/>
                <w:lang w:val="en-US"/>
              </w:rPr>
              <w:t>asigură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fondurilor</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partea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Uniunii</w:t>
            </w:r>
            <w:proofErr w:type="spellEnd"/>
            <w:r w:rsidRPr="00406CAF">
              <w:rPr>
                <w:rFonts w:eastAsia="Arial Unicode MS"/>
                <w:color w:val="000000" w:themeColor="text1"/>
                <w:sz w:val="20"/>
                <w:szCs w:val="20"/>
                <w:shd w:val="clear" w:color="auto" w:fill="FFFFFF"/>
                <w:lang w:val="en-US"/>
              </w:rPr>
              <w:t xml:space="preserve">, în special cu </w:t>
            </w:r>
            <w:proofErr w:type="spellStart"/>
            <w:r w:rsidRPr="00406CAF">
              <w:rPr>
                <w:rFonts w:eastAsia="Arial Unicode MS"/>
                <w:color w:val="000000" w:themeColor="text1"/>
                <w:sz w:val="20"/>
                <w:szCs w:val="20"/>
                <w:shd w:val="clear" w:color="auto" w:fill="FFFFFF"/>
                <w:lang w:val="en-US"/>
              </w:rPr>
              <w:t>ocazia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promovării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proiectelor</w:t>
            </w:r>
            <w:proofErr w:type="spellEnd"/>
            <w:r w:rsidRPr="00406CAF">
              <w:rPr>
                <w:rFonts w:eastAsia="Arial Unicode MS"/>
                <w:color w:val="000000" w:themeColor="text1"/>
                <w:sz w:val="20"/>
                <w:szCs w:val="20"/>
                <w:shd w:val="clear" w:color="auto" w:fill="FFFFFF"/>
                <w:lang w:val="en-US"/>
              </w:rPr>
              <w:t xml:space="preserve"> și a </w:t>
            </w:r>
            <w:proofErr w:type="spellStart"/>
            <w:r w:rsidRPr="00406CAF">
              <w:rPr>
                <w:rFonts w:eastAsia="Arial Unicode MS"/>
                <w:color w:val="000000" w:themeColor="text1"/>
                <w:sz w:val="20"/>
                <w:szCs w:val="20"/>
                <w:shd w:val="clear" w:color="auto" w:fill="FFFFFF"/>
                <w:lang w:val="en-US"/>
              </w:rPr>
              <w:t>rezultatelor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acestora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prin</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oferirea</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informații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specifice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coerente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efective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proporționale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categorii</w:t>
            </w:r>
            <w:proofErr w:type="spellEnd"/>
            <w:r w:rsidRPr="00406CAF">
              <w:rPr>
                <w:rFonts w:eastAsia="Arial Unicode MS"/>
                <w:color w:val="000000" w:themeColor="text1"/>
                <w:sz w:val="20"/>
                <w:szCs w:val="20"/>
                <w:shd w:val="clear" w:color="auto" w:fill="FFFFFF"/>
                <w:lang w:val="en-US"/>
              </w:rPr>
              <w:t xml:space="preserve"> de public diverse, care </w:t>
            </w:r>
            <w:proofErr w:type="spellStart"/>
            <w:r w:rsidRPr="00406CAF">
              <w:rPr>
                <w:rFonts w:eastAsia="Arial Unicode MS"/>
                <w:color w:val="000000" w:themeColor="text1"/>
                <w:sz w:val="20"/>
                <w:szCs w:val="20"/>
                <w:shd w:val="clear" w:color="auto" w:fill="FFFFFF"/>
                <w:lang w:val="en-US"/>
              </w:rPr>
              <w:t>includ</w:t>
            </w:r>
            <w:proofErr w:type="spellEnd"/>
            <w:r w:rsidRPr="00406CAF">
              <w:rPr>
                <w:rFonts w:eastAsia="Arial Unicode MS"/>
                <w:color w:val="000000" w:themeColor="text1"/>
                <w:sz w:val="20"/>
                <w:szCs w:val="20"/>
                <w:shd w:val="clear" w:color="auto" w:fill="FFFFFF"/>
                <w:lang w:val="en-US"/>
              </w:rPr>
              <w:t xml:space="preserve"> mass-media și </w:t>
            </w:r>
            <w:proofErr w:type="spellStart"/>
            <w:r w:rsidRPr="00406CAF">
              <w:rPr>
                <w:rFonts w:eastAsia="Arial Unicode MS"/>
                <w:color w:val="000000" w:themeColor="text1"/>
                <w:sz w:val="20"/>
                <w:szCs w:val="20"/>
                <w:shd w:val="clear" w:color="auto" w:fill="FFFFFF"/>
                <w:lang w:val="en-US"/>
              </w:rPr>
              <w:t>publicul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larg</w:t>
            </w:r>
            <w:proofErr w:type="spellEnd"/>
            <w:r w:rsidRPr="00406CAF">
              <w:rPr>
                <w:rFonts w:eastAsia="Arial Unicode MS"/>
                <w:color w:val="000000" w:themeColor="text1"/>
                <w:sz w:val="20"/>
                <w:szCs w:val="20"/>
                <w:shd w:val="clear" w:color="auto" w:fill="FFFFFF"/>
                <w:lang w:val="en-US"/>
              </w:rPr>
              <w:t>; și</w:t>
            </w:r>
          </w:p>
          <w:p w14:paraId="29478CE2" w14:textId="77777777" w:rsidR="00124364" w:rsidRPr="00406CAF" w:rsidRDefault="00000000" w:rsidP="00406CAF">
            <w:pPr>
              <w:pStyle w:val="ti-art"/>
              <w:numPr>
                <w:ilvl w:val="0"/>
                <w:numId w:val="15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garantarea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faptului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beneficiarii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astfel</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finanțări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utilizează</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etichetă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adecvată</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mențiunea</w:t>
            </w:r>
            <w:proofErr w:type="spellEnd"/>
            <w:r w:rsidRPr="00406CAF">
              <w:rPr>
                <w:rFonts w:eastAsia="Arial Unicode MS"/>
                <w:color w:val="000000" w:themeColor="text1"/>
                <w:sz w:val="20"/>
                <w:szCs w:val="20"/>
                <w:shd w:val="clear" w:color="auto" w:fill="FFFFFF"/>
                <w:lang w:val="en-US"/>
              </w:rPr>
              <w:t xml:space="preserve"> „(co-)</w:t>
            </w:r>
            <w:proofErr w:type="spellStart"/>
            <w:r w:rsidRPr="00406CAF">
              <w:rPr>
                <w:rFonts w:eastAsia="Arial Unicode MS"/>
                <w:color w:val="000000" w:themeColor="text1"/>
                <w:sz w:val="20"/>
                <w:szCs w:val="20"/>
                <w:shd w:val="clear" w:color="auto" w:fill="FFFFFF"/>
                <w:lang w:val="en-US"/>
              </w:rPr>
              <w:t>finanțat</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prin</w:t>
            </w:r>
            <w:proofErr w:type="spellEnd"/>
            <w:r w:rsidRPr="00406CAF">
              <w:rPr>
                <w:rFonts w:eastAsia="Arial Unicode MS"/>
                <w:color w:val="000000" w:themeColor="text1"/>
                <w:sz w:val="20"/>
                <w:szCs w:val="20"/>
                <w:shd w:val="clear" w:color="auto" w:fill="FFFFFF"/>
                <w:lang w:val="en-US"/>
              </w:rPr>
              <w:t xml:space="preserve"> schema UE de </w:t>
            </w:r>
            <w:proofErr w:type="spellStart"/>
            <w:r w:rsidRPr="00406CAF">
              <w:rPr>
                <w:rFonts w:eastAsia="Arial Unicode MS"/>
                <w:color w:val="000000" w:themeColor="text1"/>
                <w:sz w:val="20"/>
                <w:szCs w:val="20"/>
                <w:shd w:val="clear" w:color="auto" w:fill="FFFFFF"/>
                <w:lang w:val="en-US"/>
              </w:rPr>
              <w:t>comercializare</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certificatelor</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emisii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Fondul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inovare</w:t>
            </w:r>
            <w:proofErr w:type="spellEnd"/>
            <w:r w:rsidRPr="00406CAF">
              <w:rPr>
                <w:rFonts w:eastAsia="Arial Unicode MS"/>
                <w:color w:val="000000" w:themeColor="text1"/>
                <w:sz w:val="20"/>
                <w:szCs w:val="20"/>
                <w:shd w:val="clear" w:color="auto" w:fill="FFFFFF"/>
                <w:lang w:val="en-US"/>
              </w:rPr>
              <w:t xml:space="preserve">)”, precum și </w:t>
            </w:r>
            <w:proofErr w:type="spellStart"/>
            <w:r w:rsidRPr="00406CAF">
              <w:rPr>
                <w:rFonts w:eastAsia="Arial Unicode MS"/>
                <w:color w:val="000000" w:themeColor="text1"/>
                <w:sz w:val="20"/>
                <w:szCs w:val="20"/>
                <w:shd w:val="clear" w:color="auto" w:fill="FFFFFF"/>
                <w:lang w:val="en-US"/>
              </w:rPr>
              <w:t>emblema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Uniunii</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cuantumul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finanțării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atunci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când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utilizarea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etichete</w:t>
            </w:r>
            <w:proofErr w:type="spellEnd"/>
            <w:r w:rsidRPr="00406CAF">
              <w:rPr>
                <w:rFonts w:eastAsia="Arial Unicode MS"/>
                <w:color w:val="000000" w:themeColor="text1"/>
                <w:sz w:val="20"/>
                <w:szCs w:val="20"/>
                <w:shd w:val="clear" w:color="auto" w:fill="FFFFFF"/>
                <w:lang w:val="en-US"/>
              </w:rPr>
              <w:t xml:space="preserve"> nu </w:t>
            </w:r>
            <w:proofErr w:type="spellStart"/>
            <w:r w:rsidRPr="00406CAF">
              <w:rPr>
                <w:rFonts w:eastAsia="Arial Unicode MS"/>
                <w:color w:val="000000" w:themeColor="text1"/>
                <w:sz w:val="20"/>
                <w:szCs w:val="20"/>
                <w:shd w:val="clear" w:color="auto" w:fill="FFFFFF"/>
                <w:lang w:val="en-US"/>
              </w:rPr>
              <w:t>este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posibilă</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menționează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Fondul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inovare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toate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acțiunile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comunicare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pe </w:t>
            </w:r>
            <w:proofErr w:type="spellStart"/>
            <w:r w:rsidRPr="00406CAF">
              <w:rPr>
                <w:rFonts w:eastAsia="Arial Unicode MS"/>
                <w:color w:val="000000" w:themeColor="text1"/>
                <w:sz w:val="20"/>
                <w:szCs w:val="20"/>
                <w:shd w:val="clear" w:color="auto" w:fill="FFFFFF"/>
                <w:lang w:val="en-US"/>
              </w:rPr>
              <w:lastRenderedPageBreak/>
              <w:t>panourile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informare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locuri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strategice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publicului</w:t>
            </w:r>
            <w:proofErr w:type="spellEnd"/>
            <w:r w:rsidRPr="00406CAF">
              <w:rPr>
                <w:rFonts w:eastAsia="Arial Unicode MS"/>
                <w:color w:val="000000" w:themeColor="text1"/>
                <w:sz w:val="20"/>
                <w:szCs w:val="20"/>
                <w:shd w:val="clear" w:color="auto" w:fill="FFFFFF"/>
                <w:lang w:val="en-US"/>
              </w:rPr>
              <w:t>.</w:t>
            </w:r>
          </w:p>
          <w:p w14:paraId="38F47393" w14:textId="7448D482" w:rsidR="00124364" w:rsidRPr="00406CAF" w:rsidRDefault="00000000" w:rsidP="00406CA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În </w:t>
            </w:r>
            <w:proofErr w:type="spellStart"/>
            <w:r w:rsidRPr="00406CAF">
              <w:rPr>
                <w:rFonts w:eastAsia="Arial Unicode MS"/>
                <w:color w:val="000000" w:themeColor="text1"/>
                <w:sz w:val="20"/>
                <w:szCs w:val="20"/>
                <w:shd w:val="clear" w:color="auto" w:fill="FFFFFF"/>
                <w:lang w:val="en-US"/>
              </w:rPr>
              <w:t>actul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delegat</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menționat</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10a </w:t>
            </w:r>
            <w:proofErr w:type="spellStart"/>
            <w:r w:rsidRPr="00406CAF">
              <w:rPr>
                <w:rFonts w:eastAsia="Arial Unicode MS"/>
                <w:color w:val="000000" w:themeColor="text1"/>
                <w:sz w:val="20"/>
                <w:szCs w:val="20"/>
                <w:shd w:val="clear" w:color="auto" w:fill="FFFFFF"/>
                <w:lang w:val="en-US"/>
              </w:rPr>
              <w:t>alineatul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(8),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stabilește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cerințele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necesare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gramStart"/>
            <w:r w:rsidRPr="00406CAF">
              <w:rPr>
                <w:rFonts w:eastAsia="Arial Unicode MS"/>
                <w:color w:val="000000" w:themeColor="text1"/>
                <w:sz w:val="20"/>
                <w:szCs w:val="20"/>
                <w:shd w:val="clear" w:color="auto" w:fill="FFFFFF"/>
                <w:lang w:val="en-US"/>
              </w:rPr>
              <w:t>a</w:t>
            </w:r>
            <w:proofErr w:type="gram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asigura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finanțării</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Fondul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inovare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obligație</w:t>
            </w:r>
            <w:proofErr w:type="spellEnd"/>
            <w:r w:rsidRPr="00406CAF">
              <w:rPr>
                <w:rFonts w:eastAsia="Arial Unicode MS"/>
                <w:color w:val="000000" w:themeColor="text1"/>
                <w:sz w:val="20"/>
                <w:szCs w:val="20"/>
                <w:shd w:val="clear" w:color="auto" w:fill="FFFFFF"/>
                <w:lang w:val="en-US"/>
              </w:rPr>
              <w:t xml:space="preserve"> de a </w:t>
            </w:r>
            <w:proofErr w:type="spellStart"/>
            <w:r w:rsidRPr="00406CAF">
              <w:rPr>
                <w:rFonts w:eastAsia="Arial Unicode MS"/>
                <w:color w:val="000000" w:themeColor="text1"/>
                <w:sz w:val="20"/>
                <w:szCs w:val="20"/>
                <w:shd w:val="clear" w:color="auto" w:fill="FFFFFF"/>
                <w:lang w:val="en-US"/>
              </w:rPr>
              <w:t>menționa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respectivul</w:t>
            </w:r>
            <w:proofErr w:type="spellEnd"/>
            <w:r w:rsidRPr="00406CAF">
              <w:rPr>
                <w:rFonts w:eastAsia="Arial Unicode MS"/>
                <w:color w:val="000000" w:themeColor="text1"/>
                <w:sz w:val="20"/>
                <w:szCs w:val="20"/>
                <w:shd w:val="clear" w:color="auto" w:fill="FFFFFF"/>
                <w:lang w:val="en-US"/>
              </w:rPr>
              <w:t xml:space="preserve"> fond.</w:t>
            </w:r>
          </w:p>
          <w:p w14:paraId="15028E18" w14:textId="1F5EE0A0" w:rsidR="00124364" w:rsidRPr="00406CAF" w:rsidRDefault="00000000" w:rsidP="00406CAF">
            <w:pPr>
              <w:pStyle w:val="ti-art"/>
              <w:numPr>
                <w:ilvl w:val="0"/>
                <w:numId w:val="15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asigură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finanțării</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veniturile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obținute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licitarea</w:t>
            </w:r>
            <w:proofErr w:type="spellEnd"/>
            <w:r w:rsidRPr="00406CAF">
              <w:rPr>
                <w:rFonts w:eastAsia="Arial Unicode MS"/>
                <w:color w:val="000000" w:themeColor="text1"/>
                <w:sz w:val="20"/>
                <w:szCs w:val="20"/>
                <w:shd w:val="clear" w:color="auto" w:fill="FFFFFF"/>
                <w:lang w:val="en-US"/>
              </w:rPr>
              <w:t xml:space="preserve"> EU</w:t>
            </w:r>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ETS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10d, </w:t>
            </w:r>
            <w:proofErr w:type="spellStart"/>
            <w:r w:rsidRPr="00406CAF">
              <w:rPr>
                <w:rFonts w:eastAsia="Arial Unicode MS"/>
                <w:color w:val="000000" w:themeColor="text1"/>
                <w:sz w:val="20"/>
                <w:szCs w:val="20"/>
                <w:shd w:val="clear" w:color="auto" w:fill="FFFFFF"/>
                <w:lang w:val="en-US"/>
              </w:rPr>
              <w:t>corespunzătoare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alineatul</w:t>
            </w:r>
            <w:proofErr w:type="spellEnd"/>
            <w:r w:rsidRPr="00406CAF">
              <w:rPr>
                <w:rFonts w:eastAsia="Arial Unicode MS"/>
                <w:color w:val="000000" w:themeColor="text1"/>
                <w:sz w:val="20"/>
                <w:szCs w:val="20"/>
                <w:shd w:val="clear" w:color="auto" w:fill="FFFFFF"/>
                <w:lang w:val="en-US"/>
              </w:rPr>
              <w:t xml:space="preserve"> (1) </w:t>
            </w:r>
            <w:proofErr w:type="spellStart"/>
            <w:r w:rsidRPr="00406CAF">
              <w:rPr>
                <w:rFonts w:eastAsia="Arial Unicode MS"/>
                <w:color w:val="000000" w:themeColor="text1"/>
                <w:sz w:val="20"/>
                <w:szCs w:val="20"/>
                <w:shd w:val="clear" w:color="auto" w:fill="FFFFFF"/>
                <w:lang w:val="en-US"/>
              </w:rPr>
              <w:t>primul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paragraf</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literele</w:t>
            </w:r>
            <w:proofErr w:type="spellEnd"/>
            <w:r w:rsidRPr="00406CAF">
              <w:rPr>
                <w:rFonts w:eastAsia="Arial Unicode MS"/>
                <w:color w:val="000000" w:themeColor="text1"/>
                <w:sz w:val="20"/>
                <w:szCs w:val="20"/>
                <w:shd w:val="clear" w:color="auto" w:fill="FFFFFF"/>
                <w:lang w:val="en-US"/>
              </w:rPr>
              <w:t xml:space="preserve"> (a) și (b) de la </w:t>
            </w:r>
            <w:proofErr w:type="spellStart"/>
            <w:r w:rsidRPr="00406CAF">
              <w:rPr>
                <w:rFonts w:eastAsia="Arial Unicode MS"/>
                <w:color w:val="000000" w:themeColor="text1"/>
                <w:sz w:val="20"/>
                <w:szCs w:val="20"/>
                <w:shd w:val="clear" w:color="auto" w:fill="FFFFFF"/>
                <w:lang w:val="en-US"/>
              </w:rPr>
              <w:t>prezentul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articol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printr</w:t>
            </w:r>
            <w:proofErr w:type="spellEnd"/>
            <w:r w:rsidRPr="00406CAF">
              <w:rPr>
                <w:rFonts w:eastAsia="Arial Unicode MS"/>
                <w:color w:val="000000" w:themeColor="text1"/>
                <w:sz w:val="20"/>
                <w:szCs w:val="20"/>
                <w:shd w:val="clear" w:color="auto" w:fill="FFFFFF"/>
                <w:lang w:val="en-US"/>
              </w:rPr>
              <w:t xml:space="preserve">-o </w:t>
            </w:r>
            <w:proofErr w:type="spellStart"/>
            <w:r w:rsidRPr="00406CAF">
              <w:rPr>
                <w:rFonts w:eastAsia="Arial Unicode MS"/>
                <w:color w:val="000000" w:themeColor="text1"/>
                <w:sz w:val="20"/>
                <w:szCs w:val="20"/>
                <w:shd w:val="clear" w:color="auto" w:fill="FFFFFF"/>
                <w:lang w:val="en-US"/>
              </w:rPr>
              <w:t>obligație</w:t>
            </w:r>
            <w:proofErr w:type="spellEnd"/>
            <w:r w:rsidRPr="00406CAF">
              <w:rPr>
                <w:rFonts w:eastAsia="Arial Unicode MS"/>
                <w:color w:val="000000" w:themeColor="text1"/>
                <w:sz w:val="20"/>
                <w:szCs w:val="20"/>
                <w:shd w:val="clear" w:color="auto" w:fill="FFFFFF"/>
                <w:lang w:val="en-US"/>
              </w:rPr>
              <w:t xml:space="preserve"> de a </w:t>
            </w:r>
            <w:proofErr w:type="spellStart"/>
            <w:r w:rsidRPr="00406CAF">
              <w:rPr>
                <w:rFonts w:eastAsia="Arial Unicode MS"/>
                <w:color w:val="000000" w:themeColor="text1"/>
                <w:sz w:val="20"/>
                <w:szCs w:val="20"/>
                <w:shd w:val="clear" w:color="auto" w:fill="FFFFFF"/>
                <w:lang w:val="en-US"/>
              </w:rPr>
              <w:t>menționa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Fondului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modernizare</w:t>
            </w:r>
            <w:proofErr w:type="spellEnd"/>
            <w:r w:rsidRPr="00406CAF">
              <w:rPr>
                <w:rFonts w:eastAsia="Arial Unicode MS"/>
                <w:color w:val="000000" w:themeColor="text1"/>
                <w:sz w:val="20"/>
                <w:szCs w:val="20"/>
                <w:shd w:val="clear" w:color="auto" w:fill="FFFFFF"/>
                <w:lang w:val="en-US"/>
              </w:rPr>
              <w:t>.</w:t>
            </w:r>
          </w:p>
          <w:p w14:paraId="1E11F155" w14:textId="572F7ADE" w:rsidR="00124364" w:rsidRPr="00406CAF" w:rsidRDefault="00000000" w:rsidP="00406CAF">
            <w:pPr>
              <w:pStyle w:val="ti-art"/>
              <w:numPr>
                <w:ilvl w:val="0"/>
                <w:numId w:val="15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Ținând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seama</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circumstanțele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naționale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depun</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eforturi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gramStart"/>
            <w:r w:rsidRPr="00406CAF">
              <w:rPr>
                <w:rFonts w:eastAsia="Arial Unicode MS"/>
                <w:color w:val="000000" w:themeColor="text1"/>
                <w:sz w:val="20"/>
                <w:szCs w:val="20"/>
                <w:shd w:val="clear" w:color="auto" w:fill="FFFFFF"/>
                <w:lang w:val="en-US"/>
              </w:rPr>
              <w:t>a</w:t>
            </w:r>
            <w:proofErr w:type="gram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asigura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vizibilitatea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sursei</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finanțare</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acțiunilor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proiectelor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finanțate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veniturile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obținute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licitarea</w:t>
            </w:r>
            <w:proofErr w:type="spellEnd"/>
            <w:r w:rsidRPr="00406CAF">
              <w:rPr>
                <w:rFonts w:eastAsia="Arial Unicode MS"/>
                <w:color w:val="000000" w:themeColor="text1"/>
                <w:sz w:val="20"/>
                <w:szCs w:val="20"/>
                <w:shd w:val="clear" w:color="auto" w:fill="FFFFFF"/>
                <w:lang w:val="en-US"/>
              </w:rPr>
              <w:t xml:space="preserve"> EU ETS a </w:t>
            </w:r>
            <w:proofErr w:type="spellStart"/>
            <w:r w:rsidRPr="00406CAF">
              <w:rPr>
                <w:rFonts w:eastAsia="Arial Unicode MS"/>
                <w:color w:val="000000" w:themeColor="text1"/>
                <w:sz w:val="20"/>
                <w:szCs w:val="20"/>
                <w:shd w:val="clear" w:color="auto" w:fill="FFFFFF"/>
                <w:lang w:val="en-US"/>
              </w:rPr>
              <w:t>căror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utilizare</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stabilesc</w:t>
            </w:r>
            <w:proofErr w:type="spellEnd"/>
            <w:r w:rsidRPr="00406CAF">
              <w:rPr>
                <w:rFonts w:eastAsia="Arial Unicode MS"/>
                <w:color w:val="000000" w:themeColor="text1"/>
                <w:sz w:val="20"/>
                <w:szCs w:val="20"/>
                <w:shd w:val="clear" w:color="auto" w:fill="FFFFFF"/>
                <w:lang w:val="en-US"/>
              </w:rPr>
              <w:t xml:space="preserve"> în conformitate cu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3d </w:t>
            </w:r>
            <w:proofErr w:type="spellStart"/>
            <w:r w:rsidRPr="00406CAF">
              <w:rPr>
                <w:rFonts w:eastAsia="Arial Unicode MS"/>
                <w:color w:val="000000" w:themeColor="text1"/>
                <w:sz w:val="20"/>
                <w:szCs w:val="20"/>
                <w:shd w:val="clear" w:color="auto" w:fill="FFFFFF"/>
                <w:lang w:val="en-US"/>
              </w:rPr>
              <w:t>alineatul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(4),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10 </w:t>
            </w:r>
            <w:proofErr w:type="spellStart"/>
            <w:r w:rsidRPr="00406CAF">
              <w:rPr>
                <w:rFonts w:eastAsia="Arial Unicode MS"/>
                <w:color w:val="000000" w:themeColor="text1"/>
                <w:sz w:val="20"/>
                <w:szCs w:val="20"/>
                <w:shd w:val="clear" w:color="auto" w:fill="FFFFFF"/>
                <w:lang w:val="en-US"/>
              </w:rPr>
              <w:t>alineatul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(3) și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30d </w:t>
            </w:r>
            <w:proofErr w:type="spellStart"/>
            <w:r w:rsidRPr="00406CAF">
              <w:rPr>
                <w:rFonts w:eastAsia="Arial Unicode MS"/>
                <w:color w:val="000000" w:themeColor="text1"/>
                <w:sz w:val="20"/>
                <w:szCs w:val="20"/>
                <w:shd w:val="clear" w:color="auto" w:fill="FFFFFF"/>
                <w:lang w:val="en-US"/>
              </w:rPr>
              <w:t>alineatul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(6).</w:t>
            </w:r>
          </w:p>
          <w:p w14:paraId="31640FB7"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49" w:tooltip="32008L0101: INSERTED" w:history="1">
              <w:r>
                <w:rPr>
                  <w:rStyle w:val="af3"/>
                  <w:rFonts w:eastAsia="Arial Unicode MS"/>
                  <w:b/>
                  <w:bCs/>
                  <w:color w:val="4472C4" w:themeColor="accent1"/>
                  <w:sz w:val="20"/>
                  <w:szCs w:val="20"/>
                </w:rPr>
                <w:t>▼M2</w:t>
              </w:r>
            </w:hyperlink>
          </w:p>
        </w:tc>
        <w:tc>
          <w:tcPr>
            <w:tcW w:w="4394" w:type="dxa"/>
            <w:shd w:val="clear" w:color="auto" w:fill="auto"/>
          </w:tcPr>
          <w:p w14:paraId="66BB9E0B"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91A080F" w14:textId="6AD0159A" w:rsidR="00124364" w:rsidRDefault="00F92414" w:rsidP="00F92414">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66B3E06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DB45E55" w14:textId="315742C0" w:rsidR="00124364" w:rsidRDefault="0042693F">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w:t>
            </w:r>
            <w:r>
              <w:rPr>
                <w:rFonts w:ascii="Times New Roman" w:hAnsi="Times New Roman"/>
                <w:sz w:val="20"/>
                <w:szCs w:val="20"/>
                <w:lang w:val="ro-RO"/>
              </w:rPr>
              <w:t xml:space="preserve"> </w:t>
            </w:r>
            <w:r>
              <w:rPr>
                <w:rFonts w:ascii="Times New Roman" w:hAnsi="Times New Roman"/>
                <w:sz w:val="20"/>
                <w:szCs w:val="20"/>
                <w:lang w:val="ro-RO"/>
              </w:rPr>
              <w:t xml:space="preserve">raportului între Comisia și </w:t>
            </w:r>
            <w:r>
              <w:rPr>
                <w:rFonts w:ascii="Times New Roman" w:hAnsi="Times New Roman"/>
                <w:sz w:val="20"/>
                <w:szCs w:val="20"/>
                <w:lang w:val="ro-RO"/>
              </w:rPr>
              <w:t>statel</w:t>
            </w:r>
            <w:r>
              <w:rPr>
                <w:rFonts w:ascii="Times New Roman" w:hAnsi="Times New Roman"/>
                <w:sz w:val="20"/>
                <w:szCs w:val="20"/>
                <w:lang w:val="ro-RO"/>
              </w:rPr>
              <w:t>e</w:t>
            </w:r>
            <w:r>
              <w:rPr>
                <w:rFonts w:ascii="Times New Roman" w:hAnsi="Times New Roman"/>
                <w:sz w:val="20"/>
                <w:szCs w:val="20"/>
                <w:lang w:val="ro-RO"/>
              </w:rPr>
              <w:t xml:space="preserve"> membre</w:t>
            </w:r>
            <w:r w:rsidRPr="00C951E7">
              <w:rPr>
                <w:rFonts w:ascii="Times New Roman" w:hAnsi="Times New Roman"/>
                <w:sz w:val="20"/>
                <w:szCs w:val="20"/>
                <w:lang w:val="ro-RO"/>
              </w:rPr>
              <w:t>.</w:t>
            </w:r>
          </w:p>
        </w:tc>
        <w:tc>
          <w:tcPr>
            <w:tcW w:w="1464" w:type="dxa"/>
            <w:shd w:val="clear" w:color="auto" w:fill="auto"/>
          </w:tcPr>
          <w:p w14:paraId="58D38908" w14:textId="77777777" w:rsidR="00124364" w:rsidRDefault="00124364" w:rsidP="00F92414">
            <w:pPr>
              <w:autoSpaceDE w:val="0"/>
              <w:spacing w:after="0" w:line="240" w:lineRule="auto"/>
              <w:rPr>
                <w:rFonts w:ascii="Times New Roman" w:hAnsi="Times New Roman"/>
                <w:sz w:val="20"/>
                <w:szCs w:val="20"/>
                <w:lang w:val="fr-FR"/>
              </w:rPr>
            </w:pPr>
          </w:p>
        </w:tc>
      </w:tr>
      <w:tr w:rsidR="00124364" w14:paraId="03C2EC46" w14:textId="77777777">
        <w:trPr>
          <w:trHeight w:val="558"/>
        </w:trPr>
        <w:tc>
          <w:tcPr>
            <w:tcW w:w="4957" w:type="dxa"/>
            <w:shd w:val="clear" w:color="auto" w:fill="auto"/>
          </w:tcPr>
          <w:p w14:paraId="25E2C296" w14:textId="77777777" w:rsidR="00124364" w:rsidRPr="00406CAF"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lang w:val="en-US"/>
              </w:rPr>
              <w:t>CAPITOLUL V</w:t>
            </w:r>
          </w:p>
          <w:p w14:paraId="074FC4AB"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406CAF">
              <w:rPr>
                <w:rFonts w:eastAsia="Arial Unicode MS"/>
                <w:b/>
                <w:bCs/>
                <w:color w:val="000000" w:themeColor="text1"/>
                <w:sz w:val="20"/>
                <w:szCs w:val="20"/>
                <w:shd w:val="clear" w:color="auto" w:fill="FFFFFF"/>
                <w:lang w:val="en-US"/>
              </w:rPr>
              <w:t>DISPOZIȚII FINALE</w:t>
            </w:r>
          </w:p>
          <w:p w14:paraId="1A38953D"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50" w:tooltip="32003L0087" w:history="1">
              <w:r w:rsidRPr="00E34C2B">
                <w:rPr>
                  <w:rStyle w:val="af3"/>
                  <w:rFonts w:eastAsia="Arial Unicode MS"/>
                  <w:b/>
                  <w:bCs/>
                  <w:color w:val="4472C4" w:themeColor="accent1"/>
                  <w:sz w:val="20"/>
                  <w:szCs w:val="20"/>
                  <w:lang w:val="en-US"/>
                </w:rPr>
                <w:t>▼B</w:t>
              </w:r>
            </w:hyperlink>
          </w:p>
          <w:p w14:paraId="07C1F2B8" w14:textId="77777777" w:rsidR="00124364" w:rsidRPr="00406CAF" w:rsidRDefault="00000000" w:rsidP="00406CAF">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t>Articolul</w:t>
            </w:r>
            <w:proofErr w:type="spellEnd"/>
            <w:r w:rsidRPr="00406CAF">
              <w:rPr>
                <w:rFonts w:eastAsia="Arial Unicode MS"/>
                <w:i/>
                <w:iCs/>
                <w:color w:val="000000" w:themeColor="text1"/>
                <w:sz w:val="20"/>
                <w:szCs w:val="20"/>
                <w:shd w:val="clear" w:color="auto" w:fill="FFFFFF"/>
                <w:lang w:val="en-US"/>
              </w:rPr>
              <w:t xml:space="preserve"> 31</w:t>
            </w:r>
          </w:p>
          <w:p w14:paraId="3689411B" w14:textId="77777777" w:rsidR="00124364" w:rsidRPr="00406CAF" w:rsidRDefault="00000000" w:rsidP="00406CAF">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406CAF">
              <w:rPr>
                <w:rFonts w:eastAsia="Arial Unicode MS"/>
                <w:b/>
                <w:bCs/>
                <w:color w:val="000000" w:themeColor="text1"/>
                <w:sz w:val="20"/>
                <w:szCs w:val="20"/>
                <w:shd w:val="clear" w:color="auto" w:fill="FFFFFF"/>
              </w:rPr>
              <w:t>Punerea</w:t>
            </w:r>
            <w:proofErr w:type="spellEnd"/>
            <w:r w:rsidRPr="00406CAF">
              <w:rPr>
                <w:rFonts w:eastAsia="Arial Unicode MS"/>
                <w:b/>
                <w:bCs/>
                <w:color w:val="000000" w:themeColor="text1"/>
                <w:sz w:val="20"/>
                <w:szCs w:val="20"/>
                <w:shd w:val="clear" w:color="auto" w:fill="FFFFFF"/>
              </w:rPr>
              <w:t xml:space="preserve"> în </w:t>
            </w:r>
            <w:proofErr w:type="spellStart"/>
            <w:r w:rsidRPr="00406CAF">
              <w:rPr>
                <w:rFonts w:eastAsia="Arial Unicode MS"/>
                <w:b/>
                <w:bCs/>
                <w:color w:val="000000" w:themeColor="text1"/>
                <w:sz w:val="20"/>
                <w:szCs w:val="20"/>
                <w:shd w:val="clear" w:color="auto" w:fill="FFFFFF"/>
              </w:rPr>
              <w:t>aplicare</w:t>
            </w:r>
            <w:proofErr w:type="spellEnd"/>
          </w:p>
          <w:p w14:paraId="4A936E7E" w14:textId="77777777" w:rsidR="00124364" w:rsidRPr="00406CAF" w:rsidRDefault="00000000" w:rsidP="00406CAF">
            <w:pPr>
              <w:pStyle w:val="ti-art"/>
              <w:numPr>
                <w:ilvl w:val="0"/>
                <w:numId w:val="16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adoptă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actele</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lege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actele</w:t>
            </w:r>
            <w:proofErr w:type="spellEnd"/>
            <w:r w:rsidRPr="00406CAF">
              <w:rPr>
                <w:rFonts w:eastAsia="Arial Unicode MS"/>
                <w:color w:val="000000" w:themeColor="text1"/>
                <w:sz w:val="20"/>
                <w:szCs w:val="20"/>
                <w:shd w:val="clear" w:color="auto" w:fill="FFFFFF"/>
                <w:lang w:val="en-US"/>
              </w:rPr>
              <w:t xml:space="preserve"> administrative </w:t>
            </w:r>
            <w:proofErr w:type="spellStart"/>
            <w:r w:rsidRPr="00406CAF">
              <w:rPr>
                <w:rFonts w:eastAsia="Arial Unicode MS"/>
                <w:color w:val="000000" w:themeColor="text1"/>
                <w:sz w:val="20"/>
                <w:szCs w:val="20"/>
                <w:shd w:val="clear" w:color="auto" w:fill="FFFFFF"/>
                <w:lang w:val="en-US"/>
              </w:rPr>
              <w:t>necesare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a se </w:t>
            </w:r>
            <w:proofErr w:type="spellStart"/>
            <w:r w:rsidRPr="00406CAF">
              <w:rPr>
                <w:rFonts w:eastAsia="Arial Unicode MS"/>
                <w:color w:val="000000" w:themeColor="text1"/>
                <w:sz w:val="20"/>
                <w:szCs w:val="20"/>
                <w:shd w:val="clear" w:color="auto" w:fill="FFFFFF"/>
                <w:lang w:val="en-US"/>
              </w:rPr>
              <w:t>conforma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prezentei</w:t>
            </w:r>
            <w:proofErr w:type="spellEnd"/>
            <w:r w:rsidRPr="00406CAF">
              <w:rPr>
                <w:rFonts w:eastAsia="Arial Unicode MS"/>
                <w:color w:val="000000" w:themeColor="text1"/>
                <w:sz w:val="20"/>
                <w:szCs w:val="20"/>
                <w:shd w:val="clear" w:color="auto" w:fill="FFFFFF"/>
                <w:lang w:val="en-US"/>
              </w:rPr>
              <w:t xml:space="preserve"> directive </w:t>
            </w:r>
            <w:proofErr w:type="spellStart"/>
            <w:r w:rsidRPr="00406CAF">
              <w:rPr>
                <w:rFonts w:eastAsia="Arial Unicode MS"/>
                <w:color w:val="000000" w:themeColor="text1"/>
                <w:sz w:val="20"/>
                <w:szCs w:val="20"/>
                <w:shd w:val="clear" w:color="auto" w:fill="FFFFFF"/>
                <w:lang w:val="en-US"/>
              </w:rPr>
              <w:t>până</w:t>
            </w:r>
            <w:proofErr w:type="spellEnd"/>
            <w:r w:rsidRPr="00406CAF">
              <w:rPr>
                <w:rFonts w:eastAsia="Arial Unicode MS"/>
                <w:color w:val="000000" w:themeColor="text1"/>
                <w:sz w:val="20"/>
                <w:szCs w:val="20"/>
                <w:shd w:val="clear" w:color="auto" w:fill="FFFFFF"/>
                <w:lang w:val="en-US"/>
              </w:rPr>
              <w:t xml:space="preserve"> la 31 </w:t>
            </w:r>
            <w:proofErr w:type="spellStart"/>
            <w:r w:rsidRPr="00406CAF">
              <w:rPr>
                <w:rFonts w:eastAsia="Arial Unicode MS"/>
                <w:color w:val="000000" w:themeColor="text1"/>
                <w:sz w:val="20"/>
                <w:szCs w:val="20"/>
                <w:shd w:val="clear" w:color="auto" w:fill="FFFFFF"/>
                <w:lang w:val="en-US"/>
              </w:rPr>
              <w:t>decembrie</w:t>
            </w:r>
            <w:proofErr w:type="spellEnd"/>
            <w:r w:rsidRPr="00406CAF">
              <w:rPr>
                <w:rFonts w:eastAsia="Arial Unicode MS"/>
                <w:color w:val="000000" w:themeColor="text1"/>
                <w:sz w:val="20"/>
                <w:szCs w:val="20"/>
                <w:shd w:val="clear" w:color="auto" w:fill="FFFFFF"/>
                <w:lang w:val="en-US"/>
              </w:rPr>
              <w:t xml:space="preserve"> 2003. </w:t>
            </w: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informează</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îndată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privire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aceasta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Comisia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notifică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celelalte</w:t>
            </w:r>
            <w:proofErr w:type="spellEnd"/>
            <w:r w:rsidRPr="00406CAF">
              <w:rPr>
                <w:rFonts w:eastAsia="Arial Unicode MS"/>
                <w:color w:val="000000" w:themeColor="text1"/>
                <w:sz w:val="20"/>
                <w:szCs w:val="20"/>
                <w:shd w:val="clear" w:color="auto" w:fill="FFFFFF"/>
                <w:lang w:val="en-US"/>
              </w:rPr>
              <w:t xml:space="preserve"> state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privire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aceste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acte</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lege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acte</w:t>
            </w:r>
            <w:proofErr w:type="spellEnd"/>
            <w:r w:rsidRPr="00406CAF">
              <w:rPr>
                <w:rFonts w:eastAsia="Arial Unicode MS"/>
                <w:color w:val="000000" w:themeColor="text1"/>
                <w:sz w:val="20"/>
                <w:szCs w:val="20"/>
                <w:shd w:val="clear" w:color="auto" w:fill="FFFFFF"/>
                <w:lang w:val="en-US"/>
              </w:rPr>
              <w:t xml:space="preserve"> administrative.</w:t>
            </w:r>
          </w:p>
          <w:p w14:paraId="1502AEC5" w14:textId="77777777" w:rsidR="00124364" w:rsidRPr="00406CAF" w:rsidRDefault="00000000" w:rsidP="00406CAF">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Atunci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când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adoptă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cuprind</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trimitere</w:t>
            </w:r>
            <w:proofErr w:type="spellEnd"/>
            <w:r w:rsidRPr="00406CAF">
              <w:rPr>
                <w:rFonts w:eastAsia="Arial Unicode MS"/>
                <w:color w:val="000000" w:themeColor="text1"/>
                <w:sz w:val="20"/>
                <w:szCs w:val="20"/>
                <w:shd w:val="clear" w:color="auto" w:fill="FFFFFF"/>
                <w:lang w:val="en-US"/>
              </w:rPr>
              <w:t xml:space="preserve"> la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sunt </w:t>
            </w:r>
            <w:proofErr w:type="spellStart"/>
            <w:r w:rsidRPr="00406CAF">
              <w:rPr>
                <w:rFonts w:eastAsia="Arial Unicode MS"/>
                <w:color w:val="000000" w:themeColor="text1"/>
                <w:sz w:val="20"/>
                <w:szCs w:val="20"/>
                <w:shd w:val="clear" w:color="auto" w:fill="FFFFFF"/>
                <w:lang w:val="en-US"/>
              </w:rPr>
              <w:t>însoțite</w:t>
            </w:r>
            <w:proofErr w:type="spellEnd"/>
            <w:r w:rsidRPr="00406CAF">
              <w:rPr>
                <w:rFonts w:eastAsia="Arial Unicode MS"/>
                <w:color w:val="000000" w:themeColor="text1"/>
                <w:sz w:val="20"/>
                <w:szCs w:val="20"/>
                <w:shd w:val="clear" w:color="auto" w:fill="FFFFFF"/>
                <w:lang w:val="en-US"/>
              </w:rPr>
              <w:t xml:space="preserve"> de o </w:t>
            </w:r>
            <w:proofErr w:type="spellStart"/>
            <w:r w:rsidRPr="00406CAF">
              <w:rPr>
                <w:rFonts w:eastAsia="Arial Unicode MS"/>
                <w:color w:val="000000" w:themeColor="text1"/>
                <w:sz w:val="20"/>
                <w:szCs w:val="20"/>
                <w:shd w:val="clear" w:color="auto" w:fill="FFFFFF"/>
                <w:lang w:val="en-US"/>
              </w:rPr>
              <w:t>asemenea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trimitere</w:t>
            </w:r>
            <w:proofErr w:type="spellEnd"/>
            <w:r w:rsidRPr="00406CAF">
              <w:rPr>
                <w:rFonts w:eastAsia="Arial Unicode MS"/>
                <w:color w:val="000000" w:themeColor="text1"/>
                <w:sz w:val="20"/>
                <w:szCs w:val="20"/>
                <w:shd w:val="clear" w:color="auto" w:fill="FFFFFF"/>
                <w:lang w:val="en-US"/>
              </w:rPr>
              <w:t xml:space="preserve"> la data </w:t>
            </w:r>
            <w:proofErr w:type="spellStart"/>
            <w:r w:rsidRPr="00406CAF">
              <w:rPr>
                <w:rFonts w:eastAsia="Arial Unicode MS"/>
                <w:color w:val="000000" w:themeColor="text1"/>
                <w:sz w:val="20"/>
                <w:szCs w:val="20"/>
                <w:shd w:val="clear" w:color="auto" w:fill="FFFFFF"/>
                <w:lang w:val="en-US"/>
              </w:rPr>
              <w:t>publicării</w:t>
            </w:r>
            <w:proofErr w:type="spellEnd"/>
            <w:r w:rsidRPr="00406CAF">
              <w:rPr>
                <w:rFonts w:eastAsia="Arial Unicode MS"/>
                <w:color w:val="000000" w:themeColor="text1"/>
                <w:sz w:val="20"/>
                <w:szCs w:val="20"/>
                <w:shd w:val="clear" w:color="auto" w:fill="FFFFFF"/>
                <w:lang w:val="en-US"/>
              </w:rPr>
              <w:t xml:space="preserve"> lor </w:t>
            </w:r>
            <w:proofErr w:type="spellStart"/>
            <w:r w:rsidRPr="00406CAF">
              <w:rPr>
                <w:rFonts w:eastAsia="Arial Unicode MS"/>
                <w:color w:val="000000" w:themeColor="text1"/>
                <w:sz w:val="20"/>
                <w:szCs w:val="20"/>
                <w:shd w:val="clear" w:color="auto" w:fill="FFFFFF"/>
                <w:lang w:val="en-US"/>
              </w:rPr>
              <w:t>oficiale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rPr>
              <w:t>Statele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membre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stabilesc</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modalitatea</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de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efectuare</w:t>
            </w:r>
            <w:proofErr w:type="spellEnd"/>
            <w:r w:rsidRPr="00406CAF">
              <w:rPr>
                <w:rFonts w:eastAsia="Arial Unicode MS"/>
                <w:color w:val="000000" w:themeColor="text1"/>
                <w:sz w:val="20"/>
                <w:szCs w:val="20"/>
                <w:shd w:val="clear" w:color="auto" w:fill="FFFFFF"/>
              </w:rPr>
              <w:t xml:space="preserve"> a </w:t>
            </w:r>
            <w:proofErr w:type="spellStart"/>
            <w:r w:rsidRPr="00406CAF">
              <w:rPr>
                <w:rFonts w:eastAsia="Arial Unicode MS"/>
                <w:color w:val="000000" w:themeColor="text1"/>
                <w:sz w:val="20"/>
                <w:szCs w:val="20"/>
                <w:shd w:val="clear" w:color="auto" w:fill="FFFFFF"/>
              </w:rPr>
              <w:t>acestei</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trimiteri</w:t>
            </w:r>
            <w:proofErr w:type="spellEnd"/>
            <w:r w:rsidRPr="00406CAF">
              <w:rPr>
                <w:rFonts w:eastAsia="Arial Unicode MS"/>
                <w:color w:val="000000" w:themeColor="text1"/>
                <w:sz w:val="20"/>
                <w:szCs w:val="20"/>
                <w:shd w:val="clear" w:color="auto" w:fill="FFFFFF"/>
              </w:rPr>
              <w:t>.</w:t>
            </w:r>
          </w:p>
          <w:p w14:paraId="22F76AA0" w14:textId="77777777" w:rsidR="00124364" w:rsidRDefault="00000000" w:rsidP="00406CAF">
            <w:pPr>
              <w:pStyle w:val="ti-art"/>
              <w:numPr>
                <w:ilvl w:val="0"/>
                <w:numId w:val="160"/>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Comisiei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îi</w:t>
            </w:r>
            <w:proofErr w:type="spellEnd"/>
            <w:r w:rsidRPr="00406CAF">
              <w:rPr>
                <w:rFonts w:eastAsia="Arial Unicode MS"/>
                <w:color w:val="000000" w:themeColor="text1"/>
                <w:sz w:val="20"/>
                <w:szCs w:val="20"/>
                <w:shd w:val="clear" w:color="auto" w:fill="FFFFFF"/>
                <w:lang w:val="en-US"/>
              </w:rPr>
              <w:t xml:space="preserve"> sunt </w:t>
            </w:r>
            <w:proofErr w:type="spellStart"/>
            <w:r w:rsidRPr="00406CAF">
              <w:rPr>
                <w:rFonts w:eastAsia="Arial Unicode MS"/>
                <w:color w:val="000000" w:themeColor="text1"/>
                <w:sz w:val="20"/>
                <w:szCs w:val="20"/>
                <w:shd w:val="clear" w:color="auto" w:fill="FFFFFF"/>
                <w:lang w:val="en-US"/>
              </w:rPr>
              <w:t>comunicate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către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textele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dispozițiilor</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drept</w:t>
            </w:r>
            <w:proofErr w:type="spellEnd"/>
            <w:r w:rsidRPr="00406CAF">
              <w:rPr>
                <w:rFonts w:eastAsia="Arial Unicode MS"/>
                <w:color w:val="000000" w:themeColor="text1"/>
                <w:sz w:val="20"/>
                <w:szCs w:val="20"/>
                <w:shd w:val="clear" w:color="auto" w:fill="FFFFFF"/>
                <w:lang w:val="en-US"/>
              </w:rPr>
              <w:t xml:space="preserve"> intern pe care le </w:t>
            </w:r>
            <w:proofErr w:type="spellStart"/>
            <w:r w:rsidRPr="00406CAF">
              <w:rPr>
                <w:rFonts w:eastAsia="Arial Unicode MS"/>
                <w:color w:val="000000" w:themeColor="text1"/>
                <w:sz w:val="20"/>
                <w:szCs w:val="20"/>
                <w:shd w:val="clear" w:color="auto" w:fill="FFFFFF"/>
                <w:lang w:val="en-US"/>
              </w:rPr>
              <w:t>adoptă</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domeniul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reglementat</w:t>
            </w:r>
            <w:proofErr w:type="spellEnd"/>
            <w:r w:rsidRPr="00406CAF">
              <w:rPr>
                <w:rFonts w:eastAsia="Arial Unicode MS"/>
                <w:color w:val="000000" w:themeColor="text1"/>
                <w:sz w:val="20"/>
                <w:szCs w:val="20"/>
                <w:shd w:val="clear" w:color="auto" w:fill="FFFFFF"/>
                <w:lang w:val="en-US"/>
              </w:rPr>
              <w:t xml:space="preserve"> de 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rPr>
              <w:t>Comisia</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informează</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celelalte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state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membre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cu</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privire</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la</w:t>
            </w:r>
            <w:proofErr w:type="spellEnd"/>
            <w:r w:rsidRPr="00406CAF">
              <w:rPr>
                <w:rFonts w:eastAsia="Arial Unicode MS"/>
                <w:color w:val="000000" w:themeColor="text1"/>
                <w:sz w:val="20"/>
                <w:szCs w:val="20"/>
                <w:shd w:val="clear" w:color="auto" w:fill="FFFFFF"/>
              </w:rPr>
              <w:t xml:space="preserve"> </w:t>
            </w:r>
            <w:proofErr w:type="spellStart"/>
            <w:r w:rsidRPr="00406CAF">
              <w:rPr>
                <w:rFonts w:eastAsia="Arial Unicode MS"/>
                <w:color w:val="000000" w:themeColor="text1"/>
                <w:sz w:val="20"/>
                <w:szCs w:val="20"/>
                <w:shd w:val="clear" w:color="auto" w:fill="FFFFFF"/>
              </w:rPr>
              <w:t>aceasta</w:t>
            </w:r>
            <w:proofErr w:type="spellEnd"/>
            <w:r w:rsidRPr="00406CAF">
              <w:rPr>
                <w:rFonts w:eastAsia="Arial Unicode MS"/>
                <w:color w:val="000000" w:themeColor="text1"/>
                <w:sz w:val="20"/>
                <w:szCs w:val="20"/>
                <w:shd w:val="clear" w:color="auto" w:fill="FFFFFF"/>
              </w:rPr>
              <w:t>.</w:t>
            </w:r>
          </w:p>
        </w:tc>
        <w:tc>
          <w:tcPr>
            <w:tcW w:w="4394" w:type="dxa"/>
            <w:shd w:val="clear" w:color="auto" w:fill="auto"/>
          </w:tcPr>
          <w:p w14:paraId="08C2324D"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B3D82DB" w14:textId="1C00C177" w:rsidR="00124364" w:rsidRDefault="00F92414" w:rsidP="00F92414">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21D1C0E9"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6E26AB6" w14:textId="13EC7084" w:rsidR="00124364" w:rsidRDefault="00F92414">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0F63D3D9" w14:textId="77777777" w:rsidR="00124364" w:rsidRDefault="00124364" w:rsidP="00F92414">
            <w:pPr>
              <w:autoSpaceDE w:val="0"/>
              <w:spacing w:after="0" w:line="240" w:lineRule="auto"/>
              <w:rPr>
                <w:rFonts w:ascii="Times New Roman" w:hAnsi="Times New Roman"/>
                <w:sz w:val="20"/>
                <w:szCs w:val="20"/>
                <w:lang w:val="fr-FR"/>
              </w:rPr>
            </w:pPr>
          </w:p>
        </w:tc>
      </w:tr>
      <w:tr w:rsidR="00124364" w14:paraId="53EC3AA8" w14:textId="77777777">
        <w:trPr>
          <w:trHeight w:val="558"/>
        </w:trPr>
        <w:tc>
          <w:tcPr>
            <w:tcW w:w="4957" w:type="dxa"/>
            <w:shd w:val="clear" w:color="auto" w:fill="auto"/>
          </w:tcPr>
          <w:p w14:paraId="67EEF4FF" w14:textId="77777777"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406CAF">
              <w:rPr>
                <w:rFonts w:eastAsia="Arial Unicode MS"/>
                <w:i/>
                <w:iCs/>
                <w:color w:val="000000" w:themeColor="text1"/>
                <w:sz w:val="20"/>
                <w:szCs w:val="20"/>
                <w:shd w:val="clear" w:color="auto" w:fill="FFFFFF"/>
              </w:rPr>
              <w:t>Articolul</w:t>
            </w:r>
            <w:proofErr w:type="spellEnd"/>
            <w:r w:rsidRPr="00406CAF">
              <w:rPr>
                <w:rFonts w:eastAsia="Arial Unicode MS"/>
                <w:i/>
                <w:iCs/>
                <w:color w:val="000000" w:themeColor="text1"/>
                <w:sz w:val="20"/>
                <w:szCs w:val="20"/>
                <w:shd w:val="clear" w:color="auto" w:fill="FFFFFF"/>
              </w:rPr>
              <w:t xml:space="preserve"> 32</w:t>
            </w:r>
          </w:p>
          <w:p w14:paraId="5539C3FC"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406CAF">
              <w:rPr>
                <w:rFonts w:eastAsia="Arial Unicode MS"/>
                <w:b/>
                <w:bCs/>
                <w:color w:val="000000" w:themeColor="text1"/>
                <w:sz w:val="20"/>
                <w:szCs w:val="20"/>
                <w:shd w:val="clear" w:color="auto" w:fill="FFFFFF"/>
              </w:rPr>
              <w:t>Intrarea</w:t>
            </w:r>
            <w:proofErr w:type="spellEnd"/>
            <w:r w:rsidRPr="00406CAF">
              <w:rPr>
                <w:rFonts w:eastAsia="Arial Unicode MS"/>
                <w:b/>
                <w:bCs/>
                <w:color w:val="000000" w:themeColor="text1"/>
                <w:sz w:val="20"/>
                <w:szCs w:val="20"/>
                <w:shd w:val="clear" w:color="auto" w:fill="FFFFFF"/>
              </w:rPr>
              <w:t xml:space="preserve"> în </w:t>
            </w:r>
            <w:proofErr w:type="spellStart"/>
            <w:r w:rsidRPr="00406CAF">
              <w:rPr>
                <w:rFonts w:eastAsia="Arial Unicode MS"/>
                <w:b/>
                <w:bCs/>
                <w:color w:val="000000" w:themeColor="text1"/>
                <w:sz w:val="20"/>
                <w:szCs w:val="20"/>
                <w:shd w:val="clear" w:color="auto" w:fill="FFFFFF"/>
              </w:rPr>
              <w:t>vigoare</w:t>
            </w:r>
            <w:proofErr w:type="spellEnd"/>
          </w:p>
          <w:p w14:paraId="24208339" w14:textId="020B4831"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intră</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vigoare</w:t>
            </w:r>
            <w:proofErr w:type="spellEnd"/>
            <w:r w:rsidRPr="00406CAF">
              <w:rPr>
                <w:rFonts w:eastAsia="Arial Unicode MS"/>
                <w:color w:val="000000" w:themeColor="text1"/>
                <w:sz w:val="20"/>
                <w:szCs w:val="20"/>
                <w:shd w:val="clear" w:color="auto" w:fill="FFFFFF"/>
                <w:lang w:val="en-US"/>
              </w:rPr>
              <w:t xml:space="preserve"> la data </w:t>
            </w:r>
            <w:proofErr w:type="spellStart"/>
            <w:r w:rsidRPr="00406CAF">
              <w:rPr>
                <w:rFonts w:eastAsia="Arial Unicode MS"/>
                <w:color w:val="000000" w:themeColor="text1"/>
                <w:sz w:val="20"/>
                <w:szCs w:val="20"/>
                <w:shd w:val="clear" w:color="auto" w:fill="FFFFFF"/>
                <w:lang w:val="en-US"/>
              </w:rPr>
              <w:t>publicării</w:t>
            </w:r>
            <w:proofErr w:type="spellEnd"/>
            <w:r w:rsidRPr="00406CAF">
              <w:rPr>
                <w:rFonts w:eastAsia="Arial Unicode MS"/>
                <w:color w:val="000000" w:themeColor="text1"/>
                <w:sz w:val="20"/>
                <w:szCs w:val="20"/>
                <w:shd w:val="clear" w:color="auto" w:fill="FFFFFF"/>
                <w:lang w:val="en-US"/>
              </w:rPr>
              <w:t xml:space="preserve"> în</w:t>
            </w:r>
            <w:r w:rsidR="00F92414">
              <w:rPr>
                <w:rStyle w:val="apple-converted-space"/>
                <w:rFonts w:eastAsia="Arial Unicode MS"/>
                <w:color w:val="000000" w:themeColor="text1"/>
                <w:sz w:val="20"/>
                <w:szCs w:val="20"/>
                <w:shd w:val="clear" w:color="auto" w:fill="FFFFFF"/>
                <w:lang w:val="en-US"/>
              </w:rPr>
              <w:t xml:space="preserve"> </w:t>
            </w:r>
            <w:proofErr w:type="spellStart"/>
            <w:r w:rsidRPr="00406CAF">
              <w:rPr>
                <w:rStyle w:val="italics"/>
                <w:rFonts w:eastAsia="Arial Unicode MS"/>
                <w:i/>
                <w:iCs/>
                <w:color w:val="000000" w:themeColor="text1"/>
                <w:sz w:val="20"/>
                <w:szCs w:val="20"/>
                <w:lang w:val="en-US"/>
              </w:rPr>
              <w:t>Jurnalul</w:t>
            </w:r>
            <w:proofErr w:type="spellEnd"/>
            <w:r w:rsidRPr="00406CAF">
              <w:rPr>
                <w:rStyle w:val="italics"/>
                <w:rFonts w:eastAsia="Arial Unicode MS"/>
                <w:i/>
                <w:iCs/>
                <w:color w:val="000000" w:themeColor="text1"/>
                <w:sz w:val="20"/>
                <w:szCs w:val="20"/>
                <w:lang w:val="en-US"/>
              </w:rPr>
              <w:t xml:space="preserve"> </w:t>
            </w:r>
            <w:proofErr w:type="spellStart"/>
            <w:r w:rsidRPr="00406CAF">
              <w:rPr>
                <w:rStyle w:val="italics"/>
                <w:rFonts w:eastAsia="Arial Unicode MS"/>
                <w:i/>
                <w:iCs/>
                <w:color w:val="000000" w:themeColor="text1"/>
                <w:sz w:val="20"/>
                <w:szCs w:val="20"/>
                <w:lang w:val="en-US"/>
              </w:rPr>
              <w:t>Oficial</w:t>
            </w:r>
            <w:proofErr w:type="spellEnd"/>
            <w:r w:rsidRPr="00406CAF">
              <w:rPr>
                <w:rStyle w:val="italics"/>
                <w:rFonts w:eastAsia="Arial Unicode MS"/>
                <w:i/>
                <w:iCs/>
                <w:color w:val="000000" w:themeColor="text1"/>
                <w:sz w:val="20"/>
                <w:szCs w:val="20"/>
                <w:lang w:val="en-US"/>
              </w:rPr>
              <w:t xml:space="preserve"> al </w:t>
            </w:r>
            <w:proofErr w:type="spellStart"/>
            <w:r w:rsidRPr="00406CAF">
              <w:rPr>
                <w:rStyle w:val="italics"/>
                <w:rFonts w:eastAsia="Arial Unicode MS"/>
                <w:i/>
                <w:iCs/>
                <w:color w:val="000000" w:themeColor="text1"/>
                <w:sz w:val="20"/>
                <w:szCs w:val="20"/>
                <w:lang w:val="en-US"/>
              </w:rPr>
              <w:t>Uniunii</w:t>
            </w:r>
            <w:proofErr w:type="spellEnd"/>
            <w:r w:rsidRPr="00406CAF">
              <w:rPr>
                <w:rStyle w:val="italics"/>
                <w:rFonts w:eastAsia="Arial Unicode MS"/>
                <w:i/>
                <w:iCs/>
                <w:color w:val="000000" w:themeColor="text1"/>
                <w:sz w:val="20"/>
                <w:szCs w:val="20"/>
                <w:lang w:val="en-US"/>
              </w:rPr>
              <w:t xml:space="preserve"> </w:t>
            </w:r>
            <w:proofErr w:type="spellStart"/>
            <w:r w:rsidRPr="00406CAF">
              <w:rPr>
                <w:rStyle w:val="italics"/>
                <w:rFonts w:eastAsia="Arial Unicode MS"/>
                <w:i/>
                <w:iCs/>
                <w:color w:val="000000" w:themeColor="text1"/>
                <w:sz w:val="20"/>
                <w:szCs w:val="20"/>
                <w:lang w:val="en-US"/>
              </w:rPr>
              <w:t>Europene</w:t>
            </w:r>
            <w:proofErr w:type="spellEnd"/>
            <w:r w:rsidRPr="00406CAF">
              <w:rPr>
                <w:rFonts w:eastAsia="Arial Unicode MS"/>
                <w:color w:val="000000" w:themeColor="text1"/>
                <w:sz w:val="20"/>
                <w:szCs w:val="20"/>
                <w:shd w:val="clear" w:color="auto" w:fill="FFFFFF"/>
                <w:lang w:val="en-US"/>
              </w:rPr>
              <w:t>.</w:t>
            </w:r>
          </w:p>
        </w:tc>
        <w:tc>
          <w:tcPr>
            <w:tcW w:w="4394" w:type="dxa"/>
            <w:shd w:val="clear" w:color="auto" w:fill="auto"/>
          </w:tcPr>
          <w:p w14:paraId="0E56F20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45BE1AF" w14:textId="5C10D55F" w:rsidR="00124364" w:rsidRDefault="00F92414" w:rsidP="00F92414">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53EDBB9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2422821" w14:textId="1076060C" w:rsidR="00124364" w:rsidRDefault="00F92414">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6F24054D" w14:textId="77777777" w:rsidR="00124364" w:rsidRDefault="00124364" w:rsidP="00F92414">
            <w:pPr>
              <w:autoSpaceDE w:val="0"/>
              <w:spacing w:after="0" w:line="240" w:lineRule="auto"/>
              <w:rPr>
                <w:rFonts w:ascii="Times New Roman" w:hAnsi="Times New Roman"/>
                <w:sz w:val="20"/>
                <w:szCs w:val="20"/>
                <w:lang w:val="fr-FR"/>
              </w:rPr>
            </w:pPr>
          </w:p>
        </w:tc>
      </w:tr>
      <w:tr w:rsidR="00124364" w14:paraId="400B8B9A" w14:textId="77777777">
        <w:trPr>
          <w:trHeight w:val="558"/>
        </w:trPr>
        <w:tc>
          <w:tcPr>
            <w:tcW w:w="4957" w:type="dxa"/>
            <w:shd w:val="clear" w:color="auto" w:fill="auto"/>
          </w:tcPr>
          <w:p w14:paraId="28931739" w14:textId="77777777"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406CAF">
              <w:rPr>
                <w:rFonts w:eastAsia="Arial Unicode MS"/>
                <w:i/>
                <w:iCs/>
                <w:color w:val="000000" w:themeColor="text1"/>
                <w:sz w:val="20"/>
                <w:szCs w:val="20"/>
                <w:shd w:val="clear" w:color="auto" w:fill="FFFFFF"/>
                <w:lang w:val="en-US"/>
              </w:rPr>
              <w:lastRenderedPageBreak/>
              <w:t>Articolul</w:t>
            </w:r>
            <w:proofErr w:type="spellEnd"/>
            <w:r w:rsidRPr="00406CAF">
              <w:rPr>
                <w:rFonts w:eastAsia="Arial Unicode MS"/>
                <w:i/>
                <w:iCs/>
                <w:color w:val="000000" w:themeColor="text1"/>
                <w:sz w:val="20"/>
                <w:szCs w:val="20"/>
                <w:shd w:val="clear" w:color="auto" w:fill="FFFFFF"/>
                <w:lang w:val="en-US"/>
              </w:rPr>
              <w:t xml:space="preserve"> 33</w:t>
            </w:r>
          </w:p>
          <w:p w14:paraId="2DEEB788"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406CAF">
              <w:rPr>
                <w:rFonts w:eastAsia="Arial Unicode MS"/>
                <w:b/>
                <w:bCs/>
                <w:color w:val="000000" w:themeColor="text1"/>
                <w:sz w:val="20"/>
                <w:szCs w:val="20"/>
                <w:shd w:val="clear" w:color="auto" w:fill="FFFFFF"/>
                <w:lang w:val="en-US"/>
              </w:rPr>
              <w:t>Destinatari</w:t>
            </w:r>
            <w:proofErr w:type="spellEnd"/>
          </w:p>
          <w:p w14:paraId="3A039D5F" w14:textId="77777777" w:rsidR="00124364" w:rsidRPr="00406CAF"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Prezenta </w:t>
            </w:r>
            <w:proofErr w:type="spellStart"/>
            <w:r w:rsidRPr="00406CAF">
              <w:rPr>
                <w:rFonts w:eastAsia="Arial Unicode MS"/>
                <w:color w:val="000000" w:themeColor="text1"/>
                <w:sz w:val="20"/>
                <w:szCs w:val="20"/>
                <w:shd w:val="clear" w:color="auto" w:fill="FFFFFF"/>
                <w:lang w:val="en-US"/>
              </w:rPr>
              <w:t>directivă</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adresează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statelor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membre</w:t>
            </w:r>
            <w:proofErr w:type="spellEnd"/>
            <w:r w:rsidRPr="00406CAF">
              <w:rPr>
                <w:rFonts w:eastAsia="Arial Unicode MS"/>
                <w:color w:val="000000" w:themeColor="text1"/>
                <w:sz w:val="20"/>
                <w:szCs w:val="20"/>
                <w:shd w:val="clear" w:color="auto" w:fill="FFFFFF"/>
                <w:lang w:val="en-US"/>
              </w:rPr>
              <w:t>.</w:t>
            </w:r>
          </w:p>
          <w:p w14:paraId="37B90B7F"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51" w:tooltip="32009L0029: REPLACED" w:history="1">
              <w:r>
                <w:rPr>
                  <w:rStyle w:val="af3"/>
                  <w:rFonts w:eastAsia="Arial Unicode MS"/>
                  <w:b/>
                  <w:bCs/>
                  <w:color w:val="4472C4" w:themeColor="accent1"/>
                  <w:sz w:val="20"/>
                  <w:szCs w:val="20"/>
                </w:rPr>
                <w:t>▼M4</w:t>
              </w:r>
            </w:hyperlink>
          </w:p>
        </w:tc>
        <w:tc>
          <w:tcPr>
            <w:tcW w:w="4394" w:type="dxa"/>
            <w:shd w:val="clear" w:color="auto" w:fill="auto"/>
          </w:tcPr>
          <w:p w14:paraId="50FAD3A3"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27822A0" w14:textId="1B0AAB78" w:rsidR="00124364" w:rsidRDefault="00F92414" w:rsidP="00F92414">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45D52C64"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E14D11F" w14:textId="7D68E6C1" w:rsidR="00124364" w:rsidRDefault="00F92414">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7092852A" w14:textId="77777777" w:rsidR="00124364" w:rsidRDefault="00124364" w:rsidP="00F92414">
            <w:pPr>
              <w:autoSpaceDE w:val="0"/>
              <w:spacing w:after="0" w:line="240" w:lineRule="auto"/>
              <w:rPr>
                <w:rFonts w:ascii="Times New Roman" w:hAnsi="Times New Roman"/>
                <w:sz w:val="20"/>
                <w:szCs w:val="20"/>
                <w:lang w:val="fr-FR"/>
              </w:rPr>
            </w:pPr>
          </w:p>
        </w:tc>
      </w:tr>
      <w:tr w:rsidR="00124364" w14:paraId="25991047" w14:textId="77777777">
        <w:trPr>
          <w:trHeight w:val="558"/>
        </w:trPr>
        <w:tc>
          <w:tcPr>
            <w:tcW w:w="4957" w:type="dxa"/>
            <w:shd w:val="clear" w:color="auto" w:fill="auto"/>
          </w:tcPr>
          <w:p w14:paraId="15F769A4" w14:textId="77777777" w:rsidR="00124364" w:rsidRPr="00406CAF"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406CAF">
              <w:rPr>
                <w:rFonts w:eastAsia="Arial Unicode MS"/>
                <w:i/>
                <w:iCs/>
                <w:color w:val="000000" w:themeColor="text1"/>
                <w:sz w:val="20"/>
                <w:szCs w:val="20"/>
                <w:shd w:val="clear" w:color="auto" w:fill="FFFFFF"/>
                <w:lang w:val="en-US"/>
              </w:rPr>
              <w:t>ANEXA I</w:t>
            </w:r>
          </w:p>
          <w:p w14:paraId="4F9C721F" w14:textId="77777777" w:rsidR="00124364" w:rsidRPr="00406CAF"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406CAF">
              <w:rPr>
                <w:rFonts w:eastAsia="Arial Unicode MS"/>
                <w:b/>
                <w:bCs/>
                <w:color w:val="000000" w:themeColor="text1"/>
                <w:sz w:val="20"/>
                <w:szCs w:val="20"/>
                <w:shd w:val="clear" w:color="auto" w:fill="FFFFFF"/>
                <w:lang w:val="en-US"/>
              </w:rPr>
              <w:t>CATEGORIILE DE ACTIVITĂȚI CĂRORA LI SE APLICĂ PREZENTA DIRECTIVĂ</w:t>
            </w:r>
          </w:p>
          <w:p w14:paraId="3FD2FC48" w14:textId="77777777" w:rsidR="00124364" w:rsidRDefault="00000000">
            <w:pPr>
              <w:pStyle w:val="ti-art"/>
              <w:shd w:val="clear" w:color="auto" w:fill="FFFFFF"/>
              <w:spacing w:before="0" w:beforeAutospacing="0" w:after="0" w:afterAutospacing="0"/>
              <w:rPr>
                <w:color w:val="4472C4" w:themeColor="accent1"/>
                <w:sz w:val="20"/>
                <w:szCs w:val="20"/>
              </w:rPr>
            </w:pPr>
            <w:hyperlink r:id="rId352" w:tooltip="32023L0959: REPLACED" w:history="1">
              <w:r>
                <w:rPr>
                  <w:rStyle w:val="af3"/>
                  <w:rFonts w:eastAsia="Arial Unicode MS"/>
                  <w:b/>
                  <w:bCs/>
                  <w:color w:val="4472C4" w:themeColor="accent1"/>
                  <w:sz w:val="20"/>
                  <w:szCs w:val="20"/>
                </w:rPr>
                <w:t>▼M15</w:t>
              </w:r>
            </w:hyperlink>
          </w:p>
          <w:p w14:paraId="1C253B03" w14:textId="7033A944" w:rsidR="00124364" w:rsidRPr="00406CAF" w:rsidRDefault="00000000" w:rsidP="00406CAF">
            <w:pPr>
              <w:pStyle w:val="ti-art"/>
              <w:numPr>
                <w:ilvl w:val="0"/>
                <w:numId w:val="1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Instalațiile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părțile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utilizate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cercetare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dezvoltare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testare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produse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procese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noi</w:t>
            </w:r>
            <w:proofErr w:type="spellEnd"/>
            <w:r w:rsidRPr="00406CAF">
              <w:rPr>
                <w:rFonts w:eastAsia="Arial Unicode MS"/>
                <w:color w:val="000000" w:themeColor="text1"/>
                <w:sz w:val="20"/>
                <w:szCs w:val="20"/>
                <w:shd w:val="clear" w:color="auto" w:fill="FFFFFF"/>
                <w:lang w:val="en-US"/>
              </w:rPr>
              <w:t xml:space="preserve"> nu </w:t>
            </w:r>
            <w:proofErr w:type="spellStart"/>
            <w:r w:rsidRPr="00406CAF">
              <w:rPr>
                <w:rFonts w:eastAsia="Arial Unicode MS"/>
                <w:color w:val="000000" w:themeColor="text1"/>
                <w:sz w:val="20"/>
                <w:szCs w:val="20"/>
                <w:shd w:val="clear" w:color="auto" w:fill="FFFFFF"/>
                <w:lang w:val="en-US"/>
              </w:rPr>
              <w:t>intră</w:t>
            </w:r>
            <w:proofErr w:type="spellEnd"/>
            <w:r w:rsidRPr="00406CAF">
              <w:rPr>
                <w:rFonts w:eastAsia="Arial Unicode MS"/>
                <w:color w:val="000000" w:themeColor="text1"/>
                <w:sz w:val="20"/>
                <w:szCs w:val="20"/>
                <w:shd w:val="clear" w:color="auto" w:fill="FFFFFF"/>
                <w:lang w:val="en-US"/>
              </w:rPr>
              <w:t xml:space="preserve"> sub </w:t>
            </w:r>
            <w:proofErr w:type="spellStart"/>
            <w:r w:rsidRPr="00406CAF">
              <w:rPr>
                <w:rFonts w:eastAsia="Arial Unicode MS"/>
                <w:color w:val="000000" w:themeColor="text1"/>
                <w:sz w:val="20"/>
                <w:szCs w:val="20"/>
                <w:shd w:val="clear" w:color="auto" w:fill="FFFFFF"/>
                <w:lang w:val="en-US"/>
              </w:rPr>
              <w:t>incidența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prezentei</w:t>
            </w:r>
            <w:proofErr w:type="spellEnd"/>
            <w:r w:rsidRPr="00406CAF">
              <w:rPr>
                <w:rFonts w:eastAsia="Arial Unicode MS"/>
                <w:color w:val="000000" w:themeColor="text1"/>
                <w:sz w:val="20"/>
                <w:szCs w:val="20"/>
                <w:shd w:val="clear" w:color="auto" w:fill="FFFFFF"/>
                <w:lang w:val="en-US"/>
              </w:rPr>
              <w:t xml:space="preserve"> directive. </w:t>
            </w:r>
            <w:proofErr w:type="spellStart"/>
            <w:r w:rsidRPr="00406CAF">
              <w:rPr>
                <w:rFonts w:eastAsia="Arial Unicode MS"/>
                <w:color w:val="000000" w:themeColor="text1"/>
                <w:sz w:val="20"/>
                <w:szCs w:val="20"/>
                <w:shd w:val="clear" w:color="auto" w:fill="FFFFFF"/>
                <w:lang w:val="en-US"/>
              </w:rPr>
              <w:t>Instalațiile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cazul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cărora</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timpul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perioadei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precedente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relevante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cinci</w:t>
            </w:r>
            <w:proofErr w:type="spellEnd"/>
            <w:r w:rsidRPr="00406CAF">
              <w:rPr>
                <w:rFonts w:eastAsia="Arial Unicode MS"/>
                <w:color w:val="000000" w:themeColor="text1"/>
                <w:sz w:val="20"/>
                <w:szCs w:val="20"/>
                <w:shd w:val="clear" w:color="auto" w:fill="FFFFFF"/>
                <w:lang w:val="en-US"/>
              </w:rPr>
              <w:t xml:space="preserve"> ani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articolul</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11 </w:t>
            </w:r>
            <w:proofErr w:type="spellStart"/>
            <w:r w:rsidRPr="00406CAF">
              <w:rPr>
                <w:rFonts w:eastAsia="Arial Unicode MS"/>
                <w:color w:val="000000" w:themeColor="text1"/>
                <w:sz w:val="20"/>
                <w:szCs w:val="20"/>
                <w:shd w:val="clear" w:color="auto" w:fill="FFFFFF"/>
                <w:lang w:val="en-US"/>
              </w:rPr>
              <w:t>alineatul</w:t>
            </w:r>
            <w:proofErr w:type="spellEnd"/>
            <w:r w:rsidRPr="00406CAF">
              <w:rPr>
                <w:rFonts w:eastAsia="Arial Unicode MS"/>
                <w:color w:val="000000" w:themeColor="text1"/>
                <w:sz w:val="20"/>
                <w:szCs w:val="20"/>
                <w:shd w:val="clear" w:color="auto" w:fill="FFFFFF"/>
                <w:lang w:val="en-US"/>
              </w:rPr>
              <w:t xml:space="preserve"> (1) al </w:t>
            </w:r>
            <w:proofErr w:type="spellStart"/>
            <w:r w:rsidRPr="00406CAF">
              <w:rPr>
                <w:rFonts w:eastAsia="Arial Unicode MS"/>
                <w:color w:val="000000" w:themeColor="text1"/>
                <w:sz w:val="20"/>
                <w:szCs w:val="20"/>
                <w:shd w:val="clear" w:color="auto" w:fill="FFFFFF"/>
                <w:lang w:val="en-US"/>
              </w:rPr>
              <w:t>doilea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paragraf</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emisiile</w:t>
            </w:r>
            <w:proofErr w:type="spellEnd"/>
            <w:r w:rsidRPr="00406CAF">
              <w:rPr>
                <w:rFonts w:eastAsia="Arial Unicode MS"/>
                <w:color w:val="000000" w:themeColor="text1"/>
                <w:sz w:val="20"/>
                <w:szCs w:val="20"/>
                <w:shd w:val="clear" w:color="auto" w:fill="FFFFFF"/>
                <w:lang w:val="en-US"/>
              </w:rPr>
              <w:t xml:space="preserve"> generate de </w:t>
            </w:r>
            <w:proofErr w:type="spellStart"/>
            <w:r w:rsidRPr="00406CAF">
              <w:rPr>
                <w:rFonts w:eastAsia="Arial Unicode MS"/>
                <w:color w:val="000000" w:themeColor="text1"/>
                <w:sz w:val="20"/>
                <w:szCs w:val="20"/>
                <w:shd w:val="clear" w:color="auto" w:fill="FFFFFF"/>
                <w:lang w:val="en-US"/>
              </w:rPr>
              <w:t>arderea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biomasei</w:t>
            </w:r>
            <w:proofErr w:type="spellEnd"/>
            <w:r w:rsidRPr="00406CAF">
              <w:rPr>
                <w:rFonts w:eastAsia="Arial Unicode MS"/>
                <w:color w:val="000000" w:themeColor="text1"/>
                <w:sz w:val="20"/>
                <w:szCs w:val="20"/>
                <w:shd w:val="clear" w:color="auto" w:fill="FFFFFF"/>
                <w:lang w:val="en-US"/>
              </w:rPr>
              <w:t xml:space="preserve"> care </w:t>
            </w:r>
            <w:proofErr w:type="spellStart"/>
            <w:r w:rsidRPr="00406CAF">
              <w:rPr>
                <w:rFonts w:eastAsia="Arial Unicode MS"/>
                <w:color w:val="000000" w:themeColor="text1"/>
                <w:sz w:val="20"/>
                <w:szCs w:val="20"/>
                <w:shd w:val="clear" w:color="auto" w:fill="FFFFFF"/>
                <w:lang w:val="en-US"/>
              </w:rPr>
              <w:t>respectă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criteriile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stabilite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temeiul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articolului</w:t>
            </w:r>
            <w:proofErr w:type="spellEnd"/>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14 </w:t>
            </w:r>
            <w:proofErr w:type="spellStart"/>
            <w:r w:rsidRPr="00406CAF">
              <w:rPr>
                <w:rFonts w:eastAsia="Arial Unicode MS"/>
                <w:color w:val="000000" w:themeColor="text1"/>
                <w:sz w:val="20"/>
                <w:szCs w:val="20"/>
                <w:shd w:val="clear" w:color="auto" w:fill="FFFFFF"/>
                <w:lang w:val="en-US"/>
              </w:rPr>
              <w:t>contribuie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medie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mai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mult</w:t>
            </w:r>
            <w:proofErr w:type="spellEnd"/>
            <w:r w:rsidRPr="00406CAF">
              <w:rPr>
                <w:rFonts w:eastAsia="Arial Unicode MS"/>
                <w:color w:val="000000" w:themeColor="text1"/>
                <w:sz w:val="20"/>
                <w:szCs w:val="20"/>
                <w:shd w:val="clear" w:color="auto" w:fill="FFFFFF"/>
                <w:lang w:val="en-US"/>
              </w:rPr>
              <w:t xml:space="preserve"> de 95</w:t>
            </w:r>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 din media </w:t>
            </w:r>
            <w:proofErr w:type="spellStart"/>
            <w:r w:rsidRPr="00406CAF">
              <w:rPr>
                <w:rFonts w:eastAsia="Arial Unicode MS"/>
                <w:color w:val="000000" w:themeColor="text1"/>
                <w:sz w:val="20"/>
                <w:szCs w:val="20"/>
                <w:shd w:val="clear" w:color="auto" w:fill="FFFFFF"/>
                <w:lang w:val="en-US"/>
              </w:rPr>
              <w:t>totală</w:t>
            </w:r>
            <w:proofErr w:type="spellEnd"/>
            <w:r w:rsidRPr="00406CAF">
              <w:rPr>
                <w:rFonts w:eastAsia="Arial Unicode MS"/>
                <w:color w:val="000000" w:themeColor="text1"/>
                <w:sz w:val="20"/>
                <w:szCs w:val="20"/>
                <w:shd w:val="clear" w:color="auto" w:fill="FFFFFF"/>
                <w:lang w:val="en-US"/>
              </w:rPr>
              <w:t xml:space="preserve"> </w:t>
            </w:r>
            <w:proofErr w:type="gramStart"/>
            <w:r w:rsidRPr="00406CAF">
              <w:rPr>
                <w:rFonts w:eastAsia="Arial Unicode MS"/>
                <w:color w:val="000000" w:themeColor="text1"/>
                <w:sz w:val="20"/>
                <w:szCs w:val="20"/>
                <w:shd w:val="clear" w:color="auto" w:fill="FFFFFF"/>
                <w:lang w:val="en-US"/>
              </w:rPr>
              <w:t>a</w:t>
            </w:r>
            <w:proofErr w:type="gram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emisiilor</w:t>
            </w:r>
            <w:proofErr w:type="spellEnd"/>
            <w:r w:rsidRPr="00406CAF">
              <w:rPr>
                <w:rFonts w:eastAsia="Arial Unicode MS"/>
                <w:color w:val="000000" w:themeColor="text1"/>
                <w:sz w:val="20"/>
                <w:szCs w:val="20"/>
                <w:shd w:val="clear" w:color="auto" w:fill="FFFFFF"/>
                <w:lang w:val="en-US"/>
              </w:rPr>
              <w:t xml:space="preserve"> de gaze cu </w:t>
            </w:r>
            <w:proofErr w:type="spellStart"/>
            <w:r w:rsidRPr="00406CAF">
              <w:rPr>
                <w:rFonts w:eastAsia="Arial Unicode MS"/>
                <w:color w:val="000000" w:themeColor="text1"/>
                <w:sz w:val="20"/>
                <w:szCs w:val="20"/>
                <w:shd w:val="clear" w:color="auto" w:fill="FFFFFF"/>
                <w:lang w:val="en-US"/>
              </w:rPr>
              <w:t>efect</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seră</w:t>
            </w:r>
            <w:proofErr w:type="spellEnd"/>
            <w:r w:rsidRPr="00406CAF">
              <w:rPr>
                <w:rFonts w:eastAsia="Arial Unicode MS"/>
                <w:color w:val="000000" w:themeColor="text1"/>
                <w:sz w:val="20"/>
                <w:szCs w:val="20"/>
                <w:shd w:val="clear" w:color="auto" w:fill="FFFFFF"/>
                <w:lang w:val="en-US"/>
              </w:rPr>
              <w:t xml:space="preserve"> nu </w:t>
            </w:r>
            <w:proofErr w:type="spellStart"/>
            <w:r w:rsidRPr="00406CAF">
              <w:rPr>
                <w:rFonts w:eastAsia="Arial Unicode MS"/>
                <w:color w:val="000000" w:themeColor="text1"/>
                <w:sz w:val="20"/>
                <w:szCs w:val="20"/>
                <w:shd w:val="clear" w:color="auto" w:fill="FFFFFF"/>
                <w:lang w:val="en-US"/>
              </w:rPr>
              <w:t>intră</w:t>
            </w:r>
            <w:proofErr w:type="spellEnd"/>
            <w:r w:rsidRPr="00406CAF">
              <w:rPr>
                <w:rFonts w:eastAsia="Arial Unicode MS"/>
                <w:color w:val="000000" w:themeColor="text1"/>
                <w:sz w:val="20"/>
                <w:szCs w:val="20"/>
                <w:shd w:val="clear" w:color="auto" w:fill="FFFFFF"/>
                <w:lang w:val="en-US"/>
              </w:rPr>
              <w:t xml:space="preserve"> sub </w:t>
            </w:r>
            <w:proofErr w:type="spellStart"/>
            <w:r w:rsidRPr="00406CAF">
              <w:rPr>
                <w:rFonts w:eastAsia="Arial Unicode MS"/>
                <w:color w:val="000000" w:themeColor="text1"/>
                <w:sz w:val="20"/>
                <w:szCs w:val="20"/>
                <w:shd w:val="clear" w:color="auto" w:fill="FFFFFF"/>
                <w:lang w:val="en-US"/>
              </w:rPr>
              <w:t>incidența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prezentei</w:t>
            </w:r>
            <w:proofErr w:type="spellEnd"/>
            <w:r w:rsidRPr="00406CAF">
              <w:rPr>
                <w:rFonts w:eastAsia="Arial Unicode MS"/>
                <w:color w:val="000000" w:themeColor="text1"/>
                <w:sz w:val="20"/>
                <w:szCs w:val="20"/>
                <w:shd w:val="clear" w:color="auto" w:fill="FFFFFF"/>
                <w:lang w:val="en-US"/>
              </w:rPr>
              <w:t xml:space="preserve"> directive.</w:t>
            </w:r>
          </w:p>
          <w:p w14:paraId="5B55A84C"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53" w:tooltip="32009L0029: REPLACED" w:history="1">
              <w:r>
                <w:rPr>
                  <w:rStyle w:val="af3"/>
                  <w:rFonts w:eastAsia="Arial Unicode MS"/>
                  <w:b/>
                  <w:bCs/>
                  <w:color w:val="4472C4" w:themeColor="accent1"/>
                  <w:sz w:val="20"/>
                  <w:szCs w:val="20"/>
                </w:rPr>
                <w:t>▼M4</w:t>
              </w:r>
            </w:hyperlink>
          </w:p>
          <w:p w14:paraId="00264D05" w14:textId="77777777" w:rsidR="00124364" w:rsidRPr="00406CAF" w:rsidRDefault="00000000" w:rsidP="00406CAF">
            <w:pPr>
              <w:pStyle w:val="ti-art"/>
              <w:numPr>
                <w:ilvl w:val="0"/>
                <w:numId w:val="1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Valorile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pragurilor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menționate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mai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jos</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referă</w:t>
            </w:r>
            <w:proofErr w:type="spellEnd"/>
            <w:r w:rsidRPr="00406CAF">
              <w:rPr>
                <w:rFonts w:eastAsia="Arial Unicode MS"/>
                <w:color w:val="000000" w:themeColor="text1"/>
                <w:sz w:val="20"/>
                <w:szCs w:val="20"/>
                <w:shd w:val="clear" w:color="auto" w:fill="FFFFFF"/>
                <w:lang w:val="en-US"/>
              </w:rPr>
              <w:t xml:space="preserve"> în general la </w:t>
            </w:r>
            <w:proofErr w:type="spellStart"/>
            <w:r w:rsidRPr="00406CAF">
              <w:rPr>
                <w:rFonts w:eastAsia="Arial Unicode MS"/>
                <w:color w:val="000000" w:themeColor="text1"/>
                <w:sz w:val="20"/>
                <w:szCs w:val="20"/>
                <w:shd w:val="clear" w:color="auto" w:fill="FFFFFF"/>
                <w:lang w:val="en-US"/>
              </w:rPr>
              <w:t>capacități</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producție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randamente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cazurile</w:t>
            </w:r>
            <w:proofErr w:type="spellEnd"/>
            <w:r w:rsidRPr="00406CAF">
              <w:rPr>
                <w:rFonts w:eastAsia="Arial Unicode MS"/>
                <w:color w:val="000000" w:themeColor="text1"/>
                <w:sz w:val="20"/>
                <w:szCs w:val="20"/>
                <w:shd w:val="clear" w:color="auto" w:fill="FFFFFF"/>
                <w:lang w:val="en-US"/>
              </w:rPr>
              <w:t xml:space="preserve"> în care în </w:t>
            </w:r>
            <w:proofErr w:type="spellStart"/>
            <w:r w:rsidRPr="00406CAF">
              <w:rPr>
                <w:rFonts w:eastAsia="Arial Unicode MS"/>
                <w:color w:val="000000" w:themeColor="text1"/>
                <w:sz w:val="20"/>
                <w:szCs w:val="20"/>
                <w:shd w:val="clear" w:color="auto" w:fill="FFFFFF"/>
                <w:lang w:val="en-US"/>
              </w:rPr>
              <w:t>cadrul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aceleiași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se efectuează </w:t>
            </w:r>
            <w:proofErr w:type="spellStart"/>
            <w:r w:rsidRPr="00406CAF">
              <w:rPr>
                <w:rFonts w:eastAsia="Arial Unicode MS"/>
                <w:color w:val="000000" w:themeColor="text1"/>
                <w:sz w:val="20"/>
                <w:szCs w:val="20"/>
                <w:shd w:val="clear" w:color="auto" w:fill="FFFFFF"/>
                <w:lang w:val="en-US"/>
              </w:rPr>
              <w:t>mai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multe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activități</w:t>
            </w:r>
            <w:proofErr w:type="spellEnd"/>
            <w:r w:rsidRPr="00406CAF">
              <w:rPr>
                <w:rFonts w:eastAsia="Arial Unicode MS"/>
                <w:color w:val="000000" w:themeColor="text1"/>
                <w:sz w:val="20"/>
                <w:szCs w:val="20"/>
                <w:shd w:val="clear" w:color="auto" w:fill="FFFFFF"/>
                <w:lang w:val="en-US"/>
              </w:rPr>
              <w:t xml:space="preserve"> care se </w:t>
            </w:r>
            <w:proofErr w:type="spellStart"/>
            <w:r w:rsidRPr="00406CAF">
              <w:rPr>
                <w:rFonts w:eastAsia="Arial Unicode MS"/>
                <w:color w:val="000000" w:themeColor="text1"/>
                <w:sz w:val="20"/>
                <w:szCs w:val="20"/>
                <w:shd w:val="clear" w:color="auto" w:fill="FFFFFF"/>
                <w:lang w:val="en-US"/>
              </w:rPr>
              <w:t>încadrează</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aceeași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categorie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capacitățile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activități</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însumează</w:t>
            </w:r>
            <w:proofErr w:type="spellEnd"/>
            <w:r w:rsidRPr="00406CAF">
              <w:rPr>
                <w:rFonts w:eastAsia="Arial Unicode MS"/>
                <w:color w:val="000000" w:themeColor="text1"/>
                <w:sz w:val="20"/>
                <w:szCs w:val="20"/>
                <w:shd w:val="clear" w:color="auto" w:fill="FFFFFF"/>
                <w:lang w:val="en-US"/>
              </w:rPr>
              <w:t>.</w:t>
            </w:r>
          </w:p>
          <w:p w14:paraId="58657163"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54" w:tooltip="32023L0959: REPLACED" w:history="1">
              <w:r>
                <w:rPr>
                  <w:rStyle w:val="af3"/>
                  <w:rFonts w:eastAsia="Arial Unicode MS"/>
                  <w:b/>
                  <w:bCs/>
                  <w:color w:val="4472C4" w:themeColor="accent1"/>
                  <w:sz w:val="20"/>
                  <w:szCs w:val="20"/>
                </w:rPr>
                <w:t>▼M15</w:t>
              </w:r>
            </w:hyperlink>
          </w:p>
          <w:p w14:paraId="46BBC220" w14:textId="59F10AB5" w:rsidR="00124364" w:rsidRPr="00406CAF" w:rsidRDefault="00000000" w:rsidP="00406CAF">
            <w:pPr>
              <w:pStyle w:val="ti-art"/>
              <w:numPr>
                <w:ilvl w:val="0"/>
                <w:numId w:val="1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La </w:t>
            </w:r>
            <w:proofErr w:type="spellStart"/>
            <w:r w:rsidRPr="00406CAF">
              <w:rPr>
                <w:rFonts w:eastAsia="Arial Unicode MS"/>
                <w:color w:val="000000" w:themeColor="text1"/>
                <w:sz w:val="20"/>
                <w:szCs w:val="20"/>
                <w:shd w:val="clear" w:color="auto" w:fill="FFFFFF"/>
                <w:lang w:val="en-US"/>
              </w:rPr>
              <w:t>calcularea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puterii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totale</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unei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a se decide cu </w:t>
            </w:r>
            <w:proofErr w:type="spellStart"/>
            <w:r w:rsidRPr="00406CAF">
              <w:rPr>
                <w:rFonts w:eastAsia="Arial Unicode MS"/>
                <w:color w:val="000000" w:themeColor="text1"/>
                <w:sz w:val="20"/>
                <w:szCs w:val="20"/>
                <w:shd w:val="clear" w:color="auto" w:fill="FFFFFF"/>
                <w:lang w:val="en-US"/>
              </w:rPr>
              <w:t>privire</w:t>
            </w:r>
            <w:proofErr w:type="spellEnd"/>
            <w:r w:rsidRPr="00406CAF">
              <w:rPr>
                <w:rFonts w:eastAsia="Arial Unicode MS"/>
                <w:color w:val="000000" w:themeColor="text1"/>
                <w:sz w:val="20"/>
                <w:szCs w:val="20"/>
                <w:shd w:val="clear" w:color="auto" w:fill="FFFFFF"/>
                <w:lang w:val="en-US"/>
              </w:rPr>
              <w:t xml:space="preserve"> la </w:t>
            </w:r>
            <w:proofErr w:type="spellStart"/>
            <w:r w:rsidRPr="00406CAF">
              <w:rPr>
                <w:rFonts w:eastAsia="Arial Unicode MS"/>
                <w:color w:val="000000" w:themeColor="text1"/>
                <w:sz w:val="20"/>
                <w:szCs w:val="20"/>
                <w:shd w:val="clear" w:color="auto" w:fill="FFFFFF"/>
                <w:lang w:val="en-US"/>
              </w:rPr>
              <w:t>includerea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acesteia</w:t>
            </w:r>
            <w:proofErr w:type="spellEnd"/>
            <w:r w:rsidRPr="00406CAF">
              <w:rPr>
                <w:rFonts w:eastAsia="Arial Unicode MS"/>
                <w:color w:val="000000" w:themeColor="text1"/>
                <w:sz w:val="20"/>
                <w:szCs w:val="20"/>
                <w:shd w:val="clear" w:color="auto" w:fill="FFFFFF"/>
                <w:lang w:val="en-US"/>
              </w:rPr>
              <w:t xml:space="preserve"> în EU ETS, se </w:t>
            </w:r>
            <w:proofErr w:type="spellStart"/>
            <w:r w:rsidRPr="00406CAF">
              <w:rPr>
                <w:rFonts w:eastAsia="Arial Unicode MS"/>
                <w:color w:val="000000" w:themeColor="text1"/>
                <w:sz w:val="20"/>
                <w:szCs w:val="20"/>
                <w:shd w:val="clear" w:color="auto" w:fill="FFFFFF"/>
                <w:lang w:val="en-US"/>
              </w:rPr>
              <w:t>însumează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puterea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nominală</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tuturor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unităților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tehnice</w:t>
            </w:r>
            <w:proofErr w:type="spellEnd"/>
            <w:r w:rsidRPr="00406CAF">
              <w:rPr>
                <w:rFonts w:eastAsia="Arial Unicode MS"/>
                <w:color w:val="000000" w:themeColor="text1"/>
                <w:sz w:val="20"/>
                <w:szCs w:val="20"/>
                <w:shd w:val="clear" w:color="auto" w:fill="FFFFFF"/>
                <w:lang w:val="en-US"/>
              </w:rPr>
              <w:t xml:space="preserve"> care fac </w:t>
            </w:r>
            <w:proofErr w:type="spellStart"/>
            <w:r w:rsidRPr="00406CAF">
              <w:rPr>
                <w:rFonts w:eastAsia="Arial Unicode MS"/>
                <w:color w:val="000000" w:themeColor="text1"/>
                <w:sz w:val="20"/>
                <w:szCs w:val="20"/>
                <w:shd w:val="clear" w:color="auto" w:fill="FFFFFF"/>
                <w:lang w:val="en-US"/>
              </w:rPr>
              <w:t>parte</w:t>
            </w:r>
            <w:proofErr w:type="spellEnd"/>
            <w:r w:rsidRPr="00406CAF">
              <w:rPr>
                <w:rFonts w:eastAsia="Arial Unicode MS"/>
                <w:color w:val="000000" w:themeColor="text1"/>
                <w:sz w:val="20"/>
                <w:szCs w:val="20"/>
                <w:shd w:val="clear" w:color="auto" w:fill="FFFFFF"/>
                <w:lang w:val="en-US"/>
              </w:rPr>
              <w:t xml:space="preserve"> din </w:t>
            </w:r>
            <w:proofErr w:type="spellStart"/>
            <w:r w:rsidRPr="00406CAF">
              <w:rPr>
                <w:rFonts w:eastAsia="Arial Unicode MS"/>
                <w:color w:val="000000" w:themeColor="text1"/>
                <w:sz w:val="20"/>
                <w:szCs w:val="20"/>
                <w:shd w:val="clear" w:color="auto" w:fill="FFFFFF"/>
                <w:lang w:val="en-US"/>
              </w:rPr>
              <w:t>aceasta</w:t>
            </w:r>
            <w:proofErr w:type="spellEnd"/>
            <w:r w:rsidRPr="00406CAF">
              <w:rPr>
                <w:rFonts w:eastAsia="Arial Unicode MS"/>
                <w:color w:val="000000" w:themeColor="text1"/>
                <w:sz w:val="20"/>
                <w:szCs w:val="20"/>
                <w:shd w:val="clear" w:color="auto" w:fill="FFFFFF"/>
                <w:lang w:val="en-US"/>
              </w:rPr>
              <w:t xml:space="preserve"> și în care se </w:t>
            </w:r>
            <w:proofErr w:type="spellStart"/>
            <w:r w:rsidRPr="00406CAF">
              <w:rPr>
                <w:rFonts w:eastAsia="Arial Unicode MS"/>
                <w:color w:val="000000" w:themeColor="text1"/>
                <w:sz w:val="20"/>
                <w:szCs w:val="20"/>
                <w:shd w:val="clear" w:color="auto" w:fill="FFFFFF"/>
                <w:lang w:val="en-US"/>
              </w:rPr>
              <w:t>ard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combustibili</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cadrul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instalației</w:t>
            </w:r>
            <w:proofErr w:type="spellEnd"/>
            <w:r w:rsidRPr="00406CAF">
              <w:rPr>
                <w:rFonts w:eastAsia="Arial Unicode MS"/>
                <w:color w:val="000000" w:themeColor="text1"/>
                <w:sz w:val="20"/>
                <w:szCs w:val="20"/>
                <w:shd w:val="clear" w:color="auto" w:fill="FFFFFF"/>
                <w:lang w:val="en-US"/>
              </w:rPr>
              <w:t xml:space="preserve"> respective. </w:t>
            </w:r>
            <w:proofErr w:type="spellStart"/>
            <w:r w:rsidRPr="00406CAF">
              <w:rPr>
                <w:rFonts w:eastAsia="Arial Unicode MS"/>
                <w:color w:val="000000" w:themeColor="text1"/>
                <w:sz w:val="20"/>
                <w:szCs w:val="20"/>
                <w:shd w:val="clear" w:color="auto" w:fill="FFFFFF"/>
                <w:lang w:val="en-US"/>
              </w:rPr>
              <w:t>Unitățile</w:t>
            </w:r>
            <w:proofErr w:type="spellEnd"/>
            <w:r w:rsidRPr="00406CAF">
              <w:rPr>
                <w:rFonts w:eastAsia="Arial Unicode MS"/>
                <w:color w:val="000000" w:themeColor="text1"/>
                <w:sz w:val="20"/>
                <w:szCs w:val="20"/>
                <w:shd w:val="clear" w:color="auto" w:fill="FFFFFF"/>
                <w:lang w:val="en-US"/>
              </w:rPr>
              <w:t xml:space="preserve"> respective </w:t>
            </w:r>
            <w:proofErr w:type="spellStart"/>
            <w:r w:rsidRPr="00406CAF">
              <w:rPr>
                <w:rFonts w:eastAsia="Arial Unicode MS"/>
                <w:color w:val="000000" w:themeColor="text1"/>
                <w:sz w:val="20"/>
                <w:szCs w:val="20"/>
                <w:shd w:val="clear" w:color="auto" w:fill="FFFFFF"/>
                <w:lang w:val="en-US"/>
              </w:rPr>
              <w:t>ar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putea</w:t>
            </w:r>
            <w:proofErr w:type="spellEnd"/>
            <w:r w:rsidRPr="00406CAF">
              <w:rPr>
                <w:rFonts w:eastAsia="Arial Unicode MS"/>
                <w:color w:val="000000" w:themeColor="text1"/>
                <w:sz w:val="20"/>
                <w:szCs w:val="20"/>
                <w:shd w:val="clear" w:color="auto" w:fill="FFFFFF"/>
                <w:lang w:val="en-US"/>
              </w:rPr>
              <w:t xml:space="preserve"> include </w:t>
            </w:r>
            <w:proofErr w:type="spellStart"/>
            <w:r w:rsidRPr="00406CAF">
              <w:rPr>
                <w:rFonts w:eastAsia="Arial Unicode MS"/>
                <w:color w:val="000000" w:themeColor="text1"/>
                <w:sz w:val="20"/>
                <w:szCs w:val="20"/>
                <w:shd w:val="clear" w:color="auto" w:fill="FFFFFF"/>
                <w:lang w:val="en-US"/>
              </w:rPr>
              <w:t>orice</w:t>
            </w:r>
            <w:proofErr w:type="spellEnd"/>
            <w:r w:rsidRPr="00406CAF">
              <w:rPr>
                <w:rFonts w:eastAsia="Arial Unicode MS"/>
                <w:color w:val="000000" w:themeColor="text1"/>
                <w:sz w:val="20"/>
                <w:szCs w:val="20"/>
                <w:shd w:val="clear" w:color="auto" w:fill="FFFFFF"/>
                <w:lang w:val="en-US"/>
              </w:rPr>
              <w:t xml:space="preserve"> tip de </w:t>
            </w:r>
            <w:proofErr w:type="spellStart"/>
            <w:r w:rsidRPr="00406CAF">
              <w:rPr>
                <w:rFonts w:eastAsia="Arial Unicode MS"/>
                <w:color w:val="000000" w:themeColor="text1"/>
                <w:sz w:val="20"/>
                <w:szCs w:val="20"/>
                <w:shd w:val="clear" w:color="auto" w:fill="FFFFFF"/>
                <w:lang w:val="en-US"/>
              </w:rPr>
              <w:t>cazane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arzătoare</w:t>
            </w:r>
            <w:proofErr w:type="spellEnd"/>
            <w:r w:rsidRPr="00406CAF">
              <w:rPr>
                <w:rFonts w:eastAsia="Arial Unicode MS"/>
                <w:color w:val="000000" w:themeColor="text1"/>
                <w:sz w:val="20"/>
                <w:szCs w:val="20"/>
                <w:shd w:val="clear" w:color="auto" w:fill="FFFFFF"/>
                <w:lang w:val="en-US"/>
              </w:rPr>
              <w:t xml:space="preserve">, turbine, </w:t>
            </w:r>
            <w:proofErr w:type="spellStart"/>
            <w:r w:rsidRPr="00406CAF">
              <w:rPr>
                <w:rFonts w:eastAsia="Arial Unicode MS"/>
                <w:color w:val="000000" w:themeColor="text1"/>
                <w:sz w:val="20"/>
                <w:szCs w:val="20"/>
                <w:shd w:val="clear" w:color="auto" w:fill="FFFFFF"/>
                <w:lang w:val="en-US"/>
              </w:rPr>
              <w:t>încălzitoare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furnale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incineratoare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cuptoare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calcinare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etuve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cuptoare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uscătoare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motoare</w:t>
            </w:r>
            <w:proofErr w:type="spellEnd"/>
            <w:r w:rsidRPr="00406CAF">
              <w:rPr>
                <w:rFonts w:eastAsia="Arial Unicode MS"/>
                <w:color w:val="000000" w:themeColor="text1"/>
                <w:sz w:val="20"/>
                <w:szCs w:val="20"/>
                <w:shd w:val="clear" w:color="auto" w:fill="FFFFFF"/>
                <w:lang w:val="en-US"/>
              </w:rPr>
              <w:t xml:space="preserve">, pile de </w:t>
            </w:r>
            <w:proofErr w:type="spellStart"/>
            <w:r w:rsidRPr="00406CAF">
              <w:rPr>
                <w:rFonts w:eastAsia="Arial Unicode MS"/>
                <w:color w:val="000000" w:themeColor="text1"/>
                <w:sz w:val="20"/>
                <w:szCs w:val="20"/>
                <w:shd w:val="clear" w:color="auto" w:fill="FFFFFF"/>
                <w:lang w:val="en-US"/>
              </w:rPr>
              <w:t>combustie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ardere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buclă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chimică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facle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de post-</w:t>
            </w:r>
            <w:proofErr w:type="spellStart"/>
            <w:r w:rsidRPr="00406CAF">
              <w:rPr>
                <w:rFonts w:eastAsia="Arial Unicode MS"/>
                <w:color w:val="000000" w:themeColor="text1"/>
                <w:sz w:val="20"/>
                <w:szCs w:val="20"/>
                <w:shd w:val="clear" w:color="auto" w:fill="FFFFFF"/>
                <w:lang w:val="en-US"/>
              </w:rPr>
              <w:t>combustie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catalitică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Instalațiile</w:t>
            </w:r>
            <w:proofErr w:type="spellEnd"/>
            <w:r w:rsidRPr="00406CAF">
              <w:rPr>
                <w:rFonts w:eastAsia="Arial Unicode MS"/>
                <w:color w:val="000000" w:themeColor="text1"/>
                <w:sz w:val="20"/>
                <w:szCs w:val="20"/>
                <w:shd w:val="clear" w:color="auto" w:fill="FFFFFF"/>
                <w:lang w:val="en-US"/>
              </w:rPr>
              <w:t xml:space="preserve"> cu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mai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mică</w:t>
            </w:r>
            <w:proofErr w:type="spellEnd"/>
            <w:r w:rsidRPr="00406CAF">
              <w:rPr>
                <w:rFonts w:eastAsia="Arial Unicode MS"/>
                <w:color w:val="000000" w:themeColor="text1"/>
                <w:sz w:val="20"/>
                <w:szCs w:val="20"/>
                <w:shd w:val="clear" w:color="auto" w:fill="FFFFFF"/>
                <w:lang w:val="en-US"/>
              </w:rPr>
              <w:t xml:space="preserve"> de 3</w:t>
            </w:r>
            <w:r w:rsid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 xml:space="preserve">MW nu sunt </w:t>
            </w:r>
            <w:proofErr w:type="spellStart"/>
            <w:r w:rsidRPr="00406CAF">
              <w:rPr>
                <w:rFonts w:eastAsia="Arial Unicode MS"/>
                <w:color w:val="000000" w:themeColor="text1"/>
                <w:sz w:val="20"/>
                <w:szCs w:val="20"/>
                <w:shd w:val="clear" w:color="auto" w:fill="FFFFFF"/>
                <w:lang w:val="en-US"/>
              </w:rPr>
              <w:t>luate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calcul</w:t>
            </w:r>
            <w:proofErr w:type="spellEnd"/>
            <w:r w:rsidRPr="00406CAF">
              <w:rPr>
                <w:rFonts w:eastAsia="Arial Unicode MS"/>
                <w:color w:val="000000" w:themeColor="text1"/>
                <w:sz w:val="20"/>
                <w:szCs w:val="20"/>
                <w:shd w:val="clear" w:color="auto" w:fill="FFFFFF"/>
                <w:lang w:val="en-US"/>
              </w:rPr>
              <w:t>.</w:t>
            </w:r>
          </w:p>
          <w:p w14:paraId="2C1321B7" w14:textId="77777777" w:rsidR="00124364"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55" w:tooltip="32009L0029: REPLACED" w:history="1">
              <w:r>
                <w:rPr>
                  <w:rStyle w:val="af3"/>
                  <w:rFonts w:eastAsia="Arial Unicode MS"/>
                  <w:b/>
                  <w:bCs/>
                  <w:color w:val="4472C4" w:themeColor="accent1"/>
                  <w:sz w:val="20"/>
                  <w:szCs w:val="20"/>
                </w:rPr>
                <w:t>▼M4</w:t>
              </w:r>
            </w:hyperlink>
          </w:p>
          <w:p w14:paraId="75012605" w14:textId="67359D21" w:rsidR="00124364" w:rsidRDefault="00000000">
            <w:pPr>
              <w:pStyle w:val="ti-art"/>
              <w:numPr>
                <w:ilvl w:val="0"/>
                <w:numId w:val="161"/>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Dacă</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instalație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deservește</w:t>
            </w:r>
            <w:proofErr w:type="spellEnd"/>
            <w:r w:rsidRPr="00406CAF">
              <w:rPr>
                <w:rFonts w:eastAsia="Arial Unicode MS"/>
                <w:color w:val="000000" w:themeColor="text1"/>
                <w:sz w:val="20"/>
                <w:szCs w:val="20"/>
                <w:shd w:val="clear" w:color="auto" w:fill="FFFFFF"/>
                <w:lang w:val="en-US"/>
              </w:rPr>
              <w:t xml:space="preserve"> o </w:t>
            </w:r>
            <w:proofErr w:type="spellStart"/>
            <w:r w:rsidRPr="00406CAF">
              <w:rPr>
                <w:rFonts w:eastAsia="Arial Unicode MS"/>
                <w:color w:val="000000" w:themeColor="text1"/>
                <w:sz w:val="20"/>
                <w:szCs w:val="20"/>
                <w:shd w:val="clear" w:color="auto" w:fill="FFFFFF"/>
                <w:lang w:val="en-US"/>
              </w:rPr>
              <w:t>activitate</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cazul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căreia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pragul</w:t>
            </w:r>
            <w:proofErr w:type="spellEnd"/>
            <w:r w:rsidRPr="00406CAF">
              <w:rPr>
                <w:rFonts w:eastAsia="Arial Unicode MS"/>
                <w:color w:val="000000" w:themeColor="text1"/>
                <w:sz w:val="20"/>
                <w:szCs w:val="20"/>
                <w:shd w:val="clear" w:color="auto" w:fill="FFFFFF"/>
                <w:lang w:val="en-US"/>
              </w:rPr>
              <w:t xml:space="preserve"> nu </w:t>
            </w:r>
            <w:proofErr w:type="spellStart"/>
            <w:r w:rsidRPr="00406CAF">
              <w:rPr>
                <w:rFonts w:eastAsia="Arial Unicode MS"/>
                <w:color w:val="000000" w:themeColor="text1"/>
                <w:sz w:val="20"/>
                <w:szCs w:val="20"/>
                <w:shd w:val="clear" w:color="auto" w:fill="FFFFFF"/>
                <w:lang w:val="en-US"/>
              </w:rPr>
              <w:t>este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exprimat</w:t>
            </w:r>
            <w:proofErr w:type="spellEnd"/>
            <w:r w:rsidRPr="00406CAF">
              <w:rPr>
                <w:rFonts w:eastAsia="Arial Unicode MS"/>
                <w:color w:val="000000" w:themeColor="text1"/>
                <w:sz w:val="20"/>
                <w:szCs w:val="20"/>
                <w:shd w:val="clear" w:color="auto" w:fill="FFFFFF"/>
                <w:lang w:val="en-US"/>
              </w:rPr>
              <w:t xml:space="preserve"> ca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totală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pragul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activitatea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respectivă</w:t>
            </w:r>
            <w:proofErr w:type="spellEnd"/>
            <w:r w:rsidRPr="00406CAF">
              <w:rPr>
                <w:rFonts w:eastAsia="Arial Unicode MS"/>
                <w:color w:val="000000" w:themeColor="text1"/>
                <w:sz w:val="20"/>
                <w:szCs w:val="20"/>
                <w:shd w:val="clear" w:color="auto" w:fill="FFFFFF"/>
                <w:lang w:val="en-US"/>
              </w:rPr>
              <w:t xml:space="preserve"> are </w:t>
            </w:r>
            <w:proofErr w:type="spellStart"/>
            <w:r w:rsidRPr="00406CAF">
              <w:rPr>
                <w:rFonts w:eastAsia="Arial Unicode MS"/>
                <w:color w:val="000000" w:themeColor="text1"/>
                <w:sz w:val="20"/>
                <w:szCs w:val="20"/>
                <w:shd w:val="clear" w:color="auto" w:fill="FFFFFF"/>
                <w:lang w:val="en-US"/>
              </w:rPr>
              <w:t>prioritate</w:t>
            </w:r>
            <w:proofErr w:type="spellEnd"/>
            <w:r w:rsidRPr="00406CAF">
              <w:rPr>
                <w:rFonts w:eastAsia="Arial Unicode MS"/>
                <w:color w:val="000000" w:themeColor="text1"/>
                <w:sz w:val="20"/>
                <w:szCs w:val="20"/>
                <w:shd w:val="clear" w:color="auto" w:fill="FFFFFF"/>
                <w:lang w:val="en-US"/>
              </w:rPr>
              <w:t xml:space="preserve"> la luarea </w:t>
            </w:r>
            <w:proofErr w:type="spellStart"/>
            <w:r w:rsidRPr="00406CAF">
              <w:rPr>
                <w:rFonts w:eastAsia="Arial Unicode MS"/>
                <w:color w:val="000000" w:themeColor="text1"/>
                <w:sz w:val="20"/>
                <w:szCs w:val="20"/>
                <w:shd w:val="clear" w:color="auto" w:fill="FFFFFF"/>
                <w:lang w:val="en-US"/>
              </w:rPr>
              <w:t>deciziei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privind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includerea</w:t>
            </w:r>
            <w:proofErr w:type="spellEnd"/>
            <w:r w:rsidRPr="00406CAF">
              <w:rPr>
                <w:rFonts w:eastAsia="Arial Unicode MS"/>
                <w:color w:val="000000" w:themeColor="text1"/>
                <w:sz w:val="20"/>
                <w:szCs w:val="20"/>
                <w:shd w:val="clear" w:color="auto" w:fill="FFFFFF"/>
                <w:lang w:val="en-US"/>
              </w:rPr>
              <w:t xml:space="preserve"> în</w:t>
            </w:r>
            <w:r>
              <w:fldChar w:fldCharType="begin"/>
            </w:r>
            <w:r w:rsidRPr="00E34C2B">
              <w:rPr>
                <w:lang w:val="en-US"/>
              </w:rPr>
              <w:instrText>HYPERLINK "https://eur-lex.europa.eu/legal-content/RO/AUTO/?uri=celex:32018L0410" \o "32018L0410: REPLACED"</w:instrText>
            </w:r>
            <w:r>
              <w:fldChar w:fldCharType="separate"/>
            </w:r>
            <w:r>
              <w:rPr>
                <w:rStyle w:val="boldface"/>
                <w:rFonts w:eastAsia="Arial Unicode MS"/>
                <w:b/>
                <w:bCs/>
                <w:color w:val="4472C4" w:themeColor="accent1"/>
                <w:sz w:val="20"/>
                <w:szCs w:val="20"/>
                <w:lang w:val="en-US"/>
              </w:rPr>
              <w:t>►M9</w:t>
            </w:r>
            <w:r>
              <w:rPr>
                <w:rStyle w:val="apple-converted-space"/>
                <w:rFonts w:eastAsia="Arial Unicode MS"/>
                <w:color w:val="4472C4" w:themeColor="accent1"/>
                <w:sz w:val="20"/>
                <w:szCs w:val="20"/>
                <w:lang w:val="en-US"/>
              </w:rPr>
              <w:fldChar w:fldCharType="end"/>
            </w:r>
            <w:r>
              <w:rPr>
                <w:rFonts w:eastAsia="Arial Unicode MS"/>
                <w:color w:val="333333"/>
                <w:sz w:val="20"/>
                <w:szCs w:val="20"/>
                <w:shd w:val="clear" w:color="auto" w:fill="FFFFFF"/>
                <w:lang w:val="en-US"/>
              </w:rPr>
              <w:t>EU ETS</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w:t>
            </w:r>
          </w:p>
          <w:p w14:paraId="481C8507" w14:textId="77777777" w:rsidR="00124364" w:rsidRPr="00406CAF" w:rsidRDefault="00000000" w:rsidP="00406CAF">
            <w:pPr>
              <w:pStyle w:val="ti-art"/>
              <w:numPr>
                <w:ilvl w:val="0"/>
                <w:numId w:val="16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lastRenderedPageBreak/>
              <w:t>Dacă</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constată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într</w:t>
            </w:r>
            <w:proofErr w:type="spellEnd"/>
            <w:r w:rsidRPr="00406CAF">
              <w:rPr>
                <w:rFonts w:eastAsia="Arial Unicode MS"/>
                <w:color w:val="000000" w:themeColor="text1"/>
                <w:sz w:val="20"/>
                <w:szCs w:val="20"/>
                <w:shd w:val="clear" w:color="auto" w:fill="FFFFFF"/>
                <w:lang w:val="en-US"/>
              </w:rPr>
              <w:t xml:space="preserve">-o </w:t>
            </w:r>
            <w:proofErr w:type="spellStart"/>
            <w:r w:rsidRPr="00406CAF">
              <w:rPr>
                <w:rFonts w:eastAsia="Arial Unicode MS"/>
                <w:color w:val="000000" w:themeColor="text1"/>
                <w:sz w:val="20"/>
                <w:szCs w:val="20"/>
                <w:shd w:val="clear" w:color="auto" w:fill="FFFFFF"/>
                <w:lang w:val="en-US"/>
              </w:rPr>
              <w:t>instalație</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depășește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pragul</w:t>
            </w:r>
            <w:proofErr w:type="spellEnd"/>
            <w:r w:rsidRPr="00406CAF">
              <w:rPr>
                <w:rFonts w:eastAsia="Arial Unicode MS"/>
                <w:color w:val="000000" w:themeColor="text1"/>
                <w:sz w:val="20"/>
                <w:szCs w:val="20"/>
                <w:shd w:val="clear" w:color="auto" w:fill="FFFFFF"/>
                <w:lang w:val="en-US"/>
              </w:rPr>
              <w:t xml:space="preserve"> de capacitate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vreo</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activitate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menționată</w:t>
            </w:r>
            <w:proofErr w:type="spellEnd"/>
            <w:r w:rsidRPr="00406CAF">
              <w:rPr>
                <w:rFonts w:eastAsia="Arial Unicode MS"/>
                <w:color w:val="000000" w:themeColor="text1"/>
                <w:sz w:val="20"/>
                <w:szCs w:val="20"/>
                <w:shd w:val="clear" w:color="auto" w:fill="FFFFFF"/>
                <w:lang w:val="en-US"/>
              </w:rPr>
              <w:t xml:space="preserve"> în prezenta </w:t>
            </w:r>
            <w:proofErr w:type="spellStart"/>
            <w:r w:rsidRPr="00406CAF">
              <w:rPr>
                <w:rFonts w:eastAsia="Arial Unicode MS"/>
                <w:color w:val="000000" w:themeColor="text1"/>
                <w:sz w:val="20"/>
                <w:szCs w:val="20"/>
                <w:shd w:val="clear" w:color="auto" w:fill="FFFFFF"/>
                <w:lang w:val="en-US"/>
              </w:rPr>
              <w:t>anexă</w:t>
            </w:r>
            <w:proofErr w:type="spellEnd"/>
            <w:r w:rsidRPr="00406CAF">
              <w:rPr>
                <w:rFonts w:eastAsia="Arial Unicode MS"/>
                <w:color w:val="000000" w:themeColor="text1"/>
                <w:sz w:val="20"/>
                <w:szCs w:val="20"/>
                <w:shd w:val="clear" w:color="auto" w:fill="FFFFFF"/>
                <w:lang w:val="en-US"/>
              </w:rPr>
              <w:t xml:space="preserve">, se </w:t>
            </w:r>
            <w:proofErr w:type="spellStart"/>
            <w:r w:rsidRPr="00406CAF">
              <w:rPr>
                <w:rFonts w:eastAsia="Arial Unicode MS"/>
                <w:color w:val="000000" w:themeColor="text1"/>
                <w:sz w:val="20"/>
                <w:szCs w:val="20"/>
                <w:shd w:val="clear" w:color="auto" w:fill="FFFFFF"/>
                <w:lang w:val="en-US"/>
              </w:rPr>
              <w:t>includ</w:t>
            </w:r>
            <w:proofErr w:type="spellEnd"/>
            <w:r w:rsidRPr="00406CAF">
              <w:rPr>
                <w:rFonts w:eastAsia="Arial Unicode MS"/>
                <w:color w:val="000000" w:themeColor="text1"/>
                <w:sz w:val="20"/>
                <w:szCs w:val="20"/>
                <w:shd w:val="clear" w:color="auto" w:fill="FFFFFF"/>
                <w:lang w:val="en-US"/>
              </w:rPr>
              <w:t xml:space="preserve"> în </w:t>
            </w:r>
            <w:proofErr w:type="spellStart"/>
            <w:r w:rsidRPr="00406CAF">
              <w:rPr>
                <w:rFonts w:eastAsia="Arial Unicode MS"/>
                <w:color w:val="000000" w:themeColor="text1"/>
                <w:sz w:val="20"/>
                <w:szCs w:val="20"/>
                <w:shd w:val="clear" w:color="auto" w:fill="FFFFFF"/>
                <w:lang w:val="en-US"/>
              </w:rPr>
              <w:t>permisul</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emisii</w:t>
            </w:r>
            <w:proofErr w:type="spellEnd"/>
            <w:r w:rsidRPr="00406CAF">
              <w:rPr>
                <w:rFonts w:eastAsia="Arial Unicode MS"/>
                <w:color w:val="000000" w:themeColor="text1"/>
                <w:sz w:val="20"/>
                <w:szCs w:val="20"/>
                <w:shd w:val="clear" w:color="auto" w:fill="FFFFFF"/>
                <w:lang w:val="en-US"/>
              </w:rPr>
              <w:t xml:space="preserve"> de gaze cu </w:t>
            </w:r>
            <w:proofErr w:type="spellStart"/>
            <w:r w:rsidRPr="00406CAF">
              <w:rPr>
                <w:rFonts w:eastAsia="Arial Unicode MS"/>
                <w:color w:val="000000" w:themeColor="text1"/>
                <w:sz w:val="20"/>
                <w:szCs w:val="20"/>
                <w:shd w:val="clear" w:color="auto" w:fill="FFFFFF"/>
                <w:lang w:val="en-US"/>
              </w:rPr>
              <w:t>efect</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seră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instalațiile</w:t>
            </w:r>
            <w:proofErr w:type="spellEnd"/>
            <w:r w:rsidRPr="00406CAF">
              <w:rPr>
                <w:rFonts w:eastAsia="Arial Unicode MS"/>
                <w:color w:val="000000" w:themeColor="text1"/>
                <w:sz w:val="20"/>
                <w:szCs w:val="20"/>
                <w:shd w:val="clear" w:color="auto" w:fill="FFFFFF"/>
                <w:lang w:val="en-US"/>
              </w:rPr>
              <w:t xml:space="preserve"> în care se </w:t>
            </w:r>
            <w:proofErr w:type="spellStart"/>
            <w:r w:rsidRPr="00406CAF">
              <w:rPr>
                <w:rFonts w:eastAsia="Arial Unicode MS"/>
                <w:color w:val="000000" w:themeColor="text1"/>
                <w:sz w:val="20"/>
                <w:szCs w:val="20"/>
                <w:shd w:val="clear" w:color="auto" w:fill="FFFFFF"/>
                <w:lang w:val="en-US"/>
              </w:rPr>
              <w:t>ard</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combustibili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altele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decât</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incinerarea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deșeurilor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periculoase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municipale</w:t>
            </w:r>
            <w:proofErr w:type="spellEnd"/>
            <w:r w:rsidRPr="00406CAF">
              <w:rPr>
                <w:rFonts w:eastAsia="Arial Unicode MS"/>
                <w:color w:val="000000" w:themeColor="text1"/>
                <w:sz w:val="20"/>
                <w:szCs w:val="20"/>
                <w:shd w:val="clear" w:color="auto" w:fill="FFFFFF"/>
                <w:lang w:val="en-US"/>
              </w:rPr>
              <w:t>.</w:t>
            </w:r>
          </w:p>
          <w:p w14:paraId="09283716" w14:textId="77777777" w:rsidR="00124364" w:rsidRDefault="00000000" w:rsidP="00406CAF">
            <w:pPr>
              <w:pStyle w:val="ti-art"/>
              <w:numPr>
                <w:ilvl w:val="0"/>
                <w:numId w:val="161"/>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406CAF">
              <w:rPr>
                <w:rFonts w:eastAsia="Arial Unicode MS"/>
                <w:color w:val="000000" w:themeColor="text1"/>
                <w:sz w:val="20"/>
                <w:szCs w:val="20"/>
                <w:shd w:val="clear" w:color="auto" w:fill="FFFFFF"/>
                <w:lang w:val="en-US"/>
              </w:rPr>
              <w:t xml:space="preserve">De la 1 </w:t>
            </w:r>
            <w:proofErr w:type="spellStart"/>
            <w:r w:rsidRPr="00406CAF">
              <w:rPr>
                <w:rFonts w:eastAsia="Arial Unicode MS"/>
                <w:color w:val="000000" w:themeColor="text1"/>
                <w:sz w:val="20"/>
                <w:szCs w:val="20"/>
                <w:shd w:val="clear" w:color="auto" w:fill="FFFFFF"/>
                <w:lang w:val="en-US"/>
              </w:rPr>
              <w:t>ianuarie</w:t>
            </w:r>
            <w:proofErr w:type="spellEnd"/>
            <w:r w:rsidRPr="00406CAF">
              <w:rPr>
                <w:rFonts w:eastAsia="Arial Unicode MS"/>
                <w:color w:val="000000" w:themeColor="text1"/>
                <w:sz w:val="20"/>
                <w:szCs w:val="20"/>
                <w:shd w:val="clear" w:color="auto" w:fill="FFFFFF"/>
                <w:lang w:val="en-US"/>
              </w:rPr>
              <w:t xml:space="preserve"> 2012, sunt </w:t>
            </w:r>
            <w:proofErr w:type="spellStart"/>
            <w:r w:rsidRPr="00406CAF">
              <w:rPr>
                <w:rFonts w:eastAsia="Arial Unicode MS"/>
                <w:color w:val="000000" w:themeColor="text1"/>
                <w:sz w:val="20"/>
                <w:szCs w:val="20"/>
                <w:shd w:val="clear" w:color="auto" w:fill="FFFFFF"/>
                <w:lang w:val="en-US"/>
              </w:rPr>
              <w:t>incluse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zborurile</w:t>
            </w:r>
            <w:proofErr w:type="spellEnd"/>
            <w:r w:rsidRPr="00406CAF">
              <w:rPr>
                <w:rFonts w:eastAsia="Arial Unicode MS"/>
                <w:color w:val="000000" w:themeColor="text1"/>
                <w:sz w:val="20"/>
                <w:szCs w:val="20"/>
                <w:shd w:val="clear" w:color="auto" w:fill="FFFFFF"/>
                <w:lang w:val="en-US"/>
              </w:rPr>
              <w:t xml:space="preserve"> care </w:t>
            </w:r>
            <w:proofErr w:type="spellStart"/>
            <w:r w:rsidRPr="00406CAF">
              <w:rPr>
                <w:rFonts w:eastAsia="Arial Unicode MS"/>
                <w:color w:val="000000" w:themeColor="text1"/>
                <w:sz w:val="20"/>
                <w:szCs w:val="20"/>
                <w:shd w:val="clear" w:color="auto" w:fill="FFFFFF"/>
                <w:lang w:val="en-US"/>
              </w:rPr>
              <w:t>sosesc</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pleacă</w:t>
            </w:r>
            <w:proofErr w:type="spellEnd"/>
            <w:r w:rsidRPr="00406CAF">
              <w:rPr>
                <w:rFonts w:eastAsia="Arial Unicode MS"/>
                <w:color w:val="000000" w:themeColor="text1"/>
                <w:sz w:val="20"/>
                <w:szCs w:val="20"/>
                <w:shd w:val="clear" w:color="auto" w:fill="FFFFFF"/>
                <w:lang w:val="en-US"/>
              </w:rPr>
              <w:t xml:space="preserve"> de pe un </w:t>
            </w:r>
            <w:proofErr w:type="spellStart"/>
            <w:r w:rsidRPr="00406CAF">
              <w:rPr>
                <w:rFonts w:eastAsia="Arial Unicode MS"/>
                <w:color w:val="000000" w:themeColor="text1"/>
                <w:sz w:val="20"/>
                <w:szCs w:val="20"/>
                <w:shd w:val="clear" w:color="auto" w:fill="FFFFFF"/>
                <w:lang w:val="en-US"/>
              </w:rPr>
              <w:t>aerodrom</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situat</w:t>
            </w:r>
            <w:proofErr w:type="spellEnd"/>
            <w:r w:rsidRPr="00406CAF">
              <w:rPr>
                <w:rFonts w:eastAsia="Arial Unicode MS"/>
                <w:color w:val="000000" w:themeColor="text1"/>
                <w:sz w:val="20"/>
                <w:szCs w:val="20"/>
                <w:shd w:val="clear" w:color="auto" w:fill="FFFFFF"/>
                <w:lang w:val="en-US"/>
              </w:rPr>
              <w:t xml:space="preserve"> pe </w:t>
            </w:r>
            <w:proofErr w:type="spellStart"/>
            <w:r w:rsidRPr="00406CAF">
              <w:rPr>
                <w:rFonts w:eastAsia="Arial Unicode MS"/>
                <w:color w:val="000000" w:themeColor="text1"/>
                <w:sz w:val="20"/>
                <w:szCs w:val="20"/>
                <w:shd w:val="clear" w:color="auto" w:fill="FFFFFF"/>
                <w:lang w:val="en-US"/>
              </w:rPr>
              <w:t>teritoriul</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unui</w:t>
            </w:r>
            <w:proofErr w:type="spellEnd"/>
            <w:r w:rsidRPr="00406CAF">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 xml:space="preserve">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căruia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tratatul</w:t>
            </w:r>
            <w:proofErr w:type="spellEnd"/>
            <w:r>
              <w:rPr>
                <w:rFonts w:eastAsia="Arial Unicode MS"/>
                <w:color w:val="333333"/>
                <w:sz w:val="20"/>
                <w:szCs w:val="20"/>
                <w:shd w:val="clear" w:color="auto" w:fill="FFFFFF"/>
                <w:lang w:val="en-US"/>
              </w:rPr>
              <w:t>.</w:t>
            </w:r>
          </w:p>
          <w:tbl>
            <w:tblPr>
              <w:tblStyle w:val="af7"/>
              <w:tblW w:w="0" w:type="auto"/>
              <w:tblLayout w:type="fixed"/>
              <w:tblLook w:val="04A0" w:firstRow="1" w:lastRow="0" w:firstColumn="1" w:lastColumn="0" w:noHBand="0" w:noVBand="1"/>
            </w:tblPr>
            <w:tblGrid>
              <w:gridCol w:w="3154"/>
              <w:gridCol w:w="1577"/>
            </w:tblGrid>
            <w:tr w:rsidR="00124364" w14:paraId="1FCF9FB5" w14:textId="77777777">
              <w:tc>
                <w:tcPr>
                  <w:tcW w:w="3154" w:type="dxa"/>
                </w:tcPr>
                <w:p w14:paraId="66D5FCC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b/>
                      <w:bCs/>
                      <w:color w:val="333333"/>
                      <w:sz w:val="20"/>
                      <w:szCs w:val="20"/>
                      <w:shd w:val="clear" w:color="auto" w:fill="FFFFFF"/>
                    </w:rPr>
                    <w:t>Activități</w:t>
                  </w:r>
                  <w:proofErr w:type="spellEnd"/>
                </w:p>
              </w:tc>
              <w:tc>
                <w:tcPr>
                  <w:tcW w:w="1577" w:type="dxa"/>
                </w:tcPr>
                <w:p w14:paraId="3A4FBB42"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b/>
                      <w:bCs/>
                      <w:color w:val="333333"/>
                      <w:sz w:val="20"/>
                      <w:szCs w:val="20"/>
                      <w:shd w:val="clear" w:color="auto" w:fill="FFFFFF"/>
                      <w:lang w:val="en-US"/>
                    </w:rPr>
                    <w:t xml:space="preserve">Gaze cu </w:t>
                  </w:r>
                  <w:proofErr w:type="spellStart"/>
                  <w:r>
                    <w:rPr>
                      <w:rFonts w:eastAsia="Arial Unicode MS"/>
                      <w:b/>
                      <w:bCs/>
                      <w:color w:val="333333"/>
                      <w:sz w:val="20"/>
                      <w:szCs w:val="20"/>
                      <w:shd w:val="clear" w:color="auto" w:fill="FFFFFF"/>
                      <w:lang w:val="en-US"/>
                    </w:rPr>
                    <w:t>efect</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seră</w:t>
                  </w:r>
                  <w:proofErr w:type="spellEnd"/>
                </w:p>
              </w:tc>
            </w:tr>
            <w:tr w:rsidR="00124364" w14:paraId="4546271B" w14:textId="77777777">
              <w:tc>
                <w:tcPr>
                  <w:tcW w:w="4731" w:type="dxa"/>
                  <w:gridSpan w:val="2"/>
                </w:tcPr>
                <w:p w14:paraId="7B2E963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56" w:tooltip="32023L0959: REPLACED" w:history="1">
                    <w:r>
                      <w:rPr>
                        <w:rStyle w:val="af3"/>
                        <w:rFonts w:eastAsia="Arial Unicode MS"/>
                        <w:b/>
                        <w:bCs/>
                        <w:color w:val="4472C4" w:themeColor="accent1"/>
                        <w:sz w:val="20"/>
                        <w:szCs w:val="20"/>
                      </w:rPr>
                      <w:t>M15</w:t>
                    </w:r>
                  </w:hyperlink>
                </w:p>
              </w:tc>
            </w:tr>
            <w:tr w:rsidR="00124364" w14:paraId="1E16A402" w14:textId="77777777">
              <w:tc>
                <w:tcPr>
                  <w:tcW w:w="3154" w:type="dxa"/>
                </w:tcPr>
                <w:p w14:paraId="2F571033" w14:textId="56BE6543" w:rsidR="00124364" w:rsidRPr="00406CAF" w:rsidRDefault="00000000" w:rsidP="00406CAF">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lang w:val="en-US"/>
                    </w:rPr>
                  </w:pPr>
                  <w:proofErr w:type="spellStart"/>
                  <w:r w:rsidRPr="00406CAF">
                    <w:rPr>
                      <w:rFonts w:eastAsia="Arial Unicode MS"/>
                      <w:color w:val="000000" w:themeColor="text1"/>
                      <w:sz w:val="20"/>
                      <w:szCs w:val="20"/>
                      <w:lang w:val="en-US"/>
                    </w:rPr>
                    <w:t>Arderea</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combustibililor</w:t>
                  </w:r>
                  <w:proofErr w:type="spellEnd"/>
                  <w:r w:rsidRPr="00406CAF">
                    <w:rPr>
                      <w:rFonts w:eastAsia="Arial Unicode MS"/>
                      <w:color w:val="000000" w:themeColor="text1"/>
                      <w:sz w:val="20"/>
                      <w:szCs w:val="20"/>
                      <w:lang w:val="en-US"/>
                    </w:rPr>
                    <w:t xml:space="preserve"> în </w:t>
                  </w:r>
                  <w:proofErr w:type="spellStart"/>
                  <w:r w:rsidRPr="00406CAF">
                    <w:rPr>
                      <w:rFonts w:eastAsia="Arial Unicode MS"/>
                      <w:color w:val="000000" w:themeColor="text1"/>
                      <w:sz w:val="20"/>
                      <w:szCs w:val="20"/>
                      <w:lang w:val="en-US"/>
                    </w:rPr>
                    <w:t>instalații</w:t>
                  </w:r>
                  <w:proofErr w:type="spellEnd"/>
                  <w:r w:rsidRPr="00406CAF">
                    <w:rPr>
                      <w:rFonts w:eastAsia="Arial Unicode MS"/>
                      <w:color w:val="000000" w:themeColor="text1"/>
                      <w:sz w:val="20"/>
                      <w:szCs w:val="20"/>
                      <w:lang w:val="en-US"/>
                    </w:rPr>
                    <w:t xml:space="preserve"> cu o </w:t>
                  </w:r>
                  <w:proofErr w:type="spellStart"/>
                  <w:r w:rsidRPr="00406CAF">
                    <w:rPr>
                      <w:rFonts w:eastAsia="Arial Unicode MS"/>
                      <w:color w:val="000000" w:themeColor="text1"/>
                      <w:sz w:val="20"/>
                      <w:szCs w:val="20"/>
                      <w:lang w:val="en-US"/>
                    </w:rPr>
                    <w:t>putere</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termică</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nominală</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totală</w:t>
                  </w:r>
                  <w:proofErr w:type="spellEnd"/>
                  <w:r w:rsidRPr="00406CAF">
                    <w:rPr>
                      <w:rFonts w:eastAsia="Arial Unicode MS"/>
                      <w:color w:val="000000" w:themeColor="text1"/>
                      <w:sz w:val="20"/>
                      <w:szCs w:val="20"/>
                      <w:lang w:val="en-US"/>
                    </w:rPr>
                    <w:t xml:space="preserve"> de </w:t>
                  </w:r>
                  <w:proofErr w:type="spellStart"/>
                  <w:r w:rsidRPr="00406CAF">
                    <w:rPr>
                      <w:rFonts w:eastAsia="Arial Unicode MS"/>
                      <w:color w:val="000000" w:themeColor="text1"/>
                      <w:sz w:val="20"/>
                      <w:szCs w:val="20"/>
                      <w:lang w:val="en-US"/>
                    </w:rPr>
                    <w:t>peste</w:t>
                  </w:r>
                  <w:proofErr w:type="spellEnd"/>
                  <w:r w:rsidRPr="00406CAF">
                    <w:rPr>
                      <w:rFonts w:eastAsia="Arial Unicode MS"/>
                      <w:color w:val="000000" w:themeColor="text1"/>
                      <w:sz w:val="20"/>
                      <w:szCs w:val="20"/>
                      <w:lang w:val="en-US"/>
                    </w:rPr>
                    <w:t xml:space="preserve"> 20</w:t>
                  </w:r>
                  <w:r w:rsidR="00406CAF" w:rsidRPr="00406CAF">
                    <w:rPr>
                      <w:rFonts w:eastAsia="Arial Unicode MS"/>
                      <w:color w:val="000000" w:themeColor="text1"/>
                      <w:sz w:val="20"/>
                      <w:szCs w:val="20"/>
                      <w:lang w:val="en-US"/>
                    </w:rPr>
                    <w:t xml:space="preserve"> </w:t>
                  </w:r>
                  <w:r w:rsidRPr="00406CAF">
                    <w:rPr>
                      <w:rFonts w:eastAsia="Arial Unicode MS"/>
                      <w:color w:val="000000" w:themeColor="text1"/>
                      <w:sz w:val="20"/>
                      <w:szCs w:val="20"/>
                      <w:lang w:val="en-US"/>
                    </w:rPr>
                    <w:t xml:space="preserve">MW (cu </w:t>
                  </w:r>
                  <w:proofErr w:type="spellStart"/>
                  <w:r w:rsidRPr="00406CAF">
                    <w:rPr>
                      <w:rFonts w:eastAsia="Arial Unicode MS"/>
                      <w:color w:val="000000" w:themeColor="text1"/>
                      <w:sz w:val="20"/>
                      <w:szCs w:val="20"/>
                      <w:lang w:val="en-US"/>
                    </w:rPr>
                    <w:t>excepția</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instalațiilor</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pentru</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incinerarea</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deșeurilor</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periculoase</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sau</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municipale</w:t>
                  </w:r>
                  <w:proofErr w:type="spellEnd"/>
                  <w:r w:rsidRPr="00406CAF">
                    <w:rPr>
                      <w:rFonts w:eastAsia="Arial Unicode MS"/>
                      <w:color w:val="000000" w:themeColor="text1"/>
                      <w:sz w:val="20"/>
                      <w:szCs w:val="20"/>
                      <w:lang w:val="en-US"/>
                    </w:rPr>
                    <w:t>)</w:t>
                  </w:r>
                </w:p>
                <w:p w14:paraId="5CAEB1DD" w14:textId="4447F0A5" w:rsidR="00124364" w:rsidRPr="00406CAF" w:rsidRDefault="00000000" w:rsidP="00406CAF">
                  <w:pPr>
                    <w:pStyle w:val="tbl-norm"/>
                    <w:framePr w:hSpace="180" w:wrap="around" w:vAnchor="text" w:hAnchor="text" w:x="-136" w:y="1"/>
                    <w:spacing w:before="0" w:beforeAutospacing="0" w:after="0" w:afterAutospacing="0"/>
                    <w:suppressOverlap/>
                    <w:jc w:val="both"/>
                    <w:rPr>
                      <w:rFonts w:eastAsia="Arial Unicode MS"/>
                      <w:color w:val="333333"/>
                      <w:sz w:val="20"/>
                      <w:szCs w:val="20"/>
                      <w:lang w:val="en-US"/>
                    </w:rPr>
                  </w:pPr>
                  <w:proofErr w:type="spellStart"/>
                  <w:r w:rsidRPr="00406CAF">
                    <w:rPr>
                      <w:rFonts w:eastAsia="Arial Unicode MS"/>
                      <w:color w:val="000000" w:themeColor="text1"/>
                      <w:sz w:val="20"/>
                      <w:szCs w:val="20"/>
                      <w:lang w:val="en-US"/>
                    </w:rPr>
                    <w:t>Începând</w:t>
                  </w:r>
                  <w:proofErr w:type="spellEnd"/>
                  <w:r w:rsidRPr="00406CAF">
                    <w:rPr>
                      <w:rFonts w:eastAsia="Arial Unicode MS"/>
                      <w:color w:val="000000" w:themeColor="text1"/>
                      <w:sz w:val="20"/>
                      <w:szCs w:val="20"/>
                      <w:lang w:val="en-US"/>
                    </w:rPr>
                    <w:t xml:space="preserve"> cu 1</w:t>
                  </w:r>
                  <w:r w:rsidR="00406CAF"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ianuarie</w:t>
                  </w:r>
                  <w:proofErr w:type="spellEnd"/>
                  <w:r w:rsidRPr="00406CAF">
                    <w:rPr>
                      <w:rFonts w:eastAsia="Arial Unicode MS"/>
                      <w:color w:val="000000" w:themeColor="text1"/>
                      <w:sz w:val="20"/>
                      <w:szCs w:val="20"/>
                      <w:lang w:val="en-US"/>
                    </w:rPr>
                    <w:t xml:space="preserve"> 2024, </w:t>
                  </w:r>
                  <w:proofErr w:type="spellStart"/>
                  <w:r w:rsidRPr="00406CAF">
                    <w:rPr>
                      <w:rFonts w:eastAsia="Arial Unicode MS"/>
                      <w:color w:val="000000" w:themeColor="text1"/>
                      <w:sz w:val="20"/>
                      <w:szCs w:val="20"/>
                      <w:lang w:val="en-US"/>
                    </w:rPr>
                    <w:t>arderea</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combustibililor</w:t>
                  </w:r>
                  <w:proofErr w:type="spellEnd"/>
                  <w:r w:rsidRPr="00406CAF">
                    <w:rPr>
                      <w:rFonts w:eastAsia="Arial Unicode MS"/>
                      <w:color w:val="000000" w:themeColor="text1"/>
                      <w:sz w:val="20"/>
                      <w:szCs w:val="20"/>
                      <w:lang w:val="en-US"/>
                    </w:rPr>
                    <w:t xml:space="preserve"> în </w:t>
                  </w:r>
                  <w:proofErr w:type="spellStart"/>
                  <w:r w:rsidRPr="00406CAF">
                    <w:rPr>
                      <w:rFonts w:eastAsia="Arial Unicode MS"/>
                      <w:color w:val="000000" w:themeColor="text1"/>
                      <w:sz w:val="20"/>
                      <w:szCs w:val="20"/>
                      <w:lang w:val="en-US"/>
                    </w:rPr>
                    <w:t>instalații</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pentru</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incinerarea</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deșeurilor</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municipale</w:t>
                  </w:r>
                  <w:proofErr w:type="spellEnd"/>
                  <w:r w:rsidRPr="00406CAF">
                    <w:rPr>
                      <w:rFonts w:eastAsia="Arial Unicode MS"/>
                      <w:color w:val="000000" w:themeColor="text1"/>
                      <w:sz w:val="20"/>
                      <w:szCs w:val="20"/>
                      <w:lang w:val="en-US"/>
                    </w:rPr>
                    <w:t xml:space="preserve"> cu o </w:t>
                  </w:r>
                  <w:proofErr w:type="spellStart"/>
                  <w:r w:rsidRPr="00406CAF">
                    <w:rPr>
                      <w:rFonts w:eastAsia="Arial Unicode MS"/>
                      <w:color w:val="000000" w:themeColor="text1"/>
                      <w:sz w:val="20"/>
                      <w:szCs w:val="20"/>
                      <w:lang w:val="en-US"/>
                    </w:rPr>
                    <w:t>putere</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termică</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nominală</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totală</w:t>
                  </w:r>
                  <w:proofErr w:type="spellEnd"/>
                  <w:r w:rsidRPr="00406CAF">
                    <w:rPr>
                      <w:rFonts w:eastAsia="Arial Unicode MS"/>
                      <w:color w:val="000000" w:themeColor="text1"/>
                      <w:sz w:val="20"/>
                      <w:szCs w:val="20"/>
                      <w:lang w:val="en-US"/>
                    </w:rPr>
                    <w:t xml:space="preserve"> de </w:t>
                  </w:r>
                  <w:proofErr w:type="spellStart"/>
                  <w:r w:rsidRPr="00406CAF">
                    <w:rPr>
                      <w:rFonts w:eastAsia="Arial Unicode MS"/>
                      <w:color w:val="000000" w:themeColor="text1"/>
                      <w:sz w:val="20"/>
                      <w:szCs w:val="20"/>
                      <w:lang w:val="en-US"/>
                    </w:rPr>
                    <w:t>peste</w:t>
                  </w:r>
                  <w:proofErr w:type="spellEnd"/>
                  <w:r w:rsidRPr="00406CAF">
                    <w:rPr>
                      <w:rFonts w:eastAsia="Arial Unicode MS"/>
                      <w:color w:val="000000" w:themeColor="text1"/>
                      <w:sz w:val="20"/>
                      <w:szCs w:val="20"/>
                      <w:lang w:val="en-US"/>
                    </w:rPr>
                    <w:t xml:space="preserve"> 20</w:t>
                  </w:r>
                  <w:r w:rsidR="00406CAF" w:rsidRPr="00406CAF">
                    <w:rPr>
                      <w:rFonts w:eastAsia="Arial Unicode MS"/>
                      <w:color w:val="000000" w:themeColor="text1"/>
                      <w:sz w:val="20"/>
                      <w:szCs w:val="20"/>
                      <w:lang w:val="en-US"/>
                    </w:rPr>
                    <w:t xml:space="preserve"> </w:t>
                  </w:r>
                  <w:r w:rsidRPr="00406CAF">
                    <w:rPr>
                      <w:rFonts w:eastAsia="Arial Unicode MS"/>
                      <w:color w:val="000000" w:themeColor="text1"/>
                      <w:sz w:val="20"/>
                      <w:szCs w:val="20"/>
                      <w:lang w:val="en-US"/>
                    </w:rPr>
                    <w:t xml:space="preserve">MW, în </w:t>
                  </w:r>
                  <w:proofErr w:type="spellStart"/>
                  <w:r w:rsidRPr="00406CAF">
                    <w:rPr>
                      <w:rFonts w:eastAsia="Arial Unicode MS"/>
                      <w:color w:val="000000" w:themeColor="text1"/>
                      <w:sz w:val="20"/>
                      <w:szCs w:val="20"/>
                      <w:lang w:val="en-US"/>
                    </w:rPr>
                    <w:t>sensul</w:t>
                  </w:r>
                  <w:proofErr w:type="spellEnd"/>
                  <w:r w:rsidRPr="00406CAF">
                    <w:rPr>
                      <w:rFonts w:eastAsia="Arial Unicode MS"/>
                      <w:color w:val="000000" w:themeColor="text1"/>
                      <w:sz w:val="20"/>
                      <w:szCs w:val="20"/>
                      <w:lang w:val="en-US"/>
                    </w:rPr>
                    <w:t xml:space="preserve"> </w:t>
                  </w:r>
                  <w:proofErr w:type="spellStart"/>
                  <w:r w:rsidRPr="00406CAF">
                    <w:rPr>
                      <w:rFonts w:eastAsia="Arial Unicode MS"/>
                      <w:color w:val="000000" w:themeColor="text1"/>
                      <w:sz w:val="20"/>
                      <w:szCs w:val="20"/>
                      <w:lang w:val="en-US"/>
                    </w:rPr>
                    <w:t>articolelor</w:t>
                  </w:r>
                  <w:proofErr w:type="spellEnd"/>
                  <w:r w:rsidRPr="00406CAF">
                    <w:rPr>
                      <w:rFonts w:eastAsia="Arial Unicode MS"/>
                      <w:color w:val="000000" w:themeColor="text1"/>
                      <w:sz w:val="20"/>
                      <w:szCs w:val="20"/>
                      <w:lang w:val="en-US"/>
                    </w:rPr>
                    <w:t xml:space="preserve"> 14 și</w:t>
                  </w:r>
                  <w:r w:rsidR="00406CAF" w:rsidRPr="00406CAF">
                    <w:rPr>
                      <w:rFonts w:eastAsia="Arial Unicode MS"/>
                      <w:color w:val="000000" w:themeColor="text1"/>
                      <w:sz w:val="20"/>
                      <w:szCs w:val="20"/>
                      <w:lang w:val="en-US"/>
                    </w:rPr>
                    <w:t xml:space="preserve"> </w:t>
                  </w:r>
                  <w:r w:rsidRPr="00406CAF">
                    <w:rPr>
                      <w:rFonts w:eastAsia="Arial Unicode MS"/>
                      <w:color w:val="000000" w:themeColor="text1"/>
                      <w:sz w:val="20"/>
                      <w:szCs w:val="20"/>
                      <w:lang w:val="en-US"/>
                    </w:rPr>
                    <w:t>15.</w:t>
                  </w:r>
                </w:p>
              </w:tc>
              <w:tc>
                <w:tcPr>
                  <w:tcW w:w="1577" w:type="dxa"/>
                </w:tcPr>
                <w:p w14:paraId="34EA5DA0"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0D9B77C" w14:textId="77777777">
              <w:tc>
                <w:tcPr>
                  <w:tcW w:w="3154" w:type="dxa"/>
                </w:tcPr>
                <w:p w14:paraId="659EB53E" w14:textId="131BE0A2" w:rsidR="00124364" w:rsidRDefault="00000000" w:rsidP="00406CAF">
                  <w:pPr>
                    <w:pStyle w:val="tbl-norm"/>
                    <w:framePr w:hSpace="180" w:wrap="around" w:vAnchor="text" w:hAnchor="text" w:x="-136" w:y="1"/>
                    <w:spacing w:before="0" w:beforeAutospacing="0" w:after="0" w:afterAutospacing="0"/>
                    <w:suppressOverlap/>
                    <w:jc w:val="both"/>
                    <w:rPr>
                      <w:rFonts w:eastAsia="Arial Unicode MS"/>
                      <w:color w:val="333333"/>
                      <w:sz w:val="20"/>
                      <w:szCs w:val="20"/>
                      <w:lang w:val="en-US"/>
                    </w:rPr>
                  </w:pPr>
                  <w:proofErr w:type="spellStart"/>
                  <w:r w:rsidRPr="00406CAF">
                    <w:rPr>
                      <w:rFonts w:eastAsia="Arial Unicode MS"/>
                      <w:color w:val="000000" w:themeColor="text1"/>
                      <w:sz w:val="20"/>
                      <w:szCs w:val="20"/>
                      <w:shd w:val="clear" w:color="auto" w:fill="FFFFFF"/>
                      <w:lang w:val="en-US"/>
                    </w:rPr>
                    <w:t>Rafinarea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uleiurilor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atunci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când</w:t>
                  </w:r>
                  <w:proofErr w:type="spellEnd"/>
                  <w:r w:rsidRPr="00406CAF">
                    <w:rPr>
                      <w:rFonts w:eastAsia="Arial Unicode MS"/>
                      <w:color w:val="000000" w:themeColor="text1"/>
                      <w:sz w:val="20"/>
                      <w:szCs w:val="20"/>
                      <w:shd w:val="clear" w:color="auto" w:fill="FFFFFF"/>
                      <w:lang w:val="en-US"/>
                    </w:rPr>
                    <w:t xml:space="preserve"> sunt </w:t>
                  </w:r>
                  <w:proofErr w:type="spellStart"/>
                  <w:r w:rsidRPr="00406CAF">
                    <w:rPr>
                      <w:rFonts w:eastAsia="Arial Unicode MS"/>
                      <w:color w:val="000000" w:themeColor="text1"/>
                      <w:sz w:val="20"/>
                      <w:szCs w:val="20"/>
                      <w:shd w:val="clear" w:color="auto" w:fill="FFFFFF"/>
                      <w:lang w:val="en-US"/>
                    </w:rPr>
                    <w:t>exploatate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ardere</w:t>
                  </w:r>
                  <w:proofErr w:type="spellEnd"/>
                  <w:r w:rsidRPr="00406CAF">
                    <w:rPr>
                      <w:rFonts w:eastAsia="Arial Unicode MS"/>
                      <w:color w:val="000000" w:themeColor="text1"/>
                      <w:sz w:val="20"/>
                      <w:szCs w:val="20"/>
                      <w:shd w:val="clear" w:color="auto" w:fill="FFFFFF"/>
                      <w:lang w:val="en-US"/>
                    </w:rPr>
                    <w:t xml:space="preserve"> cu o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totală</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peste</w:t>
                  </w:r>
                  <w:proofErr w:type="spellEnd"/>
                  <w:r w:rsidRPr="00406CAF">
                    <w:rPr>
                      <w:rFonts w:eastAsia="Arial Unicode MS"/>
                      <w:color w:val="000000" w:themeColor="text1"/>
                      <w:sz w:val="20"/>
                      <w:szCs w:val="20"/>
                      <w:shd w:val="clear" w:color="auto" w:fill="FFFFFF"/>
                      <w:lang w:val="en-US"/>
                    </w:rPr>
                    <w:t xml:space="preserve"> 20</w:t>
                  </w:r>
                  <w:r w:rsidR="00406CAF" w:rsidRPr="00406CAF">
                    <w:rPr>
                      <w:rFonts w:eastAsia="Arial Unicode MS"/>
                      <w:color w:val="000000" w:themeColor="text1"/>
                      <w:sz w:val="20"/>
                      <w:szCs w:val="20"/>
                      <w:shd w:val="clear" w:color="auto" w:fill="FFFFFF"/>
                      <w:lang w:val="en-US"/>
                    </w:rPr>
                    <w:t xml:space="preserve"> </w:t>
                  </w:r>
                  <w:r w:rsidRPr="00406CAF">
                    <w:rPr>
                      <w:rFonts w:eastAsia="Arial Unicode MS"/>
                      <w:color w:val="000000" w:themeColor="text1"/>
                      <w:sz w:val="20"/>
                      <w:szCs w:val="20"/>
                      <w:shd w:val="clear" w:color="auto" w:fill="FFFFFF"/>
                      <w:lang w:val="en-US"/>
                    </w:rPr>
                    <w:t>MW</w:t>
                  </w:r>
                </w:p>
              </w:tc>
              <w:tc>
                <w:tcPr>
                  <w:tcW w:w="1577" w:type="dxa"/>
                </w:tcPr>
                <w:p w14:paraId="149C0788"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FFF3AE1" w14:textId="77777777">
              <w:tc>
                <w:tcPr>
                  <w:tcW w:w="4731" w:type="dxa"/>
                  <w:gridSpan w:val="2"/>
                </w:tcPr>
                <w:p w14:paraId="7B60EA08"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57" w:tooltip="32009L0029: REPLACED" w:history="1">
                    <w:r>
                      <w:rPr>
                        <w:rStyle w:val="af3"/>
                        <w:rFonts w:eastAsia="Arial Unicode MS"/>
                        <w:b/>
                        <w:bCs/>
                        <w:color w:val="4472C4" w:themeColor="accent1"/>
                        <w:sz w:val="20"/>
                        <w:szCs w:val="20"/>
                      </w:rPr>
                      <w:t>▼M4</w:t>
                    </w:r>
                  </w:hyperlink>
                </w:p>
              </w:tc>
            </w:tr>
            <w:tr w:rsidR="00124364" w14:paraId="5BAF44C2" w14:textId="77777777">
              <w:tc>
                <w:tcPr>
                  <w:tcW w:w="3154" w:type="dxa"/>
                </w:tcPr>
                <w:p w14:paraId="0D829AE4" w14:textId="77777777" w:rsidR="00124364" w:rsidRPr="00406CAF" w:rsidRDefault="00000000" w:rsidP="00406CAF">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r w:rsidRPr="00406CAF">
                    <w:rPr>
                      <w:rFonts w:eastAsia="Arial Unicode MS"/>
                      <w:color w:val="000000" w:themeColor="text1"/>
                      <w:sz w:val="20"/>
                      <w:szCs w:val="20"/>
                      <w:shd w:val="clear" w:color="auto" w:fill="FFFFFF"/>
                    </w:rPr>
                    <w:t>Producerea cocsului</w:t>
                  </w:r>
                </w:p>
              </w:tc>
              <w:tc>
                <w:tcPr>
                  <w:tcW w:w="1577" w:type="dxa"/>
                </w:tcPr>
                <w:p w14:paraId="667CC570"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3AFC3F3" w14:textId="77777777">
              <w:tc>
                <w:tcPr>
                  <w:tcW w:w="3154" w:type="dxa"/>
                </w:tcPr>
                <w:p w14:paraId="6DEDB5F8" w14:textId="77777777" w:rsidR="00124364" w:rsidRPr="00406CAF" w:rsidRDefault="00000000" w:rsidP="00406CAF">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Prăjirea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sinterizarea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peletizarea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minereurilor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metalice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a </w:t>
                  </w:r>
                  <w:proofErr w:type="spellStart"/>
                  <w:r w:rsidRPr="00406CAF">
                    <w:rPr>
                      <w:rFonts w:eastAsia="Arial Unicode MS"/>
                      <w:color w:val="000000" w:themeColor="text1"/>
                      <w:sz w:val="20"/>
                      <w:szCs w:val="20"/>
                      <w:shd w:val="clear" w:color="auto" w:fill="FFFFFF"/>
                      <w:lang w:val="en-US"/>
                    </w:rPr>
                    <w:t>minereurilor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sulfidice</w:t>
                  </w:r>
                  <w:proofErr w:type="spellEnd"/>
                  <w:r w:rsidRPr="00406CAF">
                    <w:rPr>
                      <w:rFonts w:eastAsia="Arial Unicode MS"/>
                      <w:color w:val="000000" w:themeColor="text1"/>
                      <w:sz w:val="20"/>
                      <w:szCs w:val="20"/>
                      <w:shd w:val="clear" w:color="auto" w:fill="FFFFFF"/>
                      <w:lang w:val="en-US"/>
                    </w:rPr>
                    <w:t>)</w:t>
                  </w:r>
                </w:p>
              </w:tc>
              <w:tc>
                <w:tcPr>
                  <w:tcW w:w="1577" w:type="dxa"/>
                </w:tcPr>
                <w:p w14:paraId="536ACFB9"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2F4E535C" w14:textId="77777777">
              <w:tc>
                <w:tcPr>
                  <w:tcW w:w="4731" w:type="dxa"/>
                  <w:gridSpan w:val="2"/>
                </w:tcPr>
                <w:p w14:paraId="48FD0FA7"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58" w:tooltip="32023L0959: REPLACED" w:history="1">
                    <w:r>
                      <w:rPr>
                        <w:rStyle w:val="af3"/>
                        <w:rFonts w:eastAsia="Arial Unicode MS"/>
                        <w:b/>
                        <w:bCs/>
                        <w:color w:val="4472C4" w:themeColor="accent1"/>
                        <w:sz w:val="20"/>
                        <w:szCs w:val="20"/>
                      </w:rPr>
                      <w:t>▼M15</w:t>
                    </w:r>
                  </w:hyperlink>
                </w:p>
              </w:tc>
            </w:tr>
            <w:tr w:rsidR="00124364" w14:paraId="597FCCCF" w14:textId="77777777">
              <w:tc>
                <w:tcPr>
                  <w:tcW w:w="3154" w:type="dxa"/>
                </w:tcPr>
                <w:p w14:paraId="6AE0B428" w14:textId="77777777" w:rsidR="00124364" w:rsidRDefault="00000000" w:rsidP="00406CAF">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Producerea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fontei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oțelului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topire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primară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secundară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pentru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turnare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continuă</w:t>
                  </w:r>
                  <w:proofErr w:type="spellEnd"/>
                  <w:r w:rsidRPr="00406CAF">
                    <w:rPr>
                      <w:rFonts w:eastAsia="Arial Unicode MS"/>
                      <w:color w:val="000000" w:themeColor="text1"/>
                      <w:sz w:val="20"/>
                      <w:szCs w:val="20"/>
                      <w:shd w:val="clear" w:color="auto" w:fill="FFFFFF"/>
                      <w:lang w:val="en-US"/>
                    </w:rPr>
                    <w:t xml:space="preserve">, cu o </w:t>
                  </w:r>
                  <w:proofErr w:type="gramStart"/>
                  <w:r w:rsidRPr="00406CAF">
                    <w:rPr>
                      <w:rFonts w:eastAsia="Arial Unicode MS"/>
                      <w:color w:val="000000" w:themeColor="text1"/>
                      <w:sz w:val="20"/>
                      <w:szCs w:val="20"/>
                      <w:shd w:val="clear" w:color="auto" w:fill="FFFFFF"/>
                      <w:lang w:val="en-US"/>
                    </w:rPr>
                    <w:t>capacitate</w:t>
                  </w:r>
                  <w:proofErr w:type="gram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producție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mai</w:t>
                  </w:r>
                  <w:proofErr w:type="spellEnd"/>
                  <w:r w:rsidRPr="00406CAF">
                    <w:rPr>
                      <w:rFonts w:eastAsia="Arial Unicode MS"/>
                      <w:color w:val="000000" w:themeColor="text1"/>
                      <w:sz w:val="20"/>
                      <w:szCs w:val="20"/>
                      <w:shd w:val="clear" w:color="auto" w:fill="FFFFFF"/>
                      <w:lang w:val="en-US"/>
                    </w:rPr>
                    <w:t xml:space="preserve"> mare de 2,5 tone pe </w:t>
                  </w:r>
                  <w:proofErr w:type="spellStart"/>
                  <w:r w:rsidRPr="00406CAF">
                    <w:rPr>
                      <w:rFonts w:eastAsia="Arial Unicode MS"/>
                      <w:color w:val="000000" w:themeColor="text1"/>
                      <w:sz w:val="20"/>
                      <w:szCs w:val="20"/>
                      <w:shd w:val="clear" w:color="auto" w:fill="FFFFFF"/>
                      <w:lang w:val="en-US"/>
                    </w:rPr>
                    <w:t>oră</w:t>
                  </w:r>
                  <w:proofErr w:type="spellEnd"/>
                  <w:r w:rsidRPr="00406CAF">
                    <w:rPr>
                      <w:rFonts w:eastAsia="Arial Unicode MS"/>
                      <w:color w:val="000000" w:themeColor="text1"/>
                      <w:sz w:val="20"/>
                      <w:szCs w:val="20"/>
                      <w:shd w:val="clear" w:color="auto" w:fill="FFFFFF"/>
                      <w:lang w:val="en-US"/>
                    </w:rPr>
                    <w:t>.</w:t>
                  </w:r>
                </w:p>
              </w:tc>
              <w:tc>
                <w:tcPr>
                  <w:tcW w:w="1577" w:type="dxa"/>
                </w:tcPr>
                <w:p w14:paraId="496C442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5008A06F" w14:textId="77777777">
              <w:tc>
                <w:tcPr>
                  <w:tcW w:w="4731" w:type="dxa"/>
                  <w:gridSpan w:val="2"/>
                </w:tcPr>
                <w:p w14:paraId="16E0FAF7"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59" w:tooltip="32009L0029: REPLACED" w:history="1">
                    <w:r>
                      <w:rPr>
                        <w:rStyle w:val="af3"/>
                        <w:rFonts w:eastAsia="Arial Unicode MS"/>
                        <w:b/>
                        <w:bCs/>
                        <w:color w:val="4472C4" w:themeColor="accent1"/>
                        <w:sz w:val="20"/>
                        <w:szCs w:val="20"/>
                      </w:rPr>
                      <w:t>▼M4</w:t>
                    </w:r>
                  </w:hyperlink>
                </w:p>
              </w:tc>
            </w:tr>
            <w:tr w:rsidR="00124364" w14:paraId="22A17092" w14:textId="77777777">
              <w:tc>
                <w:tcPr>
                  <w:tcW w:w="3154" w:type="dxa"/>
                </w:tcPr>
                <w:p w14:paraId="75FF9FD5" w14:textId="7DE92AA5" w:rsidR="00124364" w:rsidRDefault="00000000" w:rsidP="00406CAF">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406CAF">
                    <w:rPr>
                      <w:rFonts w:eastAsia="Arial Unicode MS"/>
                      <w:color w:val="000000" w:themeColor="text1"/>
                      <w:sz w:val="20"/>
                      <w:szCs w:val="20"/>
                      <w:shd w:val="clear" w:color="auto" w:fill="FFFFFF"/>
                      <w:lang w:val="en-US"/>
                    </w:rPr>
                    <w:t>Producerea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sau</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prelucrarea</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metalelor</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feroase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inclusiv</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fero-aliaje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atunci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când</w:t>
                  </w:r>
                  <w:proofErr w:type="spellEnd"/>
                  <w:r w:rsidRPr="00406CAF">
                    <w:rPr>
                      <w:rFonts w:eastAsia="Arial Unicode MS"/>
                      <w:color w:val="000000" w:themeColor="text1"/>
                      <w:sz w:val="20"/>
                      <w:szCs w:val="20"/>
                      <w:shd w:val="clear" w:color="auto" w:fill="FFFFFF"/>
                      <w:lang w:val="en-US"/>
                    </w:rPr>
                    <w:t xml:space="preserve"> sunt </w:t>
                  </w:r>
                  <w:proofErr w:type="spellStart"/>
                  <w:r w:rsidRPr="00406CAF">
                    <w:rPr>
                      <w:rFonts w:eastAsia="Arial Unicode MS"/>
                      <w:color w:val="000000" w:themeColor="text1"/>
                      <w:sz w:val="20"/>
                      <w:szCs w:val="20"/>
                      <w:shd w:val="clear" w:color="auto" w:fill="FFFFFF"/>
                      <w:lang w:val="en-US"/>
                    </w:rPr>
                    <w:t>exploatate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instalații</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ar</w:t>
                  </w:r>
                  <w:r w:rsidRPr="00406CAF">
                    <w:rPr>
                      <w:rFonts w:eastAsia="Arial Unicode MS"/>
                      <w:color w:val="000000" w:themeColor="text1"/>
                      <w:sz w:val="20"/>
                      <w:szCs w:val="20"/>
                      <w:shd w:val="clear" w:color="auto" w:fill="FFFFFF"/>
                      <w:lang w:val="en-US"/>
                    </w:rPr>
                    <w:lastRenderedPageBreak/>
                    <w:t>dere</w:t>
                  </w:r>
                  <w:proofErr w:type="spellEnd"/>
                  <w:r w:rsidRPr="00406CAF">
                    <w:rPr>
                      <w:rFonts w:eastAsia="Arial Unicode MS"/>
                      <w:color w:val="000000" w:themeColor="text1"/>
                      <w:sz w:val="20"/>
                      <w:szCs w:val="20"/>
                      <w:shd w:val="clear" w:color="auto" w:fill="FFFFFF"/>
                      <w:lang w:val="en-US"/>
                    </w:rPr>
                    <w:t xml:space="preserve"> cu o </w:t>
                  </w:r>
                  <w:proofErr w:type="spellStart"/>
                  <w:r w:rsidRPr="00406CAF">
                    <w:rPr>
                      <w:rFonts w:eastAsia="Arial Unicode MS"/>
                      <w:color w:val="000000" w:themeColor="text1"/>
                      <w:sz w:val="20"/>
                      <w:szCs w:val="20"/>
                      <w:shd w:val="clear" w:color="auto" w:fill="FFFFFF"/>
                      <w:lang w:val="en-US"/>
                    </w:rPr>
                    <w:t>putere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termică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nominală</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totală</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peste</w:t>
                  </w:r>
                  <w:proofErr w:type="spellEnd"/>
                  <w:r w:rsidRPr="00406CAF">
                    <w:rPr>
                      <w:rFonts w:eastAsia="Arial Unicode MS"/>
                      <w:color w:val="000000" w:themeColor="text1"/>
                      <w:sz w:val="20"/>
                      <w:szCs w:val="20"/>
                      <w:shd w:val="clear" w:color="auto" w:fill="FFFFFF"/>
                      <w:lang w:val="en-US"/>
                    </w:rPr>
                    <w:t xml:space="preserve"> 20</w:t>
                  </w:r>
                  <w:r w:rsidR="00406CAF" w:rsidRPr="00406CAF">
                    <w:rPr>
                      <w:rFonts w:eastAsia="Arial Unicode MS"/>
                      <w:color w:val="000000" w:themeColor="text1"/>
                      <w:sz w:val="20"/>
                      <w:szCs w:val="20"/>
                      <w:shd w:val="clear" w:color="auto" w:fill="FFFFFF"/>
                      <w:lang w:val="en-US"/>
                    </w:rPr>
                    <w:t>n</w:t>
                  </w:r>
                  <w:r w:rsidRPr="00406CAF">
                    <w:rPr>
                      <w:rFonts w:eastAsia="Arial Unicode MS"/>
                      <w:color w:val="000000" w:themeColor="text1"/>
                      <w:sz w:val="20"/>
                      <w:szCs w:val="20"/>
                      <w:shd w:val="clear" w:color="auto" w:fill="FFFFFF"/>
                      <w:lang w:val="en-US"/>
                    </w:rPr>
                    <w:t xml:space="preserve">MW. </w:t>
                  </w:r>
                  <w:proofErr w:type="spellStart"/>
                  <w:r w:rsidRPr="00406CAF">
                    <w:rPr>
                      <w:rFonts w:eastAsia="Arial Unicode MS"/>
                      <w:color w:val="000000" w:themeColor="text1"/>
                      <w:sz w:val="20"/>
                      <w:szCs w:val="20"/>
                      <w:shd w:val="clear" w:color="auto" w:fill="FFFFFF"/>
                      <w:lang w:val="en-US"/>
                    </w:rPr>
                    <w:t>Prelucrarea</w:t>
                  </w:r>
                  <w:proofErr w:type="spellEnd"/>
                  <w:r w:rsidRPr="00406CAF">
                    <w:rPr>
                      <w:rFonts w:eastAsia="Arial Unicode MS"/>
                      <w:color w:val="000000" w:themeColor="text1"/>
                      <w:sz w:val="20"/>
                      <w:szCs w:val="20"/>
                      <w:shd w:val="clear" w:color="auto" w:fill="FFFFFF"/>
                      <w:lang w:val="en-US"/>
                    </w:rPr>
                    <w:t xml:space="preserve"> include, </w:t>
                  </w:r>
                  <w:proofErr w:type="spellStart"/>
                  <w:r w:rsidRPr="00406CAF">
                    <w:rPr>
                      <w:rFonts w:eastAsia="Arial Unicode MS"/>
                      <w:color w:val="000000" w:themeColor="text1"/>
                      <w:sz w:val="20"/>
                      <w:szCs w:val="20"/>
                      <w:shd w:val="clear" w:color="auto" w:fill="FFFFFF"/>
                      <w:lang w:val="en-US"/>
                    </w:rPr>
                    <w:t>printre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altele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laminoare</w:t>
                  </w:r>
                  <w:proofErr w:type="spellEnd"/>
                  <w:r w:rsidRPr="00406CAF">
                    <w:rPr>
                      <w:rFonts w:eastAsia="Arial Unicode MS"/>
                      <w:color w:val="000000" w:themeColor="text1"/>
                      <w:sz w:val="20"/>
                      <w:szCs w:val="20"/>
                      <w:shd w:val="clear" w:color="auto" w:fill="FFFFFF"/>
                      <w:lang w:val="en-US"/>
                    </w:rPr>
                    <w:t>, re-</w:t>
                  </w:r>
                  <w:proofErr w:type="spellStart"/>
                  <w:r w:rsidRPr="00406CAF">
                    <w:rPr>
                      <w:rFonts w:eastAsia="Arial Unicode MS"/>
                      <w:color w:val="000000" w:themeColor="text1"/>
                      <w:sz w:val="20"/>
                      <w:szCs w:val="20"/>
                      <w:shd w:val="clear" w:color="auto" w:fill="FFFFFF"/>
                      <w:lang w:val="en-US"/>
                    </w:rPr>
                    <w:t>încălzitoare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cuptoare</w:t>
                  </w:r>
                  <w:proofErr w:type="spellEnd"/>
                  <w:r w:rsidRPr="00406CAF">
                    <w:rPr>
                      <w:rFonts w:eastAsia="Arial Unicode MS"/>
                      <w:color w:val="000000" w:themeColor="text1"/>
                      <w:sz w:val="20"/>
                      <w:szCs w:val="20"/>
                      <w:shd w:val="clear" w:color="auto" w:fill="FFFFFF"/>
                      <w:lang w:val="en-US"/>
                    </w:rPr>
                    <w:t xml:space="preserve"> de </w:t>
                  </w:r>
                  <w:proofErr w:type="spellStart"/>
                  <w:r w:rsidRPr="00406CAF">
                    <w:rPr>
                      <w:rFonts w:eastAsia="Arial Unicode MS"/>
                      <w:color w:val="000000" w:themeColor="text1"/>
                      <w:sz w:val="20"/>
                      <w:szCs w:val="20"/>
                      <w:shd w:val="clear" w:color="auto" w:fill="FFFFFF"/>
                      <w:lang w:val="en-US"/>
                    </w:rPr>
                    <w:t>recoacere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forje</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topitorii</w:t>
                  </w:r>
                  <w:proofErr w:type="spellEnd"/>
                  <w:r w:rsidRPr="00406CAF">
                    <w:rPr>
                      <w:rFonts w:eastAsia="Arial Unicode MS"/>
                      <w:color w:val="000000" w:themeColor="text1"/>
                      <w:sz w:val="20"/>
                      <w:szCs w:val="20"/>
                      <w:shd w:val="clear" w:color="auto" w:fill="FFFFFF"/>
                      <w:lang w:val="en-US"/>
                    </w:rPr>
                    <w:t xml:space="preserve">, </w:t>
                  </w:r>
                  <w:proofErr w:type="spellStart"/>
                  <w:r w:rsidRPr="00406CAF">
                    <w:rPr>
                      <w:rFonts w:eastAsia="Arial Unicode MS"/>
                      <w:color w:val="000000" w:themeColor="text1"/>
                      <w:sz w:val="20"/>
                      <w:szCs w:val="20"/>
                      <w:shd w:val="clear" w:color="auto" w:fill="FFFFFF"/>
                      <w:lang w:val="en-US"/>
                    </w:rPr>
                    <w:t>acoperire</w:t>
                  </w:r>
                  <w:proofErr w:type="spellEnd"/>
                  <w:r w:rsidRPr="00406CAF">
                    <w:rPr>
                      <w:rFonts w:eastAsia="Arial Unicode MS"/>
                      <w:color w:val="000000" w:themeColor="text1"/>
                      <w:sz w:val="20"/>
                      <w:szCs w:val="20"/>
                      <w:shd w:val="clear" w:color="auto" w:fill="FFFFFF"/>
                      <w:lang w:val="en-US"/>
                    </w:rPr>
                    <w:t xml:space="preserve"> și </w:t>
                  </w:r>
                  <w:proofErr w:type="spellStart"/>
                  <w:r w:rsidRPr="00406CAF">
                    <w:rPr>
                      <w:rFonts w:eastAsia="Arial Unicode MS"/>
                      <w:color w:val="000000" w:themeColor="text1"/>
                      <w:sz w:val="20"/>
                      <w:szCs w:val="20"/>
                      <w:shd w:val="clear" w:color="auto" w:fill="FFFFFF"/>
                      <w:lang w:val="en-US"/>
                    </w:rPr>
                    <w:t>decapare</w:t>
                  </w:r>
                  <w:proofErr w:type="spellEnd"/>
                </w:p>
              </w:tc>
              <w:tc>
                <w:tcPr>
                  <w:tcW w:w="1577" w:type="dxa"/>
                </w:tcPr>
                <w:p w14:paraId="6AA3A297"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lastRenderedPageBreak/>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0B2755F6" w14:textId="77777777">
              <w:tc>
                <w:tcPr>
                  <w:tcW w:w="4731" w:type="dxa"/>
                  <w:gridSpan w:val="2"/>
                </w:tcPr>
                <w:p w14:paraId="2668523B"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60" w:tooltip="32023L0959: REPLACED" w:history="1">
                    <w:r>
                      <w:rPr>
                        <w:rStyle w:val="af3"/>
                        <w:rFonts w:eastAsia="Arial Unicode MS"/>
                        <w:b/>
                        <w:bCs/>
                        <w:color w:val="4472C4" w:themeColor="accent1"/>
                        <w:sz w:val="20"/>
                        <w:szCs w:val="20"/>
                      </w:rPr>
                      <w:t>▼M15</w:t>
                    </w:r>
                  </w:hyperlink>
                </w:p>
              </w:tc>
            </w:tr>
            <w:tr w:rsidR="00124364" w14:paraId="5E7F4F10" w14:textId="77777777">
              <w:tc>
                <w:tcPr>
                  <w:tcW w:w="3154" w:type="dxa"/>
                </w:tcPr>
                <w:p w14:paraId="7F197E81"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aluminiu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primar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alumină</w:t>
                  </w:r>
                  <w:proofErr w:type="spellEnd"/>
                </w:p>
              </w:tc>
              <w:tc>
                <w:tcPr>
                  <w:tcW w:w="1577" w:type="dxa"/>
                </w:tcPr>
                <w:p w14:paraId="1017074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și </w:t>
                  </w:r>
                  <w:proofErr w:type="spellStart"/>
                  <w:r>
                    <w:rPr>
                      <w:rFonts w:eastAsia="Arial Unicode MS"/>
                      <w:color w:val="333333"/>
                      <w:sz w:val="20"/>
                      <w:szCs w:val="20"/>
                      <w:shd w:val="clear" w:color="auto" w:fill="FFFFFF"/>
                      <w:lang w:val="en-US"/>
                    </w:rPr>
                    <w:t>perfluorocarburi</w:t>
                  </w:r>
                  <w:proofErr w:type="spellEnd"/>
                </w:p>
              </w:tc>
            </w:tr>
            <w:tr w:rsidR="00124364" w14:paraId="565CBF4B" w14:textId="77777777">
              <w:tc>
                <w:tcPr>
                  <w:tcW w:w="4731" w:type="dxa"/>
                  <w:gridSpan w:val="2"/>
                </w:tcPr>
                <w:p w14:paraId="550906F5"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61" w:tooltip="32009L0029: REPLACED" w:history="1">
                    <w:r>
                      <w:rPr>
                        <w:rStyle w:val="af3"/>
                        <w:rFonts w:eastAsia="Arial Unicode MS"/>
                        <w:b/>
                        <w:bCs/>
                        <w:color w:val="4472C4" w:themeColor="accent1"/>
                        <w:sz w:val="20"/>
                        <w:szCs w:val="20"/>
                      </w:rPr>
                      <w:t>▼M4</w:t>
                    </w:r>
                  </w:hyperlink>
                </w:p>
              </w:tc>
            </w:tr>
            <w:tr w:rsidR="00124364" w14:paraId="7AE79708" w14:textId="77777777">
              <w:tc>
                <w:tcPr>
                  <w:tcW w:w="3154" w:type="dxa"/>
                </w:tcPr>
                <w:p w14:paraId="3F23755D" w14:textId="0A9678FE"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aluminiu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secundar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atunci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când</w:t>
                  </w:r>
                  <w:proofErr w:type="spellEnd"/>
                  <w:r w:rsidRPr="008D3FC4">
                    <w:rPr>
                      <w:rFonts w:eastAsia="Arial Unicode MS"/>
                      <w:color w:val="000000" w:themeColor="text1"/>
                      <w:sz w:val="20"/>
                      <w:szCs w:val="20"/>
                      <w:shd w:val="clear" w:color="auto" w:fill="FFFFFF"/>
                      <w:lang w:val="en-US"/>
                    </w:rPr>
                    <w:t xml:space="preserve"> sunt </w:t>
                  </w:r>
                  <w:proofErr w:type="spellStart"/>
                  <w:r w:rsidRPr="008D3FC4">
                    <w:rPr>
                      <w:rFonts w:eastAsia="Arial Unicode MS"/>
                      <w:color w:val="000000" w:themeColor="text1"/>
                      <w:sz w:val="20"/>
                      <w:szCs w:val="20"/>
                      <w:shd w:val="clear" w:color="auto" w:fill="FFFFFF"/>
                      <w:lang w:val="en-US"/>
                    </w:rPr>
                    <w:t>exploatate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instalații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ardere</w:t>
                  </w:r>
                  <w:proofErr w:type="spellEnd"/>
                  <w:r w:rsidRPr="008D3FC4">
                    <w:rPr>
                      <w:rFonts w:eastAsia="Arial Unicode MS"/>
                      <w:color w:val="000000" w:themeColor="text1"/>
                      <w:sz w:val="20"/>
                      <w:szCs w:val="20"/>
                      <w:shd w:val="clear" w:color="auto" w:fill="FFFFFF"/>
                      <w:lang w:val="en-US"/>
                    </w:rPr>
                    <w:t xml:space="preserve"> cu o </w:t>
                  </w:r>
                  <w:proofErr w:type="spellStart"/>
                  <w:r w:rsidRPr="008D3FC4">
                    <w:rPr>
                      <w:rFonts w:eastAsia="Arial Unicode MS"/>
                      <w:color w:val="000000" w:themeColor="text1"/>
                      <w:sz w:val="20"/>
                      <w:szCs w:val="20"/>
                      <w:shd w:val="clear" w:color="auto" w:fill="FFFFFF"/>
                      <w:lang w:val="en-US"/>
                    </w:rPr>
                    <w:t>putere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termică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nominală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totală</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20</w:t>
                  </w:r>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MW</w:t>
                  </w:r>
                </w:p>
              </w:tc>
              <w:tc>
                <w:tcPr>
                  <w:tcW w:w="1577" w:type="dxa"/>
                </w:tcPr>
                <w:p w14:paraId="4E5A57D0"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1EA88C24" w14:textId="77777777">
              <w:tc>
                <w:tcPr>
                  <w:tcW w:w="3154" w:type="dxa"/>
                </w:tcPr>
                <w:p w14:paraId="219A1142" w14:textId="49AC6E42"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prelucrarea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metalelor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neferoase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inclusiv</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aliajelor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rafinare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topire-turnare</w:t>
                  </w:r>
                  <w:proofErr w:type="spellEnd"/>
                  <w:r w:rsidRPr="008D3FC4">
                    <w:rPr>
                      <w:rFonts w:eastAsia="Arial Unicode MS"/>
                      <w:color w:val="000000" w:themeColor="text1"/>
                      <w:sz w:val="20"/>
                      <w:szCs w:val="20"/>
                      <w:shd w:val="clear" w:color="auto" w:fill="FFFFFF"/>
                      <w:lang w:val="en-US"/>
                    </w:rPr>
                    <w:t xml:space="preserve"> etc., </w:t>
                  </w:r>
                  <w:proofErr w:type="spellStart"/>
                  <w:r w:rsidRPr="008D3FC4">
                    <w:rPr>
                      <w:rFonts w:eastAsia="Arial Unicode MS"/>
                      <w:color w:val="000000" w:themeColor="text1"/>
                      <w:sz w:val="20"/>
                      <w:szCs w:val="20"/>
                      <w:shd w:val="clear" w:color="auto" w:fill="FFFFFF"/>
                      <w:lang w:val="en-US"/>
                    </w:rPr>
                    <w:t>atunci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când</w:t>
                  </w:r>
                  <w:proofErr w:type="spellEnd"/>
                  <w:r w:rsidRPr="008D3FC4">
                    <w:rPr>
                      <w:rFonts w:eastAsia="Arial Unicode MS"/>
                      <w:color w:val="000000" w:themeColor="text1"/>
                      <w:sz w:val="20"/>
                      <w:szCs w:val="20"/>
                      <w:shd w:val="clear" w:color="auto" w:fill="FFFFFF"/>
                      <w:lang w:val="en-US"/>
                    </w:rPr>
                    <w:t xml:space="preserve"> sunt </w:t>
                  </w:r>
                  <w:proofErr w:type="spellStart"/>
                  <w:r w:rsidRPr="008D3FC4">
                    <w:rPr>
                      <w:rFonts w:eastAsia="Arial Unicode MS"/>
                      <w:color w:val="000000" w:themeColor="text1"/>
                      <w:sz w:val="20"/>
                      <w:szCs w:val="20"/>
                      <w:shd w:val="clear" w:color="auto" w:fill="FFFFFF"/>
                      <w:lang w:val="en-US"/>
                    </w:rPr>
                    <w:t>exploatate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instalații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ardere</w:t>
                  </w:r>
                  <w:proofErr w:type="spellEnd"/>
                  <w:r w:rsidRPr="008D3FC4">
                    <w:rPr>
                      <w:rFonts w:eastAsia="Arial Unicode MS"/>
                      <w:color w:val="000000" w:themeColor="text1"/>
                      <w:sz w:val="20"/>
                      <w:szCs w:val="20"/>
                      <w:shd w:val="clear" w:color="auto" w:fill="FFFFFF"/>
                      <w:lang w:val="en-US"/>
                    </w:rPr>
                    <w:t xml:space="preserve"> cu o </w:t>
                  </w:r>
                  <w:proofErr w:type="spellStart"/>
                  <w:r w:rsidRPr="008D3FC4">
                    <w:rPr>
                      <w:rFonts w:eastAsia="Arial Unicode MS"/>
                      <w:color w:val="000000" w:themeColor="text1"/>
                      <w:sz w:val="20"/>
                      <w:szCs w:val="20"/>
                      <w:shd w:val="clear" w:color="auto" w:fill="FFFFFF"/>
                      <w:lang w:val="en-US"/>
                    </w:rPr>
                    <w:t>putere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termică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nominală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totală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incluzând</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combustibilii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folosiți</w:t>
                  </w:r>
                  <w:proofErr w:type="spellEnd"/>
                  <w:r w:rsidRPr="008D3FC4">
                    <w:rPr>
                      <w:rFonts w:eastAsia="Arial Unicode MS"/>
                      <w:color w:val="000000" w:themeColor="text1"/>
                      <w:sz w:val="20"/>
                      <w:szCs w:val="20"/>
                      <w:shd w:val="clear" w:color="auto" w:fill="FFFFFF"/>
                      <w:lang w:val="en-US"/>
                    </w:rPr>
                    <w:t xml:space="preserve"> ca </w:t>
                  </w:r>
                  <w:proofErr w:type="spellStart"/>
                  <w:r w:rsidRPr="008D3FC4">
                    <w:rPr>
                      <w:rFonts w:eastAsia="Arial Unicode MS"/>
                      <w:color w:val="000000" w:themeColor="text1"/>
                      <w:sz w:val="20"/>
                      <w:szCs w:val="20"/>
                      <w:shd w:val="clear" w:color="auto" w:fill="FFFFFF"/>
                      <w:lang w:val="en-US"/>
                    </w:rPr>
                    <w:t>agenți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reducere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20MW</w:t>
                  </w:r>
                </w:p>
              </w:tc>
              <w:tc>
                <w:tcPr>
                  <w:tcW w:w="1577" w:type="dxa"/>
                </w:tcPr>
                <w:p w14:paraId="2E94D47D"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35C7665E" w14:textId="77777777">
              <w:tc>
                <w:tcPr>
                  <w:tcW w:w="3154" w:type="dxa"/>
                </w:tcPr>
                <w:p w14:paraId="4314F48E"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clincherului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ciment</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cuptoare</w:t>
                  </w:r>
                  <w:proofErr w:type="spellEnd"/>
                  <w:r w:rsidRPr="008D3FC4">
                    <w:rPr>
                      <w:rFonts w:eastAsia="Arial Unicode MS"/>
                      <w:color w:val="000000" w:themeColor="text1"/>
                      <w:sz w:val="20"/>
                      <w:szCs w:val="20"/>
                      <w:shd w:val="clear" w:color="auto" w:fill="FFFFFF"/>
                      <w:lang w:val="en-US"/>
                    </w:rPr>
                    <w:t xml:space="preserve"> rotative cu o capacitate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500 de tone pe zi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alte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cuptoare</w:t>
                  </w:r>
                  <w:proofErr w:type="spellEnd"/>
                  <w:r w:rsidRPr="008D3FC4">
                    <w:rPr>
                      <w:rFonts w:eastAsia="Arial Unicode MS"/>
                      <w:color w:val="000000" w:themeColor="text1"/>
                      <w:sz w:val="20"/>
                      <w:szCs w:val="20"/>
                      <w:shd w:val="clear" w:color="auto" w:fill="FFFFFF"/>
                      <w:lang w:val="en-US"/>
                    </w:rPr>
                    <w:t xml:space="preserve"> cu o capacitate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50 de tone pe zi</w:t>
                  </w:r>
                </w:p>
              </w:tc>
              <w:tc>
                <w:tcPr>
                  <w:tcW w:w="1577" w:type="dxa"/>
                </w:tcPr>
                <w:p w14:paraId="15F6BD43"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21DEA478" w14:textId="77777777">
              <w:tc>
                <w:tcPr>
                  <w:tcW w:w="3154" w:type="dxa"/>
                </w:tcPr>
                <w:p w14:paraId="3DAEF260"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var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calcinarea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dolomitei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magnezitei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cuptoare</w:t>
                  </w:r>
                  <w:proofErr w:type="spellEnd"/>
                  <w:r w:rsidRPr="008D3FC4">
                    <w:rPr>
                      <w:rFonts w:eastAsia="Arial Unicode MS"/>
                      <w:color w:val="000000" w:themeColor="text1"/>
                      <w:sz w:val="20"/>
                      <w:szCs w:val="20"/>
                      <w:shd w:val="clear" w:color="auto" w:fill="FFFFFF"/>
                      <w:lang w:val="en-US"/>
                    </w:rPr>
                    <w:t xml:space="preserve"> rotative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alte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cuptoare</w:t>
                  </w:r>
                  <w:proofErr w:type="spellEnd"/>
                  <w:r w:rsidRPr="008D3FC4">
                    <w:rPr>
                      <w:rFonts w:eastAsia="Arial Unicode MS"/>
                      <w:color w:val="000000" w:themeColor="text1"/>
                      <w:sz w:val="20"/>
                      <w:szCs w:val="20"/>
                      <w:shd w:val="clear" w:color="auto" w:fill="FFFFFF"/>
                      <w:lang w:val="en-US"/>
                    </w:rPr>
                    <w:t xml:space="preserve"> cu o capacitate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50 de tone pe zi</w:t>
                  </w:r>
                </w:p>
              </w:tc>
              <w:tc>
                <w:tcPr>
                  <w:tcW w:w="1577" w:type="dxa"/>
                </w:tcPr>
                <w:p w14:paraId="7B9518A0"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03EE61BC" w14:textId="77777777">
              <w:tc>
                <w:tcPr>
                  <w:tcW w:w="3154" w:type="dxa"/>
                </w:tcPr>
                <w:p w14:paraId="75584A1C"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Fabricarea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sticlei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inclusiv</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fibrei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sticlă</w:t>
                  </w:r>
                  <w:proofErr w:type="spellEnd"/>
                  <w:r w:rsidRPr="008D3FC4">
                    <w:rPr>
                      <w:rFonts w:eastAsia="Arial Unicode MS"/>
                      <w:color w:val="000000" w:themeColor="text1"/>
                      <w:sz w:val="20"/>
                      <w:szCs w:val="20"/>
                      <w:shd w:val="clear" w:color="auto" w:fill="FFFFFF"/>
                      <w:lang w:val="en-US"/>
                    </w:rPr>
                    <w:t xml:space="preserve">, cu o </w:t>
                  </w:r>
                  <w:proofErr w:type="gramStart"/>
                  <w:r w:rsidRPr="008D3FC4">
                    <w:rPr>
                      <w:rFonts w:eastAsia="Arial Unicode MS"/>
                      <w:color w:val="000000" w:themeColor="text1"/>
                      <w:sz w:val="20"/>
                      <w:szCs w:val="20"/>
                      <w:shd w:val="clear" w:color="auto" w:fill="FFFFFF"/>
                      <w:lang w:val="en-US"/>
                    </w:rPr>
                    <w:t>capacitate</w:t>
                  </w:r>
                  <w:proofErr w:type="gram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topire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20 de tone pe zi</w:t>
                  </w:r>
                </w:p>
              </w:tc>
              <w:tc>
                <w:tcPr>
                  <w:tcW w:w="1577" w:type="dxa"/>
                </w:tcPr>
                <w:p w14:paraId="57200F0E"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0F1BD5F4" w14:textId="77777777">
              <w:tc>
                <w:tcPr>
                  <w:tcW w:w="3154" w:type="dxa"/>
                </w:tcPr>
                <w:p w14:paraId="6B280E02"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Fabricarea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prin</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ardere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produse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ceramice</w:t>
                  </w:r>
                  <w:proofErr w:type="spellEnd"/>
                  <w:r w:rsidRPr="008D3FC4">
                    <w:rPr>
                      <w:rFonts w:eastAsia="Arial Unicode MS"/>
                      <w:color w:val="000000" w:themeColor="text1"/>
                      <w:sz w:val="20"/>
                      <w:szCs w:val="20"/>
                      <w:shd w:val="clear" w:color="auto" w:fill="FFFFFF"/>
                      <w:lang w:val="en-US"/>
                    </w:rPr>
                    <w:t xml:space="preserve">, în special de </w:t>
                  </w:r>
                  <w:proofErr w:type="spellStart"/>
                  <w:r w:rsidRPr="008D3FC4">
                    <w:rPr>
                      <w:rFonts w:eastAsia="Arial Unicode MS"/>
                      <w:color w:val="000000" w:themeColor="text1"/>
                      <w:sz w:val="20"/>
                      <w:szCs w:val="20"/>
                      <w:shd w:val="clear" w:color="auto" w:fill="FFFFFF"/>
                      <w:lang w:val="en-US"/>
                    </w:rPr>
                    <w:t>țigle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cărămizi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cărămizi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refractare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plăci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ceramice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gresie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ceramică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porțelan</w:t>
                  </w:r>
                  <w:proofErr w:type="spellEnd"/>
                  <w:r w:rsidRPr="008D3FC4">
                    <w:rPr>
                      <w:rFonts w:eastAsia="Arial Unicode MS"/>
                      <w:color w:val="000000" w:themeColor="text1"/>
                      <w:sz w:val="20"/>
                      <w:szCs w:val="20"/>
                      <w:shd w:val="clear" w:color="auto" w:fill="FFFFFF"/>
                      <w:lang w:val="en-US"/>
                    </w:rPr>
                    <w:t xml:space="preserve">, cu o </w:t>
                  </w:r>
                  <w:proofErr w:type="gramStart"/>
                  <w:r w:rsidRPr="008D3FC4">
                    <w:rPr>
                      <w:rFonts w:eastAsia="Arial Unicode MS"/>
                      <w:color w:val="000000" w:themeColor="text1"/>
                      <w:sz w:val="20"/>
                      <w:szCs w:val="20"/>
                      <w:shd w:val="clear" w:color="auto" w:fill="FFFFFF"/>
                      <w:lang w:val="en-US"/>
                    </w:rPr>
                    <w:t>capacitate</w:t>
                  </w:r>
                  <w:proofErr w:type="gram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75 de tone pe zi</w:t>
                  </w:r>
                </w:p>
              </w:tc>
              <w:tc>
                <w:tcPr>
                  <w:tcW w:w="1577" w:type="dxa"/>
                </w:tcPr>
                <w:p w14:paraId="7AAE6313"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16153DD6" w14:textId="77777777">
              <w:tc>
                <w:tcPr>
                  <w:tcW w:w="3154" w:type="dxa"/>
                </w:tcPr>
                <w:p w14:paraId="39EBA378"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Fabricarea</w:t>
                  </w:r>
                  <w:proofErr w:type="spellEnd"/>
                  <w:r w:rsidRPr="008D3FC4">
                    <w:rPr>
                      <w:rFonts w:eastAsia="Arial Unicode MS"/>
                      <w:color w:val="000000" w:themeColor="text1"/>
                      <w:sz w:val="20"/>
                      <w:szCs w:val="20"/>
                      <w:shd w:val="clear" w:color="auto" w:fill="FFFFFF"/>
                      <w:lang w:val="en-US"/>
                    </w:rPr>
                    <w:t xml:space="preserve"> de material </w:t>
                  </w:r>
                  <w:proofErr w:type="spellStart"/>
                  <w:r w:rsidRPr="008D3FC4">
                    <w:rPr>
                      <w:rFonts w:eastAsia="Arial Unicode MS"/>
                      <w:color w:val="000000" w:themeColor="text1"/>
                      <w:sz w:val="20"/>
                      <w:szCs w:val="20"/>
                      <w:shd w:val="clear" w:color="auto" w:fill="FFFFFF"/>
                      <w:lang w:val="en-US"/>
                    </w:rPr>
                    <w:t>izolant</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vată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minerală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folosind</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sticlă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rocă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zgură</w:t>
                  </w:r>
                  <w:proofErr w:type="spellEnd"/>
                  <w:r w:rsidRPr="008D3FC4">
                    <w:rPr>
                      <w:rFonts w:eastAsia="Arial Unicode MS"/>
                      <w:color w:val="000000" w:themeColor="text1"/>
                      <w:sz w:val="20"/>
                      <w:szCs w:val="20"/>
                      <w:shd w:val="clear" w:color="auto" w:fill="FFFFFF"/>
                      <w:lang w:val="en-US"/>
                    </w:rPr>
                    <w:t xml:space="preserve">, cu o </w:t>
                  </w:r>
                  <w:proofErr w:type="gramStart"/>
                  <w:r w:rsidRPr="008D3FC4">
                    <w:rPr>
                      <w:rFonts w:eastAsia="Arial Unicode MS"/>
                      <w:color w:val="000000" w:themeColor="text1"/>
                      <w:sz w:val="20"/>
                      <w:szCs w:val="20"/>
                      <w:shd w:val="clear" w:color="auto" w:fill="FFFFFF"/>
                      <w:lang w:val="en-US"/>
                    </w:rPr>
                    <w:t>capacitate</w:t>
                  </w:r>
                  <w:proofErr w:type="gram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topire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20 de tone pe zi</w:t>
                  </w:r>
                </w:p>
              </w:tc>
              <w:tc>
                <w:tcPr>
                  <w:tcW w:w="1577" w:type="dxa"/>
                </w:tcPr>
                <w:p w14:paraId="1FEB046B"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2A12AC13" w14:textId="77777777">
              <w:tc>
                <w:tcPr>
                  <w:tcW w:w="4731" w:type="dxa"/>
                  <w:gridSpan w:val="2"/>
                </w:tcPr>
                <w:p w14:paraId="47F200B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62" w:tooltip="32023L0959: REPLACED" w:history="1">
                    <w:r>
                      <w:rPr>
                        <w:rStyle w:val="af3"/>
                        <w:rFonts w:eastAsia="Arial Unicode MS"/>
                        <w:b/>
                        <w:bCs/>
                        <w:color w:val="4472C4" w:themeColor="accent1"/>
                        <w:sz w:val="20"/>
                        <w:szCs w:val="20"/>
                      </w:rPr>
                      <w:t>▼M15</w:t>
                    </w:r>
                  </w:hyperlink>
                </w:p>
              </w:tc>
            </w:tr>
            <w:tr w:rsidR="00124364" w14:paraId="3BE01E8F" w14:textId="77777777">
              <w:tc>
                <w:tcPr>
                  <w:tcW w:w="3154" w:type="dxa"/>
                </w:tcPr>
                <w:p w14:paraId="296019D7"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lastRenderedPageBreak/>
                    <w:t>Uscarea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calcinarea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ghipsului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fabricarea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plăcilor</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ipsos</w:t>
                  </w:r>
                  <w:proofErr w:type="spellEnd"/>
                  <w:r w:rsidRPr="008D3FC4">
                    <w:rPr>
                      <w:rFonts w:eastAsia="Arial Unicode MS"/>
                      <w:color w:val="000000" w:themeColor="text1"/>
                      <w:sz w:val="20"/>
                      <w:szCs w:val="20"/>
                      <w:shd w:val="clear" w:color="auto" w:fill="FFFFFF"/>
                      <w:lang w:val="en-US"/>
                    </w:rPr>
                    <w:t xml:space="preserve"> și </w:t>
                  </w:r>
                  <w:proofErr w:type="gramStart"/>
                  <w:r w:rsidRPr="008D3FC4">
                    <w:rPr>
                      <w:rFonts w:eastAsia="Arial Unicode MS"/>
                      <w:color w:val="000000" w:themeColor="text1"/>
                      <w:sz w:val="20"/>
                      <w:szCs w:val="20"/>
                      <w:shd w:val="clear" w:color="auto" w:fill="FFFFFF"/>
                      <w:lang w:val="en-US"/>
                    </w:rPr>
                    <w:t>a</w:t>
                  </w:r>
                  <w:proofErr w:type="gram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altor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produse</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ghips</w:t>
                  </w:r>
                  <w:proofErr w:type="spellEnd"/>
                  <w:r w:rsidRPr="008D3FC4">
                    <w:rPr>
                      <w:rFonts w:eastAsia="Arial Unicode MS"/>
                      <w:color w:val="000000" w:themeColor="text1"/>
                      <w:sz w:val="20"/>
                      <w:szCs w:val="20"/>
                      <w:shd w:val="clear" w:color="auto" w:fill="FFFFFF"/>
                      <w:lang w:val="en-US"/>
                    </w:rPr>
                    <w:t xml:space="preserve">, cu o capacitate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ghips</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calcinat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ghips</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secundar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uscat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20 de tone pe zi</w:t>
                  </w:r>
                </w:p>
              </w:tc>
              <w:tc>
                <w:tcPr>
                  <w:tcW w:w="1577" w:type="dxa"/>
                </w:tcPr>
                <w:p w14:paraId="66CC04C6"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ascii="Arial Unicode MS" w:eastAsia="Arial Unicode MS" w:hAnsi="Arial Unicode MS" w:cs="Arial Unicode MS" w:hint="eastAsia"/>
                      <w:color w:val="333333"/>
                      <w:sz w:val="21"/>
                      <w:szCs w:val="21"/>
                      <w:shd w:val="clear" w:color="auto" w:fill="FFFFFF"/>
                    </w:rPr>
                    <w:t>Dioxid</w:t>
                  </w:r>
                  <w:proofErr w:type="spellEnd"/>
                  <w:r>
                    <w:rPr>
                      <w:rFonts w:ascii="Arial Unicode MS" w:eastAsia="Arial Unicode MS" w:hAnsi="Arial Unicode MS" w:cs="Arial Unicode MS" w:hint="eastAsia"/>
                      <w:color w:val="333333"/>
                      <w:sz w:val="21"/>
                      <w:szCs w:val="21"/>
                      <w:shd w:val="clear" w:color="auto" w:fill="FFFFFF"/>
                    </w:rPr>
                    <w:t xml:space="preserve"> </w:t>
                  </w:r>
                  <w:proofErr w:type="spellStart"/>
                  <w:r>
                    <w:rPr>
                      <w:rFonts w:ascii="Arial Unicode MS" w:eastAsia="Arial Unicode MS" w:hAnsi="Arial Unicode MS" w:cs="Arial Unicode MS" w:hint="eastAsia"/>
                      <w:color w:val="333333"/>
                      <w:sz w:val="21"/>
                      <w:szCs w:val="21"/>
                      <w:shd w:val="clear" w:color="auto" w:fill="FFFFFF"/>
                    </w:rPr>
                    <w:t>de</w:t>
                  </w:r>
                  <w:proofErr w:type="spellEnd"/>
                  <w:r>
                    <w:rPr>
                      <w:rFonts w:ascii="Arial Unicode MS" w:eastAsia="Arial Unicode MS" w:hAnsi="Arial Unicode MS" w:cs="Arial Unicode MS" w:hint="eastAsia"/>
                      <w:color w:val="333333"/>
                      <w:sz w:val="21"/>
                      <w:szCs w:val="21"/>
                      <w:shd w:val="clear" w:color="auto" w:fill="FFFFFF"/>
                    </w:rPr>
                    <w:t xml:space="preserve"> carbon</w:t>
                  </w:r>
                </w:p>
              </w:tc>
            </w:tr>
            <w:tr w:rsidR="00124364" w14:paraId="681E31DD" w14:textId="77777777">
              <w:tc>
                <w:tcPr>
                  <w:tcW w:w="4731" w:type="dxa"/>
                  <w:gridSpan w:val="2"/>
                </w:tcPr>
                <w:p w14:paraId="20012CBE"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63" w:tooltip="32009L0029: REPLACED" w:history="1">
                    <w:r>
                      <w:rPr>
                        <w:rStyle w:val="af3"/>
                        <w:rFonts w:eastAsia="Arial Unicode MS"/>
                        <w:b/>
                        <w:bCs/>
                        <w:color w:val="4472C4" w:themeColor="accent1"/>
                        <w:sz w:val="20"/>
                        <w:szCs w:val="20"/>
                      </w:rPr>
                      <w:t>▼M4</w:t>
                    </w:r>
                  </w:hyperlink>
                </w:p>
              </w:tc>
            </w:tr>
            <w:tr w:rsidR="00124364" w14:paraId="6C2B2F72" w14:textId="77777777">
              <w:tc>
                <w:tcPr>
                  <w:tcW w:w="3154" w:type="dxa"/>
                </w:tcPr>
                <w:p w14:paraId="696BD801"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celuloză</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lemn</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materiale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fibroase</w:t>
                  </w:r>
                  <w:proofErr w:type="spellEnd"/>
                </w:p>
              </w:tc>
              <w:tc>
                <w:tcPr>
                  <w:tcW w:w="1577" w:type="dxa"/>
                </w:tcPr>
                <w:p w14:paraId="694A8DB4"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7B4ED00D" w14:textId="77777777">
              <w:tc>
                <w:tcPr>
                  <w:tcW w:w="3154" w:type="dxa"/>
                </w:tcPr>
                <w:p w14:paraId="4FC80852"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hârtie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carton, </w:t>
                  </w:r>
                  <w:proofErr w:type="spellStart"/>
                  <w:r w:rsidRPr="008D3FC4">
                    <w:rPr>
                      <w:rFonts w:eastAsia="Arial Unicode MS"/>
                      <w:color w:val="000000" w:themeColor="text1"/>
                      <w:sz w:val="20"/>
                      <w:szCs w:val="20"/>
                      <w:shd w:val="clear" w:color="auto" w:fill="FFFFFF"/>
                      <w:lang w:val="en-US"/>
                    </w:rPr>
                    <w:t>având</w:t>
                  </w:r>
                  <w:proofErr w:type="spellEnd"/>
                  <w:r w:rsidRPr="008D3FC4">
                    <w:rPr>
                      <w:rFonts w:eastAsia="Arial Unicode MS"/>
                      <w:color w:val="000000" w:themeColor="text1"/>
                      <w:sz w:val="20"/>
                      <w:szCs w:val="20"/>
                      <w:shd w:val="clear" w:color="auto" w:fill="FFFFFF"/>
                      <w:lang w:val="en-US"/>
                    </w:rPr>
                    <w:t xml:space="preserve"> o capacitate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mare de 20 tone pe zi</w:t>
                  </w:r>
                </w:p>
              </w:tc>
              <w:tc>
                <w:tcPr>
                  <w:tcW w:w="1577" w:type="dxa"/>
                </w:tcPr>
                <w:p w14:paraId="47F41ECF"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550A71BA" w14:textId="77777777">
              <w:tc>
                <w:tcPr>
                  <w:tcW w:w="4731" w:type="dxa"/>
                  <w:gridSpan w:val="2"/>
                </w:tcPr>
                <w:p w14:paraId="19906F4C"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64" w:tooltip="32023L0959: REPLACED" w:history="1">
                    <w:r>
                      <w:rPr>
                        <w:rStyle w:val="af3"/>
                        <w:rFonts w:eastAsia="Arial Unicode MS"/>
                        <w:b/>
                        <w:bCs/>
                        <w:color w:val="4472C4" w:themeColor="accent1"/>
                        <w:sz w:val="20"/>
                        <w:szCs w:val="20"/>
                      </w:rPr>
                      <w:t>▼M15</w:t>
                    </w:r>
                  </w:hyperlink>
                </w:p>
              </w:tc>
            </w:tr>
            <w:tr w:rsidR="00124364" w14:paraId="6ACC72B6" w14:textId="77777777">
              <w:tc>
                <w:tcPr>
                  <w:tcW w:w="3154" w:type="dxa"/>
                </w:tcPr>
                <w:p w14:paraId="0CB9D27A"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negru</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fum</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implicând</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carbonizarea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substanțe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organice</w:t>
                  </w:r>
                  <w:proofErr w:type="spellEnd"/>
                  <w:r w:rsidRPr="008D3FC4">
                    <w:rPr>
                      <w:rFonts w:eastAsia="Arial Unicode MS"/>
                      <w:color w:val="000000" w:themeColor="text1"/>
                      <w:sz w:val="20"/>
                      <w:szCs w:val="20"/>
                      <w:shd w:val="clear" w:color="auto" w:fill="FFFFFF"/>
                      <w:lang w:val="en-US"/>
                    </w:rPr>
                    <w:t xml:space="preserve"> precum </w:t>
                  </w:r>
                  <w:proofErr w:type="spellStart"/>
                  <w:r w:rsidRPr="008D3FC4">
                    <w:rPr>
                      <w:rFonts w:eastAsia="Arial Unicode MS"/>
                      <w:color w:val="000000" w:themeColor="text1"/>
                      <w:sz w:val="20"/>
                      <w:szCs w:val="20"/>
                      <w:shd w:val="clear" w:color="auto" w:fill="FFFFFF"/>
                      <w:lang w:val="en-US"/>
                    </w:rPr>
                    <w:t>uleiurile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gudronul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reziduurile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cracare</w:t>
                  </w:r>
                  <w:proofErr w:type="spellEnd"/>
                  <w:r w:rsidRPr="008D3FC4">
                    <w:rPr>
                      <w:rFonts w:eastAsia="Arial Unicode MS"/>
                      <w:color w:val="000000" w:themeColor="text1"/>
                      <w:sz w:val="20"/>
                      <w:szCs w:val="20"/>
                      <w:shd w:val="clear" w:color="auto" w:fill="FFFFFF"/>
                      <w:lang w:val="en-US"/>
                    </w:rPr>
                    <w:t xml:space="preserve"> și de </w:t>
                  </w:r>
                  <w:proofErr w:type="spellStart"/>
                  <w:r w:rsidRPr="008D3FC4">
                    <w:rPr>
                      <w:rFonts w:eastAsia="Arial Unicode MS"/>
                      <w:color w:val="000000" w:themeColor="text1"/>
                      <w:sz w:val="20"/>
                      <w:szCs w:val="20"/>
                      <w:shd w:val="clear" w:color="auto" w:fill="FFFFFF"/>
                      <w:lang w:val="en-US"/>
                    </w:rPr>
                    <w:t>distilare</w:t>
                  </w:r>
                  <w:proofErr w:type="spellEnd"/>
                  <w:r w:rsidRPr="008D3FC4">
                    <w:rPr>
                      <w:rFonts w:eastAsia="Arial Unicode MS"/>
                      <w:color w:val="000000" w:themeColor="text1"/>
                      <w:sz w:val="20"/>
                      <w:szCs w:val="20"/>
                      <w:shd w:val="clear" w:color="auto" w:fill="FFFFFF"/>
                      <w:lang w:val="en-US"/>
                    </w:rPr>
                    <w:t xml:space="preserve">, cu o </w:t>
                  </w:r>
                  <w:proofErr w:type="gramStart"/>
                  <w:r w:rsidRPr="008D3FC4">
                    <w:rPr>
                      <w:rFonts w:eastAsia="Arial Unicode MS"/>
                      <w:color w:val="000000" w:themeColor="text1"/>
                      <w:sz w:val="20"/>
                      <w:szCs w:val="20"/>
                      <w:shd w:val="clear" w:color="auto" w:fill="FFFFFF"/>
                      <w:lang w:val="en-US"/>
                    </w:rPr>
                    <w:t>capacitate</w:t>
                  </w:r>
                  <w:proofErr w:type="gram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peste</w:t>
                  </w:r>
                  <w:proofErr w:type="spellEnd"/>
                  <w:r w:rsidRPr="008D3FC4">
                    <w:rPr>
                      <w:rFonts w:eastAsia="Arial Unicode MS"/>
                      <w:color w:val="000000" w:themeColor="text1"/>
                      <w:sz w:val="20"/>
                      <w:szCs w:val="20"/>
                      <w:shd w:val="clear" w:color="auto" w:fill="FFFFFF"/>
                      <w:lang w:val="en-US"/>
                    </w:rPr>
                    <w:t xml:space="preserve"> 50 de tone pe zi</w:t>
                  </w:r>
                </w:p>
              </w:tc>
              <w:tc>
                <w:tcPr>
                  <w:tcW w:w="1577" w:type="dxa"/>
                </w:tcPr>
                <w:p w14:paraId="4FCC46FF"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79AFBE7" w14:textId="77777777">
              <w:tc>
                <w:tcPr>
                  <w:tcW w:w="4731" w:type="dxa"/>
                  <w:gridSpan w:val="2"/>
                </w:tcPr>
                <w:p w14:paraId="4059944C"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65" w:tooltip="32009L0029: REPLACED" w:history="1">
                    <w:r>
                      <w:rPr>
                        <w:rStyle w:val="af3"/>
                        <w:rFonts w:eastAsia="Arial Unicode MS"/>
                        <w:b/>
                        <w:bCs/>
                        <w:color w:val="4472C4" w:themeColor="accent1"/>
                        <w:sz w:val="20"/>
                        <w:szCs w:val="20"/>
                      </w:rPr>
                      <w:t>▼M4</w:t>
                    </w:r>
                  </w:hyperlink>
                </w:p>
              </w:tc>
            </w:tr>
            <w:tr w:rsidR="00124364" w14:paraId="770FEBD7" w14:textId="77777777">
              <w:tc>
                <w:tcPr>
                  <w:tcW w:w="3154" w:type="dxa"/>
                </w:tcPr>
                <w:p w14:paraId="1FBEB406"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rPr>
                    <w:t>Producerea acidului azotic</w:t>
                  </w:r>
                </w:p>
              </w:tc>
              <w:tc>
                <w:tcPr>
                  <w:tcW w:w="1577" w:type="dxa"/>
                </w:tcPr>
                <w:p w14:paraId="720CFB41"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și </w:t>
                  </w:r>
                  <w:proofErr w:type="spellStart"/>
                  <w:r>
                    <w:rPr>
                      <w:rFonts w:eastAsia="Arial Unicode MS"/>
                      <w:color w:val="333333"/>
                      <w:sz w:val="20"/>
                      <w:szCs w:val="20"/>
                      <w:shd w:val="clear" w:color="auto" w:fill="FFFFFF"/>
                      <w:lang w:val="en-US"/>
                    </w:rPr>
                    <w:t>oxid</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azot</w:t>
                  </w:r>
                  <w:proofErr w:type="spellEnd"/>
                </w:p>
              </w:tc>
            </w:tr>
            <w:tr w:rsidR="00124364" w14:paraId="6BE5F0EA" w14:textId="77777777">
              <w:tc>
                <w:tcPr>
                  <w:tcW w:w="3154" w:type="dxa"/>
                </w:tcPr>
                <w:p w14:paraId="38D78148"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rPr>
                  </w:pPr>
                  <w:r>
                    <w:rPr>
                      <w:rFonts w:eastAsia="Arial Unicode MS"/>
                      <w:color w:val="333333"/>
                      <w:sz w:val="20"/>
                      <w:szCs w:val="20"/>
                      <w:shd w:val="clear" w:color="auto" w:fill="FFFFFF"/>
                    </w:rPr>
                    <w:t>Producerea acidului adipic</w:t>
                  </w:r>
                </w:p>
              </w:tc>
              <w:tc>
                <w:tcPr>
                  <w:tcW w:w="1577" w:type="dxa"/>
                </w:tcPr>
                <w:p w14:paraId="3E876978"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și </w:t>
                  </w:r>
                  <w:proofErr w:type="spellStart"/>
                  <w:r>
                    <w:rPr>
                      <w:rFonts w:eastAsia="Arial Unicode MS"/>
                      <w:color w:val="333333"/>
                      <w:sz w:val="20"/>
                      <w:szCs w:val="20"/>
                      <w:shd w:val="clear" w:color="auto" w:fill="FFFFFF"/>
                      <w:lang w:val="en-US"/>
                    </w:rPr>
                    <w:t>oxid</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azot</w:t>
                  </w:r>
                  <w:proofErr w:type="spellEnd"/>
                </w:p>
              </w:tc>
            </w:tr>
            <w:tr w:rsidR="00124364" w14:paraId="17F5EDF7" w14:textId="77777777">
              <w:tc>
                <w:tcPr>
                  <w:tcW w:w="3154" w:type="dxa"/>
                </w:tcPr>
                <w:p w14:paraId="6F58366B"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Producerea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acidului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glioxalic</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glioxilic</w:t>
                  </w:r>
                  <w:proofErr w:type="spellEnd"/>
                </w:p>
              </w:tc>
              <w:tc>
                <w:tcPr>
                  <w:tcW w:w="1577" w:type="dxa"/>
                </w:tcPr>
                <w:p w14:paraId="262C98FD"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Dioxid</w:t>
                  </w:r>
                  <w:proofErr w:type="spellEnd"/>
                  <w:r>
                    <w:rPr>
                      <w:rFonts w:eastAsia="Arial Unicode MS"/>
                      <w:color w:val="333333"/>
                      <w:sz w:val="20"/>
                      <w:szCs w:val="20"/>
                      <w:shd w:val="clear" w:color="auto" w:fill="FFFFFF"/>
                      <w:lang w:val="en-US"/>
                    </w:rPr>
                    <w:t xml:space="preserve"> de carbon și </w:t>
                  </w:r>
                  <w:proofErr w:type="spellStart"/>
                  <w:r>
                    <w:rPr>
                      <w:rFonts w:eastAsia="Arial Unicode MS"/>
                      <w:color w:val="333333"/>
                      <w:sz w:val="20"/>
                      <w:szCs w:val="20"/>
                      <w:shd w:val="clear" w:color="auto" w:fill="FFFFFF"/>
                      <w:lang w:val="en-US"/>
                    </w:rPr>
                    <w:t>oxid</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azot</w:t>
                  </w:r>
                  <w:proofErr w:type="spellEnd"/>
                </w:p>
              </w:tc>
            </w:tr>
            <w:tr w:rsidR="00124364" w14:paraId="1B0F810B" w14:textId="77777777">
              <w:tc>
                <w:tcPr>
                  <w:tcW w:w="3154" w:type="dxa"/>
                </w:tcPr>
                <w:p w14:paraId="50B6DE38"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rPr>
                    <w:t>Producerea amoniacului</w:t>
                  </w:r>
                </w:p>
              </w:tc>
              <w:tc>
                <w:tcPr>
                  <w:tcW w:w="1577" w:type="dxa"/>
                </w:tcPr>
                <w:p w14:paraId="1277DABF"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333A8194" w14:textId="77777777">
              <w:tc>
                <w:tcPr>
                  <w:tcW w:w="3154" w:type="dxa"/>
                </w:tcPr>
                <w:p w14:paraId="3CD64A8E"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Producerea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substanțelor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chimice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organice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vrac</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cracare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reformare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oxidare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completă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parțială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procese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similare</w:t>
                  </w:r>
                  <w:proofErr w:type="spellEnd"/>
                  <w:r>
                    <w:rPr>
                      <w:rFonts w:eastAsia="Arial Unicode MS"/>
                      <w:color w:val="333333"/>
                      <w:sz w:val="20"/>
                      <w:szCs w:val="20"/>
                      <w:shd w:val="clear" w:color="auto" w:fill="FFFFFF"/>
                      <w:lang w:val="en-US"/>
                    </w:rPr>
                    <w:t xml:space="preserve">, cu o </w:t>
                  </w:r>
                  <w:proofErr w:type="gramStart"/>
                  <w:r>
                    <w:rPr>
                      <w:rFonts w:eastAsia="Arial Unicode MS"/>
                      <w:color w:val="333333"/>
                      <w:sz w:val="20"/>
                      <w:szCs w:val="20"/>
                      <w:shd w:val="clear" w:color="auto" w:fill="FFFFFF"/>
                      <w:lang w:val="en-US"/>
                    </w:rPr>
                    <w:t>capacitate</w:t>
                  </w:r>
                  <w:proofErr w:type="gram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producție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depășește</w:t>
                  </w:r>
                  <w:proofErr w:type="spellEnd"/>
                  <w:r>
                    <w:rPr>
                      <w:rFonts w:eastAsia="Arial Unicode MS"/>
                      <w:color w:val="333333"/>
                      <w:sz w:val="20"/>
                      <w:szCs w:val="20"/>
                      <w:shd w:val="clear" w:color="auto" w:fill="FFFFFF"/>
                      <w:lang w:val="en-US"/>
                    </w:rPr>
                    <w:t xml:space="preserve"> 100 de tone pe zi</w:t>
                  </w:r>
                </w:p>
              </w:tc>
              <w:tc>
                <w:tcPr>
                  <w:tcW w:w="1577" w:type="dxa"/>
                </w:tcPr>
                <w:p w14:paraId="03F6EEF9"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F22ED60" w14:textId="77777777">
              <w:tc>
                <w:tcPr>
                  <w:tcW w:w="4731" w:type="dxa"/>
                  <w:gridSpan w:val="2"/>
                </w:tcPr>
                <w:p w14:paraId="6689CA4E"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hyperlink r:id="rId366" w:tooltip="32023L0959: REPLACED" w:history="1">
                    <w:r>
                      <w:rPr>
                        <w:rStyle w:val="af3"/>
                        <w:rFonts w:eastAsia="Arial Unicode MS"/>
                        <w:b/>
                        <w:bCs/>
                        <w:color w:val="4472C4" w:themeColor="accent1"/>
                        <w:sz w:val="20"/>
                        <w:szCs w:val="20"/>
                      </w:rPr>
                      <w:t>▼M15</w:t>
                    </w:r>
                  </w:hyperlink>
                </w:p>
              </w:tc>
            </w:tr>
            <w:tr w:rsidR="00124364" w14:paraId="243B03BA" w14:textId="77777777">
              <w:tc>
                <w:tcPr>
                  <w:tcW w:w="3154" w:type="dxa"/>
                </w:tcPr>
                <w:p w14:paraId="09F949F4" w14:textId="77777777" w:rsidR="00124364" w:rsidRDefault="00000000" w:rsidP="008D3FC4">
                  <w:pPr>
                    <w:pStyle w:val="tbl-norm"/>
                    <w:framePr w:hSpace="180" w:wrap="around" w:vAnchor="text" w:hAnchor="text" w:x="-136" w:y="1"/>
                    <w:spacing w:before="60" w:beforeAutospacing="0" w:after="6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hidrogen</w:t>
                  </w:r>
                  <w:proofErr w:type="spellEnd"/>
                  <w:r w:rsidRPr="008D3FC4">
                    <w:rPr>
                      <w:rFonts w:eastAsia="Arial Unicode MS"/>
                      <w:color w:val="000000" w:themeColor="text1"/>
                      <w:sz w:val="20"/>
                      <w:szCs w:val="20"/>
                      <w:shd w:val="clear" w:color="auto" w:fill="FFFFFF"/>
                      <w:lang w:val="en-US"/>
                    </w:rPr>
                    <w:t xml:space="preserve"> (H</w:t>
                  </w:r>
                  <w:r w:rsidRPr="008D3FC4">
                    <w:rPr>
                      <w:rStyle w:val="subscript"/>
                      <w:rFonts w:eastAsia="Arial Unicode MS"/>
                      <w:color w:val="000000" w:themeColor="text1"/>
                      <w:sz w:val="20"/>
                      <w:szCs w:val="20"/>
                      <w:vertAlign w:val="subscript"/>
                      <w:lang w:val="en-US"/>
                    </w:rPr>
                    <w:t>2</w:t>
                  </w:r>
                  <w:r w:rsidRPr="008D3FC4">
                    <w:rPr>
                      <w:rFonts w:eastAsia="Arial Unicode MS"/>
                      <w:color w:val="000000" w:themeColor="text1"/>
                      <w:sz w:val="20"/>
                      <w:szCs w:val="20"/>
                      <w:shd w:val="clear" w:color="auto" w:fill="FFFFFF"/>
                      <w:lang w:val="en-US"/>
                    </w:rPr>
                    <w:t xml:space="preserve">) și de gaze de </w:t>
                  </w:r>
                  <w:proofErr w:type="spellStart"/>
                  <w:r w:rsidRPr="008D3FC4">
                    <w:rPr>
                      <w:rFonts w:eastAsia="Arial Unicode MS"/>
                      <w:color w:val="000000" w:themeColor="text1"/>
                      <w:sz w:val="20"/>
                      <w:szCs w:val="20"/>
                      <w:shd w:val="clear" w:color="auto" w:fill="FFFFFF"/>
                      <w:lang w:val="en-US"/>
                    </w:rPr>
                    <w:t>sinteză</w:t>
                  </w:r>
                  <w:proofErr w:type="spellEnd"/>
                  <w:r w:rsidRPr="008D3FC4">
                    <w:rPr>
                      <w:rFonts w:eastAsia="Arial Unicode MS"/>
                      <w:color w:val="000000" w:themeColor="text1"/>
                      <w:sz w:val="20"/>
                      <w:szCs w:val="20"/>
                      <w:shd w:val="clear" w:color="auto" w:fill="FFFFFF"/>
                      <w:lang w:val="en-US"/>
                    </w:rPr>
                    <w:t xml:space="preserve">, cu o </w:t>
                  </w:r>
                  <w:proofErr w:type="gramStart"/>
                  <w:r w:rsidRPr="008D3FC4">
                    <w:rPr>
                      <w:rFonts w:eastAsia="Arial Unicode MS"/>
                      <w:color w:val="000000" w:themeColor="text1"/>
                      <w:sz w:val="20"/>
                      <w:szCs w:val="20"/>
                      <w:shd w:val="clear" w:color="auto" w:fill="FFFFFF"/>
                      <w:lang w:val="en-US"/>
                    </w:rPr>
                    <w:t>capacitate</w:t>
                  </w:r>
                  <w:proofErr w:type="gram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producție</w:t>
                  </w:r>
                  <w:proofErr w:type="spellEnd"/>
                  <w:r w:rsidRPr="008D3FC4">
                    <w:rPr>
                      <w:rFonts w:eastAsia="Arial Unicode MS"/>
                      <w:color w:val="000000" w:themeColor="text1"/>
                      <w:sz w:val="20"/>
                      <w:szCs w:val="20"/>
                      <w:shd w:val="clear" w:color="auto" w:fill="FFFFFF"/>
                      <w:lang w:val="en-US"/>
                    </w:rPr>
                    <w:t xml:space="preserve"> care </w:t>
                  </w:r>
                  <w:proofErr w:type="spellStart"/>
                  <w:r w:rsidRPr="008D3FC4">
                    <w:rPr>
                      <w:rFonts w:eastAsia="Arial Unicode MS"/>
                      <w:color w:val="000000" w:themeColor="text1"/>
                      <w:sz w:val="20"/>
                      <w:szCs w:val="20"/>
                      <w:shd w:val="clear" w:color="auto" w:fill="FFFFFF"/>
                      <w:lang w:val="en-US"/>
                    </w:rPr>
                    <w:t>depășește</w:t>
                  </w:r>
                  <w:proofErr w:type="spellEnd"/>
                  <w:r w:rsidRPr="008D3FC4">
                    <w:rPr>
                      <w:rFonts w:eastAsia="Arial Unicode MS"/>
                      <w:color w:val="000000" w:themeColor="text1"/>
                      <w:sz w:val="20"/>
                      <w:szCs w:val="20"/>
                      <w:shd w:val="clear" w:color="auto" w:fill="FFFFFF"/>
                      <w:lang w:val="en-US"/>
                    </w:rPr>
                    <w:t xml:space="preserve"> 5 tone pe zi</w:t>
                  </w:r>
                </w:p>
              </w:tc>
              <w:tc>
                <w:tcPr>
                  <w:tcW w:w="1577" w:type="dxa"/>
                </w:tcPr>
                <w:p w14:paraId="3B96D375"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01BD52B" w14:textId="77777777">
              <w:tc>
                <w:tcPr>
                  <w:tcW w:w="4731" w:type="dxa"/>
                  <w:gridSpan w:val="2"/>
                </w:tcPr>
                <w:p w14:paraId="070AB058"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67" w:tooltip="32009L0029: REPLACED" w:history="1">
                    <w:r>
                      <w:rPr>
                        <w:rStyle w:val="af3"/>
                        <w:rFonts w:eastAsia="Arial Unicode MS"/>
                        <w:b/>
                        <w:bCs/>
                        <w:color w:val="4472C4" w:themeColor="accent1"/>
                        <w:sz w:val="20"/>
                        <w:szCs w:val="20"/>
                      </w:rPr>
                      <w:t>▼M4</w:t>
                    </w:r>
                  </w:hyperlink>
                </w:p>
              </w:tc>
            </w:tr>
            <w:tr w:rsidR="00124364" w14:paraId="3EBAA17E" w14:textId="77777777">
              <w:tc>
                <w:tcPr>
                  <w:tcW w:w="3154" w:type="dxa"/>
                </w:tcPr>
                <w:p w14:paraId="06CDAB1D"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Producerea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sodă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calcinată</w:t>
                  </w:r>
                  <w:proofErr w:type="spellEnd"/>
                  <w:r w:rsidRPr="008D3FC4">
                    <w:rPr>
                      <w:rFonts w:eastAsia="Arial Unicode MS"/>
                      <w:color w:val="000000" w:themeColor="text1"/>
                      <w:sz w:val="20"/>
                      <w:szCs w:val="20"/>
                      <w:shd w:val="clear" w:color="auto" w:fill="FFFFFF"/>
                      <w:lang w:val="en-US"/>
                    </w:rPr>
                    <w:t xml:space="preserve"> (Na</w:t>
                  </w:r>
                  <w:r w:rsidRPr="008D3FC4">
                    <w:rPr>
                      <w:rStyle w:val="subscript"/>
                      <w:rFonts w:eastAsia="Arial Unicode MS"/>
                      <w:color w:val="000000" w:themeColor="text1"/>
                      <w:sz w:val="20"/>
                      <w:szCs w:val="20"/>
                      <w:vertAlign w:val="subscript"/>
                      <w:lang w:val="en-US"/>
                    </w:rPr>
                    <w:t>2</w:t>
                  </w:r>
                  <w:r w:rsidRPr="008D3FC4">
                    <w:rPr>
                      <w:rFonts w:eastAsia="Arial Unicode MS"/>
                      <w:color w:val="000000" w:themeColor="text1"/>
                      <w:sz w:val="20"/>
                      <w:szCs w:val="20"/>
                      <w:shd w:val="clear" w:color="auto" w:fill="FFFFFF"/>
                      <w:lang w:val="en-US"/>
                    </w:rPr>
                    <w:t>CO</w:t>
                  </w:r>
                  <w:r w:rsidRPr="008D3FC4">
                    <w:rPr>
                      <w:rStyle w:val="subscript"/>
                      <w:rFonts w:eastAsia="Arial Unicode MS"/>
                      <w:color w:val="000000" w:themeColor="text1"/>
                      <w:sz w:val="20"/>
                      <w:szCs w:val="20"/>
                      <w:vertAlign w:val="subscript"/>
                      <w:lang w:val="en-US"/>
                    </w:rPr>
                    <w:t>3</w:t>
                  </w:r>
                  <w:r w:rsidRPr="008D3FC4">
                    <w:rPr>
                      <w:rFonts w:eastAsia="Arial Unicode MS"/>
                      <w:color w:val="000000" w:themeColor="text1"/>
                      <w:sz w:val="20"/>
                      <w:szCs w:val="20"/>
                      <w:shd w:val="clear" w:color="auto" w:fill="FFFFFF"/>
                      <w:lang w:val="en-US"/>
                    </w:rPr>
                    <w:t xml:space="preserve">) și de </w:t>
                  </w:r>
                  <w:proofErr w:type="spellStart"/>
                  <w:r w:rsidRPr="008D3FC4">
                    <w:rPr>
                      <w:rFonts w:eastAsia="Arial Unicode MS"/>
                      <w:color w:val="000000" w:themeColor="text1"/>
                      <w:sz w:val="20"/>
                      <w:szCs w:val="20"/>
                      <w:shd w:val="clear" w:color="auto" w:fill="FFFFFF"/>
                      <w:lang w:val="en-US"/>
                    </w:rPr>
                    <w:t>bicarbonat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sodiu</w:t>
                  </w:r>
                  <w:proofErr w:type="spellEnd"/>
                  <w:r w:rsidRPr="008D3FC4">
                    <w:rPr>
                      <w:rFonts w:eastAsia="Arial Unicode MS"/>
                      <w:color w:val="000000" w:themeColor="text1"/>
                      <w:sz w:val="20"/>
                      <w:szCs w:val="20"/>
                      <w:shd w:val="clear" w:color="auto" w:fill="FFFFFF"/>
                      <w:lang w:val="en-US"/>
                    </w:rPr>
                    <w:t xml:space="preserve"> (NaHCO</w:t>
                  </w:r>
                  <w:r w:rsidRPr="008D3FC4">
                    <w:rPr>
                      <w:rStyle w:val="subscript"/>
                      <w:rFonts w:eastAsia="Arial Unicode MS"/>
                      <w:color w:val="000000" w:themeColor="text1"/>
                      <w:sz w:val="20"/>
                      <w:szCs w:val="20"/>
                      <w:vertAlign w:val="subscript"/>
                      <w:lang w:val="en-US"/>
                    </w:rPr>
                    <w:t>3</w:t>
                  </w:r>
                  <w:r w:rsidRPr="008D3FC4">
                    <w:rPr>
                      <w:rFonts w:eastAsia="Arial Unicode MS"/>
                      <w:color w:val="000000" w:themeColor="text1"/>
                      <w:sz w:val="20"/>
                      <w:szCs w:val="20"/>
                      <w:shd w:val="clear" w:color="auto" w:fill="FFFFFF"/>
                      <w:lang w:val="en-US"/>
                    </w:rPr>
                    <w:t>)</w:t>
                  </w:r>
                </w:p>
              </w:tc>
              <w:tc>
                <w:tcPr>
                  <w:tcW w:w="1577" w:type="dxa"/>
                </w:tcPr>
                <w:p w14:paraId="1B2A3EDF"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4B6E91EE" w14:textId="77777777">
              <w:tc>
                <w:tcPr>
                  <w:tcW w:w="3154" w:type="dxa"/>
                </w:tcPr>
                <w:p w14:paraId="18D22642"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lastRenderedPageBreak/>
                    <w:t>Captarea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gazelor</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efect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seră</w:t>
                  </w:r>
                  <w:proofErr w:type="spellEnd"/>
                  <w:r w:rsidRPr="008D3FC4">
                    <w:rPr>
                      <w:rFonts w:eastAsia="Arial Unicode MS"/>
                      <w:color w:val="000000" w:themeColor="text1"/>
                      <w:sz w:val="20"/>
                      <w:szCs w:val="20"/>
                      <w:shd w:val="clear" w:color="auto" w:fill="FFFFFF"/>
                      <w:lang w:val="en-US"/>
                    </w:rPr>
                    <w:t xml:space="preserve"> de la </w:t>
                  </w:r>
                  <w:proofErr w:type="spellStart"/>
                  <w:r w:rsidRPr="008D3FC4">
                    <w:rPr>
                      <w:rFonts w:eastAsia="Arial Unicode MS"/>
                      <w:color w:val="000000" w:themeColor="text1"/>
                      <w:sz w:val="20"/>
                      <w:szCs w:val="20"/>
                      <w:shd w:val="clear" w:color="auto" w:fill="FFFFFF"/>
                      <w:lang w:val="en-US"/>
                    </w:rPr>
                    <w:t>instalațiile</w:t>
                  </w:r>
                  <w:proofErr w:type="spellEnd"/>
                  <w:r w:rsidRPr="008D3FC4">
                    <w:rPr>
                      <w:rFonts w:eastAsia="Arial Unicode MS"/>
                      <w:color w:val="000000" w:themeColor="text1"/>
                      <w:sz w:val="20"/>
                      <w:szCs w:val="20"/>
                      <w:shd w:val="clear" w:color="auto" w:fill="FFFFFF"/>
                      <w:lang w:val="en-US"/>
                    </w:rPr>
                    <w:t xml:space="preserve"> care </w:t>
                  </w:r>
                  <w:proofErr w:type="spellStart"/>
                  <w:r w:rsidRPr="008D3FC4">
                    <w:rPr>
                      <w:rFonts w:eastAsia="Arial Unicode MS"/>
                      <w:color w:val="000000" w:themeColor="text1"/>
                      <w:sz w:val="20"/>
                      <w:szCs w:val="20"/>
                      <w:shd w:val="clear" w:color="auto" w:fill="FFFFFF"/>
                      <w:lang w:val="en-US"/>
                    </w:rPr>
                    <w:t>intră</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sfera</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aplicare</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prezentei</w:t>
                  </w:r>
                  <w:proofErr w:type="spellEnd"/>
                  <w:r w:rsidRPr="008D3FC4">
                    <w:rPr>
                      <w:rFonts w:eastAsia="Arial Unicode MS"/>
                      <w:color w:val="000000" w:themeColor="text1"/>
                      <w:sz w:val="20"/>
                      <w:szCs w:val="20"/>
                      <w:shd w:val="clear" w:color="auto" w:fill="FFFFFF"/>
                      <w:lang w:val="en-US"/>
                    </w:rPr>
                    <w:t xml:space="preserve"> directive în </w:t>
                  </w:r>
                  <w:proofErr w:type="spellStart"/>
                  <w:r w:rsidRPr="008D3FC4">
                    <w:rPr>
                      <w:rFonts w:eastAsia="Arial Unicode MS"/>
                      <w:color w:val="000000" w:themeColor="text1"/>
                      <w:sz w:val="20"/>
                      <w:szCs w:val="20"/>
                      <w:shd w:val="clear" w:color="auto" w:fill="FFFFFF"/>
                      <w:lang w:val="en-US"/>
                    </w:rPr>
                    <w:t>vederea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transportului</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stocării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geologice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w:t>
                  </w:r>
                  <w:proofErr w:type="spellEnd"/>
                  <w:r w:rsidRPr="008D3FC4">
                    <w:rPr>
                      <w:rFonts w:eastAsia="Arial Unicode MS"/>
                      <w:color w:val="000000" w:themeColor="text1"/>
                      <w:sz w:val="20"/>
                      <w:szCs w:val="20"/>
                      <w:shd w:val="clear" w:color="auto" w:fill="FFFFFF"/>
                      <w:lang w:val="en-US"/>
                    </w:rPr>
                    <w:t xml:space="preserve">-un sit de </w:t>
                  </w:r>
                  <w:proofErr w:type="spellStart"/>
                  <w:r w:rsidRPr="008D3FC4">
                    <w:rPr>
                      <w:rFonts w:eastAsia="Arial Unicode MS"/>
                      <w:color w:val="000000" w:themeColor="text1"/>
                      <w:sz w:val="20"/>
                      <w:szCs w:val="20"/>
                      <w:shd w:val="clear" w:color="auto" w:fill="FFFFFF"/>
                      <w:lang w:val="en-US"/>
                    </w:rPr>
                    <w:t>stocare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autorizat</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Directivei</w:t>
                  </w:r>
                  <w:proofErr w:type="spellEnd"/>
                  <w:r w:rsidRPr="008D3FC4">
                    <w:rPr>
                      <w:rFonts w:eastAsia="Arial Unicode MS"/>
                      <w:color w:val="000000" w:themeColor="text1"/>
                      <w:sz w:val="20"/>
                      <w:szCs w:val="20"/>
                      <w:shd w:val="clear" w:color="auto" w:fill="FFFFFF"/>
                      <w:lang w:val="en-US"/>
                    </w:rPr>
                    <w:t xml:space="preserve"> 2009/31/CE</w:t>
                  </w:r>
                </w:p>
              </w:tc>
              <w:tc>
                <w:tcPr>
                  <w:tcW w:w="1577" w:type="dxa"/>
                </w:tcPr>
                <w:p w14:paraId="51127064"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3AED9478" w14:textId="77777777">
              <w:tc>
                <w:tcPr>
                  <w:tcW w:w="4731" w:type="dxa"/>
                  <w:gridSpan w:val="2"/>
                </w:tcPr>
                <w:p w14:paraId="6BE13CFD"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4472C4" w:themeColor="accent1"/>
                      <w:sz w:val="20"/>
                      <w:szCs w:val="20"/>
                      <w:shd w:val="clear" w:color="auto" w:fill="FFFFFF"/>
                    </w:rPr>
                  </w:pPr>
                  <w:hyperlink r:id="rId368" w:tooltip="32023L0959: REPLACED" w:history="1">
                    <w:r>
                      <w:rPr>
                        <w:rStyle w:val="af3"/>
                        <w:rFonts w:eastAsia="Arial Unicode MS"/>
                        <w:b/>
                        <w:bCs/>
                        <w:color w:val="4472C4" w:themeColor="accent1"/>
                        <w:sz w:val="20"/>
                        <w:szCs w:val="20"/>
                      </w:rPr>
                      <w:t>▼M15</w:t>
                    </w:r>
                  </w:hyperlink>
                </w:p>
              </w:tc>
            </w:tr>
            <w:tr w:rsidR="00124364" w14:paraId="6026C71F" w14:textId="77777777">
              <w:tc>
                <w:tcPr>
                  <w:tcW w:w="3154" w:type="dxa"/>
                </w:tcPr>
                <w:p w14:paraId="4765A246" w14:textId="2DCC90D4" w:rsidR="00124364" w:rsidRDefault="00000000" w:rsidP="008D3FC4">
                  <w:pPr>
                    <w:pStyle w:val="tbl-norm"/>
                    <w:framePr w:hSpace="180" w:wrap="around" w:vAnchor="text" w:hAnchor="text" w:x="-136" w:y="1"/>
                    <w:spacing w:before="0" w:beforeAutospacing="0" w:after="0" w:afterAutospacing="0"/>
                    <w:suppressOverlap/>
                    <w:jc w:val="both"/>
                    <w:rPr>
                      <w:sz w:val="20"/>
                      <w:szCs w:val="20"/>
                      <w:lang w:val="en-US"/>
                    </w:rPr>
                  </w:pPr>
                  <w:proofErr w:type="spellStart"/>
                  <w:r w:rsidRPr="008D3FC4">
                    <w:rPr>
                      <w:rFonts w:eastAsia="Arial Unicode MS"/>
                      <w:color w:val="000000" w:themeColor="text1"/>
                      <w:sz w:val="20"/>
                      <w:szCs w:val="20"/>
                      <w:shd w:val="clear" w:color="auto" w:fill="FFFFFF"/>
                      <w:lang w:val="en-US"/>
                    </w:rPr>
                    <w:t>Transportul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gazelor</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efect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seră</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vederea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stocării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geologice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w:t>
                  </w:r>
                  <w:proofErr w:type="spellEnd"/>
                  <w:r w:rsidRPr="008D3FC4">
                    <w:rPr>
                      <w:rFonts w:eastAsia="Arial Unicode MS"/>
                      <w:color w:val="000000" w:themeColor="text1"/>
                      <w:sz w:val="20"/>
                      <w:szCs w:val="20"/>
                      <w:shd w:val="clear" w:color="auto" w:fill="FFFFFF"/>
                      <w:lang w:val="en-US"/>
                    </w:rPr>
                    <w:t xml:space="preserve">-un sit de </w:t>
                  </w:r>
                  <w:proofErr w:type="spellStart"/>
                  <w:r w:rsidRPr="008D3FC4">
                    <w:rPr>
                      <w:rFonts w:eastAsia="Arial Unicode MS"/>
                      <w:color w:val="000000" w:themeColor="text1"/>
                      <w:sz w:val="20"/>
                      <w:szCs w:val="20"/>
                      <w:shd w:val="clear" w:color="auto" w:fill="FFFFFF"/>
                      <w:lang w:val="en-US"/>
                    </w:rPr>
                    <w:t>stocare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autorizat</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Directivei</w:t>
                  </w:r>
                  <w:proofErr w:type="spellEnd"/>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2009/31/CE, cu </w:t>
                  </w:r>
                  <w:proofErr w:type="spellStart"/>
                  <w:r w:rsidRPr="008D3FC4">
                    <w:rPr>
                      <w:rFonts w:eastAsia="Arial Unicode MS"/>
                      <w:color w:val="000000" w:themeColor="text1"/>
                      <w:sz w:val="20"/>
                      <w:szCs w:val="20"/>
                      <w:shd w:val="clear" w:color="auto" w:fill="FFFFFF"/>
                      <w:lang w:val="en-US"/>
                    </w:rPr>
                    <w:t>excepția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emisiilor</w:t>
                  </w:r>
                  <w:proofErr w:type="spellEnd"/>
                  <w:r w:rsidRPr="008D3FC4">
                    <w:rPr>
                      <w:rFonts w:eastAsia="Arial Unicode MS"/>
                      <w:color w:val="000000" w:themeColor="text1"/>
                      <w:sz w:val="20"/>
                      <w:szCs w:val="20"/>
                      <w:shd w:val="clear" w:color="auto" w:fill="FFFFFF"/>
                      <w:lang w:val="en-US"/>
                    </w:rPr>
                    <w:t xml:space="preserve"> care fac </w:t>
                  </w:r>
                  <w:proofErr w:type="spellStart"/>
                  <w:r w:rsidRPr="008D3FC4">
                    <w:rPr>
                      <w:rFonts w:eastAsia="Arial Unicode MS"/>
                      <w:color w:val="000000" w:themeColor="text1"/>
                      <w:sz w:val="20"/>
                      <w:szCs w:val="20"/>
                      <w:shd w:val="clear" w:color="auto" w:fill="FFFFFF"/>
                      <w:lang w:val="en-US"/>
                    </w:rPr>
                    <w:t>obiectul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activități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prezentei</w:t>
                  </w:r>
                  <w:proofErr w:type="spellEnd"/>
                  <w:r w:rsidRPr="008D3FC4">
                    <w:rPr>
                      <w:rFonts w:eastAsia="Arial Unicode MS"/>
                      <w:color w:val="000000" w:themeColor="text1"/>
                      <w:sz w:val="20"/>
                      <w:szCs w:val="20"/>
                      <w:shd w:val="clear" w:color="auto" w:fill="FFFFFF"/>
                      <w:lang w:val="en-US"/>
                    </w:rPr>
                    <w:t xml:space="preserve"> directive</w:t>
                  </w:r>
                </w:p>
              </w:tc>
              <w:tc>
                <w:tcPr>
                  <w:tcW w:w="1577" w:type="dxa"/>
                </w:tcPr>
                <w:p w14:paraId="210F39BD"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268580DD" w14:textId="77777777">
              <w:tc>
                <w:tcPr>
                  <w:tcW w:w="4731" w:type="dxa"/>
                  <w:gridSpan w:val="2"/>
                </w:tcPr>
                <w:p w14:paraId="4AB1EAB2"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69" w:tooltip="32009L0029: REPLACED" w:history="1">
                    <w:r>
                      <w:rPr>
                        <w:rStyle w:val="af3"/>
                        <w:rFonts w:eastAsia="Arial Unicode MS"/>
                        <w:b/>
                        <w:bCs/>
                        <w:color w:val="4472C4" w:themeColor="accent1"/>
                        <w:sz w:val="20"/>
                        <w:szCs w:val="20"/>
                      </w:rPr>
                      <w:t>▼M4</w:t>
                    </w:r>
                  </w:hyperlink>
                </w:p>
              </w:tc>
            </w:tr>
            <w:tr w:rsidR="00124364" w14:paraId="2758B970" w14:textId="77777777">
              <w:tc>
                <w:tcPr>
                  <w:tcW w:w="3154" w:type="dxa"/>
                </w:tcPr>
                <w:p w14:paraId="6AAD5BB9" w14:textId="77777777" w:rsidR="00124364" w:rsidRDefault="00000000" w:rsidP="008D3FC4">
                  <w:pPr>
                    <w:pStyle w:val="tbl-norm"/>
                    <w:framePr w:hSpace="180" w:wrap="around" w:vAnchor="text" w:hAnchor="text" w:x="-136" w:y="1"/>
                    <w:spacing w:before="0" w:beforeAutospacing="0" w:after="0" w:afterAutospacing="0"/>
                    <w:suppressOverlap/>
                    <w:jc w:val="both"/>
                    <w:rPr>
                      <w:sz w:val="20"/>
                      <w:szCs w:val="20"/>
                      <w:lang w:val="en-US"/>
                    </w:rPr>
                  </w:pPr>
                  <w:proofErr w:type="spellStart"/>
                  <w:r w:rsidRPr="008D3FC4">
                    <w:rPr>
                      <w:rFonts w:eastAsia="Arial Unicode MS"/>
                      <w:color w:val="000000" w:themeColor="text1"/>
                      <w:sz w:val="20"/>
                      <w:szCs w:val="20"/>
                      <w:shd w:val="clear" w:color="auto" w:fill="FFFFFF"/>
                      <w:lang w:val="en-US"/>
                    </w:rPr>
                    <w:t>Stocarea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geologică</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gazelor</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efect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seră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w:t>
                  </w:r>
                  <w:proofErr w:type="spellEnd"/>
                  <w:r w:rsidRPr="008D3FC4">
                    <w:rPr>
                      <w:rFonts w:eastAsia="Arial Unicode MS"/>
                      <w:color w:val="000000" w:themeColor="text1"/>
                      <w:sz w:val="20"/>
                      <w:szCs w:val="20"/>
                      <w:shd w:val="clear" w:color="auto" w:fill="FFFFFF"/>
                      <w:lang w:val="en-US"/>
                    </w:rPr>
                    <w:t xml:space="preserve">-un sit de </w:t>
                  </w:r>
                  <w:proofErr w:type="spellStart"/>
                  <w:r w:rsidRPr="008D3FC4">
                    <w:rPr>
                      <w:rFonts w:eastAsia="Arial Unicode MS"/>
                      <w:color w:val="000000" w:themeColor="text1"/>
                      <w:sz w:val="20"/>
                      <w:szCs w:val="20"/>
                      <w:shd w:val="clear" w:color="auto" w:fill="FFFFFF"/>
                      <w:lang w:val="en-US"/>
                    </w:rPr>
                    <w:t>stocare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Directivei</w:t>
                  </w:r>
                  <w:proofErr w:type="spellEnd"/>
                  <w:r w:rsidRPr="008D3FC4">
                    <w:rPr>
                      <w:rFonts w:eastAsia="Arial Unicode MS"/>
                      <w:color w:val="000000" w:themeColor="text1"/>
                      <w:sz w:val="20"/>
                      <w:szCs w:val="20"/>
                      <w:shd w:val="clear" w:color="auto" w:fill="FFFFFF"/>
                      <w:lang w:val="en-US"/>
                    </w:rPr>
                    <w:t xml:space="preserve"> 2009/31/CE</w:t>
                  </w:r>
                </w:p>
              </w:tc>
              <w:tc>
                <w:tcPr>
                  <w:tcW w:w="1577" w:type="dxa"/>
                </w:tcPr>
                <w:p w14:paraId="17A4C650"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7C344933" w14:textId="77777777">
              <w:tc>
                <w:tcPr>
                  <w:tcW w:w="3154" w:type="dxa"/>
                </w:tcPr>
                <w:p w14:paraId="11CED761" w14:textId="2722EECA"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hint="eastAsia"/>
                      <w:color w:val="000000" w:themeColor="text1"/>
                      <w:sz w:val="20"/>
                      <w:szCs w:val="20"/>
                      <w:shd w:val="clear" w:color="auto" w:fill="FFFFFF"/>
                      <w:lang w:eastAsia="zh-CN"/>
                    </w:rPr>
                  </w:pPr>
                  <w:r w:rsidRPr="008D3FC4">
                    <w:rPr>
                      <w:rFonts w:eastAsia="Arial Unicode MS"/>
                      <w:color w:val="000000" w:themeColor="text1"/>
                      <w:sz w:val="20"/>
                      <w:szCs w:val="20"/>
                      <w:shd w:val="clear" w:color="auto" w:fill="FFFFFF"/>
                    </w:rPr>
                    <w:t>Aviație</w:t>
                  </w:r>
                  <w:r w:rsidRPr="008D3FC4">
                    <w:rPr>
                      <w:color w:val="000000" w:themeColor="text1"/>
                    </w:rPr>
                    <w:fldChar w:fldCharType="begin"/>
                  </w:r>
                  <w:r w:rsidRPr="008D3FC4">
                    <w:rPr>
                      <w:color w:val="000000" w:themeColor="text1"/>
                    </w:rPr>
                    <w:instrText>HYPERLINK "https://eur-lex.europa.eu/legal-content/RO/AUTO/?uri=celex:32023L0958" \o "32023L0958: INSERTED"</w:instrText>
                  </w:r>
                  <w:r w:rsidRPr="008D3FC4">
                    <w:rPr>
                      <w:color w:val="000000" w:themeColor="text1"/>
                    </w:rPr>
                  </w:r>
                  <w:r w:rsidRPr="008D3FC4">
                    <w:rPr>
                      <w:color w:val="000000" w:themeColor="text1"/>
                    </w:rPr>
                    <w:fldChar w:fldCharType="separate"/>
                  </w:r>
                  <w:r w:rsidRPr="008D3FC4">
                    <w:rPr>
                      <w:rStyle w:val="boldface"/>
                      <w:rFonts w:eastAsia="Arial Unicode MS"/>
                      <w:b/>
                      <w:bCs/>
                      <w:color w:val="000000" w:themeColor="text1"/>
                      <w:sz w:val="20"/>
                      <w:szCs w:val="20"/>
                    </w:rPr>
                    <w:t>►M14</w:t>
                  </w:r>
                  <w:r w:rsidRPr="008D3FC4">
                    <w:rPr>
                      <w:rStyle w:val="apple-converted-space"/>
                      <w:rFonts w:eastAsia="Arial Unicode MS"/>
                      <w:color w:val="000000" w:themeColor="text1"/>
                      <w:sz w:val="20"/>
                      <w:szCs w:val="20"/>
                    </w:rPr>
                    <w:fldChar w:fldCharType="end"/>
                  </w:r>
                </w:p>
                <w:p w14:paraId="472967F9" w14:textId="08B49D88" w:rsidR="00124364" w:rsidRPr="008D3FC4" w:rsidRDefault="00000000" w:rsidP="008D3FC4">
                  <w:pPr>
                    <w:pStyle w:val="tbl-norm"/>
                    <w:framePr w:hSpace="180" w:wrap="around" w:vAnchor="text" w:hAnchor="text" w:x="-136" w:y="1"/>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w:t>
                  </w:r>
                  <w:proofErr w:type="spellStart"/>
                  <w:r w:rsidRPr="008D3FC4">
                    <w:rPr>
                      <w:rFonts w:eastAsia="Arial Unicode MS"/>
                      <w:color w:val="000000" w:themeColor="text1"/>
                      <w:sz w:val="20"/>
                      <w:szCs w:val="20"/>
                      <w:shd w:val="clear" w:color="auto" w:fill="FFFFFF"/>
                      <w:lang w:val="en-US"/>
                    </w:rPr>
                    <w:t>două</w:t>
                  </w:r>
                  <w:proofErr w:type="spellEnd"/>
                  <w:r w:rsidRPr="008D3FC4">
                    <w:rPr>
                      <w:rFonts w:eastAsia="Arial Unicode MS"/>
                      <w:color w:val="000000" w:themeColor="text1"/>
                      <w:sz w:val="20"/>
                      <w:szCs w:val="20"/>
                      <w:shd w:val="clear" w:color="auto" w:fill="FFFFFF"/>
                      <w:lang w:val="en-US"/>
                    </w:rPr>
                    <w:t xml:space="preserve"> state </w:t>
                  </w:r>
                  <w:proofErr w:type="spellStart"/>
                  <w:r w:rsidRPr="008D3FC4">
                    <w:rPr>
                      <w:rFonts w:eastAsia="Arial Unicode MS"/>
                      <w:color w:val="000000" w:themeColor="text1"/>
                      <w:sz w:val="20"/>
                      <w:szCs w:val="20"/>
                      <w:shd w:val="clear" w:color="auto" w:fill="FFFFFF"/>
                      <w:lang w:val="en-US"/>
                    </w:rPr>
                    <w:t>diferite</w:t>
                  </w:r>
                  <w:proofErr w:type="spellEnd"/>
                  <w:r w:rsidRPr="008D3FC4">
                    <w:rPr>
                      <w:rFonts w:eastAsia="Arial Unicode MS"/>
                      <w:color w:val="000000" w:themeColor="text1"/>
                      <w:sz w:val="20"/>
                      <w:szCs w:val="20"/>
                      <w:shd w:val="clear" w:color="auto" w:fill="FFFFFF"/>
                      <w:lang w:val="en-US"/>
                    </w:rPr>
                    <w:t xml:space="preserve"> care sunt enumerate în </w:t>
                  </w:r>
                  <w:proofErr w:type="spellStart"/>
                  <w:r w:rsidRPr="008D3FC4">
                    <w:rPr>
                      <w:rFonts w:eastAsia="Arial Unicode MS"/>
                      <w:color w:val="000000" w:themeColor="text1"/>
                      <w:sz w:val="20"/>
                      <w:szCs w:val="20"/>
                      <w:shd w:val="clear" w:color="auto" w:fill="FFFFFF"/>
                      <w:lang w:val="en-US"/>
                    </w:rPr>
                    <w:t>actul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punere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aplicare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adoptat</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articolului</w:t>
                  </w:r>
                  <w:proofErr w:type="spellEnd"/>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25a </w:t>
                  </w:r>
                  <w:proofErr w:type="spellStart"/>
                  <w:r w:rsidRPr="008D3FC4">
                    <w:rPr>
                      <w:rFonts w:eastAsia="Arial Unicode MS"/>
                      <w:color w:val="000000" w:themeColor="text1"/>
                      <w:sz w:val="20"/>
                      <w:szCs w:val="20"/>
                      <w:shd w:val="clear" w:color="auto" w:fill="FFFFFF"/>
                      <w:lang w:val="en-US"/>
                    </w:rPr>
                    <w:t>alineatul</w:t>
                  </w:r>
                  <w:proofErr w:type="spellEnd"/>
                  <w:r w:rsidRPr="008D3FC4">
                    <w:rPr>
                      <w:rFonts w:eastAsia="Arial Unicode MS"/>
                      <w:color w:val="000000" w:themeColor="text1"/>
                      <w:sz w:val="20"/>
                      <w:szCs w:val="20"/>
                      <w:shd w:val="clear" w:color="auto" w:fill="FFFFFF"/>
                      <w:lang w:val="en-US"/>
                    </w:rPr>
                    <w:t xml:space="preserve"> (3) și </w:t>
                  </w: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dintre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Elveția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Regatul</w:t>
                  </w:r>
                  <w:proofErr w:type="spellEnd"/>
                  <w:r w:rsidRPr="008D3FC4">
                    <w:rPr>
                      <w:rFonts w:eastAsia="Arial Unicode MS"/>
                      <w:color w:val="000000" w:themeColor="text1"/>
                      <w:sz w:val="20"/>
                      <w:szCs w:val="20"/>
                      <w:shd w:val="clear" w:color="auto" w:fill="FFFFFF"/>
                      <w:lang w:val="en-US"/>
                    </w:rPr>
                    <w:t xml:space="preserve"> Unit și </w:t>
                  </w:r>
                  <w:proofErr w:type="spellStart"/>
                  <w:r w:rsidRPr="008D3FC4">
                    <w:rPr>
                      <w:rFonts w:eastAsia="Arial Unicode MS"/>
                      <w:color w:val="000000" w:themeColor="text1"/>
                      <w:sz w:val="20"/>
                      <w:szCs w:val="20"/>
                      <w:shd w:val="clear" w:color="auto" w:fill="FFFFFF"/>
                      <w:lang w:val="en-US"/>
                    </w:rPr>
                    <w:t>statele</w:t>
                  </w:r>
                  <w:proofErr w:type="spellEnd"/>
                  <w:r w:rsidRPr="008D3FC4">
                    <w:rPr>
                      <w:rFonts w:eastAsia="Arial Unicode MS"/>
                      <w:color w:val="000000" w:themeColor="text1"/>
                      <w:sz w:val="20"/>
                      <w:szCs w:val="20"/>
                      <w:shd w:val="clear" w:color="auto" w:fill="FFFFFF"/>
                      <w:lang w:val="en-US"/>
                    </w:rPr>
                    <w:t xml:space="preserve"> care sunt enumerate în </w:t>
                  </w:r>
                  <w:proofErr w:type="spellStart"/>
                  <w:r w:rsidRPr="008D3FC4">
                    <w:rPr>
                      <w:rFonts w:eastAsia="Arial Unicode MS"/>
                      <w:color w:val="000000" w:themeColor="text1"/>
                      <w:sz w:val="20"/>
                      <w:szCs w:val="20"/>
                      <w:shd w:val="clear" w:color="auto" w:fill="FFFFFF"/>
                      <w:lang w:val="en-US"/>
                    </w:rPr>
                    <w:t>actul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punere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aplicare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adoptat</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articolului</w:t>
                  </w:r>
                  <w:proofErr w:type="spellEnd"/>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25a </w:t>
                  </w:r>
                  <w:proofErr w:type="spellStart"/>
                  <w:r w:rsidRPr="008D3FC4">
                    <w:rPr>
                      <w:rFonts w:eastAsia="Arial Unicode MS"/>
                      <w:color w:val="000000" w:themeColor="text1"/>
                      <w:sz w:val="20"/>
                      <w:szCs w:val="20"/>
                      <w:shd w:val="clear" w:color="auto" w:fill="FFFFFF"/>
                      <w:lang w:val="en-US"/>
                    </w:rPr>
                    <w:t>alineatul</w:t>
                  </w:r>
                  <w:proofErr w:type="spellEnd"/>
                  <w:r w:rsidRPr="008D3FC4">
                    <w:rPr>
                      <w:rFonts w:eastAsia="Arial Unicode MS"/>
                      <w:color w:val="000000" w:themeColor="text1"/>
                      <w:sz w:val="20"/>
                      <w:szCs w:val="20"/>
                      <w:shd w:val="clear" w:color="auto" w:fill="FFFFFF"/>
                      <w:lang w:val="en-US"/>
                    </w:rPr>
                    <w:t xml:space="preserve"> (3) și, în </w:t>
                  </w:r>
                  <w:proofErr w:type="spellStart"/>
                  <w:r w:rsidRPr="008D3FC4">
                    <w:rPr>
                      <w:rFonts w:eastAsia="Arial Unicode MS"/>
                      <w:color w:val="000000" w:themeColor="text1"/>
                      <w:sz w:val="20"/>
                      <w:szCs w:val="20"/>
                      <w:shd w:val="clear" w:color="auto" w:fill="FFFFFF"/>
                      <w:lang w:val="en-US"/>
                    </w:rPr>
                    <w:t>sensul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articolului</w:t>
                  </w:r>
                  <w:proofErr w:type="spellEnd"/>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12 </w:t>
                  </w:r>
                  <w:proofErr w:type="spellStart"/>
                  <w:r w:rsidRPr="008D3FC4">
                    <w:rPr>
                      <w:rFonts w:eastAsia="Arial Unicode MS"/>
                      <w:color w:val="000000" w:themeColor="text1"/>
                      <w:sz w:val="20"/>
                      <w:szCs w:val="20"/>
                      <w:shd w:val="clear" w:color="auto" w:fill="FFFFFF"/>
                      <w:lang w:val="en-US"/>
                    </w:rPr>
                    <w:t>alineatele</w:t>
                  </w:r>
                  <w:proofErr w:type="spellEnd"/>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(6) și</w:t>
                  </w:r>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(8) și al </w:t>
                  </w:r>
                  <w:proofErr w:type="spellStart"/>
                  <w:r w:rsidRPr="008D3FC4">
                    <w:rPr>
                      <w:rFonts w:eastAsia="Arial Unicode MS"/>
                      <w:color w:val="000000" w:themeColor="text1"/>
                      <w:sz w:val="20"/>
                      <w:szCs w:val="20"/>
                      <w:shd w:val="clear" w:color="auto" w:fill="FFFFFF"/>
                      <w:lang w:val="en-US"/>
                    </w:rPr>
                    <w:t>articolului</w:t>
                  </w:r>
                  <w:proofErr w:type="spellEnd"/>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28c, </w:t>
                  </w:r>
                  <w:proofErr w:type="spellStart"/>
                  <w:r w:rsidRPr="008D3FC4">
                    <w:rPr>
                      <w:rFonts w:eastAsia="Arial Unicode MS"/>
                      <w:color w:val="000000" w:themeColor="text1"/>
                      <w:sz w:val="20"/>
                      <w:szCs w:val="20"/>
                      <w:shd w:val="clear" w:color="auto" w:fill="FFFFFF"/>
                      <w:lang w:val="en-US"/>
                    </w:rPr>
                    <w:t>orice</w:t>
                  </w:r>
                  <w:proofErr w:type="spellEnd"/>
                  <w:r w:rsidRPr="008D3FC4">
                    <w:rPr>
                      <w:rFonts w:eastAsia="Arial Unicode MS"/>
                      <w:color w:val="000000" w:themeColor="text1"/>
                      <w:sz w:val="20"/>
                      <w:szCs w:val="20"/>
                      <w:shd w:val="clear" w:color="auto" w:fill="FFFFFF"/>
                      <w:lang w:val="en-US"/>
                    </w:rPr>
                    <w:t xml:space="preserve"> alt </w:t>
                  </w:r>
                  <w:proofErr w:type="spellStart"/>
                  <w:r w:rsidRPr="008D3FC4">
                    <w:rPr>
                      <w:rFonts w:eastAsia="Arial Unicode MS"/>
                      <w:color w:val="000000" w:themeColor="text1"/>
                      <w:sz w:val="20"/>
                      <w:szCs w:val="20"/>
                      <w:shd w:val="clear" w:color="auto" w:fill="FFFFFF"/>
                      <w:lang w:val="en-US"/>
                    </w:rPr>
                    <w:t>zbor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w:t>
                  </w:r>
                  <w:proofErr w:type="spellStart"/>
                  <w:r w:rsidRPr="008D3FC4">
                    <w:rPr>
                      <w:rFonts w:eastAsia="Arial Unicode MS"/>
                      <w:color w:val="000000" w:themeColor="text1"/>
                      <w:sz w:val="20"/>
                      <w:szCs w:val="20"/>
                      <w:shd w:val="clear" w:color="auto" w:fill="FFFFFF"/>
                      <w:lang w:val="en-US"/>
                    </w:rPr>
                    <w:t>două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țări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terțe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diferite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către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operatorii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aeronave</w:t>
                  </w:r>
                  <w:proofErr w:type="spellEnd"/>
                  <w:r w:rsidRPr="008D3FC4">
                    <w:rPr>
                      <w:rFonts w:eastAsia="Arial Unicode MS"/>
                      <w:color w:val="000000" w:themeColor="text1"/>
                      <w:sz w:val="20"/>
                      <w:szCs w:val="20"/>
                      <w:shd w:val="clear" w:color="auto" w:fill="FFFFFF"/>
                      <w:lang w:val="en-US"/>
                    </w:rPr>
                    <w:t xml:space="preserve"> care </w:t>
                  </w:r>
                  <w:proofErr w:type="spellStart"/>
                  <w:r w:rsidRPr="008D3FC4">
                    <w:rPr>
                      <w:rFonts w:eastAsia="Arial Unicode MS"/>
                      <w:color w:val="000000" w:themeColor="text1"/>
                      <w:sz w:val="20"/>
                      <w:szCs w:val="20"/>
                      <w:shd w:val="clear" w:color="auto" w:fill="FFFFFF"/>
                      <w:lang w:val="en-US"/>
                    </w:rPr>
                    <w:t>îndeplinesc</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toate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condițiile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următoare</w:t>
                  </w:r>
                  <w:proofErr w:type="spellEnd"/>
                  <w:r w:rsidRPr="008D3FC4">
                    <w:rPr>
                      <w:rFonts w:eastAsia="Arial Unicode MS"/>
                      <w:color w:val="000000" w:themeColor="text1"/>
                      <w:sz w:val="20"/>
                      <w:szCs w:val="20"/>
                      <w:shd w:val="clear" w:color="auto" w:fill="FFFFFF"/>
                      <w:lang w:val="en-US"/>
                    </w:rPr>
                    <w:t>:</w:t>
                  </w:r>
                  <w:r w:rsidR="008D3FC4">
                    <w:rPr>
                      <w:rStyle w:val="apple-converted-space"/>
                      <w:rFonts w:eastAsia="Arial Unicode MS"/>
                      <w:color w:val="000000" w:themeColor="text1"/>
                      <w:sz w:val="20"/>
                      <w:szCs w:val="20"/>
                      <w:shd w:val="clear" w:color="auto" w:fill="FFFFFF"/>
                      <w:lang w:val="en-US"/>
                    </w:rPr>
                    <w:t xml:space="preserve"> </w:t>
                  </w:r>
                </w:p>
                <w:p w14:paraId="1A869D17" w14:textId="754D8EF6" w:rsidR="00124364" w:rsidRPr="008D3FC4" w:rsidRDefault="00000000" w:rsidP="008D3FC4">
                  <w:pPr>
                    <w:pStyle w:val="tbl-norm"/>
                    <w:framePr w:hSpace="180" w:wrap="around" w:vAnchor="text" w:hAnchor="text" w:x="-136" w:y="1"/>
                    <w:numPr>
                      <w:ilvl w:val="0"/>
                      <w:numId w:val="162"/>
                    </w:numPr>
                    <w:spacing w:before="0" w:beforeAutospacing="0" w:after="0" w:afterAutospacing="0"/>
                    <w:suppressOverlap/>
                    <w:jc w:val="both"/>
                    <w:rPr>
                      <w:rStyle w:val="apple-converted-space"/>
                      <w:color w:val="000000" w:themeColor="text1"/>
                      <w:sz w:val="20"/>
                      <w:szCs w:val="20"/>
                      <w:lang w:val="en-US"/>
                    </w:rPr>
                  </w:pPr>
                  <w:proofErr w:type="spellStart"/>
                  <w:r w:rsidRPr="008D3FC4">
                    <w:rPr>
                      <w:rFonts w:eastAsia="Arial Unicode MS"/>
                      <w:color w:val="000000" w:themeColor="text1"/>
                      <w:sz w:val="20"/>
                      <w:szCs w:val="20"/>
                      <w:shd w:val="clear" w:color="auto" w:fill="FFFFFF"/>
                      <w:lang w:val="en-US"/>
                    </w:rPr>
                    <w:t>operatorii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aeronave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dețin</w:t>
                  </w:r>
                  <w:proofErr w:type="spellEnd"/>
                  <w:r w:rsidRPr="008D3FC4">
                    <w:rPr>
                      <w:rFonts w:eastAsia="Arial Unicode MS"/>
                      <w:color w:val="000000" w:themeColor="text1"/>
                      <w:sz w:val="20"/>
                      <w:szCs w:val="20"/>
                      <w:shd w:val="clear" w:color="auto" w:fill="FFFFFF"/>
                      <w:lang w:val="en-US"/>
                    </w:rPr>
                    <w:t xml:space="preserve"> un </w:t>
                  </w:r>
                  <w:proofErr w:type="spellStart"/>
                  <w:r w:rsidRPr="008D3FC4">
                    <w:rPr>
                      <w:rFonts w:eastAsia="Arial Unicode MS"/>
                      <w:color w:val="000000" w:themeColor="text1"/>
                      <w:sz w:val="20"/>
                      <w:szCs w:val="20"/>
                      <w:shd w:val="clear" w:color="auto" w:fill="FFFFFF"/>
                      <w:lang w:val="en-US"/>
                    </w:rPr>
                    <w:t>certificat</w:t>
                  </w:r>
                  <w:proofErr w:type="spellEnd"/>
                  <w:r w:rsidRPr="008D3FC4">
                    <w:rPr>
                      <w:rFonts w:eastAsia="Arial Unicode MS"/>
                      <w:color w:val="000000" w:themeColor="text1"/>
                      <w:sz w:val="20"/>
                      <w:szCs w:val="20"/>
                      <w:shd w:val="clear" w:color="auto" w:fill="FFFFFF"/>
                      <w:lang w:val="en-US"/>
                    </w:rPr>
                    <w:t xml:space="preserve"> de operator </w:t>
                  </w:r>
                  <w:proofErr w:type="spellStart"/>
                  <w:r w:rsidRPr="008D3FC4">
                    <w:rPr>
                      <w:rFonts w:eastAsia="Arial Unicode MS"/>
                      <w:color w:val="000000" w:themeColor="text1"/>
                      <w:sz w:val="20"/>
                      <w:szCs w:val="20"/>
                      <w:shd w:val="clear" w:color="auto" w:fill="FFFFFF"/>
                      <w:lang w:val="en-US"/>
                    </w:rPr>
                    <w:t>aerian</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eliberat</w:t>
                  </w:r>
                  <w:proofErr w:type="spellEnd"/>
                  <w:r w:rsidRPr="008D3FC4">
                    <w:rPr>
                      <w:rFonts w:eastAsia="Arial Unicode MS"/>
                      <w:color w:val="000000" w:themeColor="text1"/>
                      <w:sz w:val="20"/>
                      <w:szCs w:val="20"/>
                      <w:shd w:val="clear" w:color="auto" w:fill="FFFFFF"/>
                      <w:lang w:val="en-US"/>
                    </w:rPr>
                    <w:t xml:space="preserve"> de un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sunt </w:t>
                  </w:r>
                  <w:proofErr w:type="spellStart"/>
                  <w:r w:rsidRPr="008D3FC4">
                    <w:rPr>
                      <w:rFonts w:eastAsia="Arial Unicode MS"/>
                      <w:color w:val="000000" w:themeColor="text1"/>
                      <w:sz w:val="20"/>
                      <w:szCs w:val="20"/>
                      <w:shd w:val="clear" w:color="auto" w:fill="FFFFFF"/>
                      <w:lang w:val="en-US"/>
                    </w:rPr>
                    <w:t>înregistrați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într</w:t>
                  </w:r>
                  <w:proofErr w:type="spellEnd"/>
                  <w:r w:rsidRPr="008D3FC4">
                    <w:rPr>
                      <w:rFonts w:eastAsia="Arial Unicode MS"/>
                      <w:color w:val="000000" w:themeColor="text1"/>
                      <w:sz w:val="20"/>
                      <w:szCs w:val="20"/>
                      <w:shd w:val="clear" w:color="auto" w:fill="FFFFFF"/>
                      <w:lang w:val="en-US"/>
                    </w:rPr>
                    <w:t xml:space="preserve">-un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inclusiv</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regiunile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ultraperiferice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teritoriile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dependente</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teritoriile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statului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lastRenderedPageBreak/>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respectiv</w:t>
                  </w:r>
                  <w:proofErr w:type="spellEnd"/>
                  <w:r w:rsidRPr="008D3FC4">
                    <w:rPr>
                      <w:rFonts w:eastAsia="Arial Unicode MS"/>
                      <w:color w:val="000000" w:themeColor="text1"/>
                      <w:sz w:val="20"/>
                      <w:szCs w:val="20"/>
                      <w:shd w:val="clear" w:color="auto" w:fill="FFFFFF"/>
                      <w:lang w:val="en-US"/>
                    </w:rPr>
                    <w:t>; și</w:t>
                  </w:r>
                  <w:r w:rsidR="008D3FC4">
                    <w:rPr>
                      <w:rStyle w:val="apple-converted-space"/>
                      <w:rFonts w:eastAsia="Arial Unicode MS"/>
                      <w:color w:val="000000" w:themeColor="text1"/>
                      <w:sz w:val="20"/>
                      <w:szCs w:val="20"/>
                      <w:shd w:val="clear" w:color="auto" w:fill="FFFFFF"/>
                      <w:lang w:val="en-US"/>
                    </w:rPr>
                    <w:t xml:space="preserve"> </w:t>
                  </w:r>
                </w:p>
                <w:p w14:paraId="394548D5" w14:textId="2929B19E" w:rsidR="00124364" w:rsidRPr="008D3FC4" w:rsidRDefault="00000000" w:rsidP="008D3FC4">
                  <w:pPr>
                    <w:pStyle w:val="tbl-norm"/>
                    <w:framePr w:hSpace="180" w:wrap="around" w:vAnchor="text" w:hAnchor="text" w:x="-136" w:y="1"/>
                    <w:numPr>
                      <w:ilvl w:val="0"/>
                      <w:numId w:val="162"/>
                    </w:numPr>
                    <w:spacing w:before="0" w:beforeAutospacing="0" w:after="0" w:afterAutospacing="0"/>
                    <w:suppressOverlap/>
                    <w:jc w:val="both"/>
                    <w:rPr>
                      <w:rStyle w:val="apple-converted-space"/>
                      <w:color w:val="000000" w:themeColor="text1"/>
                      <w:sz w:val="20"/>
                      <w:szCs w:val="20"/>
                      <w:lang w:val="en-US"/>
                    </w:rPr>
                  </w:pPr>
                  <w:proofErr w:type="spellStart"/>
                  <w:r w:rsidRPr="008D3FC4">
                    <w:rPr>
                      <w:rFonts w:eastAsia="Arial Unicode MS"/>
                      <w:color w:val="000000" w:themeColor="text1"/>
                      <w:sz w:val="20"/>
                      <w:szCs w:val="20"/>
                      <w:shd w:val="clear" w:color="auto" w:fill="FFFFFF"/>
                      <w:lang w:val="en-US"/>
                    </w:rPr>
                    <w:t>produc</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emisii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anuale</w:t>
                  </w:r>
                  <w:proofErr w:type="spellEnd"/>
                  <w:r w:rsidRPr="008D3FC4">
                    <w:rPr>
                      <w:rFonts w:eastAsia="Arial Unicode MS"/>
                      <w:color w:val="000000" w:themeColor="text1"/>
                      <w:sz w:val="20"/>
                      <w:szCs w:val="20"/>
                      <w:shd w:val="clear" w:color="auto" w:fill="FFFFFF"/>
                      <w:lang w:val="en-US"/>
                    </w:rPr>
                    <w:t xml:space="preserve"> de CO</w:t>
                  </w:r>
                  <w:r w:rsidRPr="008D3FC4">
                    <w:rPr>
                      <w:rStyle w:val="subscript"/>
                      <w:rFonts w:eastAsia="Arial Unicode MS"/>
                      <w:color w:val="000000" w:themeColor="text1"/>
                      <w:sz w:val="20"/>
                      <w:szCs w:val="20"/>
                      <w:vertAlign w:val="subscript"/>
                      <w:lang w:val="en-US"/>
                    </w:rPr>
                    <w:t>2</w:t>
                  </w:r>
                  <w:r w:rsidR="008D3FC4">
                    <w:rPr>
                      <w:rStyle w:val="apple-converted-space"/>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mari</w:t>
                  </w:r>
                  <w:proofErr w:type="spellEnd"/>
                  <w:r w:rsidRPr="008D3FC4">
                    <w:rPr>
                      <w:rFonts w:eastAsia="Arial Unicode MS"/>
                      <w:color w:val="000000" w:themeColor="text1"/>
                      <w:sz w:val="20"/>
                      <w:szCs w:val="20"/>
                      <w:shd w:val="clear" w:color="auto" w:fill="FFFFFF"/>
                      <w:lang w:val="en-US"/>
                    </w:rPr>
                    <w:t xml:space="preserve"> de 10</w:t>
                  </w:r>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 xml:space="preserve">000 de tone din </w:t>
                  </w:r>
                  <w:proofErr w:type="spellStart"/>
                  <w:r w:rsidRPr="008D3FC4">
                    <w:rPr>
                      <w:rFonts w:eastAsia="Arial Unicode MS"/>
                      <w:color w:val="000000" w:themeColor="text1"/>
                      <w:sz w:val="20"/>
                      <w:szCs w:val="20"/>
                      <w:shd w:val="clear" w:color="auto" w:fill="FFFFFF"/>
                      <w:lang w:val="en-US"/>
                    </w:rPr>
                    <w:t>utilizarea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aeronavelor</w:t>
                  </w:r>
                  <w:proofErr w:type="spellEnd"/>
                  <w:r w:rsidRPr="008D3FC4">
                    <w:rPr>
                      <w:rFonts w:eastAsia="Arial Unicode MS"/>
                      <w:color w:val="000000" w:themeColor="text1"/>
                      <w:sz w:val="20"/>
                      <w:szCs w:val="20"/>
                      <w:shd w:val="clear" w:color="auto" w:fill="FFFFFF"/>
                      <w:lang w:val="en-US"/>
                    </w:rPr>
                    <w:t xml:space="preserve"> cu o </w:t>
                  </w:r>
                  <w:proofErr w:type="spellStart"/>
                  <w:r w:rsidRPr="008D3FC4">
                    <w:rPr>
                      <w:rFonts w:eastAsia="Arial Unicode MS"/>
                      <w:color w:val="000000" w:themeColor="text1"/>
                      <w:sz w:val="20"/>
                      <w:szCs w:val="20"/>
                      <w:shd w:val="clear" w:color="auto" w:fill="FFFFFF"/>
                      <w:lang w:val="en-US"/>
                    </w:rPr>
                    <w:t>masă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maximă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certificată</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decolare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mare de 5</w:t>
                  </w:r>
                  <w:r w:rsidR="008D3FC4">
                    <w:rPr>
                      <w:rFonts w:eastAsia="Arial Unicode MS"/>
                      <w:color w:val="000000" w:themeColor="text1"/>
                      <w:sz w:val="20"/>
                      <w:szCs w:val="20"/>
                      <w:shd w:val="clear" w:color="auto" w:fill="FFFFFF"/>
                      <w:lang w:val="en-US"/>
                    </w:rPr>
                    <w:t xml:space="preserve"> </w:t>
                  </w:r>
                  <w:proofErr w:type="gramStart"/>
                  <w:r w:rsidRPr="008D3FC4">
                    <w:rPr>
                      <w:rFonts w:eastAsia="Arial Unicode MS"/>
                      <w:color w:val="000000" w:themeColor="text1"/>
                      <w:sz w:val="20"/>
                      <w:szCs w:val="20"/>
                      <w:shd w:val="clear" w:color="auto" w:fill="FFFFFF"/>
                      <w:lang w:val="en-US"/>
                    </w:rPr>
                    <w:t xml:space="preserve">700 </w:t>
                  </w:r>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kg</w:t>
                  </w:r>
                  <w:proofErr w:type="gramEnd"/>
                  <w:r w:rsidRPr="008D3FC4">
                    <w:rPr>
                      <w:rFonts w:eastAsia="Arial Unicode MS"/>
                      <w:color w:val="000000" w:themeColor="text1"/>
                      <w:sz w:val="20"/>
                      <w:szCs w:val="20"/>
                      <w:shd w:val="clear" w:color="auto" w:fill="FFFFFF"/>
                      <w:lang w:val="en-US"/>
                    </w:rPr>
                    <w:t xml:space="preserve"> care efectuează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incluse</w:t>
                  </w:r>
                  <w:proofErr w:type="spellEnd"/>
                  <w:r w:rsidRPr="008D3FC4">
                    <w:rPr>
                      <w:rFonts w:eastAsia="Arial Unicode MS"/>
                      <w:color w:val="000000" w:themeColor="text1"/>
                      <w:sz w:val="20"/>
                      <w:szCs w:val="20"/>
                      <w:shd w:val="clear" w:color="auto" w:fill="FFFFFF"/>
                      <w:lang w:val="en-US"/>
                    </w:rPr>
                    <w:t xml:space="preserve"> în prezenta </w:t>
                  </w:r>
                  <w:proofErr w:type="spellStart"/>
                  <w:r w:rsidRPr="008D3FC4">
                    <w:rPr>
                      <w:rFonts w:eastAsia="Arial Unicode MS"/>
                      <w:color w:val="000000" w:themeColor="text1"/>
                      <w:sz w:val="20"/>
                      <w:szCs w:val="20"/>
                      <w:shd w:val="clear" w:color="auto" w:fill="FFFFFF"/>
                      <w:lang w:val="en-US"/>
                    </w:rPr>
                    <w:t>anexă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altele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decât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cele</w:t>
                  </w:r>
                  <w:proofErr w:type="spellEnd"/>
                  <w:r w:rsidRPr="008D3FC4">
                    <w:rPr>
                      <w:rFonts w:eastAsia="Arial Unicode MS"/>
                      <w:color w:val="000000" w:themeColor="text1"/>
                      <w:sz w:val="20"/>
                      <w:szCs w:val="20"/>
                      <w:shd w:val="clear" w:color="auto" w:fill="FFFFFF"/>
                      <w:lang w:val="en-US"/>
                    </w:rPr>
                    <w:t xml:space="preserve"> care </w:t>
                  </w:r>
                  <w:proofErr w:type="spellStart"/>
                  <w:r w:rsidRPr="008D3FC4">
                    <w:rPr>
                      <w:rFonts w:eastAsia="Arial Unicode MS"/>
                      <w:color w:val="000000" w:themeColor="text1"/>
                      <w:sz w:val="20"/>
                      <w:szCs w:val="20"/>
                      <w:shd w:val="clear" w:color="auto" w:fill="FFFFFF"/>
                      <w:lang w:val="en-US"/>
                    </w:rPr>
                    <w:t>pleacă</w:t>
                  </w:r>
                  <w:proofErr w:type="spellEnd"/>
                  <w:r w:rsidRPr="008D3FC4">
                    <w:rPr>
                      <w:rFonts w:eastAsia="Arial Unicode MS"/>
                      <w:color w:val="000000" w:themeColor="text1"/>
                      <w:sz w:val="20"/>
                      <w:szCs w:val="20"/>
                      <w:shd w:val="clear" w:color="auto" w:fill="FFFFFF"/>
                      <w:lang w:val="en-US"/>
                    </w:rPr>
                    <w:t xml:space="preserve"> și care </w:t>
                  </w:r>
                  <w:proofErr w:type="spellStart"/>
                  <w:r w:rsidRPr="008D3FC4">
                    <w:rPr>
                      <w:rFonts w:eastAsia="Arial Unicode MS"/>
                      <w:color w:val="000000" w:themeColor="text1"/>
                      <w:sz w:val="20"/>
                      <w:szCs w:val="20"/>
                      <w:shd w:val="clear" w:color="auto" w:fill="FFFFFF"/>
                      <w:lang w:val="en-US"/>
                    </w:rPr>
                    <w:t>sosesc</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același</w:t>
                  </w:r>
                  <w:proofErr w:type="spellEnd"/>
                  <w:r w:rsidRPr="008D3FC4">
                    <w:rPr>
                      <w:rFonts w:eastAsia="Arial Unicode MS"/>
                      <w:color w:val="000000" w:themeColor="text1"/>
                      <w:sz w:val="20"/>
                      <w:szCs w:val="20"/>
                      <w:shd w:val="clear" w:color="auto" w:fill="FFFFFF"/>
                      <w:lang w:val="en-US"/>
                    </w:rPr>
                    <w:t xml:space="preserve">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inclusiv</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regiunile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ultraperiferice</w:t>
                  </w:r>
                  <w:proofErr w:type="spellEnd"/>
                  <w:r w:rsidRPr="008D3FC4">
                    <w:rPr>
                      <w:rFonts w:eastAsia="Arial Unicode MS"/>
                      <w:color w:val="000000" w:themeColor="text1"/>
                      <w:sz w:val="20"/>
                      <w:szCs w:val="20"/>
                      <w:shd w:val="clear" w:color="auto" w:fill="FFFFFF"/>
                      <w:lang w:val="en-US"/>
                    </w:rPr>
                    <w:t xml:space="preserve"> ale </w:t>
                  </w:r>
                  <w:proofErr w:type="spellStart"/>
                  <w:r w:rsidRPr="008D3FC4">
                    <w:rPr>
                      <w:rFonts w:eastAsia="Arial Unicode MS"/>
                      <w:color w:val="000000" w:themeColor="text1"/>
                      <w:sz w:val="20"/>
                      <w:szCs w:val="20"/>
                      <w:shd w:val="clear" w:color="auto" w:fill="FFFFFF"/>
                      <w:lang w:val="en-US"/>
                    </w:rPr>
                    <w:t>aceluiași</w:t>
                  </w:r>
                  <w:proofErr w:type="spellEnd"/>
                  <w:r w:rsidRPr="008D3FC4">
                    <w:rPr>
                      <w:rFonts w:eastAsia="Arial Unicode MS"/>
                      <w:color w:val="000000" w:themeColor="text1"/>
                      <w:sz w:val="20"/>
                      <w:szCs w:val="20"/>
                      <w:shd w:val="clear" w:color="auto" w:fill="FFFFFF"/>
                      <w:lang w:val="en-US"/>
                    </w:rPr>
                    <w:t xml:space="preserve">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începând</w:t>
                  </w:r>
                  <w:proofErr w:type="spellEnd"/>
                  <w:r w:rsidRPr="008D3FC4">
                    <w:rPr>
                      <w:rFonts w:eastAsia="Arial Unicode MS"/>
                      <w:color w:val="000000" w:themeColor="text1"/>
                      <w:sz w:val="20"/>
                      <w:szCs w:val="20"/>
                      <w:shd w:val="clear" w:color="auto" w:fill="FFFFFF"/>
                      <w:lang w:val="en-US"/>
                    </w:rPr>
                    <w:t xml:space="preserve"> din 1</w:t>
                  </w:r>
                  <w:r w:rsid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ianuarie</w:t>
                  </w:r>
                  <w:proofErr w:type="spellEnd"/>
                  <w:r w:rsidRPr="008D3FC4">
                    <w:rPr>
                      <w:rFonts w:eastAsia="Arial Unicode MS"/>
                      <w:color w:val="000000" w:themeColor="text1"/>
                      <w:sz w:val="20"/>
                      <w:szCs w:val="20"/>
                      <w:shd w:val="clear" w:color="auto" w:fill="FFFFFF"/>
                      <w:lang w:val="en-US"/>
                    </w:rPr>
                    <w:t xml:space="preserve"> 2021; în </w:t>
                  </w:r>
                  <w:proofErr w:type="spellStart"/>
                  <w:r w:rsidRPr="008D3FC4">
                    <w:rPr>
                      <w:rFonts w:eastAsia="Arial Unicode MS"/>
                      <w:color w:val="000000" w:themeColor="text1"/>
                      <w:sz w:val="20"/>
                      <w:szCs w:val="20"/>
                      <w:shd w:val="clear" w:color="auto" w:fill="FFFFFF"/>
                      <w:lang w:val="en-US"/>
                    </w:rPr>
                    <w:t>sensul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prezentei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litere</w:t>
                  </w:r>
                  <w:proofErr w:type="spellEnd"/>
                  <w:r w:rsidRPr="008D3FC4">
                    <w:rPr>
                      <w:rFonts w:eastAsia="Arial Unicode MS"/>
                      <w:color w:val="000000" w:themeColor="text1"/>
                      <w:sz w:val="20"/>
                      <w:szCs w:val="20"/>
                      <w:shd w:val="clear" w:color="auto" w:fill="FFFFFF"/>
                      <w:lang w:val="en-US"/>
                    </w:rPr>
                    <w:t xml:space="preserve">, nu se </w:t>
                  </w:r>
                  <w:proofErr w:type="spellStart"/>
                  <w:r w:rsidRPr="008D3FC4">
                    <w:rPr>
                      <w:rFonts w:eastAsia="Arial Unicode MS"/>
                      <w:color w:val="000000" w:themeColor="text1"/>
                      <w:sz w:val="20"/>
                      <w:szCs w:val="20"/>
                      <w:shd w:val="clear" w:color="auto" w:fill="FFFFFF"/>
                      <w:lang w:val="en-US"/>
                    </w:rPr>
                    <w:t>iau</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considerare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emisiile</w:t>
                  </w:r>
                  <w:proofErr w:type="spellEnd"/>
                  <w:r w:rsidRPr="008D3FC4">
                    <w:rPr>
                      <w:rFonts w:eastAsia="Arial Unicode MS"/>
                      <w:color w:val="000000" w:themeColor="text1"/>
                      <w:sz w:val="20"/>
                      <w:szCs w:val="20"/>
                      <w:shd w:val="clear" w:color="auto" w:fill="FFFFFF"/>
                      <w:lang w:val="en-US"/>
                    </w:rPr>
                    <w:t xml:space="preserve"> generate de </w:t>
                  </w:r>
                  <w:proofErr w:type="spellStart"/>
                  <w:r w:rsidRPr="008D3FC4">
                    <w:rPr>
                      <w:rFonts w:eastAsia="Arial Unicode MS"/>
                      <w:color w:val="000000" w:themeColor="text1"/>
                      <w:sz w:val="20"/>
                      <w:szCs w:val="20"/>
                      <w:shd w:val="clear" w:color="auto" w:fill="FFFFFF"/>
                      <w:lang w:val="en-US"/>
                    </w:rPr>
                    <w:t>următoarele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tipuri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w:t>
                  </w:r>
                </w:p>
                <w:p w14:paraId="3207E62D" w14:textId="7E1EE746"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r w:rsidRPr="008D3FC4">
                    <w:rPr>
                      <w:rFonts w:eastAsia="Arial Unicode MS"/>
                      <w:color w:val="000000" w:themeColor="text1"/>
                      <w:sz w:val="20"/>
                      <w:szCs w:val="20"/>
                      <w:shd w:val="clear" w:color="auto" w:fill="FFFFFF"/>
                    </w:rPr>
                    <w:t>zboruri de stat;</w:t>
                  </w:r>
                </w:p>
                <w:p w14:paraId="74161B2B" w14:textId="219C2407"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r w:rsidRPr="008D3FC4">
                    <w:rPr>
                      <w:rFonts w:eastAsia="Arial Unicode MS"/>
                      <w:color w:val="000000" w:themeColor="text1"/>
                      <w:sz w:val="20"/>
                      <w:szCs w:val="20"/>
                      <w:shd w:val="clear" w:color="auto" w:fill="FFFFFF"/>
                    </w:rPr>
                    <w:t>zboruri umanitare;</w:t>
                  </w:r>
                </w:p>
                <w:p w14:paraId="0F1D4420" w14:textId="0C1DF809"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r w:rsidRPr="008D3FC4">
                    <w:rPr>
                      <w:rFonts w:eastAsia="Arial Unicode MS"/>
                      <w:color w:val="000000" w:themeColor="text1"/>
                      <w:sz w:val="20"/>
                      <w:szCs w:val="20"/>
                      <w:shd w:val="clear" w:color="auto" w:fill="FFFFFF"/>
                    </w:rPr>
                    <w:t>zboruri medicale;</w:t>
                  </w:r>
                </w:p>
                <w:p w14:paraId="70CB2AB5" w14:textId="74C1233E"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r w:rsidRPr="008D3FC4">
                    <w:rPr>
                      <w:rFonts w:eastAsia="Arial Unicode MS"/>
                      <w:color w:val="000000" w:themeColor="text1"/>
                      <w:sz w:val="20"/>
                      <w:szCs w:val="20"/>
                      <w:shd w:val="clear" w:color="auto" w:fill="FFFFFF"/>
                    </w:rPr>
                    <w:t>zboruri militare;</w:t>
                  </w:r>
                </w:p>
                <w:p w14:paraId="3D324C9A" w14:textId="307207A5"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stingere</w:t>
                  </w:r>
                  <w:proofErr w:type="spellEnd"/>
                  <w:r w:rsidRPr="008D3FC4">
                    <w:rPr>
                      <w:rFonts w:eastAsia="Arial Unicode MS"/>
                      <w:color w:val="000000" w:themeColor="text1"/>
                      <w:sz w:val="20"/>
                      <w:szCs w:val="20"/>
                      <w:shd w:val="clear" w:color="auto" w:fill="FFFFFF"/>
                      <w:lang w:val="en-US"/>
                    </w:rPr>
                    <w:t xml:space="preserve"> </w:t>
                  </w:r>
                  <w:proofErr w:type="gramStart"/>
                  <w:r w:rsidRPr="008D3FC4">
                    <w:rPr>
                      <w:rFonts w:eastAsia="Arial Unicode MS"/>
                      <w:color w:val="000000" w:themeColor="text1"/>
                      <w:sz w:val="20"/>
                      <w:szCs w:val="20"/>
                      <w:shd w:val="clear" w:color="auto" w:fill="FFFFFF"/>
                      <w:lang w:val="en-US"/>
                    </w:rPr>
                    <w:t>a</w:t>
                  </w:r>
                  <w:proofErr w:type="gram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incendiilor</w:t>
                  </w:r>
                  <w:proofErr w:type="spellEnd"/>
                  <w:r w:rsidRPr="008D3FC4">
                    <w:rPr>
                      <w:rFonts w:eastAsia="Arial Unicode MS"/>
                      <w:color w:val="000000" w:themeColor="text1"/>
                      <w:sz w:val="20"/>
                      <w:szCs w:val="20"/>
                      <w:shd w:val="clear" w:color="auto" w:fill="FFFFFF"/>
                      <w:lang w:val="en-US"/>
                    </w:rPr>
                    <w:t>;</w:t>
                  </w:r>
                </w:p>
                <w:p w14:paraId="4DB18A88" w14:textId="43A570A5" w:rsidR="00124364" w:rsidRPr="008D3FC4" w:rsidRDefault="00000000" w:rsidP="008D3FC4">
                  <w:pPr>
                    <w:pStyle w:val="tbl-norm"/>
                    <w:framePr w:hSpace="180" w:wrap="around" w:vAnchor="text" w:hAnchor="text" w:x="-136" w:y="1"/>
                    <w:numPr>
                      <w:ilvl w:val="0"/>
                      <w:numId w:val="163"/>
                    </w:numPr>
                    <w:spacing w:before="0" w:beforeAutospacing="0" w:after="0" w:afterAutospacing="0"/>
                    <w:ind w:left="714" w:hanging="357"/>
                    <w:suppressOverlap/>
                    <w:jc w:val="both"/>
                    <w:rPr>
                      <w:rStyle w:val="apple-converted-space"/>
                      <w:color w:val="000000" w:themeColor="text1"/>
                      <w:sz w:val="20"/>
                      <w:szCs w:val="20"/>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anterioare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ulterioare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umanitar</w:t>
                  </w:r>
                  <w:proofErr w:type="spellEnd"/>
                  <w:r w:rsidRPr="008D3FC4">
                    <w:rPr>
                      <w:rFonts w:eastAsia="Arial Unicode MS"/>
                      <w:color w:val="000000" w:themeColor="text1"/>
                      <w:sz w:val="20"/>
                      <w:szCs w:val="20"/>
                      <w:shd w:val="clear" w:color="auto" w:fill="FFFFFF"/>
                      <w:lang w:val="en-US"/>
                    </w:rPr>
                    <w:t xml:space="preserve">, medical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stingere</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incendiilor</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condiția</w:t>
                  </w:r>
                  <w:proofErr w:type="spellEnd"/>
                  <w:r w:rsidRPr="008D3FC4">
                    <w:rPr>
                      <w:rFonts w:eastAsia="Arial Unicode MS"/>
                      <w:color w:val="000000" w:themeColor="text1"/>
                      <w:sz w:val="20"/>
                      <w:szCs w:val="20"/>
                      <w:shd w:val="clear" w:color="auto" w:fill="FFFFFF"/>
                      <w:lang w:val="en-US"/>
                    </w:rPr>
                    <w:t xml:space="preserve"> ca </w:t>
                  </w:r>
                  <w:proofErr w:type="spellStart"/>
                  <w:r w:rsidRPr="008D3FC4">
                    <w:rPr>
                      <w:rFonts w:eastAsia="Arial Unicode MS"/>
                      <w:color w:val="000000" w:themeColor="text1"/>
                      <w:sz w:val="20"/>
                      <w:szCs w:val="20"/>
                      <w:shd w:val="clear" w:color="auto" w:fill="FFFFFF"/>
                      <w:lang w:val="en-US"/>
                    </w:rPr>
                    <w:t>astfel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să</w:t>
                  </w:r>
                  <w:proofErr w:type="spellEnd"/>
                  <w:r w:rsidRPr="008D3FC4">
                    <w:rPr>
                      <w:rFonts w:eastAsia="Arial Unicode MS"/>
                      <w:color w:val="000000" w:themeColor="text1"/>
                      <w:sz w:val="20"/>
                      <w:szCs w:val="20"/>
                      <w:shd w:val="clear" w:color="auto" w:fill="FFFFFF"/>
                      <w:lang w:val="en-US"/>
                    </w:rPr>
                    <w:t xml:space="preserve"> fi </w:t>
                  </w:r>
                  <w:proofErr w:type="spellStart"/>
                  <w:r w:rsidRPr="008D3FC4">
                    <w:rPr>
                      <w:rFonts w:eastAsia="Arial Unicode MS"/>
                      <w:color w:val="000000" w:themeColor="text1"/>
                      <w:sz w:val="20"/>
                      <w:szCs w:val="20"/>
                      <w:shd w:val="clear" w:color="auto" w:fill="FFFFFF"/>
                      <w:lang w:val="en-US"/>
                    </w:rPr>
                    <w:t>fost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aceeași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aeronavă</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să</w:t>
                  </w:r>
                  <w:proofErr w:type="spellEnd"/>
                  <w:r w:rsidRPr="008D3FC4">
                    <w:rPr>
                      <w:rFonts w:eastAsia="Arial Unicode MS"/>
                      <w:color w:val="000000" w:themeColor="text1"/>
                      <w:sz w:val="20"/>
                      <w:szCs w:val="20"/>
                      <w:shd w:val="clear" w:color="auto" w:fill="FFFFFF"/>
                      <w:lang w:val="en-US"/>
                    </w:rPr>
                    <w:t xml:space="preserve"> fi </w:t>
                  </w:r>
                  <w:proofErr w:type="spellStart"/>
                  <w:r w:rsidRPr="008D3FC4">
                    <w:rPr>
                      <w:rFonts w:eastAsia="Arial Unicode MS"/>
                      <w:color w:val="000000" w:themeColor="text1"/>
                      <w:sz w:val="20"/>
                      <w:szCs w:val="20"/>
                      <w:shd w:val="clear" w:color="auto" w:fill="FFFFFF"/>
                      <w:lang w:val="en-US"/>
                    </w:rPr>
                    <w:t>fost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necesare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pentru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îndeplinirea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activităților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umanitare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medicale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stingere</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incendiilor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aferente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pentru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repoziționarea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lastRenderedPageBreak/>
                    <w:t>după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îndeplinirea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activităților</w:t>
                  </w:r>
                  <w:proofErr w:type="spellEnd"/>
                  <w:r w:rsidRPr="008D3FC4">
                    <w:rPr>
                      <w:rFonts w:eastAsia="Arial Unicode MS"/>
                      <w:color w:val="000000" w:themeColor="text1"/>
                      <w:sz w:val="20"/>
                      <w:szCs w:val="20"/>
                      <w:shd w:val="clear" w:color="auto" w:fill="FFFFFF"/>
                      <w:lang w:val="en-US"/>
                    </w:rPr>
                    <w:t xml:space="preserve"> respective, în </w:t>
                  </w:r>
                  <w:proofErr w:type="spellStart"/>
                  <w:r w:rsidRPr="008D3FC4">
                    <w:rPr>
                      <w:rFonts w:eastAsia="Arial Unicode MS"/>
                      <w:color w:val="000000" w:themeColor="text1"/>
                      <w:sz w:val="20"/>
                      <w:szCs w:val="20"/>
                      <w:shd w:val="clear" w:color="auto" w:fill="FFFFFF"/>
                      <w:lang w:val="en-US"/>
                    </w:rPr>
                    <w:t>vederea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următoarei</w:t>
                  </w:r>
                  <w:proofErr w:type="spellEnd"/>
                  <w:r w:rsidRPr="008D3FC4">
                    <w:rPr>
                      <w:rFonts w:eastAsia="Arial Unicode MS"/>
                      <w:color w:val="000000" w:themeColor="text1"/>
                      <w:sz w:val="20"/>
                      <w:szCs w:val="20"/>
                      <w:shd w:val="clear" w:color="auto" w:fill="FFFFFF"/>
                      <w:lang w:val="en-US"/>
                    </w:rPr>
                    <w:t xml:space="preserve"> sale </w:t>
                  </w:r>
                  <w:proofErr w:type="spellStart"/>
                  <w:r w:rsidRPr="008D3FC4">
                    <w:rPr>
                      <w:rFonts w:eastAsia="Arial Unicode MS"/>
                      <w:color w:val="000000" w:themeColor="text1"/>
                      <w:sz w:val="20"/>
                      <w:szCs w:val="20"/>
                      <w:shd w:val="clear" w:color="auto" w:fill="FFFFFF"/>
                      <w:lang w:val="en-US"/>
                    </w:rPr>
                    <w:t>activități</w:t>
                  </w:r>
                  <w:proofErr w:type="spellEnd"/>
                  <w:r w:rsidRPr="008D3FC4">
                    <w:rPr>
                      <w:rFonts w:eastAsia="Arial Unicode MS"/>
                      <w:color w:val="000000" w:themeColor="text1"/>
                      <w:sz w:val="20"/>
                      <w:szCs w:val="20"/>
                      <w:shd w:val="clear" w:color="auto" w:fill="FFFFFF"/>
                      <w:lang w:val="en-US"/>
                    </w:rPr>
                    <w:t>.</w:t>
                  </w:r>
                  <w:r w:rsidRPr="008D3FC4">
                    <w:rPr>
                      <w:rStyle w:val="boldface"/>
                      <w:rFonts w:eastAsia="Arial Unicode MS"/>
                      <w:b/>
                      <w:bCs/>
                      <w:color w:val="000000" w:themeColor="text1"/>
                      <w:sz w:val="20"/>
                      <w:szCs w:val="20"/>
                    </w:rPr>
                    <w:t>◄</w:t>
                  </w:r>
                </w:p>
                <w:p w14:paraId="2F1C7466" w14:textId="28A6C330" w:rsidR="00124364" w:rsidRPr="008D3FC4" w:rsidRDefault="00000000" w:rsidP="008D3FC4">
                  <w:pPr>
                    <w:pStyle w:val="tbl-norm"/>
                    <w:framePr w:hSpace="180" w:wrap="around" w:vAnchor="text" w:hAnchor="text" w:x="-136" w:y="1"/>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care </w:t>
                  </w:r>
                  <w:proofErr w:type="spellStart"/>
                  <w:r w:rsidRPr="008D3FC4">
                    <w:rPr>
                      <w:rFonts w:eastAsia="Arial Unicode MS"/>
                      <w:color w:val="000000" w:themeColor="text1"/>
                      <w:sz w:val="20"/>
                      <w:szCs w:val="20"/>
                      <w:shd w:val="clear" w:color="auto" w:fill="FFFFFF"/>
                      <w:lang w:val="en-US"/>
                    </w:rPr>
                    <w:t>pleacă</w:t>
                  </w:r>
                  <w:proofErr w:type="spellEnd"/>
                  <w:r w:rsidRPr="008D3FC4">
                    <w:rPr>
                      <w:rFonts w:eastAsia="Arial Unicode MS"/>
                      <w:color w:val="000000" w:themeColor="text1"/>
                      <w:sz w:val="20"/>
                      <w:szCs w:val="20"/>
                      <w:shd w:val="clear" w:color="auto" w:fill="FFFFFF"/>
                      <w:lang w:val="en-US"/>
                    </w:rPr>
                    <w:t xml:space="preserve"> de pe un </w:t>
                  </w:r>
                  <w:proofErr w:type="spellStart"/>
                  <w:r w:rsidRPr="008D3FC4">
                    <w:rPr>
                      <w:rFonts w:eastAsia="Arial Unicode MS"/>
                      <w:color w:val="000000" w:themeColor="text1"/>
                      <w:sz w:val="20"/>
                      <w:szCs w:val="20"/>
                      <w:shd w:val="clear" w:color="auto" w:fill="FFFFFF"/>
                      <w:lang w:val="en-US"/>
                    </w:rPr>
                    <w:t>aerodrom</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situat</w:t>
                  </w:r>
                  <w:proofErr w:type="spellEnd"/>
                  <w:r w:rsidRPr="008D3FC4">
                    <w:rPr>
                      <w:rFonts w:eastAsia="Arial Unicode MS"/>
                      <w:color w:val="000000" w:themeColor="text1"/>
                      <w:sz w:val="20"/>
                      <w:szCs w:val="20"/>
                      <w:shd w:val="clear" w:color="auto" w:fill="FFFFFF"/>
                      <w:lang w:val="en-US"/>
                    </w:rPr>
                    <w:t xml:space="preserve"> pe </w:t>
                  </w:r>
                  <w:proofErr w:type="spellStart"/>
                  <w:r w:rsidRPr="008D3FC4">
                    <w:rPr>
                      <w:rFonts w:eastAsia="Arial Unicode MS"/>
                      <w:color w:val="000000" w:themeColor="text1"/>
                      <w:sz w:val="20"/>
                      <w:szCs w:val="20"/>
                      <w:shd w:val="clear" w:color="auto" w:fill="FFFFFF"/>
                      <w:lang w:val="en-US"/>
                    </w:rPr>
                    <w:t>teritoriul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unui</w:t>
                  </w:r>
                  <w:proofErr w:type="spellEnd"/>
                  <w:r w:rsidRPr="008D3FC4">
                    <w:rPr>
                      <w:rFonts w:eastAsia="Arial Unicode MS"/>
                      <w:color w:val="000000" w:themeColor="text1"/>
                      <w:sz w:val="20"/>
                      <w:szCs w:val="20"/>
                      <w:shd w:val="clear" w:color="auto" w:fill="FFFFFF"/>
                      <w:lang w:val="en-US"/>
                    </w:rPr>
                    <w:t xml:space="preserve">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căruia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w:t>
                  </w:r>
                  <w:proofErr w:type="spellEnd"/>
                  <w:r w:rsidRPr="008D3FC4">
                    <w:rPr>
                      <w:rFonts w:eastAsia="Arial Unicode MS"/>
                      <w:color w:val="000000" w:themeColor="text1"/>
                      <w:sz w:val="20"/>
                      <w:szCs w:val="20"/>
                      <w:shd w:val="clear" w:color="auto" w:fill="FFFFFF"/>
                      <w:lang w:val="en-US"/>
                    </w:rPr>
                    <w:t xml:space="preserve"> se </w:t>
                  </w:r>
                  <w:proofErr w:type="spellStart"/>
                  <w:r w:rsidRPr="008D3FC4">
                    <w:rPr>
                      <w:rFonts w:eastAsia="Arial Unicode MS"/>
                      <w:color w:val="000000" w:themeColor="text1"/>
                      <w:sz w:val="20"/>
                      <w:szCs w:val="20"/>
                      <w:shd w:val="clear" w:color="auto" w:fill="FFFFFF"/>
                      <w:lang w:val="en-US"/>
                    </w:rPr>
                    <w:t>aplică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dispozițiile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tratatului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sosesc</w:t>
                  </w:r>
                  <w:proofErr w:type="spellEnd"/>
                  <w:r w:rsidRPr="008D3FC4">
                    <w:rPr>
                      <w:rFonts w:eastAsia="Arial Unicode MS"/>
                      <w:color w:val="000000" w:themeColor="text1"/>
                      <w:sz w:val="20"/>
                      <w:szCs w:val="20"/>
                      <w:shd w:val="clear" w:color="auto" w:fill="FFFFFF"/>
                      <w:lang w:val="en-US"/>
                    </w:rPr>
                    <w:t xml:space="preserve"> pe un </w:t>
                  </w:r>
                  <w:proofErr w:type="spellStart"/>
                  <w:r w:rsidRPr="008D3FC4">
                    <w:rPr>
                      <w:rFonts w:eastAsia="Arial Unicode MS"/>
                      <w:color w:val="000000" w:themeColor="text1"/>
                      <w:sz w:val="20"/>
                      <w:szCs w:val="20"/>
                      <w:shd w:val="clear" w:color="auto" w:fill="FFFFFF"/>
                      <w:lang w:val="en-US"/>
                    </w:rPr>
                    <w:t>astfel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aerodrom</w:t>
                  </w:r>
                  <w:proofErr w:type="spellEnd"/>
                  <w:r w:rsidRPr="008D3FC4">
                    <w:rPr>
                      <w:rFonts w:eastAsia="Arial Unicode MS"/>
                      <w:color w:val="000000" w:themeColor="text1"/>
                      <w:sz w:val="20"/>
                      <w:szCs w:val="20"/>
                      <w:shd w:val="clear" w:color="auto" w:fill="FFFFFF"/>
                      <w:lang w:val="en-US"/>
                    </w:rPr>
                    <w:t>.</w:t>
                  </w:r>
                </w:p>
                <w:p w14:paraId="71AA4398"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Această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activitate</w:t>
                  </w:r>
                  <w:proofErr w:type="spellEnd"/>
                  <w:r w:rsidRPr="008D3FC4">
                    <w:rPr>
                      <w:rFonts w:eastAsia="Arial Unicode MS"/>
                      <w:color w:val="000000" w:themeColor="text1"/>
                      <w:sz w:val="20"/>
                      <w:szCs w:val="20"/>
                      <w:shd w:val="clear" w:color="auto" w:fill="FFFFFF"/>
                      <w:lang w:val="en-US"/>
                    </w:rPr>
                    <w:t xml:space="preserve"> nu include:</w:t>
                  </w:r>
                  <w:r w:rsidRPr="008D3FC4">
                    <w:rPr>
                      <w:rStyle w:val="apple-converted-space"/>
                      <w:rFonts w:eastAsia="Arial Unicode MS"/>
                      <w:color w:val="000000" w:themeColor="text1"/>
                      <w:sz w:val="20"/>
                      <w:szCs w:val="20"/>
                      <w:shd w:val="clear" w:color="auto" w:fill="FFFFFF"/>
                      <w:lang w:val="en-US"/>
                    </w:rPr>
                    <w:t> </w:t>
                  </w:r>
                </w:p>
                <w:p w14:paraId="2BF0168E" w14:textId="77777777"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exclusiv</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pentru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transportul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monarh</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funcție</w:t>
                  </w:r>
                  <w:proofErr w:type="spellEnd"/>
                  <w:r w:rsidRPr="008D3FC4">
                    <w:rPr>
                      <w:rFonts w:eastAsia="Arial Unicode MS"/>
                      <w:color w:val="000000" w:themeColor="text1"/>
                      <w:sz w:val="20"/>
                      <w:szCs w:val="20"/>
                      <w:shd w:val="clear" w:color="auto" w:fill="FFFFFF"/>
                      <w:lang w:val="en-US"/>
                    </w:rPr>
                    <w:t xml:space="preserve"> și al </w:t>
                  </w:r>
                  <w:proofErr w:type="spellStart"/>
                  <w:r w:rsidRPr="008D3FC4">
                    <w:rPr>
                      <w:rFonts w:eastAsia="Arial Unicode MS"/>
                      <w:color w:val="000000" w:themeColor="text1"/>
                      <w:sz w:val="20"/>
                      <w:szCs w:val="20"/>
                      <w:shd w:val="clear" w:color="auto" w:fill="FFFFFF"/>
                      <w:lang w:val="en-US"/>
                    </w:rPr>
                    <w:t>rudelor</w:t>
                  </w:r>
                  <w:proofErr w:type="spellEnd"/>
                  <w:r w:rsidRPr="008D3FC4">
                    <w:rPr>
                      <w:rFonts w:eastAsia="Arial Unicode MS"/>
                      <w:color w:val="000000" w:themeColor="text1"/>
                      <w:sz w:val="20"/>
                      <w:szCs w:val="20"/>
                      <w:shd w:val="clear" w:color="auto" w:fill="FFFFFF"/>
                      <w:lang w:val="en-US"/>
                    </w:rPr>
                    <w:t xml:space="preserve"> sale </w:t>
                  </w:r>
                  <w:proofErr w:type="spellStart"/>
                  <w:r w:rsidRPr="008D3FC4">
                    <w:rPr>
                      <w:rFonts w:eastAsia="Arial Unicode MS"/>
                      <w:color w:val="000000" w:themeColor="text1"/>
                      <w:sz w:val="20"/>
                      <w:szCs w:val="20"/>
                      <w:shd w:val="clear" w:color="auto" w:fill="FFFFFF"/>
                      <w:lang w:val="en-US"/>
                    </w:rPr>
                    <w:t>apropiate</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șefilor</w:t>
                  </w:r>
                  <w:proofErr w:type="spellEnd"/>
                  <w:r w:rsidRPr="008D3FC4">
                    <w:rPr>
                      <w:rFonts w:eastAsia="Arial Unicode MS"/>
                      <w:color w:val="000000" w:themeColor="text1"/>
                      <w:sz w:val="20"/>
                      <w:szCs w:val="20"/>
                      <w:shd w:val="clear" w:color="auto" w:fill="FFFFFF"/>
                      <w:lang w:val="en-US"/>
                    </w:rPr>
                    <w:t xml:space="preserve"> de stat, al </w:t>
                  </w:r>
                  <w:proofErr w:type="spellStart"/>
                  <w:r w:rsidRPr="008D3FC4">
                    <w:rPr>
                      <w:rFonts w:eastAsia="Arial Unicode MS"/>
                      <w:color w:val="000000" w:themeColor="text1"/>
                      <w:sz w:val="20"/>
                      <w:szCs w:val="20"/>
                      <w:shd w:val="clear" w:color="auto" w:fill="FFFFFF"/>
                      <w:lang w:val="en-US"/>
                    </w:rPr>
                    <w:t>șefilor</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guvern</w:t>
                  </w:r>
                  <w:proofErr w:type="spellEnd"/>
                  <w:r w:rsidRPr="008D3FC4">
                    <w:rPr>
                      <w:rFonts w:eastAsia="Arial Unicode MS"/>
                      <w:color w:val="000000" w:themeColor="text1"/>
                      <w:sz w:val="20"/>
                      <w:szCs w:val="20"/>
                      <w:shd w:val="clear" w:color="auto" w:fill="FFFFFF"/>
                      <w:lang w:val="en-US"/>
                    </w:rPr>
                    <w:t xml:space="preserve"> și al </w:t>
                  </w:r>
                  <w:proofErr w:type="spellStart"/>
                  <w:r w:rsidRPr="008D3FC4">
                    <w:rPr>
                      <w:rFonts w:eastAsia="Arial Unicode MS"/>
                      <w:color w:val="000000" w:themeColor="text1"/>
                      <w:sz w:val="20"/>
                      <w:szCs w:val="20"/>
                      <w:shd w:val="clear" w:color="auto" w:fill="FFFFFF"/>
                      <w:lang w:val="en-US"/>
                    </w:rPr>
                    <w:t>miniștrilor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provenind</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țări</w:t>
                  </w:r>
                  <w:proofErr w:type="spellEnd"/>
                  <w:r w:rsidRPr="008D3FC4">
                    <w:rPr>
                      <w:rFonts w:eastAsia="Arial Unicode MS"/>
                      <w:color w:val="000000" w:themeColor="text1"/>
                      <w:sz w:val="20"/>
                      <w:szCs w:val="20"/>
                      <w:shd w:val="clear" w:color="auto" w:fill="FFFFFF"/>
                      <w:lang w:val="en-US"/>
                    </w:rPr>
                    <w:t xml:space="preserve"> care nu sunt state </w:t>
                  </w:r>
                  <w:proofErr w:type="spellStart"/>
                  <w:r w:rsidRPr="008D3FC4">
                    <w:rPr>
                      <w:rFonts w:eastAsia="Arial Unicode MS"/>
                      <w:color w:val="000000" w:themeColor="text1"/>
                      <w:sz w:val="20"/>
                      <w:szCs w:val="20"/>
                      <w:shd w:val="clear" w:color="auto" w:fill="FFFFFF"/>
                      <w:lang w:val="en-US"/>
                    </w:rPr>
                    <w:t>membre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aflați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misiune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oficială</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condiția</w:t>
                  </w:r>
                  <w:proofErr w:type="spellEnd"/>
                  <w:r w:rsidRPr="008D3FC4">
                    <w:rPr>
                      <w:rFonts w:eastAsia="Arial Unicode MS"/>
                      <w:color w:val="000000" w:themeColor="text1"/>
                      <w:sz w:val="20"/>
                      <w:szCs w:val="20"/>
                      <w:shd w:val="clear" w:color="auto" w:fill="FFFFFF"/>
                      <w:lang w:val="en-US"/>
                    </w:rPr>
                    <w:t xml:space="preserve"> ca o </w:t>
                  </w:r>
                  <w:proofErr w:type="spellStart"/>
                  <w:r w:rsidRPr="008D3FC4">
                    <w:rPr>
                      <w:rFonts w:eastAsia="Arial Unicode MS"/>
                      <w:color w:val="000000" w:themeColor="text1"/>
                      <w:sz w:val="20"/>
                      <w:szCs w:val="20"/>
                      <w:shd w:val="clear" w:color="auto" w:fill="FFFFFF"/>
                      <w:lang w:val="en-US"/>
                    </w:rPr>
                    <w:t>astfel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situație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să</w:t>
                  </w:r>
                  <w:proofErr w:type="spellEnd"/>
                  <w:r w:rsidRPr="008D3FC4">
                    <w:rPr>
                      <w:rFonts w:eastAsia="Arial Unicode MS"/>
                      <w:color w:val="000000" w:themeColor="text1"/>
                      <w:sz w:val="20"/>
                      <w:szCs w:val="20"/>
                      <w:shd w:val="clear" w:color="auto" w:fill="FFFFFF"/>
                      <w:lang w:val="en-US"/>
                    </w:rPr>
                    <w:t xml:space="preserve"> fie </w:t>
                  </w:r>
                  <w:proofErr w:type="spellStart"/>
                  <w:r w:rsidRPr="008D3FC4">
                    <w:rPr>
                      <w:rFonts w:eastAsia="Arial Unicode MS"/>
                      <w:color w:val="000000" w:themeColor="text1"/>
                      <w:sz w:val="20"/>
                      <w:szCs w:val="20"/>
                      <w:shd w:val="clear" w:color="auto" w:fill="FFFFFF"/>
                      <w:lang w:val="en-US"/>
                    </w:rPr>
                    <w:t>dovedită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prin</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indicatorul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corespunzător</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statutului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zborului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planul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zbor</w:t>
                  </w:r>
                  <w:proofErr w:type="spellEnd"/>
                  <w:r w:rsidRPr="008D3FC4">
                    <w:rPr>
                      <w:rFonts w:eastAsia="Arial Unicode MS"/>
                      <w:color w:val="000000" w:themeColor="text1"/>
                      <w:sz w:val="20"/>
                      <w:szCs w:val="20"/>
                      <w:shd w:val="clear" w:color="auto" w:fill="FFFFFF"/>
                      <w:lang w:val="en-US"/>
                    </w:rPr>
                    <w:t>;</w:t>
                  </w:r>
                  <w:r w:rsidRPr="008D3FC4">
                    <w:rPr>
                      <w:rStyle w:val="apple-converted-space"/>
                      <w:rFonts w:eastAsia="Arial Unicode MS"/>
                      <w:color w:val="000000" w:themeColor="text1"/>
                      <w:sz w:val="20"/>
                      <w:szCs w:val="20"/>
                      <w:shd w:val="clear" w:color="auto" w:fill="FFFFFF"/>
                      <w:lang w:val="en-US"/>
                    </w:rPr>
                    <w:t> </w:t>
                  </w:r>
                </w:p>
                <w:p w14:paraId="349E147D" w14:textId="77777777"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militare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aeronave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militare</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ale </w:t>
                  </w:r>
                  <w:proofErr w:type="spellStart"/>
                  <w:r w:rsidRPr="008D3FC4">
                    <w:rPr>
                      <w:rFonts w:eastAsia="Arial Unicode MS"/>
                      <w:color w:val="000000" w:themeColor="text1"/>
                      <w:sz w:val="20"/>
                      <w:szCs w:val="20"/>
                      <w:shd w:val="clear" w:color="auto" w:fill="FFFFFF"/>
                      <w:lang w:val="en-US"/>
                    </w:rPr>
                    <w:t>serviciilor</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vamă</w:t>
                  </w:r>
                  <w:proofErr w:type="spellEnd"/>
                  <w:r w:rsidRPr="008D3FC4">
                    <w:rPr>
                      <w:rFonts w:eastAsia="Arial Unicode MS"/>
                      <w:color w:val="000000" w:themeColor="text1"/>
                      <w:sz w:val="20"/>
                      <w:szCs w:val="20"/>
                      <w:shd w:val="clear" w:color="auto" w:fill="FFFFFF"/>
                      <w:lang w:val="en-US"/>
                    </w:rPr>
                    <w:t xml:space="preserve"> și de </w:t>
                  </w:r>
                  <w:proofErr w:type="spellStart"/>
                  <w:r w:rsidRPr="008D3FC4">
                    <w:rPr>
                      <w:rFonts w:eastAsia="Arial Unicode MS"/>
                      <w:color w:val="000000" w:themeColor="text1"/>
                      <w:sz w:val="20"/>
                      <w:szCs w:val="20"/>
                      <w:shd w:val="clear" w:color="auto" w:fill="FFFFFF"/>
                      <w:lang w:val="en-US"/>
                    </w:rPr>
                    <w:t>poliție</w:t>
                  </w:r>
                  <w:proofErr w:type="spellEnd"/>
                  <w:r w:rsidRPr="008D3FC4">
                    <w:rPr>
                      <w:rFonts w:eastAsia="Arial Unicode MS"/>
                      <w:color w:val="000000" w:themeColor="text1"/>
                      <w:sz w:val="20"/>
                      <w:szCs w:val="20"/>
                      <w:shd w:val="clear" w:color="auto" w:fill="FFFFFF"/>
                      <w:lang w:val="en-US"/>
                    </w:rPr>
                    <w:t>;</w:t>
                  </w:r>
                  <w:r w:rsidRPr="008D3FC4">
                    <w:rPr>
                      <w:rStyle w:val="apple-converted-space"/>
                      <w:rFonts w:eastAsia="Arial Unicode MS"/>
                      <w:color w:val="000000" w:themeColor="text1"/>
                      <w:sz w:val="20"/>
                      <w:szCs w:val="20"/>
                      <w:shd w:val="clear" w:color="auto" w:fill="FFFFFF"/>
                      <w:lang w:val="en-US"/>
                    </w:rPr>
                    <w:t> </w:t>
                  </w:r>
                </w:p>
                <w:p w14:paraId="2F84BD27" w14:textId="77777777"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legate de </w:t>
                  </w:r>
                  <w:proofErr w:type="spellStart"/>
                  <w:r w:rsidRPr="008D3FC4">
                    <w:rPr>
                      <w:rFonts w:eastAsia="Arial Unicode MS"/>
                      <w:color w:val="000000" w:themeColor="text1"/>
                      <w:sz w:val="20"/>
                      <w:szCs w:val="20"/>
                      <w:shd w:val="clear" w:color="auto" w:fill="FFFFFF"/>
                      <w:lang w:val="en-US"/>
                    </w:rPr>
                    <w:t>misiuni</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căutare</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salvare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ale </w:t>
                  </w:r>
                  <w:proofErr w:type="spellStart"/>
                  <w:r w:rsidRPr="008D3FC4">
                    <w:rPr>
                      <w:rFonts w:eastAsia="Arial Unicode MS"/>
                      <w:color w:val="000000" w:themeColor="text1"/>
                      <w:sz w:val="20"/>
                      <w:szCs w:val="20"/>
                      <w:shd w:val="clear" w:color="auto" w:fill="FFFFFF"/>
                      <w:lang w:val="en-US"/>
                    </w:rPr>
                    <w:t>serviciilor</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pompieri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umanitare</w:t>
                  </w:r>
                  <w:proofErr w:type="spellEnd"/>
                  <w:r w:rsidRPr="008D3FC4">
                    <w:rPr>
                      <w:rFonts w:eastAsia="Arial Unicode MS"/>
                      <w:color w:val="000000" w:themeColor="text1"/>
                      <w:sz w:val="20"/>
                      <w:szCs w:val="20"/>
                      <w:shd w:val="clear" w:color="auto" w:fill="FFFFFF"/>
                      <w:lang w:val="en-US"/>
                    </w:rPr>
                    <w:t xml:space="preserve"> și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ale </w:t>
                  </w:r>
                  <w:proofErr w:type="spellStart"/>
                  <w:r w:rsidRPr="008D3FC4">
                    <w:rPr>
                      <w:rFonts w:eastAsia="Arial Unicode MS"/>
                      <w:color w:val="000000" w:themeColor="text1"/>
                      <w:sz w:val="20"/>
                      <w:szCs w:val="20"/>
                      <w:shd w:val="clear" w:color="auto" w:fill="FFFFFF"/>
                      <w:lang w:val="en-US"/>
                    </w:rPr>
                    <w:t>serviciilor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medicale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urgență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autorizate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către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autoritățile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competente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corespunzătoare</w:t>
                  </w:r>
                  <w:proofErr w:type="spellEnd"/>
                  <w:r w:rsidRPr="008D3FC4">
                    <w:rPr>
                      <w:rFonts w:eastAsia="Arial Unicode MS"/>
                      <w:color w:val="000000" w:themeColor="text1"/>
                      <w:sz w:val="20"/>
                      <w:szCs w:val="20"/>
                      <w:shd w:val="clear" w:color="auto" w:fill="FFFFFF"/>
                      <w:lang w:val="en-US"/>
                    </w:rPr>
                    <w:t>;</w:t>
                  </w:r>
                  <w:r w:rsidRPr="008D3FC4">
                    <w:rPr>
                      <w:rStyle w:val="apple-converted-space"/>
                      <w:rFonts w:eastAsia="Arial Unicode MS"/>
                      <w:color w:val="000000" w:themeColor="text1"/>
                      <w:sz w:val="20"/>
                      <w:szCs w:val="20"/>
                      <w:shd w:val="clear" w:color="auto" w:fill="FFFFFF"/>
                      <w:lang w:val="en-US"/>
                    </w:rPr>
                    <w:t> </w:t>
                  </w:r>
                </w:p>
                <w:p w14:paraId="12594E6C" w14:textId="40C7FD66"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lastRenderedPageBreak/>
                    <w:t>orice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exclusiv</w:t>
                  </w:r>
                  <w:proofErr w:type="spellEnd"/>
                  <w:r w:rsidRPr="008D3FC4">
                    <w:rPr>
                      <w:rFonts w:eastAsia="Arial Unicode MS"/>
                      <w:color w:val="000000" w:themeColor="text1"/>
                      <w:sz w:val="20"/>
                      <w:szCs w:val="20"/>
                      <w:shd w:val="clear" w:color="auto" w:fill="FFFFFF"/>
                      <w:lang w:val="en-US"/>
                    </w:rPr>
                    <w:t xml:space="preserve"> în conformitate cu </w:t>
                  </w:r>
                  <w:proofErr w:type="spellStart"/>
                  <w:r w:rsidRPr="008D3FC4">
                    <w:rPr>
                      <w:rFonts w:eastAsia="Arial Unicode MS"/>
                      <w:color w:val="000000" w:themeColor="text1"/>
                      <w:sz w:val="20"/>
                      <w:szCs w:val="20"/>
                      <w:shd w:val="clear" w:color="auto" w:fill="FFFFFF"/>
                      <w:lang w:val="en-US"/>
                    </w:rPr>
                    <w:t>regulile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zbor</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vedere</w:t>
                  </w:r>
                  <w:proofErr w:type="spellEnd"/>
                  <w:r w:rsidRPr="008D3FC4">
                    <w:rPr>
                      <w:rFonts w:eastAsia="Arial Unicode MS"/>
                      <w:color w:val="000000" w:themeColor="text1"/>
                      <w:sz w:val="20"/>
                      <w:szCs w:val="20"/>
                      <w:shd w:val="clear" w:color="auto" w:fill="FFFFFF"/>
                      <w:lang w:val="en-US"/>
                    </w:rPr>
                    <w:t xml:space="preserve"> definite în </w:t>
                  </w:r>
                  <w:proofErr w:type="spellStart"/>
                  <w:r w:rsidRPr="008D3FC4">
                    <w:rPr>
                      <w:rFonts w:eastAsia="Arial Unicode MS"/>
                      <w:color w:val="000000" w:themeColor="text1"/>
                      <w:sz w:val="20"/>
                      <w:szCs w:val="20"/>
                      <w:shd w:val="clear" w:color="auto" w:fill="FFFFFF"/>
                      <w:lang w:val="en-US"/>
                    </w:rPr>
                    <w:t>anexa</w:t>
                  </w:r>
                  <w:proofErr w:type="spellEnd"/>
                  <w:r w:rsidRPr="008D3FC4">
                    <w:rPr>
                      <w:rFonts w:eastAsia="Arial Unicode MS"/>
                      <w:color w:val="000000" w:themeColor="text1"/>
                      <w:sz w:val="20"/>
                      <w:szCs w:val="20"/>
                      <w:shd w:val="clear" w:color="auto" w:fill="FFFFFF"/>
                      <w:lang w:val="en-US"/>
                    </w:rPr>
                    <w:t xml:space="preserve"> 2 la </w:t>
                  </w:r>
                  <w:proofErr w:type="spellStart"/>
                  <w:r w:rsidRPr="008D3FC4">
                    <w:rPr>
                      <w:rFonts w:eastAsia="Arial Unicode MS"/>
                      <w:color w:val="000000" w:themeColor="text1"/>
                      <w:sz w:val="20"/>
                      <w:szCs w:val="20"/>
                      <w:shd w:val="clear" w:color="auto" w:fill="FFFFFF"/>
                      <w:lang w:val="en-US"/>
                    </w:rPr>
                    <w:t>Convenția</w:t>
                  </w:r>
                  <w:proofErr w:type="spellEnd"/>
                  <w:r w:rsidRPr="008D3FC4">
                    <w:rPr>
                      <w:rFonts w:eastAsia="Arial Unicode MS"/>
                      <w:color w:val="000000" w:themeColor="text1"/>
                      <w:sz w:val="20"/>
                      <w:szCs w:val="20"/>
                      <w:shd w:val="clear" w:color="auto" w:fill="FFFFFF"/>
                      <w:lang w:val="en-US"/>
                    </w:rPr>
                    <w:t xml:space="preserve"> de la Chicago;</w:t>
                  </w:r>
                </w:p>
                <w:p w14:paraId="07224321" w14:textId="1E6FC43C"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care se </w:t>
                  </w:r>
                  <w:proofErr w:type="spellStart"/>
                  <w:r w:rsidRPr="008D3FC4">
                    <w:rPr>
                      <w:rFonts w:eastAsia="Arial Unicode MS"/>
                      <w:color w:val="000000" w:themeColor="text1"/>
                      <w:sz w:val="20"/>
                      <w:szCs w:val="20"/>
                      <w:shd w:val="clear" w:color="auto" w:fill="FFFFFF"/>
                      <w:lang w:val="en-US"/>
                    </w:rPr>
                    <w:t>încheie</w:t>
                  </w:r>
                  <w:proofErr w:type="spellEnd"/>
                  <w:r w:rsidRPr="008D3FC4">
                    <w:rPr>
                      <w:rFonts w:eastAsia="Arial Unicode MS"/>
                      <w:color w:val="000000" w:themeColor="text1"/>
                      <w:sz w:val="20"/>
                      <w:szCs w:val="20"/>
                      <w:shd w:val="clear" w:color="auto" w:fill="FFFFFF"/>
                      <w:lang w:val="en-US"/>
                    </w:rPr>
                    <w:t xml:space="preserve"> pe </w:t>
                  </w:r>
                  <w:proofErr w:type="spellStart"/>
                  <w:r w:rsidRPr="008D3FC4">
                    <w:rPr>
                      <w:rFonts w:eastAsia="Arial Unicode MS"/>
                      <w:color w:val="000000" w:themeColor="text1"/>
                      <w:sz w:val="20"/>
                      <w:szCs w:val="20"/>
                      <w:shd w:val="clear" w:color="auto" w:fill="FFFFFF"/>
                      <w:lang w:val="en-US"/>
                    </w:rPr>
                    <w:t>aerodromul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unde</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decolat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aeronava</w:t>
                  </w:r>
                  <w:proofErr w:type="spellEnd"/>
                  <w:r w:rsidRPr="008D3FC4">
                    <w:rPr>
                      <w:rFonts w:eastAsia="Arial Unicode MS"/>
                      <w:color w:val="000000" w:themeColor="text1"/>
                      <w:sz w:val="20"/>
                      <w:szCs w:val="20"/>
                      <w:shd w:val="clear" w:color="auto" w:fill="FFFFFF"/>
                      <w:lang w:val="en-US"/>
                    </w:rPr>
                    <w:t xml:space="preserve"> și în </w:t>
                  </w:r>
                  <w:proofErr w:type="spellStart"/>
                  <w:r w:rsidRPr="008D3FC4">
                    <w:rPr>
                      <w:rFonts w:eastAsia="Arial Unicode MS"/>
                      <w:color w:val="000000" w:themeColor="text1"/>
                      <w:sz w:val="20"/>
                      <w:szCs w:val="20"/>
                      <w:shd w:val="clear" w:color="auto" w:fill="FFFFFF"/>
                      <w:lang w:val="en-US"/>
                    </w:rPr>
                    <w:t>timpul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cărora</w:t>
                  </w:r>
                  <w:proofErr w:type="spellEnd"/>
                  <w:r w:rsidRPr="008D3FC4">
                    <w:rPr>
                      <w:rFonts w:eastAsia="Arial Unicode MS"/>
                      <w:color w:val="000000" w:themeColor="text1"/>
                      <w:sz w:val="20"/>
                      <w:szCs w:val="20"/>
                      <w:shd w:val="clear" w:color="auto" w:fill="FFFFFF"/>
                      <w:lang w:val="en-US"/>
                    </w:rPr>
                    <w:t xml:space="preserve"> nu au </w:t>
                  </w:r>
                  <w:proofErr w:type="spellStart"/>
                  <w:r w:rsidRPr="008D3FC4">
                    <w:rPr>
                      <w:rFonts w:eastAsia="Arial Unicode MS"/>
                      <w:color w:val="000000" w:themeColor="text1"/>
                      <w:sz w:val="20"/>
                      <w:szCs w:val="20"/>
                      <w:shd w:val="clear" w:color="auto" w:fill="FFFFFF"/>
                      <w:lang w:val="en-US"/>
                    </w:rPr>
                    <w:t>avut</w:t>
                  </w:r>
                  <w:proofErr w:type="spellEnd"/>
                  <w:r w:rsidRPr="008D3FC4">
                    <w:rPr>
                      <w:rFonts w:eastAsia="Arial Unicode MS"/>
                      <w:color w:val="000000" w:themeColor="text1"/>
                      <w:sz w:val="20"/>
                      <w:szCs w:val="20"/>
                      <w:shd w:val="clear" w:color="auto" w:fill="FFFFFF"/>
                      <w:lang w:val="en-US"/>
                    </w:rPr>
                    <w:t xml:space="preserve"> loc </w:t>
                  </w:r>
                  <w:proofErr w:type="spellStart"/>
                  <w:r w:rsidRPr="008D3FC4">
                    <w:rPr>
                      <w:rFonts w:eastAsia="Arial Unicode MS"/>
                      <w:color w:val="000000" w:themeColor="text1"/>
                      <w:sz w:val="20"/>
                      <w:szCs w:val="20"/>
                      <w:shd w:val="clear" w:color="auto" w:fill="FFFFFF"/>
                      <w:lang w:val="en-US"/>
                    </w:rPr>
                    <w:t>aterizări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intermediare</w:t>
                  </w:r>
                  <w:proofErr w:type="spellEnd"/>
                  <w:r w:rsidRPr="008D3FC4">
                    <w:rPr>
                      <w:rFonts w:eastAsia="Arial Unicode MS"/>
                      <w:color w:val="000000" w:themeColor="text1"/>
                      <w:sz w:val="20"/>
                      <w:szCs w:val="20"/>
                      <w:shd w:val="clear" w:color="auto" w:fill="FFFFFF"/>
                      <w:lang w:val="en-US"/>
                    </w:rPr>
                    <w:t>;</w:t>
                  </w:r>
                </w:p>
                <w:p w14:paraId="4875FDD0" w14:textId="510B599A" w:rsidR="00124364" w:rsidRPr="008D3FC4" w:rsidRDefault="00000000" w:rsidP="008D3FC4">
                  <w:pPr>
                    <w:pStyle w:val="tbl-norm"/>
                    <w:framePr w:hSpace="180" w:wrap="around" w:vAnchor="text" w:hAnchor="text" w:x="-136" w:y="1"/>
                    <w:numPr>
                      <w:ilvl w:val="0"/>
                      <w:numId w:val="164"/>
                    </w:numPr>
                    <w:spacing w:before="0" w:beforeAutospacing="0" w:after="0" w:afterAutospacing="0"/>
                    <w:ind w:left="1434" w:hanging="357"/>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instruire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exclusiv</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scopul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obținerii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licențe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a </w:t>
                  </w:r>
                  <w:proofErr w:type="spellStart"/>
                  <w:r w:rsidRPr="008D3FC4">
                    <w:rPr>
                      <w:rFonts w:eastAsia="Arial Unicode MS"/>
                      <w:color w:val="000000" w:themeColor="text1"/>
                      <w:sz w:val="20"/>
                      <w:szCs w:val="20"/>
                      <w:shd w:val="clear" w:color="auto" w:fill="FFFFFF"/>
                      <w:lang w:val="en-US"/>
                    </w:rPr>
                    <w:t>unei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calificări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cazul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personalului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navigant</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conducere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dacă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acest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lucru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este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dovedit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printr</w:t>
                  </w:r>
                  <w:proofErr w:type="spellEnd"/>
                  <w:r w:rsidRPr="008D3FC4">
                    <w:rPr>
                      <w:rFonts w:eastAsia="Arial Unicode MS"/>
                      <w:color w:val="000000" w:themeColor="text1"/>
                      <w:sz w:val="20"/>
                      <w:szCs w:val="20"/>
                      <w:shd w:val="clear" w:color="auto" w:fill="FFFFFF"/>
                      <w:lang w:val="en-US"/>
                    </w:rPr>
                    <w:t xml:space="preserve">-o </w:t>
                  </w:r>
                  <w:proofErr w:type="spellStart"/>
                  <w:r w:rsidRPr="008D3FC4">
                    <w:rPr>
                      <w:rFonts w:eastAsia="Arial Unicode MS"/>
                      <w:color w:val="000000" w:themeColor="text1"/>
                      <w:sz w:val="20"/>
                      <w:szCs w:val="20"/>
                      <w:shd w:val="clear" w:color="auto" w:fill="FFFFFF"/>
                      <w:lang w:val="en-US"/>
                    </w:rPr>
                    <w:t>indicație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corespunzătoare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planul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zbor</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condiția</w:t>
                  </w:r>
                  <w:proofErr w:type="spellEnd"/>
                  <w:r w:rsidRPr="008D3FC4">
                    <w:rPr>
                      <w:rFonts w:eastAsia="Arial Unicode MS"/>
                      <w:color w:val="000000" w:themeColor="text1"/>
                      <w:sz w:val="20"/>
                      <w:szCs w:val="20"/>
                      <w:shd w:val="clear" w:color="auto" w:fill="FFFFFF"/>
                      <w:lang w:val="en-US"/>
                    </w:rPr>
                    <w:t xml:space="preserve"> ca </w:t>
                  </w:r>
                  <w:proofErr w:type="spellStart"/>
                  <w:r w:rsidRPr="008D3FC4">
                    <w:rPr>
                      <w:rFonts w:eastAsia="Arial Unicode MS"/>
                      <w:color w:val="000000" w:themeColor="text1"/>
                      <w:sz w:val="20"/>
                      <w:szCs w:val="20"/>
                      <w:shd w:val="clear" w:color="auto" w:fill="FFFFFF"/>
                      <w:lang w:val="en-US"/>
                    </w:rPr>
                    <w:t>scopul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zborului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să</w:t>
                  </w:r>
                  <w:proofErr w:type="spellEnd"/>
                  <w:r w:rsidRPr="008D3FC4">
                    <w:rPr>
                      <w:rFonts w:eastAsia="Arial Unicode MS"/>
                      <w:color w:val="000000" w:themeColor="text1"/>
                      <w:sz w:val="20"/>
                      <w:szCs w:val="20"/>
                      <w:shd w:val="clear" w:color="auto" w:fill="FFFFFF"/>
                      <w:lang w:val="en-US"/>
                    </w:rPr>
                    <w:t xml:space="preserve"> nu fie </w:t>
                  </w:r>
                  <w:proofErr w:type="spellStart"/>
                  <w:r w:rsidRPr="008D3FC4">
                    <w:rPr>
                      <w:rFonts w:eastAsia="Arial Unicode MS"/>
                      <w:color w:val="000000" w:themeColor="text1"/>
                      <w:sz w:val="20"/>
                      <w:szCs w:val="20"/>
                      <w:shd w:val="clear" w:color="auto" w:fill="FFFFFF"/>
                      <w:lang w:val="en-US"/>
                    </w:rPr>
                    <w:t>transportul</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pasageri</w:t>
                  </w:r>
                  <w:proofErr w:type="spellEnd"/>
                  <w:r w:rsidRPr="008D3FC4">
                    <w:rPr>
                      <w:rFonts w:eastAsia="Arial Unicode MS"/>
                      <w:color w:val="000000" w:themeColor="text1"/>
                      <w:sz w:val="20"/>
                      <w:szCs w:val="20"/>
                      <w:shd w:val="clear" w:color="auto" w:fill="FFFFFF"/>
                      <w:lang w:val="en-US"/>
                    </w:rPr>
                    <w:t xml:space="preserve"> și/</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marfă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poziționarea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transportul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aeronavei</w:t>
                  </w:r>
                  <w:proofErr w:type="spellEnd"/>
                  <w:r w:rsidRPr="008D3FC4">
                    <w:rPr>
                      <w:rFonts w:eastAsia="Arial Unicode MS"/>
                      <w:color w:val="000000" w:themeColor="text1"/>
                      <w:sz w:val="20"/>
                      <w:szCs w:val="20"/>
                      <w:shd w:val="clear" w:color="auto" w:fill="FFFFFF"/>
                      <w:lang w:val="en-US"/>
                    </w:rPr>
                    <w:t>;</w:t>
                  </w:r>
                </w:p>
                <w:p w14:paraId="7196F092" w14:textId="63BF1079" w:rsidR="00124364" w:rsidRPr="008D3FC4" w:rsidRDefault="00000000" w:rsidP="008D3FC4">
                  <w:pPr>
                    <w:pStyle w:val="tbl-norm"/>
                    <w:framePr w:hSpace="180" w:wrap="around" w:vAnchor="text" w:hAnchor="text" w:x="-136" w:y="1"/>
                    <w:numPr>
                      <w:ilvl w:val="0"/>
                      <w:numId w:val="164"/>
                    </w:numPr>
                    <w:spacing w:before="0" w:beforeAutospacing="0" w:after="0" w:afterAutospacing="0"/>
                    <w:ind w:left="1434" w:hanging="357"/>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exclusiv</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scopul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cercetării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științifice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scopul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verificării</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testării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certificării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aeronavei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gramStart"/>
                  <w:r w:rsidRPr="008D3FC4">
                    <w:rPr>
                      <w:rFonts w:eastAsia="Arial Unicode MS"/>
                      <w:color w:val="000000" w:themeColor="text1"/>
                      <w:sz w:val="20"/>
                      <w:szCs w:val="20"/>
                      <w:shd w:val="clear" w:color="auto" w:fill="FFFFFF"/>
                      <w:lang w:val="en-US"/>
                    </w:rPr>
                    <w:t>a</w:t>
                  </w:r>
                  <w:proofErr w:type="gram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echipamentului</w:t>
                  </w:r>
                  <w:proofErr w:type="spellEnd"/>
                  <w:r w:rsidRPr="008D3FC4">
                    <w:rPr>
                      <w:rFonts w:eastAsia="Arial Unicode MS"/>
                      <w:color w:val="000000" w:themeColor="text1"/>
                      <w:sz w:val="20"/>
                      <w:szCs w:val="20"/>
                      <w:shd w:val="clear" w:color="auto" w:fill="FFFFFF"/>
                      <w:lang w:val="en-US"/>
                    </w:rPr>
                    <w:t xml:space="preserve"> de bord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de sol;</w:t>
                  </w:r>
                </w:p>
                <w:p w14:paraId="46981357" w14:textId="577ED312" w:rsidR="00124364" w:rsidRPr="008D3FC4" w:rsidRDefault="00000000" w:rsidP="008D3FC4">
                  <w:pPr>
                    <w:pStyle w:val="tbl-norm"/>
                    <w:framePr w:hSpace="180" w:wrap="around" w:vAnchor="text" w:hAnchor="text" w:x="-136" w:y="1"/>
                    <w:numPr>
                      <w:ilvl w:val="0"/>
                      <w:numId w:val="164"/>
                    </w:numPr>
                    <w:spacing w:before="0" w:beforeAutospacing="0" w:after="0" w:afterAutospacing="0"/>
                    <w:ind w:left="1434" w:hanging="357"/>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aeronave</w:t>
                  </w:r>
                  <w:proofErr w:type="spellEnd"/>
                  <w:r w:rsidRPr="008D3FC4">
                    <w:rPr>
                      <w:rFonts w:eastAsia="Arial Unicode MS"/>
                      <w:color w:val="000000" w:themeColor="text1"/>
                      <w:sz w:val="20"/>
                      <w:szCs w:val="20"/>
                      <w:shd w:val="clear" w:color="auto" w:fill="FFFFFF"/>
                      <w:lang w:val="en-US"/>
                    </w:rPr>
                    <w:t xml:space="preserve"> cu o </w:t>
                  </w:r>
                  <w:proofErr w:type="spellStart"/>
                  <w:r w:rsidRPr="008D3FC4">
                    <w:rPr>
                      <w:rFonts w:eastAsia="Arial Unicode MS"/>
                      <w:color w:val="000000" w:themeColor="text1"/>
                      <w:sz w:val="20"/>
                      <w:szCs w:val="20"/>
                      <w:shd w:val="clear" w:color="auto" w:fill="FFFFFF"/>
                      <w:lang w:val="en-US"/>
                    </w:rPr>
                    <w:lastRenderedPageBreak/>
                    <w:t>masă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maximă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certificată</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decolare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mică</w:t>
                  </w:r>
                  <w:proofErr w:type="spellEnd"/>
                  <w:r w:rsidRPr="008D3FC4">
                    <w:rPr>
                      <w:rFonts w:eastAsia="Arial Unicode MS"/>
                      <w:color w:val="000000" w:themeColor="text1"/>
                      <w:sz w:val="20"/>
                      <w:szCs w:val="20"/>
                      <w:shd w:val="clear" w:color="auto" w:fill="FFFFFF"/>
                      <w:lang w:val="en-US"/>
                    </w:rPr>
                    <w:t xml:space="preserve"> de5</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700 kg;</w:t>
                  </w:r>
                </w:p>
                <w:p w14:paraId="532AC5A6" w14:textId="5F6EC4B6"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cadrul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obligațiilor</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serviciu</w:t>
                  </w:r>
                  <w:proofErr w:type="spellEnd"/>
                  <w:r w:rsidRPr="008D3FC4">
                    <w:rPr>
                      <w:rFonts w:eastAsia="Arial Unicode MS"/>
                      <w:color w:val="000000" w:themeColor="text1"/>
                      <w:sz w:val="20"/>
                      <w:szCs w:val="20"/>
                      <w:shd w:val="clear" w:color="auto" w:fill="FFFFFF"/>
                      <w:lang w:val="en-US"/>
                    </w:rPr>
                    <w:t xml:space="preserve"> public </w:t>
                  </w:r>
                  <w:proofErr w:type="spellStart"/>
                  <w:r w:rsidRPr="008D3FC4">
                    <w:rPr>
                      <w:rFonts w:eastAsia="Arial Unicode MS"/>
                      <w:color w:val="000000" w:themeColor="text1"/>
                      <w:sz w:val="20"/>
                      <w:szCs w:val="20"/>
                      <w:shd w:val="clear" w:color="auto" w:fill="FFFFFF"/>
                      <w:lang w:val="en-US"/>
                    </w:rPr>
                    <w:t>impuse</w:t>
                  </w:r>
                  <w:proofErr w:type="spellEnd"/>
                  <w:r w:rsidRPr="008D3FC4">
                    <w:rPr>
                      <w:rFonts w:eastAsia="Arial Unicode MS"/>
                      <w:color w:val="000000" w:themeColor="text1"/>
                      <w:sz w:val="20"/>
                      <w:szCs w:val="20"/>
                      <w:shd w:val="clear" w:color="auto" w:fill="FFFFFF"/>
                      <w:lang w:val="en-US"/>
                    </w:rPr>
                    <w:t xml:space="preserve"> în conformitate cu </w:t>
                  </w:r>
                  <w:proofErr w:type="spellStart"/>
                  <w:r w:rsidRPr="008D3FC4">
                    <w:rPr>
                      <w:rFonts w:eastAsia="Arial Unicode MS"/>
                      <w:color w:val="000000" w:themeColor="text1"/>
                      <w:sz w:val="20"/>
                      <w:szCs w:val="20"/>
                      <w:shd w:val="clear" w:color="auto" w:fill="FFFFFF"/>
                      <w:lang w:val="en-US"/>
                    </w:rPr>
                    <w:t>Regulamentul</w:t>
                  </w:r>
                  <w:proofErr w:type="spellEnd"/>
                  <w:r w:rsidRPr="008D3FC4">
                    <w:rPr>
                      <w:rFonts w:eastAsia="Arial Unicode MS"/>
                      <w:color w:val="000000" w:themeColor="text1"/>
                      <w:sz w:val="20"/>
                      <w:szCs w:val="20"/>
                      <w:shd w:val="clear" w:color="auto" w:fill="FFFFFF"/>
                      <w:lang w:val="en-US"/>
                    </w:rPr>
                    <w:t xml:space="preserve"> (CEE) nr. 2408/92 pe </w:t>
                  </w:r>
                  <w:proofErr w:type="spellStart"/>
                  <w:r w:rsidRPr="008D3FC4">
                    <w:rPr>
                      <w:rFonts w:eastAsia="Arial Unicode MS"/>
                      <w:color w:val="000000" w:themeColor="text1"/>
                      <w:sz w:val="20"/>
                      <w:szCs w:val="20"/>
                      <w:shd w:val="clear" w:color="auto" w:fill="FFFFFF"/>
                      <w:lang w:val="en-US"/>
                    </w:rPr>
                    <w:t>rutele</w:t>
                  </w:r>
                  <w:proofErr w:type="spellEnd"/>
                  <w:r w:rsidRPr="008D3FC4">
                    <w:rPr>
                      <w:rFonts w:eastAsia="Arial Unicode MS"/>
                      <w:color w:val="000000" w:themeColor="text1"/>
                      <w:sz w:val="20"/>
                      <w:szCs w:val="20"/>
                      <w:shd w:val="clear" w:color="auto" w:fill="FFFFFF"/>
                      <w:lang w:val="en-US"/>
                    </w:rPr>
                    <w:t xml:space="preserve"> din </w:t>
                  </w:r>
                  <w:proofErr w:type="spellStart"/>
                  <w:r w:rsidRPr="008D3FC4">
                    <w:rPr>
                      <w:rFonts w:eastAsia="Arial Unicode MS"/>
                      <w:color w:val="000000" w:themeColor="text1"/>
                      <w:sz w:val="20"/>
                      <w:szCs w:val="20"/>
                      <w:shd w:val="clear" w:color="auto" w:fill="FFFFFF"/>
                      <w:lang w:val="en-US"/>
                    </w:rPr>
                    <w:t>regiunile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ultraperiferice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astfel</w:t>
                  </w:r>
                  <w:proofErr w:type="spellEnd"/>
                  <w:r w:rsidRPr="008D3FC4">
                    <w:rPr>
                      <w:rFonts w:eastAsia="Arial Unicode MS"/>
                      <w:color w:val="000000" w:themeColor="text1"/>
                      <w:sz w:val="20"/>
                      <w:szCs w:val="20"/>
                      <w:shd w:val="clear" w:color="auto" w:fill="FFFFFF"/>
                      <w:lang w:val="en-US"/>
                    </w:rPr>
                    <w:t xml:space="preserve"> cum sunt </w:t>
                  </w:r>
                  <w:proofErr w:type="spellStart"/>
                  <w:r w:rsidRPr="008D3FC4">
                    <w:rPr>
                      <w:rFonts w:eastAsia="Arial Unicode MS"/>
                      <w:color w:val="000000" w:themeColor="text1"/>
                      <w:sz w:val="20"/>
                      <w:szCs w:val="20"/>
                      <w:shd w:val="clear" w:color="auto" w:fill="FFFFFF"/>
                      <w:lang w:val="en-US"/>
                    </w:rPr>
                    <w:t>menționate</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articolul</w:t>
                  </w:r>
                  <w:proofErr w:type="spellEnd"/>
                  <w:r w:rsidRPr="008D3FC4">
                    <w:rPr>
                      <w:rFonts w:eastAsia="Arial Unicode MS"/>
                      <w:color w:val="000000" w:themeColor="text1"/>
                      <w:sz w:val="20"/>
                      <w:szCs w:val="20"/>
                      <w:shd w:val="clear" w:color="auto" w:fill="FFFFFF"/>
                      <w:lang w:val="en-US"/>
                    </w:rPr>
                    <w:t xml:space="preserve"> 299 </w:t>
                  </w:r>
                  <w:proofErr w:type="spellStart"/>
                  <w:r w:rsidRPr="008D3FC4">
                    <w:rPr>
                      <w:rFonts w:eastAsia="Arial Unicode MS"/>
                      <w:color w:val="000000" w:themeColor="text1"/>
                      <w:sz w:val="20"/>
                      <w:szCs w:val="20"/>
                      <w:shd w:val="clear" w:color="auto" w:fill="FFFFFF"/>
                      <w:lang w:val="en-US"/>
                    </w:rPr>
                    <w:t>alineatul</w:t>
                  </w:r>
                  <w:proofErr w:type="spellEnd"/>
                  <w:r w:rsidRPr="008D3FC4">
                    <w:rPr>
                      <w:rFonts w:eastAsia="Arial Unicode MS"/>
                      <w:color w:val="000000" w:themeColor="text1"/>
                      <w:sz w:val="20"/>
                      <w:szCs w:val="20"/>
                      <w:shd w:val="clear" w:color="auto" w:fill="FFFFFF"/>
                      <w:lang w:val="en-US"/>
                    </w:rPr>
                    <w:t xml:space="preserve"> (2) din </w:t>
                  </w:r>
                  <w:proofErr w:type="spellStart"/>
                  <w:r w:rsidRPr="008D3FC4">
                    <w:rPr>
                      <w:rFonts w:eastAsia="Arial Unicode MS"/>
                      <w:color w:val="000000" w:themeColor="text1"/>
                      <w:sz w:val="20"/>
                      <w:szCs w:val="20"/>
                      <w:shd w:val="clear" w:color="auto" w:fill="FFFFFF"/>
                      <w:lang w:val="en-US"/>
                    </w:rPr>
                    <w:t>tratat</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pe </w:t>
                  </w:r>
                  <w:proofErr w:type="spellStart"/>
                  <w:r w:rsidRPr="008D3FC4">
                    <w:rPr>
                      <w:rFonts w:eastAsia="Arial Unicode MS"/>
                      <w:color w:val="000000" w:themeColor="text1"/>
                      <w:sz w:val="20"/>
                      <w:szCs w:val="20"/>
                      <w:shd w:val="clear" w:color="auto" w:fill="FFFFFF"/>
                      <w:lang w:val="en-US"/>
                    </w:rPr>
                    <w:t>rutele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unde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capacitatea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oferită</w:t>
                  </w:r>
                  <w:proofErr w:type="spellEnd"/>
                  <w:r w:rsidRPr="008D3FC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nu depășește</w:t>
                  </w:r>
                  <w:hyperlink r:id="rId370" w:tooltip="32023L0958: REPLACED" w:history="1">
                    <w:r>
                      <w:rPr>
                        <w:rStyle w:val="boldface"/>
                        <w:rFonts w:eastAsia="Arial Unicode MS"/>
                        <w:b/>
                        <w:bCs/>
                        <w:color w:val="4472C4" w:themeColor="accent1"/>
                        <w:sz w:val="20"/>
                        <w:szCs w:val="20"/>
                        <w:lang w:val="en-US"/>
                      </w:rPr>
                      <w:t>►M14</w:t>
                    </w:r>
                  </w:hyperlink>
                  <w:r>
                    <w:rPr>
                      <w:rFonts w:eastAsia="Arial Unicode MS"/>
                      <w:color w:val="333333"/>
                      <w:sz w:val="20"/>
                      <w:szCs w:val="20"/>
                      <w:shd w:val="clear" w:color="auto" w:fill="FFFFFF"/>
                      <w:lang w:val="en-US"/>
                    </w:rPr>
                    <w:t>50</w:t>
                  </w:r>
                  <w:r w:rsidR="008D3FC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000</w:t>
                  </w:r>
                  <w:r>
                    <w:rPr>
                      <w:rStyle w:val="boldface"/>
                      <w:rFonts w:eastAsia="Arial Unicode MS"/>
                      <w:b/>
                      <w:bCs/>
                      <w:color w:val="333333"/>
                      <w:sz w:val="20"/>
                      <w:szCs w:val="20"/>
                      <w:lang w:val="en-US"/>
                    </w:rPr>
                    <w:t>◄</w:t>
                  </w:r>
                  <w:r w:rsidR="008D3FC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de </w:t>
                  </w:r>
                  <w:proofErr w:type="spellStart"/>
                  <w:r w:rsidRPr="008D3FC4">
                    <w:rPr>
                      <w:rFonts w:eastAsia="Arial Unicode MS"/>
                      <w:color w:val="000000" w:themeColor="text1"/>
                      <w:sz w:val="20"/>
                      <w:szCs w:val="20"/>
                      <w:shd w:val="clear" w:color="auto" w:fill="FFFFFF"/>
                      <w:lang w:val="en-US"/>
                    </w:rPr>
                    <w:t>locuri</w:t>
                  </w:r>
                  <w:proofErr w:type="spellEnd"/>
                  <w:r w:rsidRPr="008D3FC4">
                    <w:rPr>
                      <w:rFonts w:eastAsia="Arial Unicode MS"/>
                      <w:color w:val="000000" w:themeColor="text1"/>
                      <w:sz w:val="20"/>
                      <w:szCs w:val="20"/>
                      <w:shd w:val="clear" w:color="auto" w:fill="FFFFFF"/>
                      <w:lang w:val="en-US"/>
                    </w:rPr>
                    <w:t xml:space="preserve"> pe an;</w:t>
                  </w:r>
                  <w:r w:rsidR="008D3FC4">
                    <w:rPr>
                      <w:rStyle w:val="apple-converted-space"/>
                      <w:rFonts w:eastAsia="Arial Unicode MS"/>
                      <w:color w:val="000000" w:themeColor="text1"/>
                      <w:sz w:val="20"/>
                      <w:szCs w:val="20"/>
                      <w:shd w:val="clear" w:color="auto" w:fill="FFFFFF"/>
                      <w:lang w:val="en-US"/>
                    </w:rPr>
                    <w:t xml:space="preserve"> </w:t>
                  </w:r>
                </w:p>
                <w:p w14:paraId="2AED515D" w14:textId="77777777" w:rsidR="00124364" w:rsidRPr="008D3FC4" w:rsidRDefault="00000000" w:rsidP="008D3FC4">
                  <w:pPr>
                    <w:pStyle w:val="tbl-norm"/>
                    <w:framePr w:hSpace="180" w:wrap="around" w:vAnchor="text" w:hAnchor="text" w:x="-136" w:y="1"/>
                    <w:numPr>
                      <w:ilvl w:val="0"/>
                      <w:numId w:val="164"/>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care, cu </w:t>
                  </w:r>
                  <w:proofErr w:type="spellStart"/>
                  <w:r w:rsidRPr="008D3FC4">
                    <w:rPr>
                      <w:rFonts w:eastAsia="Arial Unicode MS"/>
                      <w:color w:val="000000" w:themeColor="text1"/>
                      <w:sz w:val="20"/>
                      <w:szCs w:val="20"/>
                      <w:shd w:val="clear" w:color="auto" w:fill="FFFFFF"/>
                      <w:lang w:val="en-US"/>
                    </w:rPr>
                    <w:t>excepția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acestei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litere</w:t>
                  </w:r>
                  <w:proofErr w:type="spellEnd"/>
                  <w:r w:rsidRPr="008D3FC4">
                    <w:rPr>
                      <w:rFonts w:eastAsia="Arial Unicode MS"/>
                      <w:color w:val="000000" w:themeColor="text1"/>
                      <w:sz w:val="20"/>
                      <w:szCs w:val="20"/>
                      <w:shd w:val="clear" w:color="auto" w:fill="FFFFFF"/>
                      <w:lang w:val="en-US"/>
                    </w:rPr>
                    <w:t>, s-</w:t>
                  </w:r>
                  <w:proofErr w:type="spellStart"/>
                  <w:r w:rsidRPr="008D3FC4">
                    <w:rPr>
                      <w:rFonts w:eastAsia="Arial Unicode MS"/>
                      <w:color w:val="000000" w:themeColor="text1"/>
                      <w:sz w:val="20"/>
                      <w:szCs w:val="20"/>
                      <w:shd w:val="clear" w:color="auto" w:fill="FFFFFF"/>
                      <w:lang w:val="en-US"/>
                    </w:rPr>
                    <w:t>ar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încadra</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această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de un operator de transport </w:t>
                  </w:r>
                  <w:proofErr w:type="spellStart"/>
                  <w:r w:rsidRPr="008D3FC4">
                    <w:rPr>
                      <w:rFonts w:eastAsia="Arial Unicode MS"/>
                      <w:color w:val="000000" w:themeColor="text1"/>
                      <w:sz w:val="20"/>
                      <w:szCs w:val="20"/>
                      <w:shd w:val="clear" w:color="auto" w:fill="FFFFFF"/>
                      <w:lang w:val="en-US"/>
                    </w:rPr>
                    <w:t>aerian</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comercial</w:t>
                  </w:r>
                  <w:proofErr w:type="spellEnd"/>
                  <w:r w:rsidRPr="008D3FC4">
                    <w:rPr>
                      <w:rFonts w:eastAsia="Arial Unicode MS"/>
                      <w:color w:val="000000" w:themeColor="text1"/>
                      <w:sz w:val="20"/>
                      <w:szCs w:val="20"/>
                      <w:shd w:val="clear" w:color="auto" w:fill="FFFFFF"/>
                      <w:lang w:val="en-US"/>
                    </w:rPr>
                    <w:t xml:space="preserve"> care efectuează fie:</w:t>
                  </w:r>
                </w:p>
                <w:p w14:paraId="6D573160" w14:textId="77777777" w:rsidR="00124364" w:rsidRPr="008D3FC4" w:rsidRDefault="00000000" w:rsidP="008D3FC4">
                  <w:pPr>
                    <w:pStyle w:val="tbl-norm"/>
                    <w:framePr w:hSpace="180" w:wrap="around" w:vAnchor="text" w:hAnchor="text" w:x="-136" w:y="1"/>
                    <w:numPr>
                      <w:ilvl w:val="0"/>
                      <w:numId w:val="165"/>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puțin</w:t>
                  </w:r>
                  <w:proofErr w:type="spellEnd"/>
                  <w:r w:rsidRPr="008D3FC4">
                    <w:rPr>
                      <w:rFonts w:eastAsia="Arial Unicode MS"/>
                      <w:color w:val="000000" w:themeColor="text1"/>
                      <w:sz w:val="20"/>
                      <w:szCs w:val="20"/>
                      <w:shd w:val="clear" w:color="auto" w:fill="FFFFFF"/>
                      <w:lang w:val="en-US"/>
                    </w:rPr>
                    <w:t xml:space="preserve"> de 243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pe </w:t>
                  </w:r>
                  <w:proofErr w:type="spellStart"/>
                  <w:r w:rsidRPr="008D3FC4">
                    <w:rPr>
                      <w:rFonts w:eastAsia="Arial Unicode MS"/>
                      <w:color w:val="000000" w:themeColor="text1"/>
                      <w:sz w:val="20"/>
                      <w:szCs w:val="20"/>
                      <w:shd w:val="clear" w:color="auto" w:fill="FFFFFF"/>
                      <w:lang w:val="en-US"/>
                    </w:rPr>
                    <w:t>perioadă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timp</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trei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perioade</w:t>
                  </w:r>
                  <w:proofErr w:type="spellEnd"/>
                  <w:r w:rsidRPr="008D3FC4">
                    <w:rPr>
                      <w:rFonts w:eastAsia="Arial Unicode MS"/>
                      <w:color w:val="000000" w:themeColor="text1"/>
                      <w:sz w:val="20"/>
                      <w:szCs w:val="20"/>
                      <w:shd w:val="clear" w:color="auto" w:fill="FFFFFF"/>
                      <w:lang w:val="en-US"/>
                    </w:rPr>
                    <w:t xml:space="preserve"> consecutive de </w:t>
                  </w:r>
                  <w:proofErr w:type="spellStart"/>
                  <w:r w:rsidRPr="008D3FC4">
                    <w:rPr>
                      <w:rFonts w:eastAsia="Arial Unicode MS"/>
                      <w:color w:val="000000" w:themeColor="text1"/>
                      <w:sz w:val="20"/>
                      <w:szCs w:val="20"/>
                      <w:shd w:val="clear" w:color="auto" w:fill="FFFFFF"/>
                      <w:lang w:val="en-US"/>
                    </w:rPr>
                    <w:t>câte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patru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luni</w:t>
                  </w:r>
                  <w:proofErr w:type="spellEnd"/>
                  <w:r w:rsidRPr="008D3FC4">
                    <w:rPr>
                      <w:rFonts w:eastAsia="Arial Unicode MS"/>
                      <w:color w:val="000000" w:themeColor="text1"/>
                      <w:sz w:val="20"/>
                      <w:szCs w:val="20"/>
                      <w:shd w:val="clear" w:color="auto" w:fill="FFFFFF"/>
                      <w:lang w:val="en-US"/>
                    </w:rPr>
                    <w:t>,</w:t>
                  </w:r>
                </w:p>
                <w:p w14:paraId="450E32DA" w14:textId="77777777" w:rsidR="00124364" w:rsidRPr="008D3FC4" w:rsidRDefault="00000000" w:rsidP="008D3FC4">
                  <w:pPr>
                    <w:pStyle w:val="tbl-norm"/>
                    <w:framePr w:hSpace="180" w:wrap="around" w:vAnchor="text" w:hAnchor="text" w:x="-136" w:y="1"/>
                    <w:numPr>
                      <w:ilvl w:val="0"/>
                      <w:numId w:val="165"/>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căror</w:t>
                  </w:r>
                  <w:proofErr w:type="spellEnd"/>
                  <w:r w:rsidRPr="008D3FC4">
                    <w:rPr>
                      <w:rFonts w:eastAsia="Arial Unicode MS"/>
                      <w:color w:val="000000" w:themeColor="text1"/>
                      <w:sz w:val="20"/>
                      <w:szCs w:val="20"/>
                      <w:shd w:val="clear" w:color="auto" w:fill="FFFFFF"/>
                      <w:lang w:val="en-US"/>
                    </w:rPr>
                    <w:t xml:space="preserve"> total de </w:t>
                  </w:r>
                  <w:proofErr w:type="spellStart"/>
                  <w:r w:rsidRPr="008D3FC4">
                    <w:rPr>
                      <w:rFonts w:eastAsia="Arial Unicode MS"/>
                      <w:color w:val="000000" w:themeColor="text1"/>
                      <w:sz w:val="20"/>
                      <w:szCs w:val="20"/>
                      <w:shd w:val="clear" w:color="auto" w:fill="FFFFFF"/>
                      <w:lang w:val="en-US"/>
                    </w:rPr>
                    <w:t>emisii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anuale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este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scăzut</w:t>
                  </w:r>
                  <w:proofErr w:type="spellEnd"/>
                  <w:r w:rsidRPr="008D3FC4">
                    <w:rPr>
                      <w:rFonts w:eastAsia="Arial Unicode MS"/>
                      <w:color w:val="000000" w:themeColor="text1"/>
                      <w:sz w:val="20"/>
                      <w:szCs w:val="20"/>
                      <w:shd w:val="clear" w:color="auto" w:fill="FFFFFF"/>
                      <w:lang w:val="en-US"/>
                    </w:rPr>
                    <w:t xml:space="preserve"> de 10 000 de tone pe an.</w:t>
                  </w:r>
                </w:p>
                <w:p w14:paraId="4CC19C27" w14:textId="433C9EDB"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4472C4" w:themeColor="accen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menționate</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literele</w:t>
                  </w:r>
                  <w:proofErr w:type="spellEnd"/>
                  <w:r w:rsidRPr="008D3FC4">
                    <w:rPr>
                      <w:rFonts w:eastAsia="Arial Unicode MS"/>
                      <w:color w:val="000000" w:themeColor="text1"/>
                      <w:sz w:val="20"/>
                      <w:szCs w:val="20"/>
                      <w:shd w:val="clear" w:color="auto" w:fill="FFFFFF"/>
                      <w:lang w:val="en-US"/>
                    </w:rPr>
                    <w:t xml:space="preserve"> (l) și (m) </w:t>
                  </w:r>
                  <w:proofErr w:type="spellStart"/>
                  <w:r w:rsidRPr="008D3FC4">
                    <w:rPr>
                      <w:rFonts w:eastAsia="Arial Unicode MS"/>
                      <w:color w:val="000000" w:themeColor="text1"/>
                      <w:sz w:val="20"/>
                      <w:szCs w:val="20"/>
                      <w:shd w:val="clear" w:color="auto" w:fill="FFFFFF"/>
                      <w:lang w:val="en-US"/>
                    </w:rPr>
                    <w:t>sau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exclusiv</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pentru</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transportul</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misiune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oficială</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unor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monarhi</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exercițiu</w:t>
                  </w:r>
                  <w:proofErr w:type="spellEnd"/>
                  <w:r w:rsidRPr="008D3FC4">
                    <w:rPr>
                      <w:rFonts w:eastAsia="Arial Unicode MS"/>
                      <w:color w:val="000000" w:themeColor="text1"/>
                      <w:sz w:val="20"/>
                      <w:szCs w:val="20"/>
                      <w:shd w:val="clear" w:color="auto" w:fill="FFFFFF"/>
                      <w:lang w:val="en-US"/>
                    </w:rPr>
                    <w:t xml:space="preserve"> și al </w:t>
                  </w:r>
                  <w:proofErr w:type="spellStart"/>
                  <w:r w:rsidRPr="008D3FC4">
                    <w:rPr>
                      <w:rFonts w:eastAsia="Arial Unicode MS"/>
                      <w:color w:val="000000" w:themeColor="text1"/>
                      <w:sz w:val="20"/>
                      <w:szCs w:val="20"/>
                      <w:shd w:val="clear" w:color="auto" w:fill="FFFFFF"/>
                      <w:lang w:val="en-US"/>
                    </w:rPr>
                    <w:t>rudelor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apropiate</w:t>
                  </w:r>
                  <w:proofErr w:type="spellEnd"/>
                  <w:r w:rsidRPr="008D3FC4">
                    <w:rPr>
                      <w:rFonts w:eastAsia="Arial Unicode MS"/>
                      <w:color w:val="000000" w:themeColor="text1"/>
                      <w:sz w:val="20"/>
                      <w:szCs w:val="20"/>
                      <w:shd w:val="clear" w:color="auto" w:fill="FFFFFF"/>
                      <w:lang w:val="en-US"/>
                    </w:rPr>
                    <w:t xml:space="preserve"> ale </w:t>
                  </w:r>
                  <w:proofErr w:type="spellStart"/>
                  <w:r w:rsidRPr="008D3FC4">
                    <w:rPr>
                      <w:rFonts w:eastAsia="Arial Unicode MS"/>
                      <w:color w:val="000000" w:themeColor="text1"/>
                      <w:sz w:val="20"/>
                      <w:szCs w:val="20"/>
                      <w:shd w:val="clear" w:color="auto" w:fill="FFFFFF"/>
                      <w:lang w:val="en-US"/>
                    </w:rPr>
                    <w:t>acestora</w:t>
                  </w:r>
                  <w:proofErr w:type="spellEnd"/>
                  <w:r w:rsidRPr="008D3FC4">
                    <w:rPr>
                      <w:rFonts w:eastAsia="Arial Unicode MS"/>
                      <w:color w:val="000000" w:themeColor="text1"/>
                      <w:sz w:val="20"/>
                      <w:szCs w:val="20"/>
                      <w:shd w:val="clear" w:color="auto" w:fill="FFFFFF"/>
                      <w:lang w:val="en-US"/>
                    </w:rPr>
                    <w:t xml:space="preserve">, al </w:t>
                  </w:r>
                  <w:proofErr w:type="spellStart"/>
                  <w:r w:rsidRPr="008D3FC4">
                    <w:rPr>
                      <w:rFonts w:eastAsia="Arial Unicode MS"/>
                      <w:color w:val="000000" w:themeColor="text1"/>
                      <w:sz w:val="20"/>
                      <w:szCs w:val="20"/>
                      <w:shd w:val="clear" w:color="auto" w:fill="FFFFFF"/>
                      <w:lang w:val="en-US"/>
                    </w:rPr>
                    <w:t>șefilor</w:t>
                  </w:r>
                  <w:proofErr w:type="spellEnd"/>
                  <w:r w:rsidRPr="008D3FC4">
                    <w:rPr>
                      <w:rFonts w:eastAsia="Arial Unicode MS"/>
                      <w:color w:val="000000" w:themeColor="text1"/>
                      <w:sz w:val="20"/>
                      <w:szCs w:val="20"/>
                      <w:shd w:val="clear" w:color="auto" w:fill="FFFFFF"/>
                      <w:lang w:val="en-US"/>
                    </w:rPr>
                    <w:t xml:space="preserve"> de stat, al </w:t>
                  </w:r>
                  <w:proofErr w:type="spellStart"/>
                  <w:r w:rsidRPr="008D3FC4">
                    <w:rPr>
                      <w:rFonts w:eastAsia="Arial Unicode MS"/>
                      <w:color w:val="000000" w:themeColor="text1"/>
                      <w:sz w:val="20"/>
                      <w:szCs w:val="20"/>
                      <w:shd w:val="clear" w:color="auto" w:fill="FFFFFF"/>
                      <w:lang w:val="en-US"/>
                    </w:rPr>
                    <w:t>șefilor</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guvern</w:t>
                  </w:r>
                  <w:proofErr w:type="spellEnd"/>
                  <w:r w:rsidRPr="008D3FC4">
                    <w:rPr>
                      <w:rFonts w:eastAsia="Arial Unicode MS"/>
                      <w:color w:val="000000" w:themeColor="text1"/>
                      <w:sz w:val="20"/>
                      <w:szCs w:val="20"/>
                      <w:shd w:val="clear" w:color="auto" w:fill="FFFFFF"/>
                      <w:lang w:val="en-US"/>
                    </w:rPr>
                    <w:t xml:space="preserve"> și al </w:t>
                  </w:r>
                  <w:proofErr w:type="spellStart"/>
                  <w:r w:rsidRPr="008D3FC4">
                    <w:rPr>
                      <w:rFonts w:eastAsia="Arial Unicode MS"/>
                      <w:color w:val="000000" w:themeColor="text1"/>
                      <w:sz w:val="20"/>
                      <w:szCs w:val="20"/>
                      <w:shd w:val="clear" w:color="auto" w:fill="FFFFFF"/>
                      <w:lang w:val="en-US"/>
                    </w:rPr>
                    <w:t>miniștrilor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unui</w:t>
                  </w:r>
                  <w:proofErr w:type="spellEnd"/>
                  <w:r w:rsidRPr="008D3FC4">
                    <w:rPr>
                      <w:rFonts w:eastAsia="Arial Unicode MS"/>
                      <w:color w:val="000000" w:themeColor="text1"/>
                      <w:sz w:val="20"/>
                      <w:szCs w:val="20"/>
                      <w:shd w:val="clear" w:color="auto" w:fill="FFFFFF"/>
                      <w:lang w:val="en-US"/>
                    </w:rPr>
                    <w:t xml:space="preserve"> stat </w:t>
                  </w:r>
                  <w:proofErr w:type="spellStart"/>
                  <w:r w:rsidRPr="008D3FC4">
                    <w:rPr>
                      <w:rFonts w:eastAsia="Arial Unicode MS"/>
                      <w:color w:val="000000" w:themeColor="text1"/>
                      <w:sz w:val="20"/>
                      <w:szCs w:val="20"/>
                      <w:shd w:val="clear" w:color="auto" w:fill="FFFFFF"/>
                      <w:lang w:val="en-US"/>
                    </w:rPr>
                    <w:t>membru</w:t>
                  </w:r>
                  <w:proofErr w:type="spellEnd"/>
                  <w:r w:rsidRPr="008D3FC4">
                    <w:rPr>
                      <w:rFonts w:eastAsia="Arial Unicode MS"/>
                      <w:color w:val="000000" w:themeColor="text1"/>
                      <w:sz w:val="20"/>
                      <w:szCs w:val="20"/>
                      <w:shd w:val="clear" w:color="auto" w:fill="FFFFFF"/>
                      <w:lang w:val="en-US"/>
                    </w:rPr>
                    <w:t xml:space="preserve"> nu </w:t>
                  </w:r>
                  <w:r w:rsidRPr="008D3FC4">
                    <w:rPr>
                      <w:rFonts w:eastAsia="Arial Unicode MS"/>
                      <w:color w:val="000000" w:themeColor="text1"/>
                      <w:sz w:val="20"/>
                      <w:szCs w:val="20"/>
                      <w:shd w:val="clear" w:color="auto" w:fill="FFFFFF"/>
                      <w:lang w:val="en-US"/>
                    </w:rPr>
                    <w:lastRenderedPageBreak/>
                    <w:t xml:space="preserve">pot fi </w:t>
                  </w:r>
                  <w:proofErr w:type="spellStart"/>
                  <w:r w:rsidRPr="008D3FC4">
                    <w:rPr>
                      <w:rFonts w:eastAsia="Arial Unicode MS"/>
                      <w:color w:val="000000" w:themeColor="text1"/>
                      <w:sz w:val="20"/>
                      <w:szCs w:val="20"/>
                      <w:shd w:val="clear" w:color="auto" w:fill="FFFFFF"/>
                      <w:lang w:val="en-US"/>
                    </w:rPr>
                    <w:t>excluse</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temeiul</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prezentei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litere</w:t>
                  </w:r>
                  <w:proofErr w:type="spellEnd"/>
                  <w:r>
                    <w:rPr>
                      <w:rFonts w:eastAsia="Arial Unicode MS"/>
                      <w:color w:val="333333"/>
                      <w:sz w:val="20"/>
                      <w:szCs w:val="20"/>
                      <w:shd w:val="clear" w:color="auto" w:fill="FFFFFF"/>
                      <w:lang w:val="en-US"/>
                    </w:rPr>
                    <w:t>;</w:t>
                  </w:r>
                  <w:hyperlink r:id="rId371" w:tooltip="32021R1416: REPLACED" w:history="1">
                    <w:r>
                      <w:rPr>
                        <w:rStyle w:val="boldface"/>
                        <w:rFonts w:eastAsia="Arial Unicode MS"/>
                        <w:b/>
                        <w:bCs/>
                        <w:color w:val="4472C4" w:themeColor="accent1"/>
                        <w:sz w:val="20"/>
                        <w:szCs w:val="20"/>
                        <w:lang w:val="en-US"/>
                      </w:rPr>
                      <w:t>►M11</w:t>
                    </w:r>
                  </w:hyperlink>
                </w:p>
                <w:p w14:paraId="3A905E88" w14:textId="62F83392" w:rsidR="00124364" w:rsidRPr="008D3FC4" w:rsidRDefault="00000000" w:rsidP="008D3FC4">
                  <w:pPr>
                    <w:pStyle w:val="tbl-norm"/>
                    <w:framePr w:hSpace="180" w:wrap="around" w:vAnchor="text" w:hAnchor="text" w:x="-136" w:y="1"/>
                    <w:numPr>
                      <w:ilvl w:val="0"/>
                      <w:numId w:val="166"/>
                    </w:numPr>
                    <w:spacing w:before="0" w:beforeAutospacing="0" w:after="0" w:afterAutospacing="0"/>
                    <w:ind w:left="1434" w:hanging="357"/>
                    <w:suppressOverlap/>
                    <w:jc w:val="both"/>
                    <w:rPr>
                      <w:rStyle w:val="apple-converted-space"/>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începând</w:t>
                  </w:r>
                  <w:proofErr w:type="spellEnd"/>
                  <w:r w:rsidRPr="008D3FC4">
                    <w:rPr>
                      <w:rFonts w:eastAsia="Arial Unicode MS"/>
                      <w:color w:val="000000" w:themeColor="text1"/>
                      <w:sz w:val="20"/>
                      <w:szCs w:val="20"/>
                      <w:shd w:val="clear" w:color="auto" w:fill="FFFFFF"/>
                      <w:lang w:val="en-US"/>
                    </w:rPr>
                    <w:t xml:space="preserve"> de la 1</w:t>
                  </w:r>
                  <w:r w:rsid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ianuarie</w:t>
                  </w:r>
                  <w:proofErr w:type="spellEnd"/>
                  <w:r w:rsidRPr="008D3FC4">
                    <w:rPr>
                      <w:rFonts w:eastAsia="Arial Unicode MS"/>
                      <w:color w:val="000000" w:themeColor="text1"/>
                      <w:sz w:val="20"/>
                      <w:szCs w:val="20"/>
                      <w:shd w:val="clear" w:color="auto" w:fill="FFFFFF"/>
                      <w:lang w:val="en-US"/>
                    </w:rPr>
                    <w:t xml:space="preserve"> 2013 și </w:t>
                  </w:r>
                  <w:proofErr w:type="spellStart"/>
                  <w:r w:rsidRPr="008D3FC4">
                    <w:rPr>
                      <w:rFonts w:eastAsia="Arial Unicode MS"/>
                      <w:color w:val="000000" w:themeColor="text1"/>
                      <w:sz w:val="20"/>
                      <w:szCs w:val="20"/>
                      <w:shd w:val="clear" w:color="auto" w:fill="FFFFFF"/>
                      <w:lang w:val="en-US"/>
                    </w:rPr>
                    <w:t>până</w:t>
                  </w:r>
                  <w:proofErr w:type="spellEnd"/>
                  <w:r w:rsidRPr="008D3FC4">
                    <w:rPr>
                      <w:rFonts w:eastAsia="Arial Unicode MS"/>
                      <w:color w:val="000000" w:themeColor="text1"/>
                      <w:sz w:val="20"/>
                      <w:szCs w:val="20"/>
                      <w:shd w:val="clear" w:color="auto" w:fill="FFFFFF"/>
                      <w:lang w:val="en-US"/>
                    </w:rPr>
                    <w:t xml:space="preserve"> la 31</w:t>
                  </w:r>
                  <w:r w:rsid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decembrie</w:t>
                  </w:r>
                  <w:proofErr w:type="spellEnd"/>
                  <w:r w:rsidRPr="008D3FC4">
                    <w:rPr>
                      <w:rFonts w:eastAsia="Arial Unicode MS"/>
                      <w:color w:val="000000" w:themeColor="text1"/>
                      <w:sz w:val="20"/>
                      <w:szCs w:val="20"/>
                      <w:shd w:val="clear" w:color="auto" w:fill="FFFFFF"/>
                      <w:lang w:val="en-US"/>
                    </w:rPr>
                    <w:t xml:space="preserve"> 2030, </w:t>
                  </w: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care, cu </w:t>
                  </w:r>
                  <w:proofErr w:type="spellStart"/>
                  <w:r w:rsidRPr="008D3FC4">
                    <w:rPr>
                      <w:rFonts w:eastAsia="Arial Unicode MS"/>
                      <w:color w:val="000000" w:themeColor="text1"/>
                      <w:sz w:val="20"/>
                      <w:szCs w:val="20"/>
                      <w:shd w:val="clear" w:color="auto" w:fill="FFFFFF"/>
                      <w:lang w:val="en-US"/>
                    </w:rPr>
                    <w:t>excepția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prezentei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litere</w:t>
                  </w:r>
                  <w:proofErr w:type="spellEnd"/>
                  <w:r w:rsidRPr="008D3FC4">
                    <w:rPr>
                      <w:rFonts w:eastAsia="Arial Unicode MS"/>
                      <w:color w:val="000000" w:themeColor="text1"/>
                      <w:sz w:val="20"/>
                      <w:szCs w:val="20"/>
                      <w:shd w:val="clear" w:color="auto" w:fill="FFFFFF"/>
                      <w:lang w:val="en-US"/>
                    </w:rPr>
                    <w:t>, s-</w:t>
                  </w:r>
                  <w:proofErr w:type="spellStart"/>
                  <w:r w:rsidRPr="008D3FC4">
                    <w:rPr>
                      <w:rFonts w:eastAsia="Arial Unicode MS"/>
                      <w:color w:val="000000" w:themeColor="text1"/>
                      <w:sz w:val="20"/>
                      <w:szCs w:val="20"/>
                      <w:shd w:val="clear" w:color="auto" w:fill="FFFFFF"/>
                      <w:lang w:val="en-US"/>
                    </w:rPr>
                    <w:t>ar</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încadra</w:t>
                  </w:r>
                  <w:proofErr w:type="spellEnd"/>
                  <w:r w:rsidRPr="008D3FC4">
                    <w:rPr>
                      <w:rFonts w:eastAsia="Arial Unicode MS"/>
                      <w:color w:val="000000" w:themeColor="text1"/>
                      <w:sz w:val="20"/>
                      <w:szCs w:val="20"/>
                      <w:shd w:val="clear" w:color="auto" w:fill="FFFFFF"/>
                      <w:lang w:val="en-US"/>
                    </w:rPr>
                    <w:t xml:space="preserve"> în </w:t>
                  </w:r>
                  <w:proofErr w:type="spellStart"/>
                  <w:r w:rsidRPr="008D3FC4">
                    <w:rPr>
                      <w:rFonts w:eastAsia="Arial Unicode MS"/>
                      <w:color w:val="000000" w:themeColor="text1"/>
                      <w:sz w:val="20"/>
                      <w:szCs w:val="20"/>
                      <w:shd w:val="clear" w:color="auto" w:fill="FFFFFF"/>
                      <w:lang w:val="en-US"/>
                    </w:rPr>
                    <w:t>această</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activitate</w:t>
                  </w:r>
                  <w:proofErr w:type="spellEnd"/>
                  <w:r w:rsidRPr="008D3FC4">
                    <w:rPr>
                      <w:rFonts w:eastAsia="Arial Unicode MS"/>
                      <w:color w:val="000000" w:themeColor="text1"/>
                      <w:sz w:val="20"/>
                      <w:szCs w:val="20"/>
                      <w:shd w:val="clear" w:color="auto" w:fill="FFFFFF"/>
                      <w:lang w:val="en-US"/>
                    </w:rPr>
                    <w:t xml:space="preserve"> și sunt </w:t>
                  </w:r>
                  <w:proofErr w:type="spellStart"/>
                  <w:r w:rsidRPr="008D3FC4">
                    <w:rPr>
                      <w:rFonts w:eastAsia="Arial Unicode MS"/>
                      <w:color w:val="000000" w:themeColor="text1"/>
                      <w:sz w:val="20"/>
                      <w:szCs w:val="20"/>
                      <w:shd w:val="clear" w:color="auto" w:fill="FFFFFF"/>
                      <w:lang w:val="en-US"/>
                    </w:rPr>
                    <w:t>efectuate</w:t>
                  </w:r>
                  <w:proofErr w:type="spellEnd"/>
                  <w:r w:rsidRPr="008D3FC4">
                    <w:rPr>
                      <w:rFonts w:eastAsia="Arial Unicode MS"/>
                      <w:color w:val="000000" w:themeColor="text1"/>
                      <w:sz w:val="20"/>
                      <w:szCs w:val="20"/>
                      <w:shd w:val="clear" w:color="auto" w:fill="FFFFFF"/>
                      <w:lang w:val="en-US"/>
                    </w:rPr>
                    <w:t xml:space="preserve"> de un operator de </w:t>
                  </w:r>
                  <w:proofErr w:type="spellStart"/>
                  <w:r w:rsidRPr="008D3FC4">
                    <w:rPr>
                      <w:rFonts w:eastAsia="Arial Unicode MS"/>
                      <w:color w:val="000000" w:themeColor="text1"/>
                      <w:sz w:val="20"/>
                      <w:szCs w:val="20"/>
                      <w:shd w:val="clear" w:color="auto" w:fill="FFFFFF"/>
                      <w:lang w:val="en-US"/>
                    </w:rPr>
                    <w:t>aeronave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necomerciale</w:t>
                  </w:r>
                  <w:proofErr w:type="spellEnd"/>
                  <w:r w:rsidRPr="008D3FC4">
                    <w:rPr>
                      <w:rFonts w:eastAsia="Arial Unicode MS"/>
                      <w:color w:val="000000" w:themeColor="text1"/>
                      <w:sz w:val="20"/>
                      <w:szCs w:val="20"/>
                      <w:shd w:val="clear" w:color="auto" w:fill="FFFFFF"/>
                      <w:lang w:val="en-US"/>
                    </w:rPr>
                    <w:t xml:space="preserve"> care efectuează </w:t>
                  </w:r>
                  <w:proofErr w:type="spellStart"/>
                  <w:r w:rsidRPr="008D3FC4">
                    <w:rPr>
                      <w:rFonts w:eastAsia="Arial Unicode MS"/>
                      <w:color w:val="000000" w:themeColor="text1"/>
                      <w:sz w:val="20"/>
                      <w:szCs w:val="20"/>
                      <w:shd w:val="clear" w:color="auto" w:fill="FFFFFF"/>
                      <w:lang w:val="en-US"/>
                    </w:rPr>
                    <w:t>zboruri</w:t>
                  </w:r>
                  <w:proofErr w:type="spellEnd"/>
                  <w:r w:rsidRPr="008D3FC4">
                    <w:rPr>
                      <w:rFonts w:eastAsia="Arial Unicode MS"/>
                      <w:color w:val="000000" w:themeColor="text1"/>
                      <w:sz w:val="20"/>
                      <w:szCs w:val="20"/>
                      <w:shd w:val="clear" w:color="auto" w:fill="FFFFFF"/>
                      <w:lang w:val="en-US"/>
                    </w:rPr>
                    <w:t xml:space="preserve"> cu </w:t>
                  </w:r>
                  <w:proofErr w:type="spellStart"/>
                  <w:r w:rsidRPr="008D3FC4">
                    <w:rPr>
                      <w:rFonts w:eastAsia="Arial Unicode MS"/>
                      <w:color w:val="000000" w:themeColor="text1"/>
                      <w:sz w:val="20"/>
                      <w:szCs w:val="20"/>
                      <w:shd w:val="clear" w:color="auto" w:fill="FFFFFF"/>
                      <w:lang w:val="en-US"/>
                    </w:rPr>
                    <w:t>emisii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anuale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totale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mai</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mici</w:t>
                  </w:r>
                  <w:proofErr w:type="spellEnd"/>
                  <w:r w:rsidRPr="008D3FC4">
                    <w:rPr>
                      <w:rFonts w:eastAsia="Arial Unicode MS"/>
                      <w:color w:val="000000" w:themeColor="text1"/>
                      <w:sz w:val="20"/>
                      <w:szCs w:val="20"/>
                      <w:shd w:val="clear" w:color="auto" w:fill="FFFFFF"/>
                      <w:lang w:val="en-US"/>
                    </w:rPr>
                    <w:t xml:space="preserve"> de 1</w:t>
                  </w:r>
                  <w:r w:rsid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000 de tone pe an [</w:t>
                  </w:r>
                  <w:proofErr w:type="spellStart"/>
                  <w:r w:rsidRPr="008D3FC4">
                    <w:rPr>
                      <w:rFonts w:eastAsia="Arial Unicode MS"/>
                      <w:color w:val="000000" w:themeColor="text1"/>
                      <w:sz w:val="20"/>
                      <w:szCs w:val="20"/>
                      <w:shd w:val="clear" w:color="auto" w:fill="FFFFFF"/>
                      <w:lang w:val="en-US"/>
                    </w:rPr>
                    <w:t>inclusiv</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emisiile</w:t>
                  </w:r>
                  <w:proofErr w:type="spellEnd"/>
                  <w:r w:rsidRPr="008D3FC4">
                    <w:rPr>
                      <w:rFonts w:eastAsia="Arial Unicode MS"/>
                      <w:color w:val="000000" w:themeColor="text1"/>
                      <w:sz w:val="20"/>
                      <w:szCs w:val="20"/>
                      <w:shd w:val="clear" w:color="auto" w:fill="FFFFFF"/>
                      <w:lang w:val="en-US"/>
                    </w:rPr>
                    <w:t xml:space="preserve"> generate de </w:t>
                  </w: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menționate</w:t>
                  </w:r>
                  <w:proofErr w:type="spellEnd"/>
                  <w:r w:rsidRPr="008D3FC4">
                    <w:rPr>
                      <w:rFonts w:eastAsia="Arial Unicode MS"/>
                      <w:color w:val="000000" w:themeColor="text1"/>
                      <w:sz w:val="20"/>
                      <w:szCs w:val="20"/>
                      <w:shd w:val="clear" w:color="auto" w:fill="FFFFFF"/>
                      <w:lang w:val="en-US"/>
                    </w:rPr>
                    <w:t xml:space="preserve"> la </w:t>
                  </w:r>
                  <w:proofErr w:type="spellStart"/>
                  <w:r w:rsidRPr="008D3FC4">
                    <w:rPr>
                      <w:rFonts w:eastAsia="Arial Unicode MS"/>
                      <w:color w:val="000000" w:themeColor="text1"/>
                      <w:sz w:val="20"/>
                      <w:szCs w:val="20"/>
                      <w:shd w:val="clear" w:color="auto" w:fill="FFFFFF"/>
                      <w:lang w:val="en-US"/>
                    </w:rPr>
                    <w:t>literele</w:t>
                  </w:r>
                  <w:proofErr w:type="spellEnd"/>
                  <w:r w:rsidRPr="008D3FC4">
                    <w:rPr>
                      <w:rFonts w:eastAsia="Arial Unicode MS"/>
                      <w:color w:val="000000" w:themeColor="text1"/>
                      <w:sz w:val="20"/>
                      <w:szCs w:val="20"/>
                      <w:shd w:val="clear" w:color="auto" w:fill="FFFFFF"/>
                      <w:lang w:val="en-US"/>
                    </w:rPr>
                    <w:t xml:space="preserve"> (l) și (m)</w:t>
                  </w:r>
                  <w:proofErr w:type="gramStart"/>
                  <w:r w:rsidRPr="008D3FC4">
                    <w:rPr>
                      <w:rFonts w:eastAsia="Arial Unicode MS"/>
                      <w:color w:val="000000" w:themeColor="text1"/>
                      <w:sz w:val="20"/>
                      <w:szCs w:val="20"/>
                      <w:shd w:val="clear" w:color="auto" w:fill="FFFFFF"/>
                      <w:lang w:val="en-US"/>
                    </w:rPr>
                    <w:t>];</w:t>
                  </w:r>
                  <w:r w:rsidRPr="008D3FC4">
                    <w:rPr>
                      <w:rStyle w:val="boldface"/>
                      <w:rFonts w:eastAsia="Arial Unicode MS"/>
                      <w:b/>
                      <w:bCs/>
                      <w:color w:val="000000" w:themeColor="text1"/>
                      <w:sz w:val="20"/>
                      <w:szCs w:val="20"/>
                      <w:lang w:val="en-US"/>
                    </w:rPr>
                    <w:t>◄</w:t>
                  </w:r>
                  <w:proofErr w:type="gramEnd"/>
                </w:p>
                <w:p w14:paraId="4F87637E" w14:textId="69117F93" w:rsidR="00124364" w:rsidRDefault="00000000" w:rsidP="00E34C2B">
                  <w:pPr>
                    <w:pStyle w:val="tbl-norm"/>
                    <w:framePr w:hSpace="180" w:wrap="around" w:vAnchor="text" w:hAnchor="text" w:x="-136" w:y="1"/>
                    <w:spacing w:before="60" w:beforeAutospacing="0" w:after="60" w:afterAutospacing="0" w:line="312" w:lineRule="atLeast"/>
                    <w:ind w:left="1440"/>
                    <w:suppressOverlap/>
                    <w:jc w:val="both"/>
                    <w:rPr>
                      <w:rStyle w:val="apple-converted-space"/>
                      <w:rFonts w:eastAsia="Arial Unicode MS" w:hint="eastAsia"/>
                      <w:color w:val="4472C4" w:themeColor="accent1"/>
                      <w:sz w:val="20"/>
                      <w:szCs w:val="20"/>
                      <w:shd w:val="clear" w:color="auto" w:fill="FFFFFF"/>
                      <w:lang w:val="en-US" w:eastAsia="zh-CN"/>
                    </w:rPr>
                  </w:pPr>
                  <w:hyperlink r:id="rId372" w:tooltip="32020D1071: INSERTED" w:history="1">
                    <w:r>
                      <w:rPr>
                        <w:rStyle w:val="boldface"/>
                        <w:rFonts w:eastAsia="Arial Unicode MS"/>
                        <w:b/>
                        <w:bCs/>
                        <w:color w:val="4472C4" w:themeColor="accent1"/>
                        <w:sz w:val="20"/>
                        <w:szCs w:val="20"/>
                      </w:rPr>
                      <w:t>►M10</w:t>
                    </w:r>
                  </w:hyperlink>
                </w:p>
                <w:p w14:paraId="1800BBAE" w14:textId="6D14849E" w:rsidR="00124364" w:rsidRDefault="00000000" w:rsidP="008D3FC4">
                  <w:pPr>
                    <w:pStyle w:val="tbl-norm"/>
                    <w:framePr w:hSpace="180" w:wrap="around" w:vAnchor="text" w:hAnchor="text" w:x="-136" w:y="1"/>
                    <w:numPr>
                      <w:ilvl w:val="0"/>
                      <w:numId w:val="166"/>
                    </w:numPr>
                    <w:spacing w:before="0" w:beforeAutospacing="0" w:after="0" w:afterAutospacing="0"/>
                    <w:ind w:left="1434" w:hanging="357"/>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dinspre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w:t>
                  </w:r>
                  <w:proofErr w:type="spellStart"/>
                  <w:r w:rsidRPr="008D3FC4">
                    <w:rPr>
                      <w:rFonts w:eastAsia="Arial Unicode MS"/>
                      <w:color w:val="000000" w:themeColor="text1"/>
                      <w:sz w:val="20"/>
                      <w:szCs w:val="20"/>
                      <w:shd w:val="clear" w:color="auto" w:fill="FFFFFF"/>
                      <w:lang w:val="en-US"/>
                    </w:rPr>
                    <w:t>Elveția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către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SEE;</w:t>
                  </w:r>
                  <w:r>
                    <w:rPr>
                      <w:rStyle w:val="boldface"/>
                      <w:rFonts w:eastAsia="Arial Unicode MS"/>
                      <w:b/>
                      <w:bCs/>
                      <w:color w:val="333333"/>
                      <w:sz w:val="20"/>
                      <w:szCs w:val="20"/>
                      <w:lang w:val="en-US"/>
                    </w:rPr>
                    <w:t>◄</w:t>
                  </w:r>
                  <w:r>
                    <w:fldChar w:fldCharType="begin"/>
                  </w:r>
                  <w:r>
                    <w:instrText>HYPERLINK "https://eur-lex.europa.eu/legal-content/RO/AUTO/?uri=celex:32021R1416" \o "32021R1416: INSERTED"</w:instrText>
                  </w:r>
                  <w:r>
                    <w:fldChar w:fldCharType="separate"/>
                  </w:r>
                  <w:r>
                    <w:rPr>
                      <w:rStyle w:val="boldface"/>
                      <w:rFonts w:eastAsia="Arial Unicode MS"/>
                      <w:b/>
                      <w:bCs/>
                      <w:color w:val="4472C4" w:themeColor="accent1"/>
                      <w:sz w:val="20"/>
                      <w:szCs w:val="20"/>
                      <w:lang w:val="en-US"/>
                    </w:rPr>
                    <w:t>►M11</w:t>
                  </w:r>
                  <w:r>
                    <w:rPr>
                      <w:rStyle w:val="apple-converted-space"/>
                      <w:rFonts w:eastAsia="Arial Unicode MS"/>
                      <w:color w:val="4472C4" w:themeColor="accent1"/>
                      <w:sz w:val="20"/>
                      <w:szCs w:val="20"/>
                      <w:lang w:val="en-US"/>
                    </w:rPr>
                    <w:fldChar w:fldCharType="end"/>
                  </w:r>
                </w:p>
                <w:p w14:paraId="6F2CD30E" w14:textId="1A608721" w:rsidR="00124364" w:rsidRDefault="00000000" w:rsidP="008D3FC4">
                  <w:pPr>
                    <w:pStyle w:val="tbl-norm"/>
                    <w:framePr w:hSpace="180" w:wrap="around" w:vAnchor="text" w:hAnchor="text" w:x="-136" w:y="1"/>
                    <w:numPr>
                      <w:ilvl w:val="0"/>
                      <w:numId w:val="166"/>
                    </w:numPr>
                    <w:spacing w:before="0" w:beforeAutospacing="0" w:after="0" w:afterAutospacing="0"/>
                    <w:ind w:left="1434" w:hanging="357"/>
                    <w:suppressOverlap/>
                    <w:jc w:val="both"/>
                    <w:rPr>
                      <w:rFonts w:eastAsia="Arial Unicode MS"/>
                      <w:color w:val="333333"/>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zborurile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dinspre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w:t>
                  </w:r>
                  <w:proofErr w:type="spellStart"/>
                  <w:r w:rsidRPr="008D3FC4">
                    <w:rPr>
                      <w:rFonts w:eastAsia="Arial Unicode MS"/>
                      <w:color w:val="000000" w:themeColor="text1"/>
                      <w:sz w:val="20"/>
                      <w:szCs w:val="20"/>
                      <w:shd w:val="clear" w:color="auto" w:fill="FFFFFF"/>
                      <w:lang w:val="en-US"/>
                    </w:rPr>
                    <w:t>Regatul</w:t>
                  </w:r>
                  <w:proofErr w:type="spellEnd"/>
                  <w:r w:rsidRPr="008D3FC4">
                    <w:rPr>
                      <w:rFonts w:eastAsia="Arial Unicode MS"/>
                      <w:color w:val="000000" w:themeColor="text1"/>
                      <w:sz w:val="20"/>
                      <w:szCs w:val="20"/>
                      <w:shd w:val="clear" w:color="auto" w:fill="FFFFFF"/>
                      <w:lang w:val="en-US"/>
                    </w:rPr>
                    <w:t xml:space="preserve"> Unit </w:t>
                  </w:r>
                  <w:proofErr w:type="spellStart"/>
                  <w:r w:rsidRPr="008D3FC4">
                    <w:rPr>
                      <w:rFonts w:eastAsia="Arial Unicode MS"/>
                      <w:color w:val="000000" w:themeColor="text1"/>
                      <w:sz w:val="20"/>
                      <w:szCs w:val="20"/>
                      <w:shd w:val="clear" w:color="auto" w:fill="FFFFFF"/>
                      <w:lang w:val="en-US"/>
                    </w:rPr>
                    <w:t>către</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aerodromuri</w:t>
                  </w:r>
                  <w:proofErr w:type="spellEnd"/>
                  <w:r w:rsidRPr="008D3FC4">
                    <w:rPr>
                      <w:rFonts w:eastAsia="Arial Unicode MS"/>
                      <w:color w:val="000000" w:themeColor="text1"/>
                      <w:sz w:val="20"/>
                      <w:szCs w:val="20"/>
                      <w:shd w:val="clear" w:color="auto" w:fill="FFFFFF"/>
                      <w:lang w:val="en-US"/>
                    </w:rPr>
                    <w:t xml:space="preserve"> situate în SEE.</w:t>
                  </w:r>
                  <w:r w:rsidRPr="008D3FC4">
                    <w:rPr>
                      <w:rStyle w:val="boldface"/>
                      <w:rFonts w:eastAsia="Arial Unicode MS"/>
                      <w:b/>
                      <w:bCs/>
                      <w:color w:val="000000" w:themeColor="text1"/>
                      <w:sz w:val="20"/>
                      <w:szCs w:val="20"/>
                    </w:rPr>
                    <w:t>◄</w:t>
                  </w:r>
                </w:p>
              </w:tc>
              <w:tc>
                <w:tcPr>
                  <w:tcW w:w="1577" w:type="dxa"/>
                </w:tcPr>
                <w:p w14:paraId="25A9BFEA"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lastRenderedPageBreak/>
                    <w:t>Dioxid</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de</w:t>
                  </w:r>
                  <w:proofErr w:type="spellEnd"/>
                  <w:r>
                    <w:rPr>
                      <w:rFonts w:eastAsia="Arial Unicode MS"/>
                      <w:color w:val="333333"/>
                      <w:sz w:val="20"/>
                      <w:szCs w:val="20"/>
                      <w:shd w:val="clear" w:color="auto" w:fill="FFFFFF"/>
                    </w:rPr>
                    <w:t xml:space="preserve"> carbon</w:t>
                  </w:r>
                </w:p>
              </w:tc>
            </w:tr>
            <w:tr w:rsidR="00124364" w14:paraId="15383C09" w14:textId="77777777">
              <w:tc>
                <w:tcPr>
                  <w:tcW w:w="4731" w:type="dxa"/>
                  <w:gridSpan w:val="2"/>
                </w:tcPr>
                <w:p w14:paraId="7CE91785" w14:textId="77777777" w:rsidR="00124364"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hyperlink r:id="rId373" w:tooltip="32023L0959: INSERTED" w:history="1">
                    <w:r>
                      <w:rPr>
                        <w:rStyle w:val="af3"/>
                        <w:rFonts w:eastAsia="Arial Unicode MS"/>
                        <w:b/>
                        <w:bCs/>
                        <w:color w:val="4472C4" w:themeColor="accent1"/>
                        <w:sz w:val="20"/>
                        <w:szCs w:val="20"/>
                      </w:rPr>
                      <w:t>▼M15</w:t>
                    </w:r>
                  </w:hyperlink>
                </w:p>
              </w:tc>
            </w:tr>
            <w:tr w:rsidR="00124364" w14:paraId="3D19BA84" w14:textId="77777777">
              <w:tc>
                <w:tcPr>
                  <w:tcW w:w="3154" w:type="dxa"/>
                </w:tcPr>
                <w:p w14:paraId="2963DC58" w14:textId="77777777"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rPr>
                  </w:pPr>
                  <w:r w:rsidRPr="008D3FC4">
                    <w:rPr>
                      <w:rFonts w:eastAsia="Arial Unicode MS"/>
                      <w:color w:val="000000" w:themeColor="text1"/>
                      <w:sz w:val="20"/>
                      <w:szCs w:val="20"/>
                    </w:rPr>
                    <w:t>Transport maritim</w:t>
                  </w:r>
                </w:p>
                <w:p w14:paraId="2AF39898" w14:textId="4A13A742" w:rsidR="00124364" w:rsidRPr="008D3FC4" w:rsidRDefault="00000000" w:rsidP="008D3FC4">
                  <w:pPr>
                    <w:pStyle w:val="tbl-norm"/>
                    <w:framePr w:hSpace="180" w:wrap="around" w:vAnchor="text" w:hAnchor="text" w:x="-136" w:y="1"/>
                    <w:spacing w:before="0" w:beforeAutospacing="0" w:after="0" w:afterAutospacing="0"/>
                    <w:suppressOverlap/>
                    <w:jc w:val="both"/>
                    <w:rPr>
                      <w:rFonts w:eastAsia="Arial Unicode MS"/>
                      <w:color w:val="000000" w:themeColor="text1"/>
                      <w:sz w:val="20"/>
                      <w:szCs w:val="20"/>
                      <w:lang w:val="en-US"/>
                    </w:rPr>
                  </w:pPr>
                  <w:proofErr w:type="spellStart"/>
                  <w:r w:rsidRPr="008D3FC4">
                    <w:rPr>
                      <w:rFonts w:eastAsia="Arial Unicode MS"/>
                      <w:color w:val="000000" w:themeColor="text1"/>
                      <w:sz w:val="20"/>
                      <w:szCs w:val="20"/>
                      <w:lang w:val="en-US"/>
                    </w:rPr>
                    <w:t>Activități</w:t>
                  </w:r>
                  <w:proofErr w:type="spellEnd"/>
                  <w:r w:rsidRPr="008D3FC4">
                    <w:rPr>
                      <w:rFonts w:eastAsia="Arial Unicode MS"/>
                      <w:color w:val="000000" w:themeColor="text1"/>
                      <w:sz w:val="20"/>
                      <w:szCs w:val="20"/>
                      <w:lang w:val="en-US"/>
                    </w:rPr>
                    <w:t xml:space="preserve"> de transport maritim care </w:t>
                  </w:r>
                  <w:proofErr w:type="spellStart"/>
                  <w:r w:rsidRPr="008D3FC4">
                    <w:rPr>
                      <w:rFonts w:eastAsia="Arial Unicode MS"/>
                      <w:color w:val="000000" w:themeColor="text1"/>
                      <w:sz w:val="20"/>
                      <w:szCs w:val="20"/>
                      <w:lang w:val="en-US"/>
                    </w:rPr>
                    <w:t>intră</w:t>
                  </w:r>
                  <w:proofErr w:type="spellEnd"/>
                  <w:r w:rsidRPr="008D3FC4">
                    <w:rPr>
                      <w:rFonts w:eastAsia="Arial Unicode MS"/>
                      <w:color w:val="000000" w:themeColor="text1"/>
                      <w:sz w:val="20"/>
                      <w:szCs w:val="20"/>
                      <w:lang w:val="en-US"/>
                    </w:rPr>
                    <w:t xml:space="preserve"> sub </w:t>
                  </w:r>
                  <w:proofErr w:type="spellStart"/>
                  <w:r w:rsidRPr="008D3FC4">
                    <w:rPr>
                      <w:rFonts w:eastAsia="Arial Unicode MS"/>
                      <w:color w:val="000000" w:themeColor="text1"/>
                      <w:sz w:val="20"/>
                      <w:szCs w:val="20"/>
                      <w:lang w:val="en-US"/>
                    </w:rPr>
                    <w:t>incidența</w:t>
                  </w:r>
                  <w:proofErr w:type="spellEnd"/>
                  <w:r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Regulamentului</w:t>
                  </w:r>
                  <w:proofErr w:type="spellEnd"/>
                  <w:r w:rsidRPr="008D3FC4">
                    <w:rPr>
                      <w:rFonts w:eastAsia="Arial Unicode MS"/>
                      <w:color w:val="000000" w:themeColor="text1"/>
                      <w:sz w:val="20"/>
                      <w:szCs w:val="20"/>
                      <w:lang w:val="en-US"/>
                    </w:rPr>
                    <w:t xml:space="preserve"> (UE)</w:t>
                  </w:r>
                  <w:r w:rsidR="008D3FC4" w:rsidRPr="008D3FC4">
                    <w:rPr>
                      <w:rFonts w:eastAsia="Arial Unicode MS"/>
                      <w:color w:val="000000" w:themeColor="text1"/>
                      <w:sz w:val="20"/>
                      <w:szCs w:val="20"/>
                      <w:lang w:val="en-US"/>
                    </w:rPr>
                    <w:t xml:space="preserve"> </w:t>
                  </w:r>
                  <w:r w:rsidRPr="008D3FC4">
                    <w:rPr>
                      <w:rFonts w:eastAsia="Arial Unicode MS"/>
                      <w:color w:val="000000" w:themeColor="text1"/>
                      <w:sz w:val="20"/>
                      <w:szCs w:val="20"/>
                      <w:lang w:val="en-US"/>
                    </w:rPr>
                    <w:t xml:space="preserve">2015/757, cu </w:t>
                  </w:r>
                  <w:proofErr w:type="spellStart"/>
                  <w:r w:rsidRPr="008D3FC4">
                    <w:rPr>
                      <w:rFonts w:eastAsia="Arial Unicode MS"/>
                      <w:color w:val="000000" w:themeColor="text1"/>
                      <w:sz w:val="20"/>
                      <w:szCs w:val="20"/>
                      <w:lang w:val="en-US"/>
                    </w:rPr>
                    <w:t>excepția</w:t>
                  </w:r>
                  <w:proofErr w:type="spellEnd"/>
                  <w:r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activităților</w:t>
                  </w:r>
                  <w:proofErr w:type="spellEnd"/>
                  <w:r w:rsidRPr="008D3FC4">
                    <w:rPr>
                      <w:rFonts w:eastAsia="Arial Unicode MS"/>
                      <w:color w:val="000000" w:themeColor="text1"/>
                      <w:sz w:val="20"/>
                      <w:szCs w:val="20"/>
                      <w:lang w:val="en-US"/>
                    </w:rPr>
                    <w:t xml:space="preserve"> de transport maritim care </w:t>
                  </w:r>
                  <w:proofErr w:type="spellStart"/>
                  <w:r w:rsidRPr="008D3FC4">
                    <w:rPr>
                      <w:rFonts w:eastAsia="Arial Unicode MS"/>
                      <w:color w:val="000000" w:themeColor="text1"/>
                      <w:sz w:val="20"/>
                      <w:szCs w:val="20"/>
                      <w:lang w:val="en-US"/>
                    </w:rPr>
                    <w:t>intră</w:t>
                  </w:r>
                  <w:proofErr w:type="spellEnd"/>
                  <w:r w:rsidRPr="008D3FC4">
                    <w:rPr>
                      <w:rFonts w:eastAsia="Arial Unicode MS"/>
                      <w:color w:val="000000" w:themeColor="text1"/>
                      <w:sz w:val="20"/>
                      <w:szCs w:val="20"/>
                      <w:lang w:val="en-US"/>
                    </w:rPr>
                    <w:t xml:space="preserve"> sub </w:t>
                  </w:r>
                  <w:proofErr w:type="spellStart"/>
                  <w:r w:rsidRPr="008D3FC4">
                    <w:rPr>
                      <w:rFonts w:eastAsia="Arial Unicode MS"/>
                      <w:color w:val="000000" w:themeColor="text1"/>
                      <w:sz w:val="20"/>
                      <w:szCs w:val="20"/>
                      <w:lang w:val="en-US"/>
                    </w:rPr>
                    <w:t>incidența</w:t>
                  </w:r>
                  <w:proofErr w:type="spellEnd"/>
                  <w:r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articolului</w:t>
                  </w:r>
                  <w:proofErr w:type="spellEnd"/>
                  <w:r w:rsidR="008D3FC4" w:rsidRPr="008D3FC4">
                    <w:rPr>
                      <w:rFonts w:eastAsia="Arial Unicode MS"/>
                      <w:color w:val="000000" w:themeColor="text1"/>
                      <w:sz w:val="20"/>
                      <w:szCs w:val="20"/>
                      <w:lang w:val="en-US"/>
                    </w:rPr>
                    <w:t xml:space="preserve"> </w:t>
                  </w:r>
                  <w:r w:rsidRPr="008D3FC4">
                    <w:rPr>
                      <w:rFonts w:eastAsia="Arial Unicode MS"/>
                      <w:color w:val="000000" w:themeColor="text1"/>
                      <w:sz w:val="20"/>
                      <w:szCs w:val="20"/>
                      <w:lang w:val="en-US"/>
                    </w:rPr>
                    <w:t xml:space="preserve">2 </w:t>
                  </w:r>
                  <w:proofErr w:type="spellStart"/>
                  <w:r w:rsidRPr="008D3FC4">
                    <w:rPr>
                      <w:rFonts w:eastAsia="Arial Unicode MS"/>
                      <w:color w:val="000000" w:themeColor="text1"/>
                      <w:sz w:val="20"/>
                      <w:szCs w:val="20"/>
                      <w:lang w:val="en-US"/>
                    </w:rPr>
                    <w:t>alineatul</w:t>
                  </w:r>
                  <w:proofErr w:type="spellEnd"/>
                  <w:r w:rsidRPr="008D3FC4">
                    <w:rPr>
                      <w:rFonts w:eastAsia="Arial Unicode MS"/>
                      <w:color w:val="000000" w:themeColor="text1"/>
                      <w:sz w:val="20"/>
                      <w:szCs w:val="20"/>
                      <w:lang w:val="en-US"/>
                    </w:rPr>
                    <w:t xml:space="preserve"> (1a) și, </w:t>
                  </w:r>
                  <w:proofErr w:type="spellStart"/>
                  <w:r w:rsidRPr="008D3FC4">
                    <w:rPr>
                      <w:rFonts w:eastAsia="Arial Unicode MS"/>
                      <w:color w:val="000000" w:themeColor="text1"/>
                      <w:sz w:val="20"/>
                      <w:szCs w:val="20"/>
                      <w:lang w:val="en-US"/>
                    </w:rPr>
                    <w:t>până</w:t>
                  </w:r>
                  <w:proofErr w:type="spellEnd"/>
                  <w:r w:rsidRPr="008D3FC4">
                    <w:rPr>
                      <w:rFonts w:eastAsia="Arial Unicode MS"/>
                      <w:color w:val="000000" w:themeColor="text1"/>
                      <w:sz w:val="20"/>
                      <w:szCs w:val="20"/>
                      <w:lang w:val="en-US"/>
                    </w:rPr>
                    <w:t xml:space="preserve"> la 31</w:t>
                  </w:r>
                  <w:r w:rsidR="008D3FC4"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decembrie</w:t>
                  </w:r>
                  <w:proofErr w:type="spellEnd"/>
                  <w:r w:rsidRPr="008D3FC4">
                    <w:rPr>
                      <w:rFonts w:eastAsia="Arial Unicode MS"/>
                      <w:color w:val="000000" w:themeColor="text1"/>
                      <w:sz w:val="20"/>
                      <w:szCs w:val="20"/>
                      <w:lang w:val="en-US"/>
                    </w:rPr>
                    <w:t xml:space="preserve"> 2026, </w:t>
                  </w:r>
                  <w:proofErr w:type="gramStart"/>
                  <w:r w:rsidRPr="008D3FC4">
                    <w:rPr>
                      <w:rFonts w:eastAsia="Arial Unicode MS"/>
                      <w:color w:val="000000" w:themeColor="text1"/>
                      <w:sz w:val="20"/>
                      <w:szCs w:val="20"/>
                      <w:lang w:val="en-US"/>
                    </w:rPr>
                    <w:t>a</w:t>
                  </w:r>
                  <w:proofErr w:type="gramEnd"/>
                  <w:r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articolului</w:t>
                  </w:r>
                  <w:proofErr w:type="spellEnd"/>
                  <w:r w:rsidR="008D3FC4" w:rsidRPr="008D3FC4">
                    <w:rPr>
                      <w:rFonts w:eastAsia="Arial Unicode MS"/>
                      <w:color w:val="000000" w:themeColor="text1"/>
                      <w:sz w:val="20"/>
                      <w:szCs w:val="20"/>
                      <w:lang w:val="en-US"/>
                    </w:rPr>
                    <w:t xml:space="preserve"> </w:t>
                  </w:r>
                  <w:r w:rsidRPr="008D3FC4">
                    <w:rPr>
                      <w:rFonts w:eastAsia="Arial Unicode MS"/>
                      <w:color w:val="000000" w:themeColor="text1"/>
                      <w:sz w:val="20"/>
                      <w:szCs w:val="20"/>
                      <w:lang w:val="en-US"/>
                    </w:rPr>
                    <w:t xml:space="preserve">2 </w:t>
                  </w:r>
                  <w:proofErr w:type="spellStart"/>
                  <w:r w:rsidRPr="008D3FC4">
                    <w:rPr>
                      <w:rFonts w:eastAsia="Arial Unicode MS"/>
                      <w:color w:val="000000" w:themeColor="text1"/>
                      <w:sz w:val="20"/>
                      <w:szCs w:val="20"/>
                      <w:lang w:val="en-US"/>
                    </w:rPr>
                    <w:t>alineatul</w:t>
                  </w:r>
                  <w:proofErr w:type="spellEnd"/>
                  <w:r w:rsidRPr="008D3FC4">
                    <w:rPr>
                      <w:rFonts w:eastAsia="Arial Unicode MS"/>
                      <w:color w:val="000000" w:themeColor="text1"/>
                      <w:sz w:val="20"/>
                      <w:szCs w:val="20"/>
                      <w:lang w:val="en-US"/>
                    </w:rPr>
                    <w:t xml:space="preserve"> (1b) din </w:t>
                  </w:r>
                  <w:proofErr w:type="spellStart"/>
                  <w:r w:rsidRPr="008D3FC4">
                    <w:rPr>
                      <w:rFonts w:eastAsia="Arial Unicode MS"/>
                      <w:color w:val="000000" w:themeColor="text1"/>
                      <w:sz w:val="20"/>
                      <w:szCs w:val="20"/>
                      <w:lang w:val="en-US"/>
                    </w:rPr>
                    <w:t>respectivul</w:t>
                  </w:r>
                  <w:proofErr w:type="spellEnd"/>
                  <w:r w:rsidRPr="008D3FC4">
                    <w:rPr>
                      <w:rFonts w:eastAsia="Arial Unicode MS"/>
                      <w:color w:val="000000" w:themeColor="text1"/>
                      <w:sz w:val="20"/>
                      <w:szCs w:val="20"/>
                      <w:lang w:val="en-US"/>
                    </w:rPr>
                    <w:t xml:space="preserve"> </w:t>
                  </w:r>
                  <w:proofErr w:type="spellStart"/>
                  <w:r w:rsidRPr="008D3FC4">
                    <w:rPr>
                      <w:rFonts w:eastAsia="Arial Unicode MS"/>
                      <w:color w:val="000000" w:themeColor="text1"/>
                      <w:sz w:val="20"/>
                      <w:szCs w:val="20"/>
                      <w:lang w:val="en-US"/>
                    </w:rPr>
                    <w:t>regulament</w:t>
                  </w:r>
                  <w:proofErr w:type="spellEnd"/>
                </w:p>
              </w:tc>
              <w:tc>
                <w:tcPr>
                  <w:tcW w:w="1577" w:type="dxa"/>
                </w:tcPr>
                <w:p w14:paraId="5E31B923" w14:textId="77777777"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lang w:val="en-US"/>
                    </w:rPr>
                  </w:pPr>
                  <w:proofErr w:type="spellStart"/>
                  <w:r>
                    <w:rPr>
                      <w:rFonts w:eastAsia="Arial Unicode MS"/>
                      <w:color w:val="333333"/>
                      <w:sz w:val="20"/>
                      <w:szCs w:val="20"/>
                      <w:lang w:val="en-US"/>
                    </w:rPr>
                    <w:t>Dioxid</w:t>
                  </w:r>
                  <w:proofErr w:type="spellEnd"/>
                  <w:r>
                    <w:rPr>
                      <w:rFonts w:eastAsia="Arial Unicode MS"/>
                      <w:color w:val="333333"/>
                      <w:sz w:val="20"/>
                      <w:szCs w:val="20"/>
                      <w:lang w:val="en-US"/>
                    </w:rPr>
                    <w:t xml:space="preserve"> de carbon</w:t>
                  </w:r>
                </w:p>
                <w:p w14:paraId="34985D37" w14:textId="4E9DA151" w:rsidR="00124364" w:rsidRDefault="00000000" w:rsidP="008D3FC4">
                  <w:pPr>
                    <w:pStyle w:val="tbl-norm"/>
                    <w:framePr w:hSpace="180" w:wrap="around" w:vAnchor="text" w:hAnchor="text" w:x="-136" w:y="1"/>
                    <w:spacing w:before="0" w:beforeAutospacing="0" w:after="0" w:afterAutospacing="0"/>
                    <w:suppressOverlap/>
                    <w:jc w:val="both"/>
                    <w:rPr>
                      <w:rFonts w:eastAsia="Arial Unicode MS"/>
                      <w:color w:val="333333"/>
                      <w:sz w:val="20"/>
                      <w:szCs w:val="20"/>
                      <w:lang w:val="en-US"/>
                    </w:rPr>
                  </w:pPr>
                  <w:proofErr w:type="spellStart"/>
                  <w:r>
                    <w:rPr>
                      <w:rFonts w:eastAsia="Arial Unicode MS"/>
                      <w:color w:val="333333"/>
                      <w:sz w:val="20"/>
                      <w:szCs w:val="20"/>
                      <w:lang w:val="en-US"/>
                    </w:rPr>
                    <w:t>începând</w:t>
                  </w:r>
                  <w:proofErr w:type="spellEnd"/>
                  <w:r>
                    <w:rPr>
                      <w:rFonts w:eastAsia="Arial Unicode MS"/>
                      <w:color w:val="333333"/>
                      <w:sz w:val="20"/>
                      <w:szCs w:val="20"/>
                      <w:lang w:val="en-US"/>
                    </w:rPr>
                    <w:t xml:space="preserve"> cu 1</w:t>
                  </w:r>
                  <w:r w:rsidR="008D3FC4">
                    <w:rPr>
                      <w:rFonts w:eastAsia="Arial Unicode MS"/>
                      <w:color w:val="333333"/>
                      <w:sz w:val="20"/>
                      <w:szCs w:val="20"/>
                      <w:lang w:val="en-US"/>
                    </w:rPr>
                    <w:t xml:space="preserve"> </w:t>
                  </w:r>
                  <w:proofErr w:type="spellStart"/>
                  <w:r>
                    <w:rPr>
                      <w:rFonts w:eastAsia="Arial Unicode MS"/>
                      <w:color w:val="333333"/>
                      <w:sz w:val="20"/>
                      <w:szCs w:val="20"/>
                      <w:lang w:val="en-US"/>
                    </w:rPr>
                    <w:t>ianuarie</w:t>
                  </w:r>
                  <w:proofErr w:type="spellEnd"/>
                  <w:r w:rsidR="008D3FC4">
                    <w:rPr>
                      <w:rFonts w:eastAsia="Arial Unicode MS"/>
                      <w:color w:val="333333"/>
                      <w:sz w:val="20"/>
                      <w:szCs w:val="20"/>
                      <w:lang w:val="en-US"/>
                    </w:rPr>
                    <w:t xml:space="preserve"> </w:t>
                  </w:r>
                  <w:r>
                    <w:rPr>
                      <w:rFonts w:eastAsia="Arial Unicode MS"/>
                      <w:color w:val="333333"/>
                      <w:sz w:val="20"/>
                      <w:szCs w:val="20"/>
                      <w:lang w:val="en-US"/>
                    </w:rPr>
                    <w:t xml:space="preserve">2026, </w:t>
                  </w:r>
                  <w:proofErr w:type="spellStart"/>
                  <w:r>
                    <w:rPr>
                      <w:rFonts w:eastAsia="Arial Unicode MS"/>
                      <w:color w:val="333333"/>
                      <w:sz w:val="20"/>
                      <w:szCs w:val="20"/>
                      <w:lang w:val="en-US"/>
                    </w:rPr>
                    <w:t>metan</w:t>
                  </w:r>
                  <w:proofErr w:type="spellEnd"/>
                  <w:r>
                    <w:rPr>
                      <w:rFonts w:eastAsia="Arial Unicode MS"/>
                      <w:color w:val="333333"/>
                      <w:sz w:val="20"/>
                      <w:szCs w:val="20"/>
                      <w:lang w:val="en-US"/>
                    </w:rPr>
                    <w:t xml:space="preserve"> și </w:t>
                  </w:r>
                  <w:proofErr w:type="spellStart"/>
                  <w:r>
                    <w:rPr>
                      <w:rFonts w:eastAsia="Arial Unicode MS"/>
                      <w:color w:val="333333"/>
                      <w:sz w:val="20"/>
                      <w:szCs w:val="20"/>
                      <w:lang w:val="en-US"/>
                    </w:rPr>
                    <w:t>protoxid</w:t>
                  </w:r>
                  <w:proofErr w:type="spellEnd"/>
                  <w:r>
                    <w:rPr>
                      <w:rFonts w:eastAsia="Arial Unicode MS"/>
                      <w:color w:val="333333"/>
                      <w:sz w:val="20"/>
                      <w:szCs w:val="20"/>
                      <w:lang w:val="en-US"/>
                    </w:rPr>
                    <w:t xml:space="preserve"> de </w:t>
                  </w:r>
                  <w:proofErr w:type="spellStart"/>
                  <w:r>
                    <w:rPr>
                      <w:rFonts w:eastAsia="Arial Unicode MS"/>
                      <w:color w:val="333333"/>
                      <w:sz w:val="20"/>
                      <w:szCs w:val="20"/>
                      <w:lang w:val="en-US"/>
                    </w:rPr>
                    <w:t>azot</w:t>
                  </w:r>
                  <w:proofErr w:type="spellEnd"/>
                </w:p>
                <w:p w14:paraId="543CD73A" w14:textId="77777777" w:rsidR="00124364" w:rsidRDefault="00124364" w:rsidP="008D3FC4">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r>
          </w:tbl>
          <w:p w14:paraId="1F1529C1"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74" w:tooltip="32003L0087" w:history="1">
              <w:r>
                <w:rPr>
                  <w:rStyle w:val="af3"/>
                  <w:rFonts w:eastAsia="Arial Unicode MS"/>
                  <w:b/>
                  <w:bCs/>
                  <w:color w:val="4472C4" w:themeColor="accent1"/>
                  <w:sz w:val="20"/>
                  <w:szCs w:val="20"/>
                </w:rPr>
                <w:t>▼B</w:t>
              </w:r>
            </w:hyperlink>
          </w:p>
        </w:tc>
        <w:tc>
          <w:tcPr>
            <w:tcW w:w="4394" w:type="dxa"/>
            <w:shd w:val="clear" w:color="auto" w:fill="auto"/>
          </w:tcPr>
          <w:p w14:paraId="08ABC6EB" w14:textId="77777777" w:rsidR="00F92414" w:rsidRPr="00DD7B37" w:rsidRDefault="00F92414" w:rsidP="00DD7B37">
            <w:pPr>
              <w:spacing w:after="0" w:line="240" w:lineRule="auto"/>
              <w:jc w:val="right"/>
              <w:rPr>
                <w:rFonts w:ascii="Times New Roman" w:eastAsia="Calibri" w:hAnsi="Times New Roman"/>
                <w:bCs/>
                <w:sz w:val="20"/>
                <w:szCs w:val="20"/>
                <w:shd w:val="clear" w:color="auto" w:fill="FFFFFF"/>
                <w:lang w:val="ro-RO"/>
              </w:rPr>
            </w:pPr>
            <w:r w:rsidRPr="00DD7B37">
              <w:rPr>
                <w:rFonts w:ascii="Times New Roman" w:eastAsia="Calibri" w:hAnsi="Times New Roman"/>
                <w:bCs/>
                <w:sz w:val="20"/>
                <w:szCs w:val="20"/>
                <w:shd w:val="clear" w:color="auto" w:fill="FFFFFF"/>
                <w:lang w:val="ro-RO"/>
              </w:rPr>
              <w:lastRenderedPageBreak/>
              <w:t>Anexa nr. 1</w:t>
            </w:r>
          </w:p>
          <w:p w14:paraId="20C63B2E" w14:textId="77777777" w:rsidR="00DD7B37" w:rsidRPr="00DD7B37" w:rsidRDefault="00DD7B37" w:rsidP="00DD7B37">
            <w:pPr>
              <w:pStyle w:val="af8"/>
              <w:numPr>
                <w:ilvl w:val="0"/>
                <w:numId w:val="234"/>
              </w:numPr>
              <w:tabs>
                <w:tab w:val="left" w:pos="1134"/>
              </w:tabs>
              <w:suppressAutoHyphens w:val="0"/>
              <w:autoSpaceDN/>
              <w:spacing w:after="0" w:line="240" w:lineRule="auto"/>
              <w:ind w:left="0" w:firstLine="0"/>
              <w:jc w:val="both"/>
              <w:textAlignment w:val="auto"/>
              <w:rPr>
                <w:rFonts w:ascii="Times New Roman" w:hAnsi="Times New Roman"/>
                <w:sz w:val="20"/>
                <w:szCs w:val="20"/>
                <w:lang w:val="ro-MD"/>
              </w:rPr>
            </w:pPr>
            <w:r w:rsidRPr="00DD7B37">
              <w:rPr>
                <w:rFonts w:ascii="Times New Roman" w:eastAsia="Arial Unicode MS" w:hAnsi="Times New Roman"/>
                <w:sz w:val="20"/>
                <w:szCs w:val="20"/>
                <w:shd w:val="clear" w:color="auto" w:fill="FFFFFF"/>
                <w:lang w:val="ro-MD"/>
              </w:rPr>
              <w:t xml:space="preserve">Valorile pragurilor specificate în tabel se referă în general la capacități de producție sau randamente. </w:t>
            </w:r>
            <w:r w:rsidRPr="00DD7B37">
              <w:rPr>
                <w:rFonts w:ascii="Times New Roman" w:hAnsi="Times New Roman"/>
                <w:sz w:val="20"/>
                <w:szCs w:val="20"/>
                <w:lang w:val="ro-MD"/>
              </w:rPr>
              <w:t>În instalația în care se desfășoară una sau mai multe dintre activitățile care fac parte din aceeași categorie de activitate, capacitățile acestora se însumează.</w:t>
            </w:r>
          </w:p>
          <w:p w14:paraId="6FD9206F" w14:textId="77777777" w:rsidR="00DD7B37" w:rsidRPr="00DD7B37" w:rsidRDefault="00DD7B37" w:rsidP="00DD7B37">
            <w:pPr>
              <w:pStyle w:val="af8"/>
              <w:numPr>
                <w:ilvl w:val="0"/>
                <w:numId w:val="234"/>
              </w:numPr>
              <w:tabs>
                <w:tab w:val="left" w:pos="1134"/>
              </w:tabs>
              <w:suppressAutoHyphens w:val="0"/>
              <w:autoSpaceDN/>
              <w:spacing w:after="0" w:line="240" w:lineRule="auto"/>
              <w:ind w:left="0" w:firstLine="0"/>
              <w:jc w:val="both"/>
              <w:textAlignment w:val="auto"/>
              <w:rPr>
                <w:rFonts w:ascii="Times New Roman" w:hAnsi="Times New Roman"/>
                <w:color w:val="000000"/>
                <w:sz w:val="20"/>
                <w:szCs w:val="20"/>
                <w:lang w:val="ro-MD"/>
              </w:rPr>
            </w:pPr>
            <w:r w:rsidRPr="00DD7B37">
              <w:rPr>
                <w:rFonts w:ascii="Times New Roman" w:eastAsia="Arial Unicode MS" w:hAnsi="Times New Roman"/>
                <w:color w:val="000000"/>
                <w:sz w:val="20"/>
                <w:szCs w:val="20"/>
                <w:lang w:val="ro-MD"/>
              </w:rPr>
              <w:t>La calcularea puterii termice nominale totale a unei instalații, se însumează puterea termică nominală a tuturor unităților tehnice care fac parte din aceasta și în care se ard combustibili în cadrul instalației respective. Aceste unități ar putea include orice tip de cazane, arzătoare, turbine, încălzitoare, furnale, incineratoare, cuptoare de calcinare, etuve, cuptoare, uscătoare, motoare, pile de combustie, instalații de ardere în buclă chimică, facle și instalații de post-combustie termică sau catalitică. Instalațiile cu putere termică nominală mai mică de 3 MW și instalațiile care utilizează exclusiv biomasă nu sunt luate în calcul. „Instalațiile care utilizează exclusiv biomasă” includ instalații care folosesc combustibili fosili doar la pornirea sau la oprirea instalației.</w:t>
            </w:r>
          </w:p>
          <w:p w14:paraId="77BE4286" w14:textId="77777777" w:rsidR="00DD7B37" w:rsidRPr="00DD7B37" w:rsidRDefault="00DD7B37" w:rsidP="00DD7B37">
            <w:pPr>
              <w:pStyle w:val="af8"/>
              <w:numPr>
                <w:ilvl w:val="0"/>
                <w:numId w:val="234"/>
              </w:numPr>
              <w:tabs>
                <w:tab w:val="left" w:pos="1134"/>
              </w:tabs>
              <w:suppressAutoHyphens w:val="0"/>
              <w:autoSpaceDN/>
              <w:spacing w:after="0" w:line="240" w:lineRule="auto"/>
              <w:ind w:left="0" w:firstLine="0"/>
              <w:jc w:val="both"/>
              <w:textAlignment w:val="auto"/>
              <w:rPr>
                <w:rFonts w:ascii="Times New Roman" w:hAnsi="Times New Roman"/>
                <w:color w:val="000000"/>
                <w:sz w:val="20"/>
                <w:szCs w:val="20"/>
                <w:lang w:val="ro-MD"/>
              </w:rPr>
            </w:pPr>
            <w:r w:rsidRPr="00DD7B37">
              <w:rPr>
                <w:rFonts w:ascii="Times New Roman" w:eastAsia="Arial Unicode MS" w:hAnsi="Times New Roman"/>
                <w:color w:val="000000"/>
                <w:sz w:val="20"/>
                <w:szCs w:val="20"/>
                <w:lang w:val="ro-MD"/>
              </w:rPr>
              <w:t>Dacă o instalație deservește o activitate în cazul căreia pragul nu este exprimat ca putere termică nominală totală, pragul pentru activitatea respectivă are prioritate la luarea deciziei privind includerea în listă.</w:t>
            </w:r>
          </w:p>
          <w:p w14:paraId="590B06CA" w14:textId="77777777" w:rsidR="00DD7B37" w:rsidRPr="00DD7B37" w:rsidRDefault="00DD7B37" w:rsidP="00DD7B37">
            <w:pPr>
              <w:pStyle w:val="af8"/>
              <w:numPr>
                <w:ilvl w:val="0"/>
                <w:numId w:val="234"/>
              </w:numPr>
              <w:tabs>
                <w:tab w:val="left" w:pos="1134"/>
              </w:tabs>
              <w:suppressAutoHyphens w:val="0"/>
              <w:autoSpaceDN/>
              <w:spacing w:after="0" w:line="240" w:lineRule="auto"/>
              <w:ind w:left="0" w:firstLine="0"/>
              <w:jc w:val="both"/>
              <w:textAlignment w:val="auto"/>
              <w:rPr>
                <w:rFonts w:ascii="Times New Roman" w:hAnsi="Times New Roman"/>
                <w:color w:val="000000"/>
                <w:sz w:val="20"/>
                <w:szCs w:val="20"/>
                <w:lang w:val="ro-MD"/>
              </w:rPr>
            </w:pPr>
            <w:r w:rsidRPr="00DD7B37">
              <w:rPr>
                <w:rFonts w:ascii="Times New Roman" w:eastAsia="Arial Unicode MS" w:hAnsi="Times New Roman"/>
                <w:color w:val="000000"/>
                <w:sz w:val="20"/>
                <w:szCs w:val="20"/>
                <w:lang w:val="ro-MD"/>
              </w:rPr>
              <w:t xml:space="preserve">În cazul în care se constată că într-o instalație se depășește pragul de capacitate pentru o activitate menționată în prezenta Anexă, se includ în </w:t>
            </w:r>
            <w:r w:rsidRPr="00DD7B37">
              <w:rPr>
                <w:rFonts w:ascii="Times New Roman" w:hAnsi="Times New Roman"/>
                <w:bCs/>
                <w:color w:val="000000"/>
                <w:sz w:val="20"/>
                <w:szCs w:val="20"/>
                <w:lang w:val="ro-MD"/>
              </w:rPr>
              <w:t xml:space="preserve">autorizație </w:t>
            </w:r>
            <w:r w:rsidRPr="00DD7B37">
              <w:rPr>
                <w:rFonts w:ascii="Times New Roman" w:hAnsi="Times New Roman"/>
                <w:color w:val="000000"/>
                <w:sz w:val="20"/>
                <w:szCs w:val="20"/>
                <w:lang w:val="ro-MD"/>
              </w:rPr>
              <w:t>integrate de mediu</w:t>
            </w:r>
            <w:r w:rsidRPr="00DD7B37">
              <w:rPr>
                <w:rFonts w:ascii="Times New Roman" w:eastAsia="Arial Unicode MS" w:hAnsi="Times New Roman"/>
                <w:color w:val="000000"/>
                <w:sz w:val="20"/>
                <w:szCs w:val="20"/>
                <w:lang w:val="ro-MD"/>
              </w:rPr>
              <w:t xml:space="preserve"> toate instalațiile în care se ard combustibili, altele decât instalațiile pentru incinerarea deșeurilor periculoase sau municipale.</w:t>
            </w:r>
          </w:p>
          <w:p w14:paraId="40FAECB5" w14:textId="77777777" w:rsidR="00F92414" w:rsidRDefault="00F92414" w:rsidP="00F92414">
            <w:pPr>
              <w:tabs>
                <w:tab w:val="left" w:pos="1134"/>
              </w:tabs>
              <w:contextualSpacing/>
              <w:rPr>
                <w:rFonts w:ascii="Times New Roman" w:hAnsi="Times New Roman"/>
                <w:sz w:val="20"/>
                <w:szCs w:val="20"/>
                <w:lang w:val="en-US"/>
              </w:rPr>
            </w:pPr>
          </w:p>
          <w:tbl>
            <w:tblPr>
              <w:tblW w:w="368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2088"/>
              <w:gridCol w:w="1134"/>
            </w:tblGrid>
            <w:tr w:rsidR="00C518AC" w:rsidRPr="00054EDB" w14:paraId="5F5E1DA2" w14:textId="77777777" w:rsidTr="00445781">
              <w:trPr>
                <w:trHeight w:val="396"/>
              </w:trPr>
              <w:tc>
                <w:tcPr>
                  <w:tcW w:w="2551" w:type="dxa"/>
                  <w:gridSpan w:val="2"/>
                  <w:shd w:val="clear" w:color="auto" w:fill="BFBFBF"/>
                </w:tcPr>
                <w:p w14:paraId="501DA733" w14:textId="77777777" w:rsidR="00C518AC" w:rsidRPr="00054EDB" w:rsidRDefault="00C518AC" w:rsidP="000D3F92">
                  <w:pPr>
                    <w:framePr w:hSpace="180" w:wrap="around" w:vAnchor="text" w:hAnchor="text" w:x="-136" w:y="1"/>
                    <w:tabs>
                      <w:tab w:val="left" w:pos="1134"/>
                    </w:tabs>
                    <w:contextualSpacing/>
                    <w:suppressOverlap/>
                    <w:jc w:val="center"/>
                    <w:rPr>
                      <w:rFonts w:ascii="Times New Roman" w:hAnsi="Times New Roman"/>
                      <w:b/>
                      <w:bCs/>
                      <w:sz w:val="18"/>
                      <w:szCs w:val="18"/>
                      <w:lang w:val="ro-RO"/>
                    </w:rPr>
                  </w:pPr>
                  <w:r w:rsidRPr="00054EDB">
                    <w:rPr>
                      <w:rFonts w:ascii="Times New Roman" w:hAnsi="Times New Roman"/>
                      <w:b/>
                      <w:bCs/>
                      <w:sz w:val="18"/>
                      <w:szCs w:val="18"/>
                      <w:lang w:val="ro-RO"/>
                    </w:rPr>
                    <w:t>Activități</w:t>
                  </w:r>
                </w:p>
              </w:tc>
              <w:tc>
                <w:tcPr>
                  <w:tcW w:w="1134" w:type="dxa"/>
                  <w:shd w:val="clear" w:color="auto" w:fill="BFBFBF"/>
                </w:tcPr>
                <w:p w14:paraId="1CA41FA1" w14:textId="77777777" w:rsidR="00C518AC" w:rsidRPr="00054EDB" w:rsidRDefault="00C518AC" w:rsidP="000D3F92">
                  <w:pPr>
                    <w:framePr w:hSpace="180" w:wrap="around" w:vAnchor="text" w:hAnchor="text" w:x="-136" w:y="1"/>
                    <w:tabs>
                      <w:tab w:val="left" w:pos="1134"/>
                    </w:tabs>
                    <w:contextualSpacing/>
                    <w:suppressOverlap/>
                    <w:jc w:val="center"/>
                    <w:rPr>
                      <w:rFonts w:ascii="Times New Roman" w:hAnsi="Times New Roman"/>
                      <w:b/>
                      <w:bCs/>
                      <w:sz w:val="18"/>
                      <w:szCs w:val="18"/>
                      <w:lang w:val="ro-RO"/>
                    </w:rPr>
                  </w:pPr>
                  <w:r w:rsidRPr="00054EDB">
                    <w:rPr>
                      <w:rFonts w:ascii="Times New Roman" w:hAnsi="Times New Roman"/>
                      <w:b/>
                      <w:bCs/>
                      <w:sz w:val="18"/>
                      <w:szCs w:val="18"/>
                      <w:lang w:val="ro-RO"/>
                    </w:rPr>
                    <w:t>Gaze cu efect de seră</w:t>
                  </w:r>
                </w:p>
              </w:tc>
            </w:tr>
            <w:tr w:rsidR="00C518AC" w:rsidRPr="00054EDB" w14:paraId="5C118878" w14:textId="77777777" w:rsidTr="00445781">
              <w:trPr>
                <w:trHeight w:val="396"/>
              </w:trPr>
              <w:tc>
                <w:tcPr>
                  <w:tcW w:w="2551" w:type="dxa"/>
                  <w:gridSpan w:val="2"/>
                  <w:shd w:val="clear" w:color="auto" w:fill="BFBFBF"/>
                </w:tcPr>
                <w:p w14:paraId="38A3A7E5"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b/>
                      <w:bCs/>
                      <w:sz w:val="18"/>
                      <w:szCs w:val="18"/>
                      <w:lang w:val="ro-MD"/>
                    </w:rPr>
                  </w:pPr>
                  <w:r w:rsidRPr="00054EDB">
                    <w:rPr>
                      <w:rFonts w:ascii="Times New Roman" w:hAnsi="Times New Roman"/>
                      <w:b/>
                      <w:bCs/>
                      <w:sz w:val="18"/>
                      <w:szCs w:val="18"/>
                      <w:lang w:val="ro-MD"/>
                    </w:rPr>
                    <w:t>I.Instalațiile staționare</w:t>
                  </w:r>
                </w:p>
              </w:tc>
              <w:tc>
                <w:tcPr>
                  <w:tcW w:w="1134" w:type="dxa"/>
                  <w:shd w:val="clear" w:color="auto" w:fill="BFBFBF"/>
                </w:tcPr>
                <w:p w14:paraId="796CC013" w14:textId="77777777" w:rsidR="00C518AC" w:rsidRPr="00054EDB" w:rsidRDefault="00C518AC" w:rsidP="000D3F92">
                  <w:pPr>
                    <w:framePr w:hSpace="180" w:wrap="around" w:vAnchor="text" w:hAnchor="text" w:x="-136" w:y="1"/>
                    <w:tabs>
                      <w:tab w:val="left" w:pos="1134"/>
                    </w:tabs>
                    <w:contextualSpacing/>
                    <w:suppressOverlap/>
                    <w:jc w:val="center"/>
                    <w:rPr>
                      <w:rFonts w:ascii="Times New Roman" w:hAnsi="Times New Roman"/>
                      <w:b/>
                      <w:bCs/>
                      <w:sz w:val="18"/>
                      <w:szCs w:val="18"/>
                      <w:lang w:val="ro-MD"/>
                    </w:rPr>
                  </w:pPr>
                </w:p>
              </w:tc>
            </w:tr>
            <w:tr w:rsidR="00C518AC" w:rsidRPr="00054EDB" w14:paraId="115F8C81" w14:textId="77777777" w:rsidTr="00445781">
              <w:trPr>
                <w:trHeight w:val="396"/>
              </w:trPr>
              <w:tc>
                <w:tcPr>
                  <w:tcW w:w="463" w:type="dxa"/>
                </w:tcPr>
                <w:p w14:paraId="27AD4F44"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sz w:val="18"/>
                      <w:szCs w:val="18"/>
                      <w:lang w:val="ro-RO"/>
                    </w:rPr>
                  </w:pPr>
                  <w:r w:rsidRPr="00054EDB">
                    <w:rPr>
                      <w:rFonts w:ascii="Times New Roman" w:hAnsi="Times New Roman"/>
                      <w:sz w:val="18"/>
                      <w:szCs w:val="18"/>
                      <w:lang w:val="ro-RO"/>
                    </w:rPr>
                    <w:t>1.</w:t>
                  </w:r>
                </w:p>
              </w:tc>
              <w:tc>
                <w:tcPr>
                  <w:tcW w:w="2088" w:type="dxa"/>
                </w:tcPr>
                <w:p w14:paraId="3EC6BE38"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 xml:space="preserve">Arderea combustibililor în instalații cu o putere </w:t>
                  </w:r>
                  <w:r w:rsidRPr="00054EDB">
                    <w:rPr>
                      <w:rFonts w:ascii="Times New Roman" w:eastAsia="Arial Unicode MS" w:hAnsi="Times New Roman"/>
                      <w:sz w:val="18"/>
                      <w:szCs w:val="18"/>
                      <w:shd w:val="clear" w:color="auto" w:fill="FFFFFF"/>
                      <w:lang w:val="ro-MD"/>
                    </w:rPr>
                    <w:lastRenderedPageBreak/>
                    <w:t xml:space="preserve">termică nominală totală de peste 20 </w:t>
                  </w:r>
                </w:p>
                <w:p w14:paraId="697C2E00"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 xml:space="preserve">MW (cu excepția instalațiilor pentru incinerarea deșeurilor periculoase sau </w:t>
                  </w:r>
                </w:p>
                <w:p w14:paraId="5BFDB706"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sz w:val="18"/>
                      <w:szCs w:val="18"/>
                      <w:lang w:val="ro-MD"/>
                    </w:rPr>
                  </w:pPr>
                  <w:r w:rsidRPr="00054EDB">
                    <w:rPr>
                      <w:rFonts w:ascii="Times New Roman" w:eastAsia="Arial Unicode MS" w:hAnsi="Times New Roman"/>
                      <w:sz w:val="18"/>
                      <w:szCs w:val="18"/>
                      <w:shd w:val="clear" w:color="auto" w:fill="FFFFFF"/>
                      <w:lang w:val="ro-MD"/>
                    </w:rPr>
                    <w:t>municipale)</w:t>
                  </w:r>
                </w:p>
              </w:tc>
              <w:tc>
                <w:tcPr>
                  <w:tcW w:w="1134" w:type="dxa"/>
                </w:tcPr>
                <w:p w14:paraId="2F635924"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sz w:val="18"/>
                      <w:szCs w:val="18"/>
                      <w:lang w:val="ro-MD"/>
                    </w:rPr>
                  </w:pPr>
                  <w:r w:rsidRPr="00054EDB">
                    <w:rPr>
                      <w:rFonts w:ascii="Times New Roman" w:eastAsia="Arial Unicode MS" w:hAnsi="Times New Roman"/>
                      <w:sz w:val="18"/>
                      <w:szCs w:val="18"/>
                      <w:shd w:val="clear" w:color="auto" w:fill="FFFFFF"/>
                      <w:lang w:val="ro-MD"/>
                    </w:rPr>
                    <w:lastRenderedPageBreak/>
                    <w:t>Dioxid de carbon</w:t>
                  </w:r>
                </w:p>
              </w:tc>
            </w:tr>
            <w:tr w:rsidR="00C518AC" w:rsidRPr="00054EDB" w14:paraId="2E8C5506" w14:textId="77777777" w:rsidTr="00445781">
              <w:trPr>
                <w:trHeight w:val="396"/>
              </w:trPr>
              <w:tc>
                <w:tcPr>
                  <w:tcW w:w="463" w:type="dxa"/>
                </w:tcPr>
                <w:p w14:paraId="199DDCD9"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w:t>
                  </w:r>
                </w:p>
              </w:tc>
              <w:tc>
                <w:tcPr>
                  <w:tcW w:w="2088" w:type="dxa"/>
                </w:tcPr>
                <w:p w14:paraId="582E3C35"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Arderea combustibililor în instalații pentru incinerarea deșeurilor municipale cu o putere termică nominală totală de peste 20 MW</w:t>
                  </w:r>
                </w:p>
              </w:tc>
              <w:tc>
                <w:tcPr>
                  <w:tcW w:w="1134" w:type="dxa"/>
                </w:tcPr>
                <w:p w14:paraId="00C8B31F"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sz w:val="18"/>
                      <w:szCs w:val="18"/>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14F52363" w14:textId="77777777" w:rsidTr="00445781">
              <w:trPr>
                <w:trHeight w:val="396"/>
              </w:trPr>
              <w:tc>
                <w:tcPr>
                  <w:tcW w:w="463" w:type="dxa"/>
                </w:tcPr>
                <w:p w14:paraId="58A699D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3.</w:t>
                  </w:r>
                </w:p>
              </w:tc>
              <w:tc>
                <w:tcPr>
                  <w:tcW w:w="2088" w:type="dxa"/>
                </w:tcPr>
                <w:p w14:paraId="0A682669"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Rafinarea uleiurilor, atunci când sunt exploatate instalații de ardere cu o putere termică nominală totală de peste 20 MW</w:t>
                  </w:r>
                </w:p>
              </w:tc>
              <w:tc>
                <w:tcPr>
                  <w:tcW w:w="1134" w:type="dxa"/>
                </w:tcPr>
                <w:p w14:paraId="5896317B" w14:textId="77777777" w:rsidR="00C518AC" w:rsidRPr="00054EDB" w:rsidRDefault="00C518AC" w:rsidP="000D3F92">
                  <w:pPr>
                    <w:framePr w:hSpace="180" w:wrap="around" w:vAnchor="text" w:hAnchor="text" w:x="-136" w:y="1"/>
                    <w:tabs>
                      <w:tab w:val="left" w:pos="1134"/>
                    </w:tabs>
                    <w:contextualSpacing/>
                    <w:suppressOverlap/>
                    <w:rPr>
                      <w:rFonts w:ascii="Times New Roman" w:hAnsi="Times New Roman"/>
                      <w:sz w:val="18"/>
                      <w:szCs w:val="18"/>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260F6E5D" w14:textId="77777777" w:rsidTr="00445781">
              <w:trPr>
                <w:trHeight w:val="396"/>
              </w:trPr>
              <w:tc>
                <w:tcPr>
                  <w:tcW w:w="463" w:type="dxa"/>
                </w:tcPr>
                <w:p w14:paraId="1B5B4F6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4.</w:t>
                  </w:r>
                </w:p>
              </w:tc>
              <w:tc>
                <w:tcPr>
                  <w:tcW w:w="2088" w:type="dxa"/>
                </w:tcPr>
                <w:p w14:paraId="1902E6DC"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cocsului</w:t>
                  </w:r>
                </w:p>
              </w:tc>
              <w:tc>
                <w:tcPr>
                  <w:tcW w:w="1134" w:type="dxa"/>
                </w:tcPr>
                <w:p w14:paraId="1F5F4CBB"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370E6E4C" w14:textId="77777777" w:rsidTr="00445781">
              <w:trPr>
                <w:trHeight w:val="396"/>
              </w:trPr>
              <w:tc>
                <w:tcPr>
                  <w:tcW w:w="463" w:type="dxa"/>
                </w:tcPr>
                <w:p w14:paraId="3909A3C0"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5.</w:t>
                  </w:r>
                </w:p>
              </w:tc>
              <w:tc>
                <w:tcPr>
                  <w:tcW w:w="2088" w:type="dxa"/>
                </w:tcPr>
                <w:p w14:paraId="41DBDEE8"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Prăjirea sau sinterizarea, inclusiv peletizarea, minereurilor metalice (inclusiv a minereurilor sulfidice)</w:t>
                  </w:r>
                </w:p>
              </w:tc>
              <w:tc>
                <w:tcPr>
                  <w:tcW w:w="1134" w:type="dxa"/>
                </w:tcPr>
                <w:p w14:paraId="2B03422C"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6717FE36" w14:textId="77777777" w:rsidTr="00445781">
              <w:trPr>
                <w:trHeight w:val="396"/>
              </w:trPr>
              <w:tc>
                <w:tcPr>
                  <w:tcW w:w="463" w:type="dxa"/>
                </w:tcPr>
                <w:p w14:paraId="3FAA2B0F"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6.</w:t>
                  </w:r>
                </w:p>
              </w:tc>
              <w:tc>
                <w:tcPr>
                  <w:tcW w:w="2088" w:type="dxa"/>
                </w:tcPr>
                <w:p w14:paraId="7E42A2E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fontei sau oțelului (topire primară sau secundară) inclusiv instalații pentru turnare continuă, cu o capacitate de producție mai mare de 2,5 tone pe oră.</w:t>
                  </w:r>
                </w:p>
              </w:tc>
              <w:tc>
                <w:tcPr>
                  <w:tcW w:w="1134" w:type="dxa"/>
                </w:tcPr>
                <w:p w14:paraId="5D718569"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6D0C12D2" w14:textId="77777777" w:rsidTr="00445781">
              <w:trPr>
                <w:trHeight w:val="396"/>
              </w:trPr>
              <w:tc>
                <w:tcPr>
                  <w:tcW w:w="463" w:type="dxa"/>
                </w:tcPr>
                <w:p w14:paraId="1E803B21"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7.</w:t>
                  </w:r>
                </w:p>
              </w:tc>
              <w:tc>
                <w:tcPr>
                  <w:tcW w:w="2088" w:type="dxa"/>
                </w:tcPr>
                <w:p w14:paraId="38692ED7"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sau prelucrarea metalelor feroase (inclusiv fero-aliaje), atunci când sunt exploatate instalații de ardere cu o putere termică nominală totală de peste 20 MW. Prelucrarea include, printre altele, laminoare, re-încălzitoare, cuptoare de recoacere, forje, topitorii, acoperire și decapare</w:t>
                  </w:r>
                </w:p>
              </w:tc>
              <w:tc>
                <w:tcPr>
                  <w:tcW w:w="1134" w:type="dxa"/>
                </w:tcPr>
                <w:p w14:paraId="3636BD61"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4112053C" w14:textId="77777777" w:rsidTr="00445781">
              <w:trPr>
                <w:trHeight w:val="396"/>
              </w:trPr>
              <w:tc>
                <w:tcPr>
                  <w:tcW w:w="463" w:type="dxa"/>
                </w:tcPr>
                <w:p w14:paraId="033AE14D"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8.</w:t>
                  </w:r>
                </w:p>
              </w:tc>
              <w:tc>
                <w:tcPr>
                  <w:tcW w:w="2088" w:type="dxa"/>
                </w:tcPr>
                <w:p w14:paraId="04E206B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aluminiu primar sau alumină</w:t>
                  </w:r>
                </w:p>
              </w:tc>
              <w:tc>
                <w:tcPr>
                  <w:tcW w:w="1134" w:type="dxa"/>
                </w:tcPr>
                <w:p w14:paraId="6E294A3D"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r w:rsidRPr="00054EDB">
                    <w:rPr>
                      <w:rFonts w:ascii="Times New Roman" w:eastAsia="Arial Unicode MS" w:hAnsi="Times New Roman"/>
                      <w:color w:val="333333"/>
                      <w:sz w:val="18"/>
                      <w:szCs w:val="18"/>
                      <w:shd w:val="clear" w:color="auto" w:fill="FFFFFF"/>
                      <w:lang w:val="ro-MD"/>
                    </w:rPr>
                    <w:t xml:space="preserve"> </w:t>
                  </w:r>
                  <w:r w:rsidRPr="00054EDB">
                    <w:rPr>
                      <w:rFonts w:ascii="Times New Roman" w:eastAsia="Arial Unicode MS" w:hAnsi="Times New Roman"/>
                      <w:sz w:val="18"/>
                      <w:szCs w:val="18"/>
                      <w:shd w:val="clear" w:color="auto" w:fill="FFFFFF"/>
                      <w:lang w:val="ro-MD"/>
                    </w:rPr>
                    <w:t>și perfluorocarburi</w:t>
                  </w:r>
                </w:p>
              </w:tc>
            </w:tr>
            <w:tr w:rsidR="00C518AC" w:rsidRPr="00054EDB" w14:paraId="6645F097" w14:textId="77777777" w:rsidTr="00445781">
              <w:trPr>
                <w:trHeight w:val="396"/>
              </w:trPr>
              <w:tc>
                <w:tcPr>
                  <w:tcW w:w="463" w:type="dxa"/>
                </w:tcPr>
                <w:p w14:paraId="6B5FA36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lastRenderedPageBreak/>
                    <w:t>9.</w:t>
                  </w:r>
                </w:p>
              </w:tc>
              <w:tc>
                <w:tcPr>
                  <w:tcW w:w="2088" w:type="dxa"/>
                </w:tcPr>
                <w:p w14:paraId="4F0C0FF0"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aluminiu secundar atunci când sunt exploatate instalații de ardere cu o putere termică nominală totală de peste 20 MW</w:t>
                  </w:r>
                </w:p>
              </w:tc>
              <w:tc>
                <w:tcPr>
                  <w:tcW w:w="1134" w:type="dxa"/>
                </w:tcPr>
                <w:p w14:paraId="1CCC578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140A072A" w14:textId="77777777" w:rsidTr="00445781">
              <w:trPr>
                <w:trHeight w:val="396"/>
              </w:trPr>
              <w:tc>
                <w:tcPr>
                  <w:tcW w:w="463" w:type="dxa"/>
                </w:tcPr>
                <w:p w14:paraId="242BACF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10.</w:t>
                  </w:r>
                </w:p>
              </w:tc>
              <w:tc>
                <w:tcPr>
                  <w:tcW w:w="2088" w:type="dxa"/>
                </w:tcPr>
                <w:p w14:paraId="3A967C75"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sau prelucrarea metalelor neferoase, inclusiv producerea aliajelor, rafinare, topire-turnare etc., atunci când sunt exploatate instalații de ardere cu o putere termică nominală totală (incluzând combustibilii folosiți ca agenți de reducere) de peste 20 MW</w:t>
                  </w:r>
                </w:p>
              </w:tc>
              <w:tc>
                <w:tcPr>
                  <w:tcW w:w="1134" w:type="dxa"/>
                </w:tcPr>
                <w:p w14:paraId="3A31655A"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72085FB3" w14:textId="77777777" w:rsidTr="00445781">
              <w:trPr>
                <w:trHeight w:val="396"/>
              </w:trPr>
              <w:tc>
                <w:tcPr>
                  <w:tcW w:w="463" w:type="dxa"/>
                </w:tcPr>
                <w:p w14:paraId="5FC18516"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11.</w:t>
                  </w:r>
                </w:p>
              </w:tc>
              <w:tc>
                <w:tcPr>
                  <w:tcW w:w="2088" w:type="dxa"/>
                </w:tcPr>
                <w:p w14:paraId="1E1B8AFD"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clincherului de ciment în cuptoare rotative cu o capacitate de producție de peste 500 de tone pe zi sau în alte cuptoare cu o capacitate de producție de peste 50 de tone pe zi</w:t>
                  </w:r>
                </w:p>
              </w:tc>
              <w:tc>
                <w:tcPr>
                  <w:tcW w:w="1134" w:type="dxa"/>
                </w:tcPr>
                <w:p w14:paraId="21AFD844"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28CC067D" w14:textId="77777777" w:rsidTr="00445781">
              <w:trPr>
                <w:trHeight w:val="396"/>
              </w:trPr>
              <w:tc>
                <w:tcPr>
                  <w:tcW w:w="463" w:type="dxa"/>
                </w:tcPr>
                <w:p w14:paraId="464C3C4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RO"/>
                    </w:rPr>
                  </w:pPr>
                  <w:r w:rsidRPr="00054EDB">
                    <w:rPr>
                      <w:rFonts w:ascii="Times New Roman" w:eastAsia="Arial Unicode MS" w:hAnsi="Times New Roman"/>
                      <w:sz w:val="18"/>
                      <w:szCs w:val="18"/>
                      <w:shd w:val="clear" w:color="auto" w:fill="FFFFFF"/>
                      <w:lang w:val="ro-RO"/>
                    </w:rPr>
                    <w:t>12.</w:t>
                  </w:r>
                </w:p>
              </w:tc>
              <w:tc>
                <w:tcPr>
                  <w:tcW w:w="2088" w:type="dxa"/>
                </w:tcPr>
                <w:p w14:paraId="75B253ED"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var sau calcinarea dolomitei sau a magnezitei în cuptoare rotative sau în alte cuptoare cu o capacitate de producție de peste 50 de tone pe zi</w:t>
                  </w:r>
                </w:p>
              </w:tc>
              <w:tc>
                <w:tcPr>
                  <w:tcW w:w="1134" w:type="dxa"/>
                </w:tcPr>
                <w:p w14:paraId="554A91E6"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45347E02" w14:textId="77777777" w:rsidTr="00445781">
              <w:trPr>
                <w:trHeight w:val="396"/>
              </w:trPr>
              <w:tc>
                <w:tcPr>
                  <w:tcW w:w="463" w:type="dxa"/>
                </w:tcPr>
                <w:p w14:paraId="3621AC66"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13.</w:t>
                  </w:r>
                </w:p>
              </w:tc>
              <w:tc>
                <w:tcPr>
                  <w:tcW w:w="2088" w:type="dxa"/>
                </w:tcPr>
                <w:p w14:paraId="44DF875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Fabricarea sticlei, inclusiv a fibrei de sticlă, cu o capacitate de topire de peste 20 de tone pe zi</w:t>
                  </w:r>
                </w:p>
              </w:tc>
              <w:tc>
                <w:tcPr>
                  <w:tcW w:w="1134" w:type="dxa"/>
                </w:tcPr>
                <w:p w14:paraId="4E58F179"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2848EC1C" w14:textId="77777777" w:rsidTr="00445781">
              <w:trPr>
                <w:trHeight w:val="396"/>
              </w:trPr>
              <w:tc>
                <w:tcPr>
                  <w:tcW w:w="463" w:type="dxa"/>
                </w:tcPr>
                <w:p w14:paraId="09D2DE68"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14.</w:t>
                  </w:r>
                </w:p>
              </w:tc>
              <w:tc>
                <w:tcPr>
                  <w:tcW w:w="2088" w:type="dxa"/>
                </w:tcPr>
                <w:p w14:paraId="79AB00C9"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Fabricarea prin ardere de produse ceramice, în special de țigle, cărămizi, cărămizi refractare, plăci ceramice, gresie ceramică sau porțelan, cu o capacitate de producție de peste 75 de tone pe zi</w:t>
                  </w:r>
                </w:p>
              </w:tc>
              <w:tc>
                <w:tcPr>
                  <w:tcW w:w="1134" w:type="dxa"/>
                </w:tcPr>
                <w:p w14:paraId="304A2A6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562BA9D5" w14:textId="77777777" w:rsidTr="00445781">
              <w:trPr>
                <w:trHeight w:val="396"/>
              </w:trPr>
              <w:tc>
                <w:tcPr>
                  <w:tcW w:w="463" w:type="dxa"/>
                </w:tcPr>
                <w:p w14:paraId="1096C757"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15.</w:t>
                  </w:r>
                </w:p>
              </w:tc>
              <w:tc>
                <w:tcPr>
                  <w:tcW w:w="2088" w:type="dxa"/>
                </w:tcPr>
                <w:p w14:paraId="036A0DEE"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 xml:space="preserve">Fabricarea de material izolant din vată minerală folosind sticlă, rocă sau zgură, cu o capacitate de </w:t>
                  </w:r>
                  <w:r w:rsidRPr="00054EDB">
                    <w:rPr>
                      <w:rFonts w:ascii="Times New Roman" w:eastAsia="Arial Unicode MS" w:hAnsi="Times New Roman"/>
                      <w:sz w:val="18"/>
                      <w:szCs w:val="18"/>
                      <w:shd w:val="clear" w:color="auto" w:fill="FFFFFF"/>
                      <w:lang w:val="ro-MD"/>
                    </w:rPr>
                    <w:lastRenderedPageBreak/>
                    <w:t>topire de peste 20 de tone pe zi</w:t>
                  </w:r>
                </w:p>
              </w:tc>
              <w:tc>
                <w:tcPr>
                  <w:tcW w:w="1134" w:type="dxa"/>
                </w:tcPr>
                <w:p w14:paraId="16A51537"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lastRenderedPageBreak/>
                    <w:t>Dioxid de carbon</w:t>
                  </w:r>
                </w:p>
              </w:tc>
            </w:tr>
            <w:tr w:rsidR="00C518AC" w:rsidRPr="00054EDB" w14:paraId="16FA6E59" w14:textId="77777777" w:rsidTr="00445781">
              <w:trPr>
                <w:trHeight w:val="396"/>
              </w:trPr>
              <w:tc>
                <w:tcPr>
                  <w:tcW w:w="463" w:type="dxa"/>
                </w:tcPr>
                <w:p w14:paraId="641F3BD3"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16.</w:t>
                  </w:r>
                </w:p>
              </w:tc>
              <w:tc>
                <w:tcPr>
                  <w:tcW w:w="2088" w:type="dxa"/>
                </w:tcPr>
                <w:p w14:paraId="1D46F9A0"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Uscarea sau calcinarea ghipsului sau fabricarea plăcilor din ipsos și a altor produse din ghips, cu o capacitate de producție de ghips calcinat sau de ghips secundar uscat de peste 20 de tone pe zi</w:t>
                  </w:r>
                </w:p>
              </w:tc>
              <w:tc>
                <w:tcPr>
                  <w:tcW w:w="1134" w:type="dxa"/>
                </w:tcPr>
                <w:p w14:paraId="46E33F26"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29E9A8EE" w14:textId="77777777" w:rsidTr="00445781">
              <w:trPr>
                <w:trHeight w:val="396"/>
              </w:trPr>
              <w:tc>
                <w:tcPr>
                  <w:tcW w:w="463" w:type="dxa"/>
                </w:tcPr>
                <w:p w14:paraId="2068022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17.</w:t>
                  </w:r>
                </w:p>
              </w:tc>
              <w:tc>
                <w:tcPr>
                  <w:tcW w:w="2088" w:type="dxa"/>
                </w:tcPr>
                <w:p w14:paraId="512695DC"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celuloză din lemn sau alte materiale fibroase</w:t>
                  </w:r>
                </w:p>
              </w:tc>
              <w:tc>
                <w:tcPr>
                  <w:tcW w:w="1134" w:type="dxa"/>
                </w:tcPr>
                <w:p w14:paraId="50500C0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3FCEFB01" w14:textId="77777777" w:rsidTr="00445781">
              <w:trPr>
                <w:trHeight w:val="396"/>
              </w:trPr>
              <w:tc>
                <w:tcPr>
                  <w:tcW w:w="463" w:type="dxa"/>
                </w:tcPr>
                <w:p w14:paraId="04028423"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18.</w:t>
                  </w:r>
                </w:p>
              </w:tc>
              <w:tc>
                <w:tcPr>
                  <w:tcW w:w="2088" w:type="dxa"/>
                </w:tcPr>
                <w:p w14:paraId="6F93E5BD"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hârtie sau carton, având o capacitate de producție mai mare de 20 tone pe zi</w:t>
                  </w:r>
                </w:p>
              </w:tc>
              <w:tc>
                <w:tcPr>
                  <w:tcW w:w="1134" w:type="dxa"/>
                </w:tcPr>
                <w:p w14:paraId="17E17840"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7D44E918" w14:textId="77777777" w:rsidTr="00445781">
              <w:trPr>
                <w:trHeight w:val="396"/>
              </w:trPr>
              <w:tc>
                <w:tcPr>
                  <w:tcW w:w="463" w:type="dxa"/>
                </w:tcPr>
                <w:p w14:paraId="02802158"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19.</w:t>
                  </w:r>
                </w:p>
              </w:tc>
              <w:tc>
                <w:tcPr>
                  <w:tcW w:w="2088" w:type="dxa"/>
                </w:tcPr>
                <w:p w14:paraId="088BE77E"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negru de fum, implicând carbonizarea unor substanțe organice precum uleiurile, gudronul, reziduurile de cracare și de distilare, cu o capacitate de producție de peste 50 de tone pe zi</w:t>
                  </w:r>
                </w:p>
              </w:tc>
              <w:tc>
                <w:tcPr>
                  <w:tcW w:w="1134" w:type="dxa"/>
                </w:tcPr>
                <w:p w14:paraId="7A3C7AEE"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5BC91912" w14:textId="77777777" w:rsidTr="00445781">
              <w:trPr>
                <w:trHeight w:val="396"/>
              </w:trPr>
              <w:tc>
                <w:tcPr>
                  <w:tcW w:w="463" w:type="dxa"/>
                </w:tcPr>
                <w:p w14:paraId="57AF3D2C"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20.</w:t>
                  </w:r>
                </w:p>
              </w:tc>
              <w:tc>
                <w:tcPr>
                  <w:tcW w:w="2088" w:type="dxa"/>
                </w:tcPr>
                <w:p w14:paraId="78CA99C5"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acidului azotic</w:t>
                  </w:r>
                </w:p>
              </w:tc>
              <w:tc>
                <w:tcPr>
                  <w:tcW w:w="1134" w:type="dxa"/>
                </w:tcPr>
                <w:p w14:paraId="0F7A242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 și oxid de azot</w:t>
                  </w:r>
                </w:p>
              </w:tc>
            </w:tr>
            <w:tr w:rsidR="00C518AC" w:rsidRPr="00054EDB" w14:paraId="6DE414B0" w14:textId="77777777" w:rsidTr="00445781">
              <w:trPr>
                <w:trHeight w:val="396"/>
              </w:trPr>
              <w:tc>
                <w:tcPr>
                  <w:tcW w:w="463" w:type="dxa"/>
                </w:tcPr>
                <w:p w14:paraId="4CD3B6E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21.</w:t>
                  </w:r>
                </w:p>
              </w:tc>
              <w:tc>
                <w:tcPr>
                  <w:tcW w:w="2088" w:type="dxa"/>
                </w:tcPr>
                <w:p w14:paraId="711BD2CA"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acidului adipic</w:t>
                  </w:r>
                </w:p>
              </w:tc>
              <w:tc>
                <w:tcPr>
                  <w:tcW w:w="1134" w:type="dxa"/>
                </w:tcPr>
                <w:p w14:paraId="537295A7"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 și oxid de azot</w:t>
                  </w:r>
                </w:p>
              </w:tc>
            </w:tr>
            <w:tr w:rsidR="00C518AC" w:rsidRPr="00054EDB" w14:paraId="562C364B" w14:textId="77777777" w:rsidTr="00445781">
              <w:trPr>
                <w:trHeight w:val="396"/>
              </w:trPr>
              <w:tc>
                <w:tcPr>
                  <w:tcW w:w="463" w:type="dxa"/>
                </w:tcPr>
                <w:p w14:paraId="61FA88CA"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22.</w:t>
                  </w:r>
                </w:p>
              </w:tc>
              <w:tc>
                <w:tcPr>
                  <w:tcW w:w="2088" w:type="dxa"/>
                </w:tcPr>
                <w:p w14:paraId="635E99F4"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acidului glioxalic și glioxilic</w:t>
                  </w:r>
                </w:p>
              </w:tc>
              <w:tc>
                <w:tcPr>
                  <w:tcW w:w="1134" w:type="dxa"/>
                </w:tcPr>
                <w:p w14:paraId="3F45070C"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 și oxid de azot</w:t>
                  </w:r>
                </w:p>
              </w:tc>
            </w:tr>
            <w:tr w:rsidR="00C518AC" w:rsidRPr="00054EDB" w14:paraId="0CD0134D" w14:textId="77777777" w:rsidTr="00445781">
              <w:trPr>
                <w:trHeight w:val="396"/>
              </w:trPr>
              <w:tc>
                <w:tcPr>
                  <w:tcW w:w="463" w:type="dxa"/>
                </w:tcPr>
                <w:p w14:paraId="792BBA67"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23.</w:t>
                  </w:r>
                </w:p>
              </w:tc>
              <w:tc>
                <w:tcPr>
                  <w:tcW w:w="2088" w:type="dxa"/>
                </w:tcPr>
                <w:p w14:paraId="1D9AF57C"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amoniacului</w:t>
                  </w:r>
                </w:p>
              </w:tc>
              <w:tc>
                <w:tcPr>
                  <w:tcW w:w="1134" w:type="dxa"/>
                </w:tcPr>
                <w:p w14:paraId="5CC85775"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72270AA8" w14:textId="77777777" w:rsidTr="00445781">
              <w:trPr>
                <w:trHeight w:val="396"/>
              </w:trPr>
              <w:tc>
                <w:tcPr>
                  <w:tcW w:w="463" w:type="dxa"/>
                </w:tcPr>
                <w:p w14:paraId="258124C0"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24.</w:t>
                  </w:r>
                </w:p>
              </w:tc>
              <w:tc>
                <w:tcPr>
                  <w:tcW w:w="2088" w:type="dxa"/>
                </w:tcPr>
                <w:p w14:paraId="666BA0EE"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substanțelor chimice organice vrac prin cracare, reformare, oxidare completă sau parțială sau prin procese similare, cu o capacitate de producție care depășește 100 de tone pe zi</w:t>
                  </w:r>
                </w:p>
              </w:tc>
              <w:tc>
                <w:tcPr>
                  <w:tcW w:w="1134" w:type="dxa"/>
                </w:tcPr>
                <w:p w14:paraId="4A09B9BB"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06CCC56D" w14:textId="77777777" w:rsidTr="00445781">
              <w:trPr>
                <w:trHeight w:val="396"/>
              </w:trPr>
              <w:tc>
                <w:tcPr>
                  <w:tcW w:w="463" w:type="dxa"/>
                </w:tcPr>
                <w:p w14:paraId="5ED0B30F"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25.</w:t>
                  </w:r>
                </w:p>
              </w:tc>
              <w:tc>
                <w:tcPr>
                  <w:tcW w:w="2088" w:type="dxa"/>
                </w:tcPr>
                <w:p w14:paraId="0772332D"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hidrogen (H</w:t>
                  </w:r>
                  <w:r w:rsidRPr="00054EDB">
                    <w:rPr>
                      <w:rStyle w:val="subscript"/>
                      <w:rFonts w:ascii="Times New Roman" w:eastAsia="Arial Unicode MS" w:hAnsi="Times New Roman"/>
                      <w:sz w:val="18"/>
                      <w:szCs w:val="18"/>
                      <w:shd w:val="clear" w:color="auto" w:fill="FFFFFF"/>
                      <w:vertAlign w:val="subscript"/>
                      <w:lang w:val="ro-MD"/>
                    </w:rPr>
                    <w:t>2</w:t>
                  </w:r>
                  <w:r w:rsidRPr="00054EDB">
                    <w:rPr>
                      <w:rFonts w:ascii="Times New Roman" w:eastAsia="Arial Unicode MS" w:hAnsi="Times New Roman"/>
                      <w:sz w:val="18"/>
                      <w:szCs w:val="18"/>
                      <w:shd w:val="clear" w:color="auto" w:fill="FFFFFF"/>
                      <w:lang w:val="ro-MD"/>
                    </w:rPr>
                    <w:t xml:space="preserve">) și de gaze de sinteză, cu o capacitate de </w:t>
                  </w:r>
                  <w:r w:rsidRPr="00054EDB">
                    <w:rPr>
                      <w:rFonts w:ascii="Times New Roman" w:eastAsia="Arial Unicode MS" w:hAnsi="Times New Roman"/>
                      <w:sz w:val="18"/>
                      <w:szCs w:val="18"/>
                      <w:shd w:val="clear" w:color="auto" w:fill="FFFFFF"/>
                      <w:lang w:val="ro-MD"/>
                    </w:rPr>
                    <w:lastRenderedPageBreak/>
                    <w:t>producție care depășește 5 tone pe zi</w:t>
                  </w:r>
                </w:p>
              </w:tc>
              <w:tc>
                <w:tcPr>
                  <w:tcW w:w="1134" w:type="dxa"/>
                </w:tcPr>
                <w:p w14:paraId="4321E7F7"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lastRenderedPageBreak/>
                    <w:t>Dioxid de carbon</w:t>
                  </w:r>
                </w:p>
              </w:tc>
            </w:tr>
            <w:tr w:rsidR="00C518AC" w:rsidRPr="00054EDB" w14:paraId="07165645" w14:textId="77777777" w:rsidTr="00445781">
              <w:trPr>
                <w:trHeight w:val="396"/>
              </w:trPr>
              <w:tc>
                <w:tcPr>
                  <w:tcW w:w="463" w:type="dxa"/>
                </w:tcPr>
                <w:p w14:paraId="78BEA024"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26.</w:t>
                  </w:r>
                </w:p>
              </w:tc>
              <w:tc>
                <w:tcPr>
                  <w:tcW w:w="2088" w:type="dxa"/>
                </w:tcPr>
                <w:p w14:paraId="44127219"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Producerea de sodă calcinată (Na</w:t>
                  </w:r>
                  <w:r w:rsidRPr="00054EDB">
                    <w:rPr>
                      <w:rStyle w:val="subscript"/>
                      <w:rFonts w:ascii="Times New Roman" w:eastAsia="Arial Unicode MS" w:hAnsi="Times New Roman"/>
                      <w:sz w:val="18"/>
                      <w:szCs w:val="18"/>
                      <w:shd w:val="clear" w:color="auto" w:fill="FFFFFF"/>
                      <w:vertAlign w:val="subscript"/>
                      <w:lang w:val="ro-MD"/>
                    </w:rPr>
                    <w:t>2</w:t>
                  </w:r>
                  <w:r w:rsidRPr="00054EDB">
                    <w:rPr>
                      <w:rFonts w:ascii="Times New Roman" w:eastAsia="Arial Unicode MS" w:hAnsi="Times New Roman"/>
                      <w:sz w:val="18"/>
                      <w:szCs w:val="18"/>
                      <w:shd w:val="clear" w:color="auto" w:fill="FFFFFF"/>
                      <w:lang w:val="ro-MD"/>
                    </w:rPr>
                    <w:t>CO</w:t>
                  </w:r>
                  <w:r w:rsidRPr="00054EDB">
                    <w:rPr>
                      <w:rStyle w:val="subscript"/>
                      <w:rFonts w:ascii="Times New Roman" w:eastAsia="Arial Unicode MS" w:hAnsi="Times New Roman"/>
                      <w:sz w:val="18"/>
                      <w:szCs w:val="18"/>
                      <w:shd w:val="clear" w:color="auto" w:fill="FFFFFF"/>
                      <w:vertAlign w:val="subscript"/>
                      <w:lang w:val="ro-MD"/>
                    </w:rPr>
                    <w:t>3</w:t>
                  </w:r>
                  <w:r w:rsidRPr="00054EDB">
                    <w:rPr>
                      <w:rFonts w:ascii="Times New Roman" w:eastAsia="Arial Unicode MS" w:hAnsi="Times New Roman"/>
                      <w:sz w:val="18"/>
                      <w:szCs w:val="18"/>
                      <w:shd w:val="clear" w:color="auto" w:fill="FFFFFF"/>
                      <w:lang w:val="ro-MD"/>
                    </w:rPr>
                    <w:t>) și de bicarbonat de sodiu (NaHCO</w:t>
                  </w:r>
                  <w:r w:rsidRPr="00054EDB">
                    <w:rPr>
                      <w:rStyle w:val="subscript"/>
                      <w:rFonts w:ascii="Times New Roman" w:eastAsia="Arial Unicode MS" w:hAnsi="Times New Roman"/>
                      <w:sz w:val="18"/>
                      <w:szCs w:val="18"/>
                      <w:shd w:val="clear" w:color="auto" w:fill="FFFFFF"/>
                      <w:vertAlign w:val="subscript"/>
                      <w:lang w:val="ro-MD"/>
                    </w:rPr>
                    <w:t>3</w:t>
                  </w:r>
                  <w:r w:rsidRPr="00054EDB">
                    <w:rPr>
                      <w:rFonts w:ascii="Times New Roman" w:eastAsia="Arial Unicode MS" w:hAnsi="Times New Roman"/>
                      <w:sz w:val="18"/>
                      <w:szCs w:val="18"/>
                      <w:shd w:val="clear" w:color="auto" w:fill="FFFFFF"/>
                      <w:lang w:val="ro-MD"/>
                    </w:rPr>
                    <w:t>)</w:t>
                  </w:r>
                </w:p>
              </w:tc>
              <w:tc>
                <w:tcPr>
                  <w:tcW w:w="1134" w:type="dxa"/>
                </w:tcPr>
                <w:p w14:paraId="12B00E03"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2FFAA7A5" w14:textId="77777777" w:rsidTr="00445781">
              <w:trPr>
                <w:trHeight w:val="396"/>
              </w:trPr>
              <w:tc>
                <w:tcPr>
                  <w:tcW w:w="463" w:type="dxa"/>
                </w:tcPr>
                <w:p w14:paraId="7EF84BFC"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w:t>
                  </w:r>
                  <w:r w:rsidRPr="00054EDB">
                    <w:rPr>
                      <w:rFonts w:ascii="Times New Roman" w:eastAsia="Arial Unicode MS" w:hAnsi="Times New Roman"/>
                      <w:sz w:val="18"/>
                      <w:szCs w:val="18"/>
                      <w:shd w:val="clear" w:color="auto" w:fill="FFFFFF"/>
                      <w:lang w:val="ro-RO"/>
                    </w:rPr>
                    <w:t>7</w:t>
                  </w:r>
                  <w:r w:rsidRPr="00054EDB">
                    <w:rPr>
                      <w:rFonts w:ascii="Times New Roman" w:eastAsia="Arial Unicode MS" w:hAnsi="Times New Roman"/>
                      <w:sz w:val="18"/>
                      <w:szCs w:val="18"/>
                      <w:shd w:val="clear" w:color="auto" w:fill="FFFFFF"/>
                    </w:rPr>
                    <w:t>.</w:t>
                  </w:r>
                </w:p>
              </w:tc>
              <w:tc>
                <w:tcPr>
                  <w:tcW w:w="2088" w:type="dxa"/>
                </w:tcPr>
                <w:p w14:paraId="16880839"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Transportul gazelor cu efect de seră în vederea stocării geologice într-un sit de stocare autorizat în temeiul prevederilor specificate în Anexa nr.1 Legii nr.86/2014 privind evaluarea impactului asupra mediului, cu excepția emisiilor care fac obiectul unei alte activități în temeiul prezentei legi</w:t>
                  </w:r>
                </w:p>
              </w:tc>
              <w:tc>
                <w:tcPr>
                  <w:tcW w:w="1134" w:type="dxa"/>
                </w:tcPr>
                <w:p w14:paraId="7BB027FA"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68021845" w14:textId="77777777" w:rsidTr="00445781">
              <w:trPr>
                <w:trHeight w:val="396"/>
              </w:trPr>
              <w:tc>
                <w:tcPr>
                  <w:tcW w:w="463" w:type="dxa"/>
                </w:tcPr>
                <w:p w14:paraId="3DFE2827"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rPr>
                  </w:pPr>
                  <w:r w:rsidRPr="00054EDB">
                    <w:rPr>
                      <w:rFonts w:ascii="Times New Roman" w:eastAsia="Arial Unicode MS" w:hAnsi="Times New Roman"/>
                      <w:sz w:val="18"/>
                      <w:szCs w:val="18"/>
                      <w:shd w:val="clear" w:color="auto" w:fill="FFFFFF"/>
                    </w:rPr>
                    <w:t>2</w:t>
                  </w:r>
                  <w:r w:rsidRPr="00054EDB">
                    <w:rPr>
                      <w:rFonts w:ascii="Times New Roman" w:eastAsia="Arial Unicode MS" w:hAnsi="Times New Roman"/>
                      <w:sz w:val="18"/>
                      <w:szCs w:val="18"/>
                      <w:shd w:val="clear" w:color="auto" w:fill="FFFFFF"/>
                      <w:lang w:val="ro-RO"/>
                    </w:rPr>
                    <w:t>8</w:t>
                  </w:r>
                  <w:r w:rsidRPr="00054EDB">
                    <w:rPr>
                      <w:rFonts w:ascii="Times New Roman" w:eastAsia="Arial Unicode MS" w:hAnsi="Times New Roman"/>
                      <w:sz w:val="18"/>
                      <w:szCs w:val="18"/>
                      <w:shd w:val="clear" w:color="auto" w:fill="FFFFFF"/>
                    </w:rPr>
                    <w:t>.</w:t>
                  </w:r>
                </w:p>
              </w:tc>
              <w:tc>
                <w:tcPr>
                  <w:tcW w:w="2088" w:type="dxa"/>
                </w:tcPr>
                <w:p w14:paraId="5A57376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Stocarea geologică a gazelor cu efect de seră într-un sit de stocare în temeiul specificate în Anexa nr.1 Legii nr.86/2014 privind evaluarea impactului asupra mediului, cu excepția emisiilor care fac obiectul unei alte activități în temeiul prezentei legi</w:t>
                  </w:r>
                </w:p>
              </w:tc>
              <w:tc>
                <w:tcPr>
                  <w:tcW w:w="1134" w:type="dxa"/>
                </w:tcPr>
                <w:p w14:paraId="5EF494EC"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t>Dioxid de carbon</w:t>
                  </w:r>
                </w:p>
              </w:tc>
            </w:tr>
            <w:tr w:rsidR="00C518AC" w:rsidRPr="00054EDB" w14:paraId="0324066B" w14:textId="77777777" w:rsidTr="00445781">
              <w:trPr>
                <w:trHeight w:val="396"/>
              </w:trPr>
              <w:tc>
                <w:tcPr>
                  <w:tcW w:w="3685" w:type="dxa"/>
                  <w:gridSpan w:val="3"/>
                  <w:shd w:val="clear" w:color="auto" w:fill="AEAAAA"/>
                </w:tcPr>
                <w:p w14:paraId="3369F68B"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hAnsi="Times New Roman"/>
                      <w:b/>
                      <w:bCs/>
                      <w:sz w:val="18"/>
                      <w:szCs w:val="18"/>
                      <w:lang w:val="ro-MD"/>
                    </w:rPr>
                    <w:t>II.Aviație</w:t>
                  </w:r>
                </w:p>
              </w:tc>
            </w:tr>
            <w:tr w:rsidR="00C518AC" w:rsidRPr="00054EDB" w14:paraId="7271A7BC" w14:textId="77777777" w:rsidTr="00445781">
              <w:trPr>
                <w:trHeight w:val="396"/>
              </w:trPr>
              <w:tc>
                <w:tcPr>
                  <w:tcW w:w="463" w:type="dxa"/>
                </w:tcPr>
                <w:p w14:paraId="1816FB2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RO"/>
                    </w:rPr>
                  </w:pPr>
                  <w:r w:rsidRPr="00054EDB">
                    <w:rPr>
                      <w:rFonts w:ascii="Times New Roman" w:eastAsia="Arial Unicode MS" w:hAnsi="Times New Roman"/>
                      <w:sz w:val="18"/>
                      <w:szCs w:val="18"/>
                      <w:shd w:val="clear" w:color="auto" w:fill="FFFFFF"/>
                      <w:lang w:val="ro-RO"/>
                    </w:rPr>
                    <w:t>29.</w:t>
                  </w:r>
                </w:p>
              </w:tc>
              <w:tc>
                <w:tcPr>
                  <w:tcW w:w="2088" w:type="dxa"/>
                </w:tcPr>
                <w:p w14:paraId="44AD0D0A"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între aerodromuri situate în două state diferite, efectuate de către operatorii de aeronave care îndeplinesc toate condițiile următoare:</w:t>
                  </w:r>
                </w:p>
                <w:p w14:paraId="3DDA0044" w14:textId="77777777" w:rsidR="00C518AC" w:rsidRPr="00054EDB" w:rsidRDefault="00C518AC" w:rsidP="000D3F92">
                  <w:pPr>
                    <w:framePr w:hSpace="180" w:wrap="around" w:vAnchor="text" w:hAnchor="text" w:x="-136" w:y="1"/>
                    <w:numPr>
                      <w:ilvl w:val="0"/>
                      <w:numId w:val="235"/>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operatorii de aeronave certificați sau înregistrați într-un stat membru al UE, inclusiv în regiunile ultraperiferice, teritoriile dependente și teritoriile statului membru respectiv; și</w:t>
                  </w:r>
                </w:p>
                <w:p w14:paraId="6F48FD0D" w14:textId="77777777" w:rsidR="00C518AC" w:rsidRPr="00054EDB" w:rsidRDefault="00C518AC" w:rsidP="000D3F92">
                  <w:pPr>
                    <w:framePr w:hSpace="180" w:wrap="around" w:vAnchor="text" w:hAnchor="text" w:x="-136" w:y="1"/>
                    <w:numPr>
                      <w:ilvl w:val="0"/>
                      <w:numId w:val="235"/>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produc emisii anuale de CO</w:t>
                  </w:r>
                  <w:r w:rsidRPr="00054EDB">
                    <w:rPr>
                      <w:rStyle w:val="subscript"/>
                      <w:rFonts w:ascii="Times New Roman" w:eastAsia="Arial Unicode MS" w:hAnsi="Times New Roman"/>
                      <w:color w:val="000000"/>
                      <w:sz w:val="18"/>
                      <w:szCs w:val="18"/>
                      <w:shd w:val="clear" w:color="auto" w:fill="FFFFFF"/>
                      <w:vertAlign w:val="subscript"/>
                      <w:lang w:val="ro-MD"/>
                    </w:rPr>
                    <w:t xml:space="preserve">2 </w:t>
                  </w:r>
                  <w:r w:rsidRPr="00054EDB">
                    <w:rPr>
                      <w:rFonts w:ascii="Times New Roman" w:eastAsia="Arial Unicode MS" w:hAnsi="Times New Roman"/>
                      <w:color w:val="000000"/>
                      <w:sz w:val="18"/>
                      <w:szCs w:val="18"/>
                      <w:shd w:val="clear" w:color="auto" w:fill="FFFFFF"/>
                      <w:lang w:val="ro-MD"/>
                    </w:rPr>
                    <w:t xml:space="preserve">mai mari de 10 000 de tone din utilizarea </w:t>
                  </w:r>
                  <w:r w:rsidRPr="00054EDB">
                    <w:rPr>
                      <w:rFonts w:ascii="Times New Roman" w:eastAsia="Arial Unicode MS" w:hAnsi="Times New Roman"/>
                      <w:color w:val="000000"/>
                      <w:sz w:val="18"/>
                      <w:szCs w:val="18"/>
                      <w:shd w:val="clear" w:color="auto" w:fill="FFFFFF"/>
                      <w:lang w:val="ro-MD"/>
                    </w:rPr>
                    <w:lastRenderedPageBreak/>
                    <w:t>aeronavelor cu o masă maximă certificată la decolare mai mare de 5 700 kg care efectuează zboruri incluse în prezenta anexă, altele decât cele care pleacă și care sosesc în același stat membru, inclusiv regiunile ultraperiferice ale aceluiași stat membru, începând din 1 ianuarie 2021; în sensul prezentei litere, nu se iau în considerare emisiile generate de următoarele tipuri de zboruri:</w:t>
                  </w:r>
                </w:p>
                <w:p w14:paraId="5E20DF72"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de stat;</w:t>
                  </w:r>
                </w:p>
                <w:p w14:paraId="2E28FEB1"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umanitare;</w:t>
                  </w:r>
                </w:p>
                <w:p w14:paraId="75BFA3D0"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medicale;</w:t>
                  </w:r>
                </w:p>
                <w:p w14:paraId="53FC68C2"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militare;</w:t>
                  </w:r>
                </w:p>
                <w:p w14:paraId="154BC09B"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de stingere a incendiilor;</w:t>
                  </w:r>
                </w:p>
                <w:p w14:paraId="1628C3E4" w14:textId="77777777" w:rsidR="00C518AC" w:rsidRPr="00054EDB" w:rsidRDefault="00C518AC" w:rsidP="000D3F92">
                  <w:pPr>
                    <w:framePr w:hSpace="180" w:wrap="around" w:vAnchor="text" w:hAnchor="text" w:x="-136" w:y="1"/>
                    <w:numPr>
                      <w:ilvl w:val="0"/>
                      <w:numId w:val="236"/>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anterioare sau ulterioare unui zbor umanitar, medical sau de stingere a incendiilor, cu condiția ca astfel de zboruri să fi fost efectuate cu aceeași aeronavă și să fi fost necesare pentru îndeplinirea activităților umanitare, medicale sau de stingere a incendiilor aferente sau pentru repoziționarea aeronavei după îndeplinirea activităților respective, în vederea următoarei sale activități.</w:t>
                  </w:r>
                </w:p>
                <w:p w14:paraId="34EFC38B"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care pleacă de pe un aerodrom situat pe teritoriul Republicii Moldova.</w:t>
                  </w:r>
                </w:p>
                <w:p w14:paraId="6D2D6A6F"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Această activitate nu include:</w:t>
                  </w:r>
                </w:p>
                <w:p w14:paraId="02591459"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 xml:space="preserve">zborurile efectuate exclusiv pentru transportul unui monarh în funcție și al rudelor sale apropiate, a șefilor de stat, al șefilor de guvern și al miniștrilor provenind din </w:t>
                  </w:r>
                  <w:r w:rsidRPr="00054EDB">
                    <w:rPr>
                      <w:rFonts w:ascii="Times New Roman" w:eastAsia="Arial Unicode MS" w:hAnsi="Times New Roman"/>
                      <w:color w:val="000000"/>
                      <w:sz w:val="18"/>
                      <w:szCs w:val="18"/>
                      <w:shd w:val="clear" w:color="auto" w:fill="FFFFFF"/>
                      <w:lang w:val="ro-MD"/>
                    </w:rPr>
                    <w:lastRenderedPageBreak/>
                    <w:t>țări care nu sunt state membre, aflați în misiune oficială, cu condiția ca o astfel de situație să fie dovedită prin indicatorul corespunzător al statutului zborului în planul de zbor;</w:t>
                  </w:r>
                </w:p>
                <w:p w14:paraId="2E6E3CBA"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militare efectuate cu aeronave militare și zboruri ale serviciilor de vamă și de poliție;</w:t>
                  </w:r>
                </w:p>
                <w:p w14:paraId="561C6D5C"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 legate de misiuni de căutare și salvare, zboruri ale serviciilor de pompieri, zboruri umanitare și zboruri ale serviciilor medicale de urgență autorizate de către autoritățile competente corespunzătoare;</w:t>
                  </w:r>
                </w:p>
                <w:p w14:paraId="1B9C3F56"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orice zboruri efectuate exclusiv în conformitate cu regulile de zbor la vedere definite în Anexa 2 la Convenția de la Chicago;</w:t>
                  </w:r>
                </w:p>
                <w:p w14:paraId="543682B5"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care se încheie pe aerodromul de unde a decolat aeronava și în timpul cărora nu au avut loc aterizări intermediare;</w:t>
                  </w:r>
                </w:p>
                <w:p w14:paraId="4A4149FF"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de instruire efectuate exclusiv în scopul obținerii unei licențe sau a unei calificări, în cazul personalului navigant de conducere, dacă acest lucru este dovedit printr-o indicație corespunzătoare în planul de zbor, cu condiția ca scopul zborului să nu fie transportul de pasageri și/sau de marfă sau poziționarea sau transportul aeronavei;</w:t>
                  </w:r>
                </w:p>
                <w:p w14:paraId="45C09939"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 xml:space="preserve">zboruri efectuate exclusiv în scopul cercetării științifice sau în scopul verificării, al testării sau al certificării aeronavei </w:t>
                  </w:r>
                  <w:r w:rsidRPr="00054EDB">
                    <w:rPr>
                      <w:rFonts w:ascii="Times New Roman" w:eastAsia="Arial Unicode MS" w:hAnsi="Times New Roman"/>
                      <w:color w:val="000000"/>
                      <w:sz w:val="18"/>
                      <w:szCs w:val="18"/>
                      <w:shd w:val="clear" w:color="auto" w:fill="FFFFFF"/>
                      <w:lang w:val="ro-MD"/>
                    </w:rPr>
                    <w:lastRenderedPageBreak/>
                    <w:t>sau a echipamentului de bord sau de sol;</w:t>
                  </w:r>
                </w:p>
                <w:p w14:paraId="08C2F488"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efectuate de aeronave cu o masă maximă certificată la decolare mai mică de5 700 kg;</w:t>
                  </w:r>
                </w:p>
                <w:p w14:paraId="3A2BAA32"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efectuate pe rutele unde capacitatea oferită nu depășește 50 000</w:t>
                  </w:r>
                  <w:r w:rsidRPr="00054EDB">
                    <w:rPr>
                      <w:rStyle w:val="boldface"/>
                      <w:rFonts w:ascii="Times New Roman" w:eastAsia="Arial Unicode MS" w:hAnsi="Times New Roman"/>
                      <w:b/>
                      <w:bCs/>
                      <w:color w:val="000000"/>
                      <w:sz w:val="18"/>
                      <w:szCs w:val="18"/>
                      <w:lang w:val="ro-MD"/>
                    </w:rPr>
                    <w:t xml:space="preserve"> </w:t>
                  </w:r>
                  <w:r w:rsidRPr="00054EDB">
                    <w:rPr>
                      <w:rFonts w:ascii="Times New Roman" w:eastAsia="Arial Unicode MS" w:hAnsi="Times New Roman"/>
                      <w:color w:val="000000"/>
                      <w:sz w:val="18"/>
                      <w:szCs w:val="18"/>
                      <w:shd w:val="clear" w:color="auto" w:fill="FFFFFF"/>
                      <w:lang w:val="ro-MD"/>
                    </w:rPr>
                    <w:t>de locuri pe an;</w:t>
                  </w:r>
                </w:p>
                <w:p w14:paraId="382D211F"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care, cu excepția acestei litere, s-ar încadra în această activitate, efectuate de un operator de transport aerian comercial care efectuează fie:</w:t>
                  </w:r>
                </w:p>
                <w:p w14:paraId="365C7DC0" w14:textId="77777777" w:rsidR="00C518AC" w:rsidRPr="00054EDB" w:rsidRDefault="00C518AC" w:rsidP="000D3F92">
                  <w:pPr>
                    <w:pStyle w:val="item-none"/>
                    <w:framePr w:hSpace="180" w:wrap="around" w:vAnchor="text" w:hAnchor="text" w:x="-136" w:y="1"/>
                    <w:numPr>
                      <w:ilvl w:val="0"/>
                      <w:numId w:val="238"/>
                    </w:numPr>
                    <w:shd w:val="clear" w:color="auto" w:fill="FFFFFF"/>
                    <w:spacing w:before="0" w:beforeAutospacing="0" w:after="0" w:afterAutospacing="0"/>
                    <w:ind w:left="0"/>
                    <w:suppressOverlap/>
                    <w:jc w:val="both"/>
                    <w:rPr>
                      <w:rFonts w:eastAsia="Arial Unicode MS"/>
                      <w:color w:val="000000"/>
                      <w:sz w:val="18"/>
                      <w:szCs w:val="18"/>
                      <w:lang w:val="ro-MD"/>
                    </w:rPr>
                  </w:pPr>
                  <w:r w:rsidRPr="00054EDB">
                    <w:rPr>
                      <w:rFonts w:eastAsia="Arial Unicode MS"/>
                      <w:color w:val="000000"/>
                      <w:sz w:val="18"/>
                      <w:szCs w:val="18"/>
                      <w:lang w:val="ro-MD"/>
                    </w:rPr>
                    <w:t>mai puțin de 243 zboruri pe perioadă, timp de trei perioade consecutive de câte patru luni,</w:t>
                  </w:r>
                </w:p>
                <w:p w14:paraId="15510046" w14:textId="77777777" w:rsidR="00C518AC" w:rsidRPr="00054EDB" w:rsidRDefault="00C518AC" w:rsidP="000D3F92">
                  <w:pPr>
                    <w:pStyle w:val="item-none"/>
                    <w:framePr w:hSpace="180" w:wrap="around" w:vAnchor="text" w:hAnchor="text" w:x="-136" w:y="1"/>
                    <w:numPr>
                      <w:ilvl w:val="0"/>
                      <w:numId w:val="238"/>
                    </w:numPr>
                    <w:shd w:val="clear" w:color="auto" w:fill="FFFFFF"/>
                    <w:spacing w:before="0" w:beforeAutospacing="0" w:after="0" w:afterAutospacing="0"/>
                    <w:ind w:left="0"/>
                    <w:suppressOverlap/>
                    <w:jc w:val="both"/>
                    <w:rPr>
                      <w:rFonts w:eastAsia="Arial Unicode MS"/>
                      <w:color w:val="000000"/>
                      <w:sz w:val="18"/>
                      <w:szCs w:val="18"/>
                      <w:lang w:val="ro-MD"/>
                    </w:rPr>
                  </w:pPr>
                  <w:r w:rsidRPr="00054EDB">
                    <w:rPr>
                      <w:rFonts w:eastAsia="Arial Unicode MS"/>
                      <w:color w:val="000000"/>
                      <w:sz w:val="18"/>
                      <w:szCs w:val="18"/>
                      <w:lang w:val="ro-MD"/>
                    </w:rPr>
                    <w:t>zboruri al căror total de emisii anuale este mai scăzut de 10 000 de tone pe an.</w:t>
                  </w:r>
                </w:p>
                <w:p w14:paraId="5F8448E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menționate la lit. (l) și lit.(m) sau cele efectuate exclusiv pentru transportul, în misiune oficială, al unor monarhi în exercițiu și al rudelor apropiate ale acestora, al șefilor de stat, al șefilor de guvern și al miniștrilor unui stat membru nu pot fi excluse în temeiul prezentei litere;</w:t>
                  </w:r>
                </w:p>
                <w:p w14:paraId="70ECDC91"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 xml:space="preserve">începând de la data de 1 ianuarie 2025 și până la data de 31 decembrie 2030, zborurile care, cu excepția prezentei litere, s-ar încadra în această activitate și sunt efectuate de un operator de aeronave necomerciale care efectuează zboruri cu emisii anuale totale mai mici de 1 000 de tone pe an, inclusiv emisiile generate de zborurile </w:t>
                  </w:r>
                  <w:r w:rsidRPr="00054EDB">
                    <w:rPr>
                      <w:rFonts w:ascii="Times New Roman" w:eastAsia="Arial Unicode MS" w:hAnsi="Times New Roman"/>
                      <w:color w:val="000000"/>
                      <w:sz w:val="18"/>
                      <w:szCs w:val="18"/>
                      <w:shd w:val="clear" w:color="auto" w:fill="FFFFFF"/>
                      <w:lang w:val="ro-MD"/>
                    </w:rPr>
                    <w:lastRenderedPageBreak/>
                    <w:t>menționate la lit. (l) și lit.(m);</w:t>
                  </w:r>
                </w:p>
                <w:p w14:paraId="49D6980B"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dinspre aerodromuri situate în Elveția către aerodromuri situate în Spațiul Economic European;</w:t>
                  </w:r>
                </w:p>
                <w:p w14:paraId="4893B117" w14:textId="77777777" w:rsidR="00C518AC" w:rsidRPr="00054EDB" w:rsidRDefault="00C518AC" w:rsidP="000D3F92">
                  <w:pPr>
                    <w:framePr w:hSpace="180" w:wrap="around" w:vAnchor="text" w:hAnchor="text" w:x="-136" w:y="1"/>
                    <w:numPr>
                      <w:ilvl w:val="0"/>
                      <w:numId w:val="237"/>
                    </w:numPr>
                    <w:tabs>
                      <w:tab w:val="left" w:pos="1134"/>
                    </w:tabs>
                    <w:suppressAutoHyphens w:val="0"/>
                    <w:autoSpaceDN/>
                    <w:spacing w:after="0" w:line="240" w:lineRule="auto"/>
                    <w:ind w:left="0"/>
                    <w:contextualSpacing/>
                    <w:suppressOverlap/>
                    <w:jc w:val="both"/>
                    <w:textAlignment w:val="auto"/>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zborurile dinspre aerodromuri situate în Regatul Unit către aerodromuri situate în Spațiul Economic European.</w:t>
                  </w:r>
                </w:p>
              </w:tc>
              <w:tc>
                <w:tcPr>
                  <w:tcW w:w="1134" w:type="dxa"/>
                </w:tcPr>
                <w:p w14:paraId="64FDAA0D"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eastAsia="Arial Unicode MS" w:hAnsi="Times New Roman"/>
                      <w:sz w:val="18"/>
                      <w:szCs w:val="18"/>
                      <w:shd w:val="clear" w:color="auto" w:fill="FFFFFF"/>
                      <w:lang w:val="ro-MD"/>
                    </w:rPr>
                    <w:lastRenderedPageBreak/>
                    <w:t>Dioxid de carbon</w:t>
                  </w:r>
                </w:p>
              </w:tc>
            </w:tr>
            <w:tr w:rsidR="00C518AC" w:rsidRPr="00054EDB" w14:paraId="7118C732" w14:textId="77777777" w:rsidTr="00445781">
              <w:trPr>
                <w:trHeight w:val="396"/>
              </w:trPr>
              <w:tc>
                <w:tcPr>
                  <w:tcW w:w="3685" w:type="dxa"/>
                  <w:gridSpan w:val="3"/>
                  <w:shd w:val="clear" w:color="auto" w:fill="AEAAAA"/>
                </w:tcPr>
                <w:p w14:paraId="0D3CD089"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r w:rsidRPr="00054EDB">
                    <w:rPr>
                      <w:rFonts w:ascii="Times New Roman" w:hAnsi="Times New Roman"/>
                      <w:b/>
                      <w:bCs/>
                      <w:sz w:val="18"/>
                      <w:szCs w:val="18"/>
                      <w:lang w:val="ro-MD"/>
                    </w:rPr>
                    <w:lastRenderedPageBreak/>
                    <w:t>III. Transport maritim</w:t>
                  </w:r>
                </w:p>
              </w:tc>
            </w:tr>
            <w:tr w:rsidR="00C518AC" w:rsidRPr="00054EDB" w14:paraId="206E45F7" w14:textId="77777777" w:rsidTr="00445781">
              <w:trPr>
                <w:trHeight w:val="4385"/>
              </w:trPr>
              <w:tc>
                <w:tcPr>
                  <w:tcW w:w="463" w:type="dxa"/>
                </w:tcPr>
                <w:p w14:paraId="5E9EC88A"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sz w:val="18"/>
                      <w:szCs w:val="18"/>
                      <w:shd w:val="clear" w:color="auto" w:fill="FFFFFF"/>
                      <w:lang w:val="ro-RO"/>
                    </w:rPr>
                  </w:pPr>
                  <w:r w:rsidRPr="00054EDB">
                    <w:rPr>
                      <w:rFonts w:ascii="Times New Roman" w:eastAsia="Arial Unicode MS" w:hAnsi="Times New Roman"/>
                      <w:sz w:val="18"/>
                      <w:szCs w:val="18"/>
                      <w:shd w:val="clear" w:color="auto" w:fill="FFFFFF"/>
                      <w:lang w:val="ro-RO"/>
                    </w:rPr>
                    <w:t>30.</w:t>
                  </w:r>
                </w:p>
              </w:tc>
              <w:tc>
                <w:tcPr>
                  <w:tcW w:w="2088" w:type="dxa"/>
                </w:tcPr>
                <w:p w14:paraId="0C804E3F"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hAnsi="Times New Roman"/>
                      <w:color w:val="000000"/>
                      <w:sz w:val="18"/>
                      <w:szCs w:val="18"/>
                      <w:shd w:val="clear" w:color="auto" w:fill="FFFFFF"/>
                      <w:lang w:val="ro-MD"/>
                    </w:rPr>
                  </w:pPr>
                  <w:r w:rsidRPr="00054EDB">
                    <w:rPr>
                      <w:rFonts w:ascii="Times New Roman" w:hAnsi="Times New Roman"/>
                      <w:color w:val="000000"/>
                      <w:sz w:val="18"/>
                      <w:szCs w:val="18"/>
                      <w:shd w:val="clear" w:color="auto" w:fill="FFFFFF"/>
                      <w:lang w:val="ro-MD"/>
                    </w:rPr>
                    <w:t>Navele cu un tonaj brut de peste 5 000 de tone, în ceea ce privește emisiile de CO</w:t>
                  </w:r>
                  <w:r w:rsidRPr="00054EDB">
                    <w:rPr>
                      <w:rStyle w:val="sub"/>
                      <w:rFonts w:ascii="Times New Roman" w:hAnsi="Times New Roman"/>
                      <w:color w:val="000000"/>
                      <w:sz w:val="18"/>
                      <w:szCs w:val="18"/>
                      <w:shd w:val="clear" w:color="auto" w:fill="FFFFFF"/>
                      <w:vertAlign w:val="subscript"/>
                      <w:lang w:val="ro-MD"/>
                    </w:rPr>
                    <w:t>2</w:t>
                  </w:r>
                  <w:r w:rsidRPr="00054EDB">
                    <w:rPr>
                      <w:rFonts w:ascii="Times New Roman" w:hAnsi="Times New Roman"/>
                      <w:color w:val="000000"/>
                      <w:sz w:val="18"/>
                      <w:szCs w:val="18"/>
                      <w:lang w:val="ro-MD"/>
                    </w:rPr>
                    <w:t xml:space="preserve"> </w:t>
                  </w:r>
                  <w:r w:rsidRPr="00054EDB">
                    <w:rPr>
                      <w:rFonts w:ascii="Times New Roman" w:hAnsi="Times New Roman"/>
                      <w:color w:val="000000"/>
                      <w:sz w:val="18"/>
                      <w:szCs w:val="18"/>
                      <w:shd w:val="clear" w:color="auto" w:fill="FFFFFF"/>
                      <w:lang w:val="ro-MD"/>
                    </w:rPr>
                    <w:t>generate în timpul călătoriilor lor de la ultimul lor port de escală la un port de escală aflat sub jurisdicția Republicii Moldova și de la un port de escală aflat sub jurisdicția unui stat membru al UE spre următorul lor port de escală, precum și în interiorul porturilor de escală aflate sub jurisdicția Republicii Moldova.</w:t>
                  </w:r>
                </w:p>
                <w:p w14:paraId="314680E2"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eastAsia="Arial Unicode MS"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 xml:space="preserve">De la 1 ianuarie 2025, navele de transport general de mărfuri cu un tonaj brut mai mic de 5 000 de tone, dar nu mai mic de 400 de tone, în ceea ce privește emisiile de GES generate în timpul călătoriilor lor pentru transportul de mărfuri în scopuri comerciale de la ultimul lor port de escală la un port de escală aflat sub jurisdicția </w:t>
                  </w:r>
                  <w:r w:rsidRPr="00054EDB">
                    <w:rPr>
                      <w:rFonts w:ascii="Times New Roman" w:hAnsi="Times New Roman"/>
                      <w:color w:val="000000"/>
                      <w:sz w:val="18"/>
                      <w:szCs w:val="18"/>
                      <w:shd w:val="clear" w:color="auto" w:fill="FFFFFF"/>
                      <w:lang w:val="ro-MD"/>
                    </w:rPr>
                    <w:t xml:space="preserve">Republicii Moldova </w:t>
                  </w:r>
                  <w:r w:rsidRPr="00054EDB">
                    <w:rPr>
                      <w:rFonts w:ascii="Times New Roman" w:eastAsia="Arial Unicode MS" w:hAnsi="Times New Roman"/>
                      <w:color w:val="000000"/>
                      <w:sz w:val="18"/>
                      <w:szCs w:val="18"/>
                      <w:shd w:val="clear" w:color="auto" w:fill="FFFFFF"/>
                      <w:lang w:val="ro-MD"/>
                    </w:rPr>
                    <w:t xml:space="preserve">și de la un port de escală aflat sub jurisdicția unui stat membru al UE spre </w:t>
                  </w:r>
                  <w:r w:rsidRPr="00054EDB">
                    <w:rPr>
                      <w:rFonts w:ascii="Times New Roman" w:eastAsia="Arial Unicode MS" w:hAnsi="Times New Roman"/>
                      <w:color w:val="000000"/>
                      <w:sz w:val="18"/>
                      <w:szCs w:val="18"/>
                      <w:shd w:val="clear" w:color="auto" w:fill="FFFFFF"/>
                      <w:lang w:val="ro-MD"/>
                    </w:rPr>
                    <w:lastRenderedPageBreak/>
                    <w:t xml:space="preserve">următorul lor port de escală, precum și în interiorul porturilor de escală aflate sub jurisdicția </w:t>
                  </w:r>
                  <w:r w:rsidRPr="00054EDB">
                    <w:rPr>
                      <w:rFonts w:ascii="Times New Roman" w:hAnsi="Times New Roman"/>
                      <w:color w:val="000000"/>
                      <w:sz w:val="18"/>
                      <w:szCs w:val="18"/>
                      <w:shd w:val="clear" w:color="auto" w:fill="FFFFFF"/>
                      <w:lang w:val="ro-MD"/>
                    </w:rPr>
                    <w:t>Republicii Moldova</w:t>
                  </w:r>
                  <w:r w:rsidRPr="00054EDB">
                    <w:rPr>
                      <w:rFonts w:ascii="Times New Roman" w:eastAsia="Arial Unicode MS" w:hAnsi="Times New Roman"/>
                      <w:color w:val="000000"/>
                      <w:sz w:val="18"/>
                      <w:szCs w:val="18"/>
                      <w:shd w:val="clear" w:color="auto" w:fill="FFFFFF"/>
                      <w:lang w:val="ro-MD"/>
                    </w:rPr>
                    <w:t xml:space="preserve">, precum și navelor de aprovizionare în larg cu un tonaj brut mai mic de 5 000 de tone, dar nu mai mic de 400 de tone în ceea ce privește emisiile de GES generate în timpul călătoriilor lor de la ultimul lor port de escală la un port de escală aflat sub jurisdicția </w:t>
                  </w:r>
                  <w:r w:rsidRPr="00054EDB">
                    <w:rPr>
                      <w:rFonts w:ascii="Times New Roman" w:hAnsi="Times New Roman"/>
                      <w:color w:val="000000"/>
                      <w:sz w:val="18"/>
                      <w:szCs w:val="18"/>
                      <w:shd w:val="clear" w:color="auto" w:fill="FFFFFF"/>
                      <w:lang w:val="ro-MD"/>
                    </w:rPr>
                    <w:t xml:space="preserve">Republicii Moldova </w:t>
                  </w:r>
                  <w:r w:rsidRPr="00054EDB">
                    <w:rPr>
                      <w:rFonts w:ascii="Times New Roman" w:eastAsia="Arial Unicode MS" w:hAnsi="Times New Roman"/>
                      <w:color w:val="000000"/>
                      <w:sz w:val="18"/>
                      <w:szCs w:val="18"/>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054EDB">
                    <w:rPr>
                      <w:rFonts w:ascii="Times New Roman" w:hAnsi="Times New Roman"/>
                      <w:color w:val="000000"/>
                      <w:sz w:val="18"/>
                      <w:szCs w:val="18"/>
                      <w:shd w:val="clear" w:color="auto" w:fill="FFFFFF"/>
                      <w:lang w:val="ro-MD"/>
                    </w:rPr>
                    <w:t>Republicii Moldova</w:t>
                  </w:r>
                  <w:r w:rsidRPr="00054EDB">
                    <w:rPr>
                      <w:rFonts w:ascii="Times New Roman" w:eastAsia="Arial Unicode MS" w:hAnsi="Times New Roman"/>
                      <w:color w:val="000000"/>
                      <w:sz w:val="18"/>
                      <w:szCs w:val="18"/>
                      <w:shd w:val="clear" w:color="auto" w:fill="FFFFFF"/>
                      <w:lang w:val="ro-MD"/>
                    </w:rPr>
                    <w:t>.</w:t>
                  </w:r>
                </w:p>
                <w:p w14:paraId="78CB2834" w14:textId="77777777" w:rsidR="00C518AC" w:rsidRPr="00054EDB" w:rsidRDefault="00C518AC" w:rsidP="000D3F92">
                  <w:pPr>
                    <w:framePr w:hSpace="180" w:wrap="around" w:vAnchor="text" w:hAnchor="text" w:x="-136" w:y="1"/>
                    <w:tabs>
                      <w:tab w:val="left" w:pos="1134"/>
                    </w:tabs>
                    <w:contextualSpacing/>
                    <w:suppressOverlap/>
                    <w:jc w:val="both"/>
                    <w:rPr>
                      <w:rFonts w:ascii="Times New Roman" w:hAnsi="Times New Roman"/>
                      <w:color w:val="000000"/>
                      <w:sz w:val="18"/>
                      <w:szCs w:val="18"/>
                      <w:shd w:val="clear" w:color="auto" w:fill="FFFFFF"/>
                      <w:lang w:val="ro-MD"/>
                    </w:rPr>
                  </w:pPr>
                  <w:r w:rsidRPr="00054EDB">
                    <w:rPr>
                      <w:rFonts w:ascii="Times New Roman" w:eastAsia="Arial Unicode MS" w:hAnsi="Times New Roman"/>
                      <w:color w:val="000000"/>
                      <w:sz w:val="18"/>
                      <w:szCs w:val="18"/>
                      <w:shd w:val="clear" w:color="auto" w:fill="FFFFFF"/>
                      <w:lang w:val="ro-MD"/>
                    </w:rPr>
                    <w:t xml:space="preserve">De la 1 ianuarie 2025, navele de aprovizionare în larg cu un tonaj brut mai mare sau egal cu 5 000 de tone în ceea ce privește emisiile de GES generate în timpul călătoriilor lor de la ultimul lor port de escală la un port de escală aflat sub jurisdicția </w:t>
                  </w:r>
                  <w:r w:rsidRPr="00054EDB">
                    <w:rPr>
                      <w:rFonts w:ascii="Times New Roman" w:hAnsi="Times New Roman"/>
                      <w:color w:val="000000"/>
                      <w:sz w:val="18"/>
                      <w:szCs w:val="18"/>
                      <w:shd w:val="clear" w:color="auto" w:fill="FFFFFF"/>
                      <w:lang w:val="ro-MD"/>
                    </w:rPr>
                    <w:t xml:space="preserve">Republicii Moldova </w:t>
                  </w:r>
                  <w:r w:rsidRPr="00054EDB">
                    <w:rPr>
                      <w:rFonts w:ascii="Times New Roman" w:eastAsia="Arial Unicode MS" w:hAnsi="Times New Roman"/>
                      <w:color w:val="000000"/>
                      <w:sz w:val="18"/>
                      <w:szCs w:val="18"/>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054EDB">
                    <w:rPr>
                      <w:rFonts w:ascii="Times New Roman" w:hAnsi="Times New Roman"/>
                      <w:color w:val="000000"/>
                      <w:sz w:val="18"/>
                      <w:szCs w:val="18"/>
                      <w:shd w:val="clear" w:color="auto" w:fill="FFFFFF"/>
                      <w:lang w:val="ro-MD"/>
                    </w:rPr>
                    <w:t>Republicii Moldova</w:t>
                  </w:r>
                  <w:r w:rsidRPr="00054EDB">
                    <w:rPr>
                      <w:rFonts w:ascii="Times New Roman" w:eastAsia="Arial Unicode MS" w:hAnsi="Times New Roman"/>
                      <w:color w:val="000000"/>
                      <w:sz w:val="18"/>
                      <w:szCs w:val="18"/>
                      <w:shd w:val="clear" w:color="auto" w:fill="FFFFFF"/>
                      <w:lang w:val="ro-MD"/>
                    </w:rPr>
                    <w:t>.</w:t>
                  </w:r>
                </w:p>
              </w:tc>
              <w:tc>
                <w:tcPr>
                  <w:tcW w:w="1134" w:type="dxa"/>
                </w:tcPr>
                <w:p w14:paraId="24D24562" w14:textId="77777777" w:rsidR="00C518AC" w:rsidRPr="00054EDB" w:rsidRDefault="00C518AC" w:rsidP="000D3F92">
                  <w:pPr>
                    <w:pStyle w:val="tbl-norm"/>
                    <w:framePr w:hSpace="180" w:wrap="around" w:vAnchor="text" w:hAnchor="text" w:x="-136" w:y="1"/>
                    <w:shd w:val="clear" w:color="auto" w:fill="FFFFFF"/>
                    <w:spacing w:before="0" w:beforeAutospacing="0" w:after="0" w:afterAutospacing="0"/>
                    <w:suppressOverlap/>
                    <w:jc w:val="both"/>
                    <w:rPr>
                      <w:rFonts w:eastAsia="Arial Unicode MS"/>
                      <w:color w:val="333333"/>
                      <w:sz w:val="18"/>
                      <w:szCs w:val="18"/>
                      <w:lang w:val="ro-MD"/>
                    </w:rPr>
                  </w:pPr>
                  <w:r w:rsidRPr="00054EDB">
                    <w:rPr>
                      <w:rFonts w:eastAsia="Arial Unicode MS"/>
                      <w:color w:val="333333"/>
                      <w:sz w:val="18"/>
                      <w:szCs w:val="18"/>
                      <w:lang w:val="ro-MD"/>
                    </w:rPr>
                    <w:lastRenderedPageBreak/>
                    <w:t>Dioxid de carbon</w:t>
                  </w:r>
                </w:p>
                <w:p w14:paraId="31BC890F" w14:textId="77777777" w:rsidR="00C518AC" w:rsidRPr="00054EDB" w:rsidRDefault="00C518AC" w:rsidP="000D3F92">
                  <w:pPr>
                    <w:pStyle w:val="tbl-norm"/>
                    <w:framePr w:hSpace="180" w:wrap="around" w:vAnchor="text" w:hAnchor="text" w:x="-136" w:y="1"/>
                    <w:shd w:val="clear" w:color="auto" w:fill="FFFFFF"/>
                    <w:spacing w:before="0" w:beforeAutospacing="0" w:after="0" w:afterAutospacing="0"/>
                    <w:suppressOverlap/>
                    <w:jc w:val="both"/>
                    <w:rPr>
                      <w:rFonts w:eastAsia="Arial Unicode MS"/>
                      <w:color w:val="333333"/>
                      <w:sz w:val="18"/>
                      <w:szCs w:val="18"/>
                      <w:lang w:val="ro-MD"/>
                    </w:rPr>
                  </w:pPr>
                  <w:r w:rsidRPr="00054EDB">
                    <w:rPr>
                      <w:rFonts w:eastAsia="Arial Unicode MS"/>
                      <w:color w:val="333333"/>
                      <w:sz w:val="18"/>
                      <w:szCs w:val="18"/>
                      <w:lang w:val="ro-MD"/>
                    </w:rPr>
                    <w:t>începând cu 1 ianuarie 2026, metan și protoxid de azot</w:t>
                  </w:r>
                </w:p>
                <w:p w14:paraId="28E2D0BA" w14:textId="77777777" w:rsidR="00C518AC" w:rsidRPr="00054EDB" w:rsidRDefault="00C518AC" w:rsidP="000D3F92">
                  <w:pPr>
                    <w:framePr w:hSpace="180" w:wrap="around" w:vAnchor="text" w:hAnchor="text" w:x="-136" w:y="1"/>
                    <w:tabs>
                      <w:tab w:val="left" w:pos="1134"/>
                    </w:tabs>
                    <w:contextualSpacing/>
                    <w:suppressOverlap/>
                    <w:rPr>
                      <w:rFonts w:ascii="Times New Roman" w:eastAsia="Arial Unicode MS" w:hAnsi="Times New Roman"/>
                      <w:sz w:val="18"/>
                      <w:szCs w:val="18"/>
                      <w:shd w:val="clear" w:color="auto" w:fill="FFFFFF"/>
                      <w:lang w:val="ro-MD"/>
                    </w:rPr>
                  </w:pPr>
                </w:p>
              </w:tc>
            </w:tr>
          </w:tbl>
          <w:p w14:paraId="09EF95C0" w14:textId="77777777" w:rsidR="00124364" w:rsidRPr="000D3F92" w:rsidRDefault="00124364" w:rsidP="00C518AC">
            <w:pPr>
              <w:tabs>
                <w:tab w:val="left" w:pos="1134"/>
              </w:tabs>
              <w:contextualSpacing/>
              <w:rPr>
                <w:rFonts w:ascii="Times New Roman" w:hAnsi="Times New Roman" w:hint="eastAsia"/>
                <w:sz w:val="20"/>
                <w:szCs w:val="20"/>
                <w:lang w:val="en-US" w:eastAsia="zh-CN"/>
              </w:rPr>
            </w:pPr>
          </w:p>
        </w:tc>
        <w:tc>
          <w:tcPr>
            <w:tcW w:w="1276" w:type="dxa"/>
            <w:shd w:val="clear" w:color="auto" w:fill="auto"/>
          </w:tcPr>
          <w:p w14:paraId="4750A8E9"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 xml:space="preserve">Compatibil </w:t>
            </w:r>
          </w:p>
          <w:p w14:paraId="7C6CDB64"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72988FB"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F78F68E"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E975252"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1E1DA637" w14:textId="77777777" w:rsidR="00124364" w:rsidRDefault="00124364">
            <w:pPr>
              <w:autoSpaceDE w:val="0"/>
              <w:spacing w:after="0" w:line="240" w:lineRule="auto"/>
              <w:rPr>
                <w:rFonts w:ascii="Times New Roman" w:hAnsi="Times New Roman"/>
                <w:sz w:val="20"/>
                <w:szCs w:val="20"/>
                <w:lang w:val="fr-FR"/>
              </w:rPr>
            </w:pPr>
          </w:p>
          <w:p w14:paraId="727E53E9" w14:textId="77777777" w:rsidR="00F92414" w:rsidRDefault="00F92414" w:rsidP="00F92414">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color w:val="000000" w:themeColor="text1"/>
                <w:sz w:val="20"/>
                <w:szCs w:val="20"/>
              </w:rPr>
              <w:t>Agenția</w:t>
            </w:r>
            <w:proofErr w:type="spellEnd"/>
            <w:r>
              <w:rPr>
                <w:rFonts w:ascii="Times New Roman" w:hAnsi="Times New Roman"/>
                <w:color w:val="000000" w:themeColor="text1"/>
                <w:sz w:val="20"/>
                <w:szCs w:val="20"/>
              </w:rPr>
              <w:t xml:space="preserve"> de </w:t>
            </w:r>
            <w:proofErr w:type="spellStart"/>
            <w:r>
              <w:rPr>
                <w:rFonts w:ascii="Times New Roman" w:hAnsi="Times New Roman"/>
                <w:color w:val="000000" w:themeColor="text1"/>
                <w:sz w:val="20"/>
                <w:szCs w:val="20"/>
              </w:rPr>
              <w:t>Mediu</w:t>
            </w:r>
            <w:proofErr w:type="spellEnd"/>
          </w:p>
          <w:p w14:paraId="7E3DD81F" w14:textId="77777777" w:rsidR="00F92414" w:rsidRDefault="00F92414">
            <w:pPr>
              <w:autoSpaceDE w:val="0"/>
              <w:spacing w:after="0" w:line="240" w:lineRule="auto"/>
              <w:rPr>
                <w:rFonts w:ascii="Times New Roman" w:hAnsi="Times New Roman"/>
                <w:sz w:val="20"/>
                <w:szCs w:val="20"/>
                <w:lang w:val="fr-FR"/>
              </w:rPr>
            </w:pPr>
          </w:p>
        </w:tc>
      </w:tr>
      <w:tr w:rsidR="00124364" w14:paraId="49BBF631" w14:textId="77777777">
        <w:trPr>
          <w:trHeight w:val="558"/>
        </w:trPr>
        <w:tc>
          <w:tcPr>
            <w:tcW w:w="4957" w:type="dxa"/>
            <w:shd w:val="clear" w:color="auto" w:fill="auto"/>
          </w:tcPr>
          <w:p w14:paraId="7C1246BC" w14:textId="77777777" w:rsidR="00124364" w:rsidRPr="008D3FC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8D3FC4">
              <w:rPr>
                <w:rFonts w:eastAsia="Arial Unicode MS"/>
                <w:i/>
                <w:iCs/>
                <w:color w:val="000000" w:themeColor="text1"/>
                <w:sz w:val="20"/>
                <w:szCs w:val="20"/>
                <w:shd w:val="clear" w:color="auto" w:fill="FFFFFF"/>
                <w:lang w:val="en-US"/>
              </w:rPr>
              <w:lastRenderedPageBreak/>
              <w:t>ANEXA II</w:t>
            </w:r>
          </w:p>
          <w:p w14:paraId="64309D6B" w14:textId="77777777" w:rsidR="00124364" w:rsidRPr="008D3FC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8D3FC4">
              <w:rPr>
                <w:rFonts w:eastAsia="Arial Unicode MS"/>
                <w:b/>
                <w:bCs/>
                <w:color w:val="000000" w:themeColor="text1"/>
                <w:sz w:val="20"/>
                <w:szCs w:val="20"/>
                <w:shd w:val="clear" w:color="auto" w:fill="FFFFFF"/>
                <w:lang w:val="en-US"/>
              </w:rPr>
              <w:t>GAZELE CU EFECT DE SERĂ MENȚIONATE LA ARTICOLELE 3 ȘI 30</w:t>
            </w:r>
          </w:p>
          <w:p w14:paraId="38140D21"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Dioxid</w:t>
            </w:r>
            <w:proofErr w:type="spellEnd"/>
            <w:r w:rsidRPr="008D3FC4">
              <w:rPr>
                <w:rFonts w:eastAsia="Arial Unicode MS"/>
                <w:color w:val="000000" w:themeColor="text1"/>
                <w:sz w:val="20"/>
                <w:szCs w:val="20"/>
                <w:shd w:val="clear" w:color="auto" w:fill="FFFFFF"/>
                <w:lang w:val="en-US"/>
              </w:rPr>
              <w:t xml:space="preserve"> de carbon (CO</w:t>
            </w:r>
            <w:r w:rsidRPr="008D3FC4">
              <w:rPr>
                <w:rStyle w:val="subscript"/>
                <w:rFonts w:eastAsia="Arial Unicode MS"/>
                <w:color w:val="000000" w:themeColor="text1"/>
                <w:sz w:val="20"/>
                <w:szCs w:val="20"/>
                <w:vertAlign w:val="subscript"/>
                <w:lang w:val="en-US"/>
              </w:rPr>
              <w:t>2</w:t>
            </w:r>
            <w:r w:rsidRPr="008D3FC4">
              <w:rPr>
                <w:rFonts w:eastAsia="Arial Unicode MS"/>
                <w:color w:val="000000" w:themeColor="text1"/>
                <w:sz w:val="20"/>
                <w:szCs w:val="20"/>
                <w:shd w:val="clear" w:color="auto" w:fill="FFFFFF"/>
                <w:lang w:val="en-US"/>
              </w:rPr>
              <w:t>)</w:t>
            </w:r>
          </w:p>
          <w:p w14:paraId="74487D1B"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Metan</w:t>
            </w:r>
            <w:proofErr w:type="spellEnd"/>
            <w:r w:rsidRPr="008D3FC4">
              <w:rPr>
                <w:rFonts w:eastAsia="Arial Unicode MS"/>
                <w:color w:val="000000" w:themeColor="text1"/>
                <w:sz w:val="20"/>
                <w:szCs w:val="20"/>
                <w:shd w:val="clear" w:color="auto" w:fill="FFFFFF"/>
                <w:lang w:val="en-US"/>
              </w:rPr>
              <w:t xml:space="preserve"> (CH</w:t>
            </w:r>
            <w:r w:rsidRPr="008D3FC4">
              <w:rPr>
                <w:rStyle w:val="subscript"/>
                <w:rFonts w:eastAsia="Arial Unicode MS"/>
                <w:color w:val="000000" w:themeColor="text1"/>
                <w:sz w:val="20"/>
                <w:szCs w:val="20"/>
                <w:vertAlign w:val="subscript"/>
                <w:lang w:val="en-US"/>
              </w:rPr>
              <w:t>4</w:t>
            </w:r>
            <w:r w:rsidRPr="008D3FC4">
              <w:rPr>
                <w:rFonts w:eastAsia="Arial Unicode MS"/>
                <w:color w:val="000000" w:themeColor="text1"/>
                <w:sz w:val="20"/>
                <w:szCs w:val="20"/>
                <w:shd w:val="clear" w:color="auto" w:fill="FFFFFF"/>
                <w:lang w:val="en-US"/>
              </w:rPr>
              <w:t>)</w:t>
            </w:r>
          </w:p>
          <w:p w14:paraId="1BF47803"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 xml:space="preserve">Oxid </w:t>
            </w:r>
            <w:proofErr w:type="spellStart"/>
            <w:r w:rsidRPr="008D3FC4">
              <w:rPr>
                <w:rFonts w:eastAsia="Arial Unicode MS"/>
                <w:color w:val="000000" w:themeColor="text1"/>
                <w:sz w:val="20"/>
                <w:szCs w:val="20"/>
                <w:shd w:val="clear" w:color="auto" w:fill="FFFFFF"/>
                <w:lang w:val="en-US"/>
              </w:rPr>
              <w:t>azotos</w:t>
            </w:r>
            <w:proofErr w:type="spellEnd"/>
            <w:r w:rsidRPr="008D3FC4">
              <w:rPr>
                <w:rFonts w:eastAsia="Arial Unicode MS"/>
                <w:color w:val="000000" w:themeColor="text1"/>
                <w:sz w:val="20"/>
                <w:szCs w:val="20"/>
                <w:shd w:val="clear" w:color="auto" w:fill="FFFFFF"/>
                <w:lang w:val="en-US"/>
              </w:rPr>
              <w:t xml:space="preserve"> (N</w:t>
            </w:r>
            <w:r w:rsidRPr="008D3FC4">
              <w:rPr>
                <w:rStyle w:val="subscript"/>
                <w:rFonts w:eastAsia="Arial Unicode MS"/>
                <w:color w:val="000000" w:themeColor="text1"/>
                <w:sz w:val="20"/>
                <w:szCs w:val="20"/>
                <w:vertAlign w:val="subscript"/>
                <w:lang w:val="en-US"/>
              </w:rPr>
              <w:t>2</w:t>
            </w:r>
            <w:r w:rsidRPr="008D3FC4">
              <w:rPr>
                <w:rFonts w:eastAsia="Arial Unicode MS"/>
                <w:color w:val="000000" w:themeColor="text1"/>
                <w:sz w:val="20"/>
                <w:szCs w:val="20"/>
                <w:shd w:val="clear" w:color="auto" w:fill="FFFFFF"/>
                <w:lang w:val="en-US"/>
              </w:rPr>
              <w:t>O)</w:t>
            </w:r>
          </w:p>
          <w:p w14:paraId="0CACC0AB"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Hidrofluorocarburi</w:t>
            </w:r>
            <w:proofErr w:type="spellEnd"/>
            <w:r w:rsidRPr="008D3FC4">
              <w:rPr>
                <w:rFonts w:eastAsia="Arial Unicode MS"/>
                <w:color w:val="000000" w:themeColor="text1"/>
                <w:sz w:val="20"/>
                <w:szCs w:val="20"/>
                <w:shd w:val="clear" w:color="auto" w:fill="FFFFFF"/>
                <w:lang w:val="en-US"/>
              </w:rPr>
              <w:t xml:space="preserve"> (HFCs)</w:t>
            </w:r>
          </w:p>
          <w:p w14:paraId="5A680EBA"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Perfluorocarburi</w:t>
            </w:r>
            <w:proofErr w:type="spellEnd"/>
            <w:r w:rsidRPr="008D3FC4">
              <w:rPr>
                <w:rFonts w:eastAsia="Arial Unicode MS"/>
                <w:color w:val="000000" w:themeColor="text1"/>
                <w:sz w:val="20"/>
                <w:szCs w:val="20"/>
                <w:shd w:val="clear" w:color="auto" w:fill="FFFFFF"/>
                <w:lang w:val="en-US"/>
              </w:rPr>
              <w:t xml:space="preserve"> (PFCs)</w:t>
            </w:r>
          </w:p>
          <w:p w14:paraId="6509CEA8" w14:textId="77777777" w:rsidR="00124364" w:rsidRPr="008D3F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Hexafluorură</w:t>
            </w:r>
            <w:proofErr w:type="spellEnd"/>
            <w:r w:rsidRPr="008D3FC4">
              <w:rPr>
                <w:rFonts w:eastAsia="Arial Unicode MS"/>
                <w:color w:val="000000" w:themeColor="text1"/>
                <w:sz w:val="20"/>
                <w:szCs w:val="20"/>
                <w:shd w:val="clear" w:color="auto" w:fill="FFFFFF"/>
                <w:lang w:val="en-US"/>
              </w:rPr>
              <w:t xml:space="preserve"> de </w:t>
            </w:r>
            <w:proofErr w:type="spellStart"/>
            <w:r w:rsidRPr="008D3FC4">
              <w:rPr>
                <w:rFonts w:eastAsia="Arial Unicode MS"/>
                <w:color w:val="000000" w:themeColor="text1"/>
                <w:sz w:val="20"/>
                <w:szCs w:val="20"/>
                <w:shd w:val="clear" w:color="auto" w:fill="FFFFFF"/>
                <w:lang w:val="en-US"/>
              </w:rPr>
              <w:t>sulf</w:t>
            </w:r>
            <w:proofErr w:type="spellEnd"/>
            <w:r w:rsidRPr="008D3FC4">
              <w:rPr>
                <w:rFonts w:eastAsia="Arial Unicode MS"/>
                <w:color w:val="000000" w:themeColor="text1"/>
                <w:sz w:val="20"/>
                <w:szCs w:val="20"/>
                <w:shd w:val="clear" w:color="auto" w:fill="FFFFFF"/>
                <w:lang w:val="en-US"/>
              </w:rPr>
              <w:t xml:space="preserve"> (SF</w:t>
            </w:r>
            <w:r w:rsidRPr="008D3FC4">
              <w:rPr>
                <w:rStyle w:val="subscript"/>
                <w:rFonts w:eastAsia="Arial Unicode MS"/>
                <w:color w:val="000000" w:themeColor="text1"/>
                <w:sz w:val="20"/>
                <w:szCs w:val="20"/>
                <w:vertAlign w:val="subscript"/>
                <w:lang w:val="en-US"/>
              </w:rPr>
              <w:t>6</w:t>
            </w:r>
            <w:r w:rsidRPr="008D3FC4">
              <w:rPr>
                <w:rFonts w:eastAsia="Arial Unicode MS"/>
                <w:color w:val="000000" w:themeColor="text1"/>
                <w:sz w:val="20"/>
                <w:szCs w:val="20"/>
                <w:shd w:val="clear" w:color="auto" w:fill="FFFFFF"/>
                <w:lang w:val="en-US"/>
              </w:rPr>
              <w:t>)</w:t>
            </w:r>
          </w:p>
          <w:p w14:paraId="444A021C" w14:textId="77777777" w:rsidR="00124364" w:rsidRDefault="00000000">
            <w:pPr>
              <w:pStyle w:val="ti-art"/>
              <w:shd w:val="clear" w:color="auto" w:fill="FFFFFF"/>
              <w:spacing w:before="0" w:beforeAutospacing="0" w:after="0" w:afterAutospacing="0"/>
              <w:rPr>
                <w:color w:val="4472C4" w:themeColor="accent1"/>
                <w:sz w:val="20"/>
                <w:szCs w:val="20"/>
              </w:rPr>
            </w:pPr>
            <w:hyperlink r:id="rId375" w:tooltip="32009L0029: INSERTED" w:history="1">
              <w:r>
                <w:rPr>
                  <w:rStyle w:val="af3"/>
                  <w:rFonts w:eastAsia="Arial Unicode MS"/>
                  <w:b/>
                  <w:bCs/>
                  <w:color w:val="4472C4" w:themeColor="accent1"/>
                  <w:sz w:val="20"/>
                  <w:szCs w:val="20"/>
                </w:rPr>
                <w:t>▼M4</w:t>
              </w:r>
            </w:hyperlink>
          </w:p>
        </w:tc>
        <w:tc>
          <w:tcPr>
            <w:tcW w:w="4394" w:type="dxa"/>
            <w:shd w:val="clear" w:color="auto" w:fill="auto"/>
          </w:tcPr>
          <w:p w14:paraId="72359A21" w14:textId="14341CF6" w:rsidR="00F92414" w:rsidRPr="00F92414" w:rsidRDefault="00F92414" w:rsidP="00F92414">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F92414">
              <w:rPr>
                <w:rFonts w:ascii="Times New Roman" w:hAnsi="Times New Roman"/>
                <w:b/>
                <w:bCs/>
                <w:color w:val="000000" w:themeColor="text1"/>
                <w:sz w:val="20"/>
                <w:szCs w:val="20"/>
                <w:shd w:val="clear" w:color="auto" w:fill="FFFFFF"/>
                <w:lang w:val="ro-MD"/>
              </w:rPr>
              <w:t>Articolul 30.</w:t>
            </w:r>
            <w:r w:rsidRPr="00F92414">
              <w:rPr>
                <w:rFonts w:ascii="Times New Roman" w:hAnsi="Times New Roman"/>
                <w:color w:val="000000" w:themeColor="text1"/>
                <w:sz w:val="20"/>
                <w:szCs w:val="20"/>
                <w:shd w:val="clear" w:color="auto" w:fill="FFFFFF"/>
                <w:lang w:val="ro-MD"/>
              </w:rPr>
              <w:t>Stabilirea țintelor naționale de reducere a emisiilor de GES</w:t>
            </w:r>
          </w:p>
          <w:p w14:paraId="0D66E3BF" w14:textId="77777777" w:rsidR="00F92414" w:rsidRPr="00F92414" w:rsidRDefault="00F92414" w:rsidP="00F92414">
            <w:pPr>
              <w:pStyle w:val="af8"/>
              <w:numPr>
                <w:ilvl w:val="0"/>
                <w:numId w:val="232"/>
              </w:numPr>
              <w:suppressAutoHyphens w:val="0"/>
              <w:autoSpaceDN/>
              <w:spacing w:after="0" w:line="240" w:lineRule="auto"/>
              <w:ind w:left="0" w:firstLine="709"/>
              <w:jc w:val="both"/>
              <w:textAlignment w:val="auto"/>
              <w:rPr>
                <w:rFonts w:ascii="Times New Roman" w:hAnsi="Times New Roman"/>
                <w:color w:val="000000" w:themeColor="text1"/>
                <w:sz w:val="20"/>
                <w:szCs w:val="20"/>
                <w:shd w:val="clear" w:color="auto" w:fill="FFFFFF"/>
                <w:lang w:val="ro-MD"/>
              </w:rPr>
            </w:pPr>
            <w:r w:rsidRPr="00F92414">
              <w:rPr>
                <w:rFonts w:ascii="Times New Roman" w:hAnsi="Times New Roman"/>
                <w:color w:val="000000" w:themeColor="text1"/>
                <w:sz w:val="20"/>
                <w:szCs w:val="20"/>
                <w:lang w:val="ro-MD"/>
              </w:rPr>
              <w:t xml:space="preserve">La stabilirea țintelor naționale de reducere a emisiilor GES, care include și </w:t>
            </w:r>
            <w:r w:rsidRPr="00F92414">
              <w:rPr>
                <w:rFonts w:ascii="Times New Roman" w:hAnsi="Times New Roman"/>
                <w:color w:val="000000" w:themeColor="text1"/>
                <w:sz w:val="20"/>
                <w:szCs w:val="20"/>
                <w:shd w:val="clear" w:color="auto" w:fill="FFFFFF"/>
                <w:lang w:val="ro-MD"/>
              </w:rPr>
              <w:t>sechestrarea acestora de către sursele naturale sunt luate în considerare următoarele:</w:t>
            </w:r>
          </w:p>
          <w:p w14:paraId="3F3BBE53" w14:textId="77777777" w:rsidR="00F92414" w:rsidRPr="00F92414" w:rsidRDefault="00F92414" w:rsidP="00F92414">
            <w:pPr>
              <w:pStyle w:val="af8"/>
              <w:numPr>
                <w:ilvl w:val="0"/>
                <w:numId w:val="233"/>
              </w:numPr>
              <w:suppressAutoHyphens w:val="0"/>
              <w:autoSpaceDN/>
              <w:spacing w:after="0" w:line="240" w:lineRule="auto"/>
              <w:ind w:left="0" w:firstLine="709"/>
              <w:jc w:val="both"/>
              <w:textAlignment w:val="auto"/>
              <w:rPr>
                <w:rFonts w:ascii="Times New Roman" w:hAnsi="Times New Roman"/>
                <w:color w:val="000000" w:themeColor="text1"/>
                <w:sz w:val="20"/>
                <w:szCs w:val="20"/>
                <w:lang w:val="ro-MD"/>
              </w:rPr>
            </w:pPr>
            <w:r w:rsidRPr="00F92414">
              <w:rPr>
                <w:rFonts w:ascii="Times New Roman" w:hAnsi="Times New Roman"/>
                <w:color w:val="000000" w:themeColor="text1"/>
                <w:sz w:val="20"/>
                <w:szCs w:val="20"/>
                <w:lang w:val="ro-MD"/>
              </w:rPr>
              <w:t>reducerea netă a emisiilor de GES la nivelul întregii economii, comparativ cu nivelul emisiilor din anul de referință 1990;</w:t>
            </w:r>
          </w:p>
          <w:p w14:paraId="720148DF" w14:textId="77777777" w:rsidR="00F92414" w:rsidRPr="00F92414" w:rsidRDefault="00F92414" w:rsidP="00F92414">
            <w:pPr>
              <w:pStyle w:val="af8"/>
              <w:numPr>
                <w:ilvl w:val="0"/>
                <w:numId w:val="233"/>
              </w:numPr>
              <w:suppressAutoHyphens w:val="0"/>
              <w:autoSpaceDN/>
              <w:spacing w:after="0" w:line="240" w:lineRule="auto"/>
              <w:ind w:left="0" w:firstLine="709"/>
              <w:jc w:val="both"/>
              <w:textAlignment w:val="auto"/>
              <w:rPr>
                <w:rFonts w:ascii="Times New Roman" w:hAnsi="Times New Roman"/>
                <w:color w:val="000000" w:themeColor="text1"/>
                <w:sz w:val="20"/>
                <w:szCs w:val="20"/>
                <w:lang w:val="ro-MD"/>
              </w:rPr>
            </w:pPr>
            <w:r w:rsidRPr="00F92414">
              <w:rPr>
                <w:rFonts w:ascii="Times New Roman" w:hAnsi="Times New Roman"/>
                <w:color w:val="000000" w:themeColor="text1"/>
                <w:sz w:val="20"/>
                <w:szCs w:val="20"/>
                <w:lang w:val="ro-MD"/>
              </w:rPr>
              <w:t xml:space="preserve">acoperirea geografică a reducerii emisiilor de GES se aplică pe întreg teritoriul Republicii Moldova; </w:t>
            </w:r>
          </w:p>
          <w:p w14:paraId="3655813B" w14:textId="77777777" w:rsidR="00F92414" w:rsidRPr="00F92414" w:rsidRDefault="00F92414" w:rsidP="00F92414">
            <w:pPr>
              <w:pStyle w:val="af8"/>
              <w:numPr>
                <w:ilvl w:val="0"/>
                <w:numId w:val="233"/>
              </w:numPr>
              <w:suppressAutoHyphens w:val="0"/>
              <w:autoSpaceDN/>
              <w:spacing w:after="0" w:line="240" w:lineRule="auto"/>
              <w:ind w:left="0" w:firstLine="709"/>
              <w:jc w:val="both"/>
              <w:textAlignment w:val="auto"/>
              <w:rPr>
                <w:rFonts w:ascii="Times New Roman" w:hAnsi="Times New Roman"/>
                <w:color w:val="000000" w:themeColor="text1"/>
                <w:sz w:val="20"/>
                <w:szCs w:val="20"/>
                <w:lang w:val="ro-MD"/>
              </w:rPr>
            </w:pPr>
            <w:r w:rsidRPr="00F92414">
              <w:rPr>
                <w:rFonts w:ascii="Times New Roman" w:hAnsi="Times New Roman"/>
                <w:color w:val="000000" w:themeColor="text1"/>
                <w:sz w:val="20"/>
                <w:szCs w:val="20"/>
                <w:lang w:val="ro-MD"/>
              </w:rPr>
              <w:t>acoperirea</w:t>
            </w:r>
            <w:r w:rsidRPr="00F92414">
              <w:rPr>
                <w:rFonts w:ascii="Times New Roman" w:eastAsia="Times New Roman" w:hAnsi="Times New Roman"/>
                <w:color w:val="000000" w:themeColor="text1"/>
                <w:sz w:val="20"/>
                <w:szCs w:val="20"/>
                <w:lang w:val="ro-MD" w:eastAsia="ro-RO" w:bidi="or-IN"/>
              </w:rPr>
              <w:t xml:space="preserve"> emisiile de dioxid de carbon (CO</w:t>
            </w:r>
            <w:r w:rsidRPr="00F92414">
              <w:rPr>
                <w:rFonts w:ascii="Times New Roman" w:eastAsia="Times New Roman" w:hAnsi="Times New Roman"/>
                <w:color w:val="000000" w:themeColor="text1"/>
                <w:sz w:val="20"/>
                <w:szCs w:val="20"/>
                <w:vertAlign w:val="subscript"/>
                <w:lang w:val="ro-MD" w:eastAsia="ro-RO" w:bidi="or-IN"/>
              </w:rPr>
              <w:t>2</w:t>
            </w:r>
            <w:r w:rsidRPr="00F92414">
              <w:rPr>
                <w:rFonts w:ascii="Times New Roman" w:eastAsia="Times New Roman" w:hAnsi="Times New Roman"/>
                <w:color w:val="000000" w:themeColor="text1"/>
                <w:sz w:val="20"/>
                <w:szCs w:val="20"/>
                <w:lang w:val="ro-MD" w:eastAsia="ro-RO" w:bidi="or-IN"/>
              </w:rPr>
              <w:t>), metan (CH</w:t>
            </w:r>
            <w:r w:rsidRPr="00F92414">
              <w:rPr>
                <w:rFonts w:ascii="Times New Roman" w:eastAsia="Times New Roman" w:hAnsi="Times New Roman"/>
                <w:color w:val="000000" w:themeColor="text1"/>
                <w:sz w:val="20"/>
                <w:szCs w:val="20"/>
                <w:vertAlign w:val="subscript"/>
                <w:lang w:val="ro-MD" w:eastAsia="ro-RO" w:bidi="or-IN"/>
              </w:rPr>
              <w:t>4</w:t>
            </w:r>
            <w:r w:rsidRPr="00F92414">
              <w:rPr>
                <w:rFonts w:ascii="Times New Roman" w:eastAsia="Times New Roman" w:hAnsi="Times New Roman"/>
                <w:color w:val="000000" w:themeColor="text1"/>
                <w:sz w:val="20"/>
                <w:szCs w:val="20"/>
                <w:lang w:val="ro-MD" w:eastAsia="ro-RO" w:bidi="or-IN"/>
              </w:rPr>
              <w:t>), protoxid de azot (N</w:t>
            </w:r>
            <w:r w:rsidRPr="00F92414">
              <w:rPr>
                <w:rFonts w:ascii="Times New Roman" w:eastAsia="Times New Roman" w:hAnsi="Times New Roman"/>
                <w:color w:val="000000" w:themeColor="text1"/>
                <w:sz w:val="20"/>
                <w:szCs w:val="20"/>
                <w:vertAlign w:val="subscript"/>
                <w:lang w:val="ro-MD" w:eastAsia="ro-RO" w:bidi="or-IN"/>
              </w:rPr>
              <w:t>2</w:t>
            </w:r>
            <w:r w:rsidRPr="00F92414">
              <w:rPr>
                <w:rFonts w:ascii="Times New Roman" w:eastAsia="Times New Roman" w:hAnsi="Times New Roman"/>
                <w:color w:val="000000" w:themeColor="text1"/>
                <w:sz w:val="20"/>
                <w:szCs w:val="20"/>
                <w:lang w:val="ro-MD" w:eastAsia="ro-RO" w:bidi="or-IN"/>
              </w:rPr>
              <w:t>O), hidrofluorocarburi (HFC), perfluoricarburi (PFC), hexafluorură de sulf (SF</w:t>
            </w:r>
            <w:r w:rsidRPr="00F92414">
              <w:rPr>
                <w:rFonts w:ascii="Times New Roman" w:eastAsia="Times New Roman" w:hAnsi="Times New Roman"/>
                <w:color w:val="000000" w:themeColor="text1"/>
                <w:sz w:val="20"/>
                <w:szCs w:val="20"/>
                <w:vertAlign w:val="subscript"/>
                <w:lang w:val="ro-MD" w:eastAsia="ro-RO" w:bidi="or-IN"/>
              </w:rPr>
              <w:t>6</w:t>
            </w:r>
            <w:r w:rsidRPr="00F92414">
              <w:rPr>
                <w:rFonts w:ascii="Times New Roman" w:eastAsia="Times New Roman" w:hAnsi="Times New Roman"/>
                <w:color w:val="000000" w:themeColor="text1"/>
                <w:sz w:val="20"/>
                <w:szCs w:val="20"/>
                <w:lang w:val="ro-MD" w:eastAsia="ro-RO" w:bidi="or-IN"/>
              </w:rPr>
              <w:t>) și trifluorură de azot (NF</w:t>
            </w:r>
            <w:r w:rsidRPr="00F92414">
              <w:rPr>
                <w:rFonts w:ascii="Times New Roman" w:eastAsia="Times New Roman" w:hAnsi="Times New Roman"/>
                <w:color w:val="000000" w:themeColor="text1"/>
                <w:sz w:val="20"/>
                <w:szCs w:val="20"/>
                <w:vertAlign w:val="subscript"/>
                <w:lang w:val="ro-MD" w:eastAsia="ro-RO" w:bidi="or-IN"/>
              </w:rPr>
              <w:t>3</w:t>
            </w:r>
            <w:r w:rsidRPr="00F92414">
              <w:rPr>
                <w:rFonts w:ascii="Times New Roman" w:eastAsia="Times New Roman" w:hAnsi="Times New Roman"/>
                <w:color w:val="000000" w:themeColor="text1"/>
                <w:sz w:val="20"/>
                <w:szCs w:val="20"/>
                <w:lang w:val="ro-MD" w:eastAsia="ro-RO" w:bidi="or-IN"/>
              </w:rPr>
              <w:t>)</w:t>
            </w:r>
          </w:p>
          <w:p w14:paraId="094B95C5" w14:textId="77777777" w:rsidR="00F92414" w:rsidRPr="00F92414" w:rsidRDefault="00F92414" w:rsidP="00F92414">
            <w:pPr>
              <w:pStyle w:val="af8"/>
              <w:numPr>
                <w:ilvl w:val="0"/>
                <w:numId w:val="233"/>
              </w:numPr>
              <w:suppressAutoHyphens w:val="0"/>
              <w:autoSpaceDN/>
              <w:spacing w:after="0" w:line="240" w:lineRule="auto"/>
              <w:ind w:left="0" w:firstLine="709"/>
              <w:jc w:val="both"/>
              <w:textAlignment w:val="auto"/>
              <w:rPr>
                <w:rFonts w:ascii="Times New Roman" w:hAnsi="Times New Roman"/>
                <w:color w:val="000000" w:themeColor="text1"/>
                <w:sz w:val="20"/>
                <w:szCs w:val="20"/>
                <w:lang w:val="ro-MD"/>
              </w:rPr>
            </w:pPr>
            <w:r w:rsidRPr="00F92414">
              <w:rPr>
                <w:rFonts w:ascii="Times New Roman" w:hAnsi="Times New Roman"/>
                <w:color w:val="000000" w:themeColor="text1"/>
                <w:sz w:val="20"/>
                <w:szCs w:val="20"/>
                <w:lang w:val="ro-MD"/>
              </w:rPr>
              <w:t>reducerea emisiilor de GES care nu sunt controlate de Protocolul de la Montreal: emisiile de dioxid de carbon (CO2), metan (CH4), protoxid de azot (N2O), hidrofluorocarburi (HFC), perfluoricarburi (PFC), hexafluorură de sulf (SF6) și trifluorură de azot (NF3);</w:t>
            </w:r>
          </w:p>
          <w:p w14:paraId="663FC868" w14:textId="77777777" w:rsidR="00124364" w:rsidRPr="00F92414" w:rsidRDefault="00124364">
            <w:pPr>
              <w:pStyle w:val="af8"/>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37F82EA0" w14:textId="77777777" w:rsidR="00124364"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 xml:space="preserve">Compatibil </w:t>
            </w:r>
          </w:p>
          <w:p w14:paraId="472178BB"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A21782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10B17F5"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1A2D6CA"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518FAD85" w14:textId="77777777" w:rsidR="00124364" w:rsidRDefault="00124364">
            <w:pPr>
              <w:autoSpaceDE w:val="0"/>
              <w:spacing w:after="0" w:line="240" w:lineRule="auto"/>
              <w:rPr>
                <w:rFonts w:ascii="Times New Roman" w:hAnsi="Times New Roman"/>
                <w:sz w:val="20"/>
                <w:szCs w:val="20"/>
                <w:lang w:val="fr-FR"/>
              </w:rPr>
            </w:pPr>
          </w:p>
          <w:p w14:paraId="1000971E" w14:textId="77777777" w:rsidR="00F92414" w:rsidRDefault="00F92414" w:rsidP="00F92414">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color w:val="000000" w:themeColor="text1"/>
                <w:sz w:val="20"/>
                <w:szCs w:val="20"/>
              </w:rPr>
              <w:t>Agenția</w:t>
            </w:r>
            <w:proofErr w:type="spellEnd"/>
            <w:r>
              <w:rPr>
                <w:rFonts w:ascii="Times New Roman" w:hAnsi="Times New Roman"/>
                <w:color w:val="000000" w:themeColor="text1"/>
                <w:sz w:val="20"/>
                <w:szCs w:val="20"/>
              </w:rPr>
              <w:t xml:space="preserve"> de </w:t>
            </w:r>
            <w:proofErr w:type="spellStart"/>
            <w:r>
              <w:rPr>
                <w:rFonts w:ascii="Times New Roman" w:hAnsi="Times New Roman"/>
                <w:color w:val="000000" w:themeColor="text1"/>
                <w:sz w:val="20"/>
                <w:szCs w:val="20"/>
              </w:rPr>
              <w:t>Mediu</w:t>
            </w:r>
            <w:proofErr w:type="spellEnd"/>
          </w:p>
          <w:p w14:paraId="1F16D37C" w14:textId="77777777" w:rsidR="00F92414" w:rsidRDefault="00F92414">
            <w:pPr>
              <w:autoSpaceDE w:val="0"/>
              <w:spacing w:after="0" w:line="240" w:lineRule="auto"/>
              <w:rPr>
                <w:rFonts w:ascii="Times New Roman" w:hAnsi="Times New Roman"/>
                <w:sz w:val="20"/>
                <w:szCs w:val="20"/>
                <w:lang w:val="fr-FR"/>
              </w:rPr>
            </w:pPr>
          </w:p>
        </w:tc>
      </w:tr>
      <w:tr w:rsidR="00124364" w14:paraId="4675752F" w14:textId="77777777">
        <w:trPr>
          <w:trHeight w:val="558"/>
        </w:trPr>
        <w:tc>
          <w:tcPr>
            <w:tcW w:w="4957" w:type="dxa"/>
            <w:shd w:val="clear" w:color="auto" w:fill="auto"/>
          </w:tcPr>
          <w:p w14:paraId="4AE08DD7" w14:textId="77777777" w:rsidR="00124364" w:rsidRPr="008D3FC4" w:rsidRDefault="00000000" w:rsidP="008D3FC4">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8D3FC4">
              <w:rPr>
                <w:rFonts w:eastAsia="Arial Unicode MS"/>
                <w:i/>
                <w:iCs/>
                <w:color w:val="000000" w:themeColor="text1"/>
                <w:sz w:val="20"/>
                <w:szCs w:val="20"/>
                <w:shd w:val="clear" w:color="auto" w:fill="FFFFFF"/>
                <w:lang w:val="en-US"/>
              </w:rPr>
              <w:t xml:space="preserve">ANEXA </w:t>
            </w:r>
            <w:proofErr w:type="spellStart"/>
            <w:r w:rsidRPr="008D3FC4">
              <w:rPr>
                <w:rFonts w:eastAsia="Arial Unicode MS"/>
                <w:i/>
                <w:iCs/>
                <w:color w:val="000000" w:themeColor="text1"/>
                <w:sz w:val="20"/>
                <w:szCs w:val="20"/>
                <w:shd w:val="clear" w:color="auto" w:fill="FFFFFF"/>
                <w:lang w:val="en-US"/>
              </w:rPr>
              <w:t>IIa</w:t>
            </w:r>
            <w:proofErr w:type="spellEnd"/>
          </w:p>
          <w:p w14:paraId="23AE5B5B" w14:textId="77777777" w:rsidR="00124364" w:rsidRPr="008D3FC4" w:rsidRDefault="00000000" w:rsidP="008D3FC4">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8D3FC4">
              <w:rPr>
                <w:rFonts w:eastAsia="Arial Unicode MS"/>
                <w:b/>
                <w:bCs/>
                <w:color w:val="000000" w:themeColor="text1"/>
                <w:sz w:val="20"/>
                <w:szCs w:val="20"/>
                <w:shd w:val="clear" w:color="auto" w:fill="FFFFFF"/>
                <w:lang w:val="en-US"/>
              </w:rPr>
              <w:t>Creșteri</w:t>
            </w:r>
            <w:proofErr w:type="spellEnd"/>
            <w:r w:rsidRPr="008D3FC4">
              <w:rPr>
                <w:rFonts w:eastAsia="Arial Unicode MS"/>
                <w:b/>
                <w:bCs/>
                <w:color w:val="000000" w:themeColor="text1"/>
                <w:sz w:val="20"/>
                <w:szCs w:val="20"/>
                <w:shd w:val="clear" w:color="auto" w:fill="FFFFFF"/>
                <w:lang w:val="en-US"/>
              </w:rPr>
              <w:t xml:space="preserve"> ale </w:t>
            </w:r>
            <w:proofErr w:type="spellStart"/>
            <w:r w:rsidRPr="008D3FC4">
              <w:rPr>
                <w:rFonts w:eastAsia="Arial Unicode MS"/>
                <w:b/>
                <w:bCs/>
                <w:color w:val="000000" w:themeColor="text1"/>
                <w:sz w:val="20"/>
                <w:szCs w:val="20"/>
                <w:shd w:val="clear" w:color="auto" w:fill="FFFFFF"/>
                <w:lang w:val="en-US"/>
              </w:rPr>
              <w:t>procentului</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cotelor</w:t>
            </w:r>
            <w:proofErr w:type="spellEnd"/>
            <w:r w:rsidRPr="008D3FC4">
              <w:rPr>
                <w:rFonts w:eastAsia="Arial Unicode MS"/>
                <w:b/>
                <w:bCs/>
                <w:color w:val="000000" w:themeColor="text1"/>
                <w:sz w:val="20"/>
                <w:szCs w:val="20"/>
                <w:shd w:val="clear" w:color="auto" w:fill="FFFFFF"/>
                <w:lang w:val="en-US"/>
              </w:rPr>
              <w:t xml:space="preserve"> care pot fi </w:t>
            </w:r>
            <w:proofErr w:type="spellStart"/>
            <w:r w:rsidRPr="008D3FC4">
              <w:rPr>
                <w:rFonts w:eastAsia="Arial Unicode MS"/>
                <w:b/>
                <w:bCs/>
                <w:color w:val="000000" w:themeColor="text1"/>
                <w:sz w:val="20"/>
                <w:szCs w:val="20"/>
                <w:shd w:val="clear" w:color="auto" w:fill="FFFFFF"/>
                <w:lang w:val="en-US"/>
              </w:rPr>
              <w:t>licitate</w:t>
            </w:r>
            <w:proofErr w:type="spellEnd"/>
            <w:r w:rsidRPr="008D3FC4">
              <w:rPr>
                <w:rFonts w:eastAsia="Arial Unicode MS"/>
                <w:b/>
                <w:bCs/>
                <w:color w:val="000000" w:themeColor="text1"/>
                <w:sz w:val="20"/>
                <w:szCs w:val="20"/>
                <w:shd w:val="clear" w:color="auto" w:fill="FFFFFF"/>
                <w:lang w:val="en-US"/>
              </w:rPr>
              <w:t xml:space="preserve"> de </w:t>
            </w:r>
            <w:proofErr w:type="spellStart"/>
            <w:r w:rsidRPr="008D3FC4">
              <w:rPr>
                <w:rFonts w:eastAsia="Arial Unicode MS"/>
                <w:b/>
                <w:bCs/>
                <w:color w:val="000000" w:themeColor="text1"/>
                <w:sz w:val="20"/>
                <w:szCs w:val="20"/>
                <w:shd w:val="clear" w:color="auto" w:fill="FFFFFF"/>
                <w:lang w:val="en-US"/>
              </w:rPr>
              <w:t>statele</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membre</w:t>
            </w:r>
            <w:proofErr w:type="spellEnd"/>
            <w:r w:rsidRPr="008D3FC4">
              <w:rPr>
                <w:rFonts w:eastAsia="Arial Unicode MS"/>
                <w:b/>
                <w:bCs/>
                <w:color w:val="000000" w:themeColor="text1"/>
                <w:sz w:val="20"/>
                <w:szCs w:val="20"/>
                <w:shd w:val="clear" w:color="auto" w:fill="FFFFFF"/>
                <w:lang w:val="en-US"/>
              </w:rPr>
              <w:t xml:space="preserve"> în </w:t>
            </w:r>
            <w:proofErr w:type="spellStart"/>
            <w:r w:rsidRPr="008D3FC4">
              <w:rPr>
                <w:rFonts w:eastAsia="Arial Unicode MS"/>
                <w:b/>
                <w:bCs/>
                <w:color w:val="000000" w:themeColor="text1"/>
                <w:sz w:val="20"/>
                <w:szCs w:val="20"/>
                <w:shd w:val="clear" w:color="auto" w:fill="FFFFFF"/>
                <w:lang w:val="en-US"/>
              </w:rPr>
              <w:t>temeiul</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articolului</w:t>
            </w:r>
            <w:proofErr w:type="spellEnd"/>
            <w:r w:rsidRPr="008D3FC4">
              <w:rPr>
                <w:rFonts w:eastAsia="Arial Unicode MS"/>
                <w:b/>
                <w:bCs/>
                <w:color w:val="000000" w:themeColor="text1"/>
                <w:sz w:val="20"/>
                <w:szCs w:val="20"/>
                <w:shd w:val="clear" w:color="auto" w:fill="FFFFFF"/>
                <w:lang w:val="en-US"/>
              </w:rPr>
              <w:t xml:space="preserve"> 10 </w:t>
            </w:r>
            <w:proofErr w:type="spellStart"/>
            <w:r w:rsidRPr="008D3FC4">
              <w:rPr>
                <w:rFonts w:eastAsia="Arial Unicode MS"/>
                <w:b/>
                <w:bCs/>
                <w:color w:val="000000" w:themeColor="text1"/>
                <w:sz w:val="20"/>
                <w:szCs w:val="20"/>
                <w:shd w:val="clear" w:color="auto" w:fill="FFFFFF"/>
                <w:lang w:val="en-US"/>
              </w:rPr>
              <w:t>alineatul</w:t>
            </w:r>
            <w:proofErr w:type="spellEnd"/>
            <w:r w:rsidRPr="008D3FC4">
              <w:rPr>
                <w:rFonts w:eastAsia="Arial Unicode MS"/>
                <w:b/>
                <w:bCs/>
                <w:color w:val="000000" w:themeColor="text1"/>
                <w:sz w:val="20"/>
                <w:szCs w:val="20"/>
                <w:shd w:val="clear" w:color="auto" w:fill="FFFFFF"/>
                <w:lang w:val="en-US"/>
              </w:rPr>
              <w:t xml:space="preserve"> (2) </w:t>
            </w:r>
            <w:proofErr w:type="spellStart"/>
            <w:r w:rsidRPr="008D3FC4">
              <w:rPr>
                <w:rFonts w:eastAsia="Arial Unicode MS"/>
                <w:b/>
                <w:bCs/>
                <w:color w:val="000000" w:themeColor="text1"/>
                <w:sz w:val="20"/>
                <w:szCs w:val="20"/>
                <w:shd w:val="clear" w:color="auto" w:fill="FFFFFF"/>
                <w:lang w:val="en-US"/>
              </w:rPr>
              <w:t>litera</w:t>
            </w:r>
            <w:proofErr w:type="spellEnd"/>
            <w:r w:rsidRPr="008D3FC4">
              <w:rPr>
                <w:rFonts w:eastAsia="Arial Unicode MS"/>
                <w:b/>
                <w:bCs/>
                <w:color w:val="000000" w:themeColor="text1"/>
                <w:sz w:val="20"/>
                <w:szCs w:val="20"/>
                <w:shd w:val="clear" w:color="auto" w:fill="FFFFFF"/>
                <w:lang w:val="en-US"/>
              </w:rPr>
              <w:t xml:space="preserve"> (a), </w:t>
            </w:r>
            <w:proofErr w:type="spellStart"/>
            <w:r w:rsidRPr="008D3FC4">
              <w:rPr>
                <w:rFonts w:eastAsia="Arial Unicode MS"/>
                <w:b/>
                <w:bCs/>
                <w:color w:val="000000" w:themeColor="text1"/>
                <w:sz w:val="20"/>
                <w:szCs w:val="20"/>
                <w:shd w:val="clear" w:color="auto" w:fill="FFFFFF"/>
                <w:lang w:val="en-US"/>
              </w:rPr>
              <w:t>pentru</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asigurarea</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solidarității</w:t>
            </w:r>
            <w:proofErr w:type="spellEnd"/>
            <w:r w:rsidRPr="008D3FC4">
              <w:rPr>
                <w:rFonts w:eastAsia="Arial Unicode MS"/>
                <w:b/>
                <w:bCs/>
                <w:color w:val="000000" w:themeColor="text1"/>
                <w:sz w:val="20"/>
                <w:szCs w:val="20"/>
                <w:shd w:val="clear" w:color="auto" w:fill="FFFFFF"/>
                <w:lang w:val="en-US"/>
              </w:rPr>
              <w:t xml:space="preserve"> și </w:t>
            </w:r>
            <w:proofErr w:type="spellStart"/>
            <w:r w:rsidRPr="008D3FC4">
              <w:rPr>
                <w:rFonts w:eastAsia="Arial Unicode MS"/>
                <w:b/>
                <w:bCs/>
                <w:color w:val="000000" w:themeColor="text1"/>
                <w:sz w:val="20"/>
                <w:szCs w:val="20"/>
                <w:shd w:val="clear" w:color="auto" w:fill="FFFFFF"/>
                <w:lang w:val="en-US"/>
              </w:rPr>
              <w:t>dezvoltării</w:t>
            </w:r>
            <w:proofErr w:type="spellEnd"/>
            <w:r w:rsidRPr="008D3FC4">
              <w:rPr>
                <w:rFonts w:eastAsia="Arial Unicode MS"/>
                <w:b/>
                <w:bCs/>
                <w:color w:val="000000" w:themeColor="text1"/>
                <w:sz w:val="20"/>
                <w:szCs w:val="20"/>
                <w:shd w:val="clear" w:color="auto" w:fill="FFFFFF"/>
                <w:lang w:val="en-US"/>
              </w:rPr>
              <w:t xml:space="preserve"> în </w:t>
            </w:r>
            <w:proofErr w:type="spellStart"/>
            <w:r w:rsidRPr="008D3FC4">
              <w:rPr>
                <w:rFonts w:eastAsia="Arial Unicode MS"/>
                <w:b/>
                <w:bCs/>
                <w:color w:val="000000" w:themeColor="text1"/>
                <w:sz w:val="20"/>
                <w:szCs w:val="20"/>
                <w:shd w:val="clear" w:color="auto" w:fill="FFFFFF"/>
                <w:lang w:val="en-US"/>
              </w:rPr>
              <w:t>cadrul</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comunității</w:t>
            </w:r>
            <w:proofErr w:type="spellEnd"/>
            <w:r w:rsidRPr="008D3FC4">
              <w:rPr>
                <w:rFonts w:eastAsia="Arial Unicode MS"/>
                <w:b/>
                <w:bCs/>
                <w:color w:val="000000" w:themeColor="text1"/>
                <w:sz w:val="20"/>
                <w:szCs w:val="20"/>
                <w:shd w:val="clear" w:color="auto" w:fill="FFFFFF"/>
                <w:lang w:val="en-US"/>
              </w:rPr>
              <w:t xml:space="preserve"> și în </w:t>
            </w:r>
            <w:proofErr w:type="spellStart"/>
            <w:r w:rsidRPr="008D3FC4">
              <w:rPr>
                <w:rFonts w:eastAsia="Arial Unicode MS"/>
                <w:b/>
                <w:bCs/>
                <w:color w:val="000000" w:themeColor="text1"/>
                <w:sz w:val="20"/>
                <w:szCs w:val="20"/>
                <w:shd w:val="clear" w:color="auto" w:fill="FFFFFF"/>
                <w:lang w:val="en-US"/>
              </w:rPr>
              <w:t>vederea</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reducerii</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emisiilor</w:t>
            </w:r>
            <w:proofErr w:type="spellEnd"/>
            <w:r w:rsidRPr="008D3FC4">
              <w:rPr>
                <w:rFonts w:eastAsia="Arial Unicode MS"/>
                <w:b/>
                <w:bCs/>
                <w:color w:val="000000" w:themeColor="text1"/>
                <w:sz w:val="20"/>
                <w:szCs w:val="20"/>
                <w:shd w:val="clear" w:color="auto" w:fill="FFFFFF"/>
                <w:lang w:val="en-US"/>
              </w:rPr>
              <w:t xml:space="preserve"> și </w:t>
            </w:r>
            <w:proofErr w:type="spellStart"/>
            <w:r w:rsidRPr="008D3FC4">
              <w:rPr>
                <w:rFonts w:eastAsia="Arial Unicode MS"/>
                <w:b/>
                <w:bCs/>
                <w:color w:val="000000" w:themeColor="text1"/>
                <w:sz w:val="20"/>
                <w:szCs w:val="20"/>
                <w:shd w:val="clear" w:color="auto" w:fill="FFFFFF"/>
                <w:lang w:val="en-US"/>
              </w:rPr>
              <w:t>adaptării</w:t>
            </w:r>
            <w:proofErr w:type="spellEnd"/>
            <w:r w:rsidRPr="008D3FC4">
              <w:rPr>
                <w:rFonts w:eastAsia="Arial Unicode MS"/>
                <w:b/>
                <w:bCs/>
                <w:color w:val="000000" w:themeColor="text1"/>
                <w:sz w:val="20"/>
                <w:szCs w:val="20"/>
                <w:shd w:val="clear" w:color="auto" w:fill="FFFFFF"/>
                <w:lang w:val="en-US"/>
              </w:rPr>
              <w:t xml:space="preserve"> la efectele </w:t>
            </w:r>
            <w:proofErr w:type="spellStart"/>
            <w:r w:rsidRPr="008D3FC4">
              <w:rPr>
                <w:rFonts w:eastAsia="Arial Unicode MS"/>
                <w:b/>
                <w:bCs/>
                <w:color w:val="000000" w:themeColor="text1"/>
                <w:sz w:val="20"/>
                <w:szCs w:val="20"/>
                <w:shd w:val="clear" w:color="auto" w:fill="FFFFFF"/>
                <w:lang w:val="en-US"/>
              </w:rPr>
              <w:t>schimbărilor</w:t>
            </w:r>
            <w:proofErr w:type="spellEnd"/>
            <w:r w:rsidRPr="008D3FC4">
              <w:rPr>
                <w:rFonts w:eastAsia="Arial Unicode MS"/>
                <w:b/>
                <w:bCs/>
                <w:color w:val="000000" w:themeColor="text1"/>
                <w:sz w:val="20"/>
                <w:szCs w:val="20"/>
                <w:shd w:val="clear" w:color="auto" w:fill="FFFFFF"/>
                <w:lang w:val="en-US"/>
              </w:rPr>
              <w:t xml:space="preserve"> climatice</w:t>
            </w:r>
          </w:p>
          <w:tbl>
            <w:tblPr>
              <w:tblStyle w:val="af7"/>
              <w:tblW w:w="0" w:type="auto"/>
              <w:tblLayout w:type="fixed"/>
              <w:tblLook w:val="04A0" w:firstRow="1" w:lastRow="0" w:firstColumn="1" w:lastColumn="0" w:noHBand="0" w:noVBand="1"/>
            </w:tblPr>
            <w:tblGrid>
              <w:gridCol w:w="1577"/>
              <w:gridCol w:w="3154"/>
            </w:tblGrid>
            <w:tr w:rsidR="008D3FC4" w:rsidRPr="008D3FC4" w14:paraId="22E05EBC" w14:textId="77777777">
              <w:tc>
                <w:tcPr>
                  <w:tcW w:w="1577" w:type="dxa"/>
                </w:tcPr>
                <w:p w14:paraId="72F37B43" w14:textId="77777777" w:rsidR="00124364" w:rsidRPr="008D3FC4" w:rsidRDefault="00124364"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
              </w:tc>
              <w:tc>
                <w:tcPr>
                  <w:tcW w:w="3154" w:type="dxa"/>
                </w:tcPr>
                <w:p w14:paraId="01CCA4F1"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b/>
                      <w:bCs/>
                      <w:color w:val="000000" w:themeColor="text1"/>
                      <w:sz w:val="20"/>
                      <w:szCs w:val="20"/>
                      <w:shd w:val="clear" w:color="auto" w:fill="FFFFFF"/>
                      <w:lang w:val="en-US"/>
                    </w:rPr>
                    <w:t>Procentul</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statului</w:t>
                  </w:r>
                  <w:proofErr w:type="spellEnd"/>
                  <w:r w:rsidRPr="008D3FC4">
                    <w:rPr>
                      <w:rFonts w:eastAsia="Arial Unicode MS"/>
                      <w:b/>
                      <w:bCs/>
                      <w:color w:val="000000" w:themeColor="text1"/>
                      <w:sz w:val="20"/>
                      <w:szCs w:val="20"/>
                      <w:shd w:val="clear" w:color="auto" w:fill="FFFFFF"/>
                      <w:lang w:val="en-US"/>
                    </w:rPr>
                    <w:t xml:space="preserve"> </w:t>
                  </w:r>
                  <w:proofErr w:type="spellStart"/>
                  <w:r w:rsidRPr="008D3FC4">
                    <w:rPr>
                      <w:rFonts w:eastAsia="Arial Unicode MS"/>
                      <w:b/>
                      <w:bCs/>
                      <w:color w:val="000000" w:themeColor="text1"/>
                      <w:sz w:val="20"/>
                      <w:szCs w:val="20"/>
                      <w:shd w:val="clear" w:color="auto" w:fill="FFFFFF"/>
                      <w:lang w:val="en-US"/>
                    </w:rPr>
                    <w:t>membru</w:t>
                  </w:r>
                  <w:proofErr w:type="spellEnd"/>
                </w:p>
              </w:tc>
            </w:tr>
            <w:tr w:rsidR="008D3FC4" w:rsidRPr="008D3FC4" w14:paraId="36B8628F" w14:textId="77777777">
              <w:tc>
                <w:tcPr>
                  <w:tcW w:w="4731" w:type="dxa"/>
                  <w:gridSpan w:val="2"/>
                </w:tcPr>
                <w:p w14:paraId="149F1A15" w14:textId="7BD10261"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76" w:tooltip="32018L0410: DELETED" w:history="1">
                    <w:r w:rsidRPr="008D3FC4">
                      <w:rPr>
                        <w:rStyle w:val="af3"/>
                        <w:rFonts w:eastAsia="Arial Unicode MS"/>
                        <w:b/>
                        <w:bCs/>
                        <w:color w:val="000000" w:themeColor="text1"/>
                        <w:sz w:val="20"/>
                        <w:szCs w:val="20"/>
                        <w:lang w:val="en-US"/>
                      </w:rPr>
                      <w:t>▼M9</w:t>
                    </w:r>
                  </w:hyperlink>
                  <w:r w:rsidR="008D3FC4" w:rsidRPr="008D3FC4">
                    <w:rPr>
                      <w:rFonts w:ascii="Arial Unicode MS" w:eastAsia="Arial Unicode MS" w:hAnsi="Arial Unicode MS" w:cs="Arial Unicode MS"/>
                      <w:b/>
                      <w:bCs/>
                      <w:color w:val="000000" w:themeColor="text1"/>
                      <w:sz w:val="21"/>
                      <w:szCs w:val="21"/>
                      <w:shd w:val="clear" w:color="auto" w:fill="FFFFFF"/>
                      <w:lang w:val="en-US"/>
                    </w:rPr>
                    <w:t xml:space="preserve"> </w:t>
                  </w:r>
                  <w:r w:rsidRPr="008D3FC4">
                    <w:rPr>
                      <w:rFonts w:ascii="Arial Unicode MS" w:eastAsia="Arial Unicode MS" w:hAnsi="Arial Unicode MS" w:cs="Arial Unicode MS" w:hint="eastAsia"/>
                      <w:b/>
                      <w:bCs/>
                      <w:color w:val="000000" w:themeColor="text1"/>
                      <w:sz w:val="21"/>
                      <w:szCs w:val="21"/>
                      <w:shd w:val="clear" w:color="auto" w:fill="FFFFFF"/>
                      <w:lang w:val="en-US"/>
                    </w:rPr>
                    <w:t>—————</w:t>
                  </w:r>
                </w:p>
              </w:tc>
            </w:tr>
            <w:tr w:rsidR="008D3FC4" w:rsidRPr="008D3FC4" w14:paraId="4036EBDA" w14:textId="77777777">
              <w:tc>
                <w:tcPr>
                  <w:tcW w:w="4731" w:type="dxa"/>
                  <w:gridSpan w:val="2"/>
                </w:tcPr>
                <w:p w14:paraId="5AA9D400"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77" w:tooltip="32009L0029: INSERTED" w:history="1">
                    <w:r w:rsidRPr="008D3FC4">
                      <w:rPr>
                        <w:rStyle w:val="af3"/>
                        <w:rFonts w:eastAsia="Arial Unicode MS"/>
                        <w:b/>
                        <w:bCs/>
                        <w:color w:val="000000" w:themeColor="text1"/>
                        <w:sz w:val="20"/>
                        <w:szCs w:val="20"/>
                        <w:lang w:val="en-US"/>
                      </w:rPr>
                      <w:t>▼M4</w:t>
                    </w:r>
                  </w:hyperlink>
                </w:p>
              </w:tc>
            </w:tr>
            <w:tr w:rsidR="008D3FC4" w:rsidRPr="008D3FC4" w14:paraId="49831EB7" w14:textId="77777777">
              <w:tc>
                <w:tcPr>
                  <w:tcW w:w="1577" w:type="dxa"/>
                </w:tcPr>
                <w:p w14:paraId="1602DA99"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Bulgaria</w:t>
                  </w:r>
                </w:p>
              </w:tc>
              <w:tc>
                <w:tcPr>
                  <w:tcW w:w="3154" w:type="dxa"/>
                </w:tcPr>
                <w:p w14:paraId="0688CF3E" w14:textId="21944E5E"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53</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0248BF21" w14:textId="77777777">
              <w:tc>
                <w:tcPr>
                  <w:tcW w:w="1577" w:type="dxa"/>
                </w:tcPr>
                <w:p w14:paraId="463E3E3A"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Republica</w:t>
                  </w:r>
                  <w:proofErr w:type="spellEnd"/>
                  <w:r w:rsidRPr="008D3FC4">
                    <w:rPr>
                      <w:rFonts w:eastAsia="Arial Unicode MS"/>
                      <w:color w:val="000000" w:themeColor="text1"/>
                      <w:sz w:val="20"/>
                      <w:szCs w:val="20"/>
                      <w:shd w:val="clear" w:color="auto" w:fill="FFFFFF"/>
                      <w:lang w:val="en-US"/>
                    </w:rPr>
                    <w:t xml:space="preserve"> </w:t>
                  </w:r>
                  <w:proofErr w:type="spellStart"/>
                  <w:r w:rsidRPr="008D3FC4">
                    <w:rPr>
                      <w:rFonts w:eastAsia="Arial Unicode MS"/>
                      <w:color w:val="000000" w:themeColor="text1"/>
                      <w:sz w:val="20"/>
                      <w:szCs w:val="20"/>
                      <w:shd w:val="clear" w:color="auto" w:fill="FFFFFF"/>
                      <w:lang w:val="en-US"/>
                    </w:rPr>
                    <w:t>Cehă</w:t>
                  </w:r>
                  <w:proofErr w:type="spellEnd"/>
                </w:p>
              </w:tc>
              <w:tc>
                <w:tcPr>
                  <w:tcW w:w="3154" w:type="dxa"/>
                </w:tcPr>
                <w:p w14:paraId="5CE6188D" w14:textId="4F4F6302"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31</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16ABC290" w14:textId="77777777">
              <w:tc>
                <w:tcPr>
                  <w:tcW w:w="1577" w:type="dxa"/>
                </w:tcPr>
                <w:p w14:paraId="3BD909AA"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Estonia</w:t>
                  </w:r>
                </w:p>
              </w:tc>
              <w:tc>
                <w:tcPr>
                  <w:tcW w:w="3154" w:type="dxa"/>
                </w:tcPr>
                <w:p w14:paraId="10548CD7" w14:textId="3F310B99"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42</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1A4A8BED" w14:textId="77777777">
              <w:tc>
                <w:tcPr>
                  <w:tcW w:w="1577" w:type="dxa"/>
                </w:tcPr>
                <w:p w14:paraId="5653D977"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Grecia</w:t>
                  </w:r>
                </w:p>
              </w:tc>
              <w:tc>
                <w:tcPr>
                  <w:tcW w:w="3154" w:type="dxa"/>
                </w:tcPr>
                <w:p w14:paraId="69CA8B2F" w14:textId="2EFE610F"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17</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2ABD4B73" w14:textId="77777777">
              <w:tc>
                <w:tcPr>
                  <w:tcW w:w="1577" w:type="dxa"/>
                </w:tcPr>
                <w:p w14:paraId="38E6D49F"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Spania</w:t>
                  </w:r>
                  <w:proofErr w:type="spellEnd"/>
                </w:p>
              </w:tc>
              <w:tc>
                <w:tcPr>
                  <w:tcW w:w="3154" w:type="dxa"/>
                </w:tcPr>
                <w:p w14:paraId="0A77A338" w14:textId="5742B7CA"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13</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2DF5DCAE" w14:textId="77777777">
              <w:tc>
                <w:tcPr>
                  <w:tcW w:w="4731" w:type="dxa"/>
                  <w:gridSpan w:val="2"/>
                </w:tcPr>
                <w:p w14:paraId="3B0445C8"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78" w:tooltip="12012J/ACT: INSERTED" w:history="1">
                    <w:r w:rsidRPr="008D3FC4">
                      <w:rPr>
                        <w:rStyle w:val="af3"/>
                        <w:rFonts w:eastAsia="Arial Unicode MS"/>
                        <w:b/>
                        <w:bCs/>
                        <w:color w:val="000000" w:themeColor="text1"/>
                        <w:sz w:val="20"/>
                        <w:szCs w:val="20"/>
                        <w:lang w:val="en-US"/>
                      </w:rPr>
                      <w:t>▼A1</w:t>
                    </w:r>
                  </w:hyperlink>
                </w:p>
              </w:tc>
            </w:tr>
            <w:tr w:rsidR="008D3FC4" w:rsidRPr="008D3FC4" w14:paraId="1F4262A2" w14:textId="77777777">
              <w:tc>
                <w:tcPr>
                  <w:tcW w:w="1577" w:type="dxa"/>
                </w:tcPr>
                <w:p w14:paraId="4C1FBC94"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Croația</w:t>
                  </w:r>
                  <w:proofErr w:type="spellEnd"/>
                </w:p>
              </w:tc>
              <w:tc>
                <w:tcPr>
                  <w:tcW w:w="3154" w:type="dxa"/>
                </w:tcPr>
                <w:p w14:paraId="78924A89" w14:textId="6F90A0D3"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26</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200BECF7" w14:textId="77777777">
              <w:tc>
                <w:tcPr>
                  <w:tcW w:w="4731" w:type="dxa"/>
                  <w:gridSpan w:val="2"/>
                </w:tcPr>
                <w:p w14:paraId="50CE93E1" w14:textId="57CB2130"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79" w:tooltip="32018L0410: DELETED" w:history="1">
                    <w:r w:rsidRPr="008D3FC4">
                      <w:rPr>
                        <w:rStyle w:val="af3"/>
                        <w:rFonts w:eastAsia="Arial Unicode MS"/>
                        <w:b/>
                        <w:bCs/>
                        <w:color w:val="000000" w:themeColor="text1"/>
                        <w:sz w:val="20"/>
                        <w:szCs w:val="20"/>
                        <w:lang w:val="en-US"/>
                      </w:rPr>
                      <w:t>▼M9</w:t>
                    </w:r>
                  </w:hyperlink>
                  <w:r w:rsidRPr="008D3FC4">
                    <w:rPr>
                      <w:rFonts w:ascii="Arial Unicode MS" w:eastAsia="Arial Unicode MS" w:hAnsi="Arial Unicode MS" w:cs="Arial Unicode MS" w:hint="eastAsia"/>
                      <w:b/>
                      <w:bCs/>
                      <w:color w:val="000000" w:themeColor="text1"/>
                      <w:sz w:val="21"/>
                      <w:szCs w:val="21"/>
                      <w:shd w:val="clear" w:color="auto" w:fill="FFFFFF"/>
                      <w:lang w:val="en-US"/>
                    </w:rPr>
                    <w:t>—————</w:t>
                  </w:r>
                </w:p>
              </w:tc>
            </w:tr>
            <w:tr w:rsidR="008D3FC4" w:rsidRPr="008D3FC4" w14:paraId="6B89E006" w14:textId="77777777">
              <w:tc>
                <w:tcPr>
                  <w:tcW w:w="4731" w:type="dxa"/>
                  <w:gridSpan w:val="2"/>
                </w:tcPr>
                <w:p w14:paraId="048E8B7D"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80" w:tooltip="32009L0029: INSERTED" w:history="1">
                    <w:r w:rsidRPr="008D3FC4">
                      <w:rPr>
                        <w:rStyle w:val="af3"/>
                        <w:rFonts w:eastAsia="Arial Unicode MS"/>
                        <w:b/>
                        <w:bCs/>
                        <w:color w:val="000000" w:themeColor="text1"/>
                        <w:sz w:val="20"/>
                        <w:szCs w:val="20"/>
                        <w:lang w:val="en-US"/>
                      </w:rPr>
                      <w:t>▼M4</w:t>
                    </w:r>
                  </w:hyperlink>
                </w:p>
              </w:tc>
            </w:tr>
            <w:tr w:rsidR="008D3FC4" w:rsidRPr="008D3FC4" w14:paraId="05AE2366" w14:textId="77777777">
              <w:tc>
                <w:tcPr>
                  <w:tcW w:w="1577" w:type="dxa"/>
                </w:tcPr>
                <w:p w14:paraId="23642710"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Cipru</w:t>
                  </w:r>
                  <w:proofErr w:type="spellEnd"/>
                </w:p>
              </w:tc>
              <w:tc>
                <w:tcPr>
                  <w:tcW w:w="3154" w:type="dxa"/>
                </w:tcPr>
                <w:p w14:paraId="543B6568" w14:textId="5C843AA8"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20</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4D24AE35" w14:textId="77777777">
              <w:tc>
                <w:tcPr>
                  <w:tcW w:w="1577" w:type="dxa"/>
                </w:tcPr>
                <w:p w14:paraId="0490A0A7"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Letonia</w:t>
                  </w:r>
                  <w:proofErr w:type="spellEnd"/>
                </w:p>
              </w:tc>
              <w:tc>
                <w:tcPr>
                  <w:tcW w:w="3154" w:type="dxa"/>
                </w:tcPr>
                <w:p w14:paraId="3B6FDAAB" w14:textId="6FD48F73"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56</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24F02D7D" w14:textId="77777777">
              <w:tc>
                <w:tcPr>
                  <w:tcW w:w="1577" w:type="dxa"/>
                </w:tcPr>
                <w:p w14:paraId="133C0A2A"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Lituania</w:t>
                  </w:r>
                  <w:proofErr w:type="spellEnd"/>
                </w:p>
              </w:tc>
              <w:tc>
                <w:tcPr>
                  <w:tcW w:w="3154" w:type="dxa"/>
                </w:tcPr>
                <w:p w14:paraId="015E97BF" w14:textId="5E5B78F2"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46</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09C7B272" w14:textId="77777777">
              <w:tc>
                <w:tcPr>
                  <w:tcW w:w="4731" w:type="dxa"/>
                  <w:gridSpan w:val="2"/>
                </w:tcPr>
                <w:p w14:paraId="2D0DE99B"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81" w:tooltip="32018L0410: DELETED" w:history="1">
                    <w:r w:rsidRPr="008D3FC4">
                      <w:rPr>
                        <w:rStyle w:val="af3"/>
                        <w:rFonts w:eastAsia="Arial Unicode MS"/>
                        <w:b/>
                        <w:bCs/>
                        <w:color w:val="000000" w:themeColor="text1"/>
                        <w:sz w:val="20"/>
                        <w:szCs w:val="20"/>
                        <w:lang w:val="en-US"/>
                      </w:rPr>
                      <w:t>▼M9</w:t>
                    </w:r>
                  </w:hyperlink>
                  <w:r w:rsidRPr="008D3FC4">
                    <w:rPr>
                      <w:rFonts w:ascii="Arial Unicode MS" w:eastAsia="Arial Unicode MS" w:hAnsi="Arial Unicode MS" w:cs="Arial Unicode MS" w:hint="eastAsia"/>
                      <w:b/>
                      <w:bCs/>
                      <w:color w:val="000000" w:themeColor="text1"/>
                      <w:sz w:val="21"/>
                      <w:szCs w:val="21"/>
                      <w:shd w:val="clear" w:color="auto" w:fill="FFFFFF"/>
                      <w:lang w:val="en-US"/>
                    </w:rPr>
                    <w:t> —————</w:t>
                  </w:r>
                </w:p>
              </w:tc>
            </w:tr>
            <w:tr w:rsidR="008D3FC4" w:rsidRPr="008D3FC4" w14:paraId="4B11F47F" w14:textId="77777777">
              <w:tc>
                <w:tcPr>
                  <w:tcW w:w="4731" w:type="dxa"/>
                  <w:gridSpan w:val="2"/>
                </w:tcPr>
                <w:p w14:paraId="4D15740D"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82" w:tooltip="32009L0029: INSERTED" w:history="1">
                    <w:r w:rsidRPr="008D3FC4">
                      <w:rPr>
                        <w:rStyle w:val="af3"/>
                        <w:rFonts w:eastAsia="Arial Unicode MS"/>
                        <w:b/>
                        <w:bCs/>
                        <w:color w:val="000000" w:themeColor="text1"/>
                        <w:sz w:val="20"/>
                        <w:szCs w:val="20"/>
                        <w:lang w:val="en-US"/>
                      </w:rPr>
                      <w:t>▼M4</w:t>
                    </w:r>
                  </w:hyperlink>
                </w:p>
              </w:tc>
            </w:tr>
            <w:tr w:rsidR="008D3FC4" w:rsidRPr="008D3FC4" w14:paraId="7C711600" w14:textId="77777777">
              <w:tc>
                <w:tcPr>
                  <w:tcW w:w="1577" w:type="dxa"/>
                </w:tcPr>
                <w:p w14:paraId="0ADD7F3C"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Ungaria</w:t>
                  </w:r>
                  <w:proofErr w:type="spellEnd"/>
                </w:p>
              </w:tc>
              <w:tc>
                <w:tcPr>
                  <w:tcW w:w="3154" w:type="dxa"/>
                </w:tcPr>
                <w:p w14:paraId="6E66E521" w14:textId="03D51224"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28</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1F1659A2" w14:textId="77777777">
              <w:tc>
                <w:tcPr>
                  <w:tcW w:w="1577" w:type="dxa"/>
                </w:tcPr>
                <w:p w14:paraId="1965F750"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Malta</w:t>
                  </w:r>
                </w:p>
              </w:tc>
              <w:tc>
                <w:tcPr>
                  <w:tcW w:w="3154" w:type="dxa"/>
                </w:tcPr>
                <w:p w14:paraId="77CD6E88" w14:textId="6A1116EE"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23</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44AF471F" w14:textId="77777777">
              <w:tc>
                <w:tcPr>
                  <w:tcW w:w="1577" w:type="dxa"/>
                </w:tcPr>
                <w:p w14:paraId="377969DA"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Polonia</w:t>
                  </w:r>
                </w:p>
              </w:tc>
              <w:tc>
                <w:tcPr>
                  <w:tcW w:w="3154" w:type="dxa"/>
                </w:tcPr>
                <w:p w14:paraId="47DEAD68" w14:textId="2E2FB4D6"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39</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2B6C9AA7" w14:textId="77777777">
              <w:tc>
                <w:tcPr>
                  <w:tcW w:w="1577" w:type="dxa"/>
                </w:tcPr>
                <w:p w14:paraId="13485006"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Portugalia</w:t>
                  </w:r>
                  <w:proofErr w:type="spellEnd"/>
                </w:p>
              </w:tc>
              <w:tc>
                <w:tcPr>
                  <w:tcW w:w="3154" w:type="dxa"/>
                </w:tcPr>
                <w:p w14:paraId="5832AEE6" w14:textId="26939140"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16</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1CEE4CB0" w14:textId="77777777">
              <w:tc>
                <w:tcPr>
                  <w:tcW w:w="1577" w:type="dxa"/>
                </w:tcPr>
                <w:p w14:paraId="0075BE21"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România</w:t>
                  </w:r>
                  <w:proofErr w:type="spellEnd"/>
                </w:p>
              </w:tc>
              <w:tc>
                <w:tcPr>
                  <w:tcW w:w="3154" w:type="dxa"/>
                </w:tcPr>
                <w:p w14:paraId="400BBA13" w14:textId="6C765F2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53</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62D18213" w14:textId="77777777">
              <w:tc>
                <w:tcPr>
                  <w:tcW w:w="1577" w:type="dxa"/>
                </w:tcPr>
                <w:p w14:paraId="7D00BC73"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Slovenia</w:t>
                  </w:r>
                </w:p>
              </w:tc>
              <w:tc>
                <w:tcPr>
                  <w:tcW w:w="3154" w:type="dxa"/>
                </w:tcPr>
                <w:p w14:paraId="204A70AE" w14:textId="2B9946F4"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20</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715DABDB" w14:textId="77777777">
              <w:tc>
                <w:tcPr>
                  <w:tcW w:w="1577" w:type="dxa"/>
                </w:tcPr>
                <w:p w14:paraId="1A77FBF4" w14:textId="77777777"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8D3FC4">
                    <w:rPr>
                      <w:rFonts w:eastAsia="Arial Unicode MS"/>
                      <w:color w:val="000000" w:themeColor="text1"/>
                      <w:sz w:val="20"/>
                      <w:szCs w:val="20"/>
                      <w:shd w:val="clear" w:color="auto" w:fill="FFFFFF"/>
                      <w:lang w:val="en-US"/>
                    </w:rPr>
                    <w:t>Slovacia</w:t>
                  </w:r>
                  <w:proofErr w:type="spellEnd"/>
                </w:p>
              </w:tc>
              <w:tc>
                <w:tcPr>
                  <w:tcW w:w="3154" w:type="dxa"/>
                </w:tcPr>
                <w:p w14:paraId="08098C72" w14:textId="6EC7B605"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8D3FC4">
                    <w:rPr>
                      <w:rFonts w:eastAsia="Arial Unicode MS"/>
                      <w:color w:val="000000" w:themeColor="text1"/>
                      <w:sz w:val="20"/>
                      <w:szCs w:val="20"/>
                      <w:shd w:val="clear" w:color="auto" w:fill="FFFFFF"/>
                      <w:lang w:val="en-US"/>
                    </w:rPr>
                    <w:t>41</w:t>
                  </w:r>
                  <w:r w:rsidR="008D3FC4" w:rsidRPr="008D3FC4">
                    <w:rPr>
                      <w:rFonts w:eastAsia="Arial Unicode MS"/>
                      <w:color w:val="000000" w:themeColor="text1"/>
                      <w:sz w:val="20"/>
                      <w:szCs w:val="20"/>
                      <w:shd w:val="clear" w:color="auto" w:fill="FFFFFF"/>
                      <w:lang w:val="en-US"/>
                    </w:rPr>
                    <w:t xml:space="preserve"> </w:t>
                  </w:r>
                  <w:r w:rsidRPr="008D3FC4">
                    <w:rPr>
                      <w:rFonts w:eastAsia="Arial Unicode MS"/>
                      <w:color w:val="000000" w:themeColor="text1"/>
                      <w:sz w:val="20"/>
                      <w:szCs w:val="20"/>
                      <w:shd w:val="clear" w:color="auto" w:fill="FFFFFF"/>
                      <w:lang w:val="en-US"/>
                    </w:rPr>
                    <w:t>%</w:t>
                  </w:r>
                </w:p>
              </w:tc>
            </w:tr>
            <w:tr w:rsidR="008D3FC4" w:rsidRPr="008D3FC4" w14:paraId="04C7CFCD" w14:textId="77777777">
              <w:tc>
                <w:tcPr>
                  <w:tcW w:w="4731" w:type="dxa"/>
                  <w:gridSpan w:val="2"/>
                </w:tcPr>
                <w:p w14:paraId="3196E479" w14:textId="7A48550B" w:rsidR="00124364" w:rsidRPr="008D3FC4"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hyperlink r:id="rId383" w:tooltip="32018L0410: DELETED" w:history="1">
                    <w:r w:rsidRPr="008D3FC4">
                      <w:rPr>
                        <w:rStyle w:val="af3"/>
                        <w:rFonts w:eastAsia="Arial Unicode MS"/>
                        <w:b/>
                        <w:bCs/>
                        <w:color w:val="000000" w:themeColor="text1"/>
                        <w:sz w:val="20"/>
                        <w:szCs w:val="20"/>
                        <w:lang w:val="en-US"/>
                      </w:rPr>
                      <w:t>▼M9</w:t>
                    </w:r>
                  </w:hyperlink>
                  <w:r w:rsidRPr="008D3FC4">
                    <w:rPr>
                      <w:rFonts w:ascii="Arial Unicode MS" w:eastAsia="Arial Unicode MS" w:hAnsi="Arial Unicode MS" w:cs="Arial Unicode MS" w:hint="eastAsia"/>
                      <w:b/>
                      <w:bCs/>
                      <w:color w:val="000000" w:themeColor="text1"/>
                      <w:sz w:val="21"/>
                      <w:szCs w:val="21"/>
                      <w:shd w:val="clear" w:color="auto" w:fill="FFFFFF"/>
                      <w:lang w:val="en-US"/>
                    </w:rPr>
                    <w:t>—————</w:t>
                  </w:r>
                </w:p>
              </w:tc>
            </w:tr>
          </w:tbl>
          <w:p w14:paraId="007B96C9"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84" w:tooltip="32023L0959: REPLACED" w:history="1">
              <w:r>
                <w:rPr>
                  <w:rStyle w:val="af3"/>
                  <w:rFonts w:eastAsia="Arial Unicode MS"/>
                  <w:b/>
                  <w:bCs/>
                  <w:color w:val="4472C4" w:themeColor="accent1"/>
                  <w:sz w:val="20"/>
                  <w:szCs w:val="20"/>
                  <w:lang w:val="en-US"/>
                </w:rPr>
                <w:t>▼M15</w:t>
              </w:r>
            </w:hyperlink>
          </w:p>
        </w:tc>
        <w:tc>
          <w:tcPr>
            <w:tcW w:w="4394" w:type="dxa"/>
            <w:shd w:val="clear" w:color="auto" w:fill="auto"/>
          </w:tcPr>
          <w:p w14:paraId="2054500C"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B9013BE" w14:textId="38F822DA" w:rsidR="00124364" w:rsidRDefault="007059A8" w:rsidP="007059A8">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152610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831D933" w14:textId="77777777" w:rsidR="007059A8" w:rsidRPr="00AF078F" w:rsidRDefault="007059A8" w:rsidP="007059A8">
            <w:pPr>
              <w:autoSpaceDE w:val="0"/>
              <w:spacing w:after="0" w:line="240" w:lineRule="auto"/>
              <w:jc w:val="both"/>
              <w:rPr>
                <w:rFonts w:ascii="Times New Roman" w:hAnsi="Times New Roman"/>
                <w:sz w:val="20"/>
                <w:szCs w:val="20"/>
                <w:lang w:val="ro-RO"/>
              </w:rPr>
            </w:pPr>
            <w:r w:rsidRPr="00AF078F">
              <w:rPr>
                <w:rFonts w:ascii="Times New Roman" w:hAnsi="Times New Roman"/>
                <w:sz w:val="20"/>
                <w:szCs w:val="20"/>
                <w:shd w:val="clear" w:color="auto" w:fill="FFFFFF"/>
                <w:lang w:val="ro-RO"/>
              </w:rPr>
              <w:t xml:space="preserve">Prevederile </w:t>
            </w:r>
            <w:r w:rsidRPr="00AF078F">
              <w:rPr>
                <w:rFonts w:ascii="Times New Roman" w:hAnsi="Times New Roman"/>
                <w:sz w:val="20"/>
                <w:szCs w:val="20"/>
                <w:lang w:val="ro-RO"/>
              </w:rPr>
              <w:t>nu se transpun, deoarece nu sunt relevante pentru Republica Moldova.</w:t>
            </w:r>
          </w:p>
          <w:p w14:paraId="20620152"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340BDEF7" w14:textId="77777777" w:rsidR="00124364" w:rsidRDefault="00124364" w:rsidP="007059A8">
            <w:pPr>
              <w:autoSpaceDE w:val="0"/>
              <w:spacing w:after="0" w:line="240" w:lineRule="auto"/>
              <w:rPr>
                <w:rFonts w:ascii="Times New Roman" w:hAnsi="Times New Roman"/>
                <w:sz w:val="20"/>
                <w:szCs w:val="20"/>
                <w:lang w:val="fr-FR"/>
              </w:rPr>
            </w:pPr>
          </w:p>
        </w:tc>
      </w:tr>
      <w:tr w:rsidR="00124364" w14:paraId="2A390D62" w14:textId="77777777">
        <w:trPr>
          <w:trHeight w:val="558"/>
        </w:trPr>
        <w:tc>
          <w:tcPr>
            <w:tcW w:w="4957" w:type="dxa"/>
            <w:shd w:val="clear" w:color="auto" w:fill="auto"/>
          </w:tcPr>
          <w:p w14:paraId="231D628B" w14:textId="77777777" w:rsidR="00124364" w:rsidRPr="00DF1AB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DF1AB5">
              <w:rPr>
                <w:rFonts w:eastAsia="Arial Unicode MS"/>
                <w:i/>
                <w:iCs/>
                <w:color w:val="000000" w:themeColor="text1"/>
                <w:sz w:val="20"/>
                <w:szCs w:val="20"/>
                <w:shd w:val="clear" w:color="auto" w:fill="FFFFFF"/>
                <w:lang w:val="en-US"/>
              </w:rPr>
              <w:t>ANEXA IIb</w:t>
            </w:r>
          </w:p>
          <w:p w14:paraId="395A3980" w14:textId="77777777" w:rsidR="00124364" w:rsidRPr="00DF1AB5"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PARTEA A</w:t>
            </w:r>
          </w:p>
          <w:p w14:paraId="555CB685" w14:textId="22AF5693" w:rsidR="00124364" w:rsidRPr="00DF1AB5"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DISTRIBUIREA FONDURILOR DIN FONDUL PENTRU MODERNIZARE ÎN CONFORMITATE CU ARTICOLUL</w:t>
            </w:r>
            <w:r w:rsidR="00DF1AB5" w:rsidRPr="00DF1AB5">
              <w:rPr>
                <w:rFonts w:eastAsia="Arial Unicode MS"/>
                <w:b/>
                <w:bCs/>
                <w:color w:val="000000" w:themeColor="text1"/>
                <w:sz w:val="20"/>
                <w:szCs w:val="20"/>
                <w:shd w:val="clear" w:color="auto" w:fill="FFFFFF"/>
                <w:lang w:val="en-US"/>
              </w:rPr>
              <w:t xml:space="preserve"> </w:t>
            </w:r>
            <w:r w:rsidRPr="00DF1AB5">
              <w:rPr>
                <w:rFonts w:eastAsia="Arial Unicode MS"/>
                <w:b/>
                <w:bCs/>
                <w:color w:val="000000" w:themeColor="text1"/>
                <w:sz w:val="20"/>
                <w:szCs w:val="20"/>
                <w:shd w:val="clear" w:color="auto" w:fill="FFFFFF"/>
                <w:lang w:val="en-US"/>
              </w:rPr>
              <w:t>10 ALINEATUL</w:t>
            </w:r>
            <w:r w:rsidR="00DF1AB5" w:rsidRPr="00DF1AB5">
              <w:rPr>
                <w:rFonts w:eastAsia="Arial Unicode MS"/>
                <w:b/>
                <w:bCs/>
                <w:color w:val="000000" w:themeColor="text1"/>
                <w:sz w:val="20"/>
                <w:szCs w:val="20"/>
                <w:shd w:val="clear" w:color="auto" w:fill="FFFFFF"/>
                <w:lang w:val="en-US"/>
              </w:rPr>
              <w:t xml:space="preserve"> </w:t>
            </w:r>
            <w:r w:rsidRPr="00DF1AB5">
              <w:rPr>
                <w:rFonts w:eastAsia="Arial Unicode MS"/>
                <w:b/>
                <w:bCs/>
                <w:color w:val="000000" w:themeColor="text1"/>
                <w:sz w:val="20"/>
                <w:szCs w:val="20"/>
                <w:shd w:val="clear" w:color="auto" w:fill="FFFFFF"/>
                <w:lang w:val="en-US"/>
              </w:rPr>
              <w:t>(1) AL TREILEA PARAGRAF</w:t>
            </w:r>
          </w:p>
          <w:tbl>
            <w:tblPr>
              <w:tblStyle w:val="af7"/>
              <w:tblW w:w="0" w:type="auto"/>
              <w:tblLayout w:type="fixed"/>
              <w:tblLook w:val="04A0" w:firstRow="1" w:lastRow="0" w:firstColumn="1" w:lastColumn="0" w:noHBand="0" w:noVBand="1"/>
            </w:tblPr>
            <w:tblGrid>
              <w:gridCol w:w="2365"/>
              <w:gridCol w:w="2366"/>
            </w:tblGrid>
            <w:tr w:rsidR="00DF1AB5" w:rsidRPr="00DF1AB5" w14:paraId="6B7D63D8" w14:textId="77777777">
              <w:tc>
                <w:tcPr>
                  <w:tcW w:w="2365" w:type="dxa"/>
                </w:tcPr>
                <w:p w14:paraId="60D2F00B" w14:textId="77777777" w:rsidR="00124364" w:rsidRPr="00DF1AB5" w:rsidRDefault="00124364"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
              </w:tc>
              <w:tc>
                <w:tcPr>
                  <w:tcW w:w="2366" w:type="dxa"/>
                </w:tcPr>
                <w:p w14:paraId="174FCD23"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b/>
                      <w:bCs/>
                      <w:color w:val="000000" w:themeColor="text1"/>
                      <w:sz w:val="20"/>
                      <w:szCs w:val="20"/>
                      <w:shd w:val="clear" w:color="auto" w:fill="FFFFFF"/>
                      <w:lang w:val="en-US"/>
                    </w:rPr>
                    <w:t>Cotă</w:t>
                  </w:r>
                  <w:proofErr w:type="spellEnd"/>
                </w:p>
              </w:tc>
            </w:tr>
            <w:tr w:rsidR="00DF1AB5" w:rsidRPr="00DF1AB5" w14:paraId="4D8AE7B0" w14:textId="77777777">
              <w:tc>
                <w:tcPr>
                  <w:tcW w:w="2365" w:type="dxa"/>
                </w:tcPr>
                <w:p w14:paraId="446C5526"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Bulgaria</w:t>
                  </w:r>
                </w:p>
              </w:tc>
              <w:tc>
                <w:tcPr>
                  <w:tcW w:w="2366" w:type="dxa"/>
                </w:tcPr>
                <w:p w14:paraId="0B0B5A11" w14:textId="6C692BE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5,84 %</w:t>
                  </w:r>
                </w:p>
              </w:tc>
            </w:tr>
            <w:tr w:rsidR="00DF1AB5" w:rsidRPr="00DF1AB5" w14:paraId="30ADC0E5" w14:textId="77777777">
              <w:tc>
                <w:tcPr>
                  <w:tcW w:w="2365" w:type="dxa"/>
                </w:tcPr>
                <w:p w14:paraId="64E7168A"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Cehia</w:t>
                  </w:r>
                  <w:proofErr w:type="spellEnd"/>
                </w:p>
              </w:tc>
              <w:tc>
                <w:tcPr>
                  <w:tcW w:w="2366" w:type="dxa"/>
                </w:tcPr>
                <w:p w14:paraId="1058908A" w14:textId="45230AFB"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15,59 %</w:t>
                  </w:r>
                </w:p>
              </w:tc>
            </w:tr>
            <w:tr w:rsidR="00DF1AB5" w:rsidRPr="00DF1AB5" w14:paraId="50B77D03" w14:textId="77777777">
              <w:tc>
                <w:tcPr>
                  <w:tcW w:w="2365" w:type="dxa"/>
                </w:tcPr>
                <w:p w14:paraId="14CDE4F7"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Estonia</w:t>
                  </w:r>
                </w:p>
              </w:tc>
              <w:tc>
                <w:tcPr>
                  <w:tcW w:w="2366" w:type="dxa"/>
                </w:tcPr>
                <w:p w14:paraId="39D58E0E" w14:textId="6271DC73"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2,78 %</w:t>
                  </w:r>
                </w:p>
              </w:tc>
            </w:tr>
            <w:tr w:rsidR="00DF1AB5" w:rsidRPr="00DF1AB5" w14:paraId="37AD3FFD" w14:textId="77777777">
              <w:tc>
                <w:tcPr>
                  <w:tcW w:w="2365" w:type="dxa"/>
                </w:tcPr>
                <w:p w14:paraId="2A43B255"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Croația</w:t>
                  </w:r>
                  <w:proofErr w:type="spellEnd"/>
                </w:p>
              </w:tc>
              <w:tc>
                <w:tcPr>
                  <w:tcW w:w="2366" w:type="dxa"/>
                </w:tcPr>
                <w:p w14:paraId="021D4358" w14:textId="0A5E65BE"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3,14 %</w:t>
                  </w:r>
                </w:p>
              </w:tc>
            </w:tr>
            <w:tr w:rsidR="00DF1AB5" w:rsidRPr="00DF1AB5" w14:paraId="3DB01721" w14:textId="77777777">
              <w:tc>
                <w:tcPr>
                  <w:tcW w:w="2365" w:type="dxa"/>
                </w:tcPr>
                <w:p w14:paraId="0C7CAF86"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Letonia</w:t>
                  </w:r>
                  <w:proofErr w:type="spellEnd"/>
                </w:p>
              </w:tc>
              <w:tc>
                <w:tcPr>
                  <w:tcW w:w="2366" w:type="dxa"/>
                </w:tcPr>
                <w:p w14:paraId="26664D4C" w14:textId="7A64DC25"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1,44 %</w:t>
                  </w:r>
                </w:p>
              </w:tc>
            </w:tr>
            <w:tr w:rsidR="00DF1AB5" w:rsidRPr="00DF1AB5" w14:paraId="17562F18" w14:textId="77777777">
              <w:tc>
                <w:tcPr>
                  <w:tcW w:w="2365" w:type="dxa"/>
                </w:tcPr>
                <w:p w14:paraId="27742182"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Lituania</w:t>
                  </w:r>
                  <w:proofErr w:type="spellEnd"/>
                </w:p>
              </w:tc>
              <w:tc>
                <w:tcPr>
                  <w:tcW w:w="2366" w:type="dxa"/>
                </w:tcPr>
                <w:p w14:paraId="2D364DDF" w14:textId="025B0F41"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2,57 %</w:t>
                  </w:r>
                </w:p>
              </w:tc>
            </w:tr>
            <w:tr w:rsidR="00DF1AB5" w:rsidRPr="00DF1AB5" w14:paraId="542308E9" w14:textId="77777777">
              <w:tc>
                <w:tcPr>
                  <w:tcW w:w="2365" w:type="dxa"/>
                </w:tcPr>
                <w:p w14:paraId="60595F58"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Ungaria</w:t>
                  </w:r>
                  <w:proofErr w:type="spellEnd"/>
                </w:p>
              </w:tc>
              <w:tc>
                <w:tcPr>
                  <w:tcW w:w="2366" w:type="dxa"/>
                </w:tcPr>
                <w:p w14:paraId="5FAB9293" w14:textId="47BB954A"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7,12 %</w:t>
                  </w:r>
                </w:p>
              </w:tc>
            </w:tr>
            <w:tr w:rsidR="00DF1AB5" w:rsidRPr="00DF1AB5" w14:paraId="28CA541C" w14:textId="77777777">
              <w:tc>
                <w:tcPr>
                  <w:tcW w:w="2365" w:type="dxa"/>
                </w:tcPr>
                <w:p w14:paraId="5F19C7FB"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Polonia</w:t>
                  </w:r>
                </w:p>
              </w:tc>
              <w:tc>
                <w:tcPr>
                  <w:tcW w:w="2366" w:type="dxa"/>
                </w:tcPr>
                <w:p w14:paraId="7B19D341" w14:textId="14923302"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43,41 %</w:t>
                  </w:r>
                </w:p>
              </w:tc>
            </w:tr>
            <w:tr w:rsidR="00DF1AB5" w:rsidRPr="00DF1AB5" w14:paraId="45AD9E77" w14:textId="77777777">
              <w:tc>
                <w:tcPr>
                  <w:tcW w:w="2365" w:type="dxa"/>
                </w:tcPr>
                <w:p w14:paraId="7509746F"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România</w:t>
                  </w:r>
                  <w:proofErr w:type="spellEnd"/>
                </w:p>
              </w:tc>
              <w:tc>
                <w:tcPr>
                  <w:tcW w:w="2366" w:type="dxa"/>
                </w:tcPr>
                <w:p w14:paraId="06C4C45B" w14:textId="322A1C73"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11,98 %</w:t>
                  </w:r>
                </w:p>
              </w:tc>
            </w:tr>
            <w:tr w:rsidR="00DF1AB5" w:rsidRPr="00DF1AB5" w14:paraId="4F024E36" w14:textId="77777777">
              <w:tc>
                <w:tcPr>
                  <w:tcW w:w="2365" w:type="dxa"/>
                </w:tcPr>
                <w:p w14:paraId="30A5190B"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Slovacia</w:t>
                  </w:r>
                  <w:proofErr w:type="spellEnd"/>
                </w:p>
              </w:tc>
              <w:tc>
                <w:tcPr>
                  <w:tcW w:w="2366" w:type="dxa"/>
                </w:tcPr>
                <w:p w14:paraId="48BE7E5B" w14:textId="30867B04"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6,13 %</w:t>
                  </w:r>
                </w:p>
              </w:tc>
            </w:tr>
          </w:tbl>
          <w:p w14:paraId="267F4FB3" w14:textId="77777777" w:rsidR="00124364" w:rsidRPr="00DF1AB5"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PARTEA B</w:t>
            </w:r>
          </w:p>
          <w:p w14:paraId="7D2156F2" w14:textId="7C411129" w:rsidR="00124364" w:rsidRPr="00DF1AB5"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DISTRIBUIREA FONDURILOR DIN FONDUL PENTRU MODERNIZARE ÎN CONFORMITATE CU ARTICOLUL</w:t>
            </w:r>
            <w:r w:rsidR="00DF1AB5">
              <w:rPr>
                <w:rFonts w:eastAsia="Arial Unicode MS"/>
                <w:b/>
                <w:bCs/>
                <w:color w:val="000000" w:themeColor="text1"/>
                <w:sz w:val="20"/>
                <w:szCs w:val="20"/>
                <w:shd w:val="clear" w:color="auto" w:fill="FFFFFF"/>
                <w:lang w:val="en-US"/>
              </w:rPr>
              <w:t xml:space="preserve"> </w:t>
            </w:r>
            <w:r w:rsidRPr="00DF1AB5">
              <w:rPr>
                <w:rFonts w:eastAsia="Arial Unicode MS"/>
                <w:b/>
                <w:bCs/>
                <w:color w:val="000000" w:themeColor="text1"/>
                <w:sz w:val="20"/>
                <w:szCs w:val="20"/>
                <w:shd w:val="clear" w:color="auto" w:fill="FFFFFF"/>
                <w:lang w:val="en-US"/>
              </w:rPr>
              <w:t>10 ALINEATUL</w:t>
            </w:r>
            <w:r w:rsidR="00DF1AB5">
              <w:rPr>
                <w:rFonts w:eastAsia="Arial Unicode MS"/>
                <w:b/>
                <w:bCs/>
                <w:color w:val="000000" w:themeColor="text1"/>
                <w:sz w:val="20"/>
                <w:szCs w:val="20"/>
                <w:shd w:val="clear" w:color="auto" w:fill="FFFFFF"/>
                <w:lang w:val="en-US"/>
              </w:rPr>
              <w:t xml:space="preserve"> </w:t>
            </w:r>
            <w:r w:rsidRPr="00DF1AB5">
              <w:rPr>
                <w:rFonts w:eastAsia="Arial Unicode MS"/>
                <w:b/>
                <w:bCs/>
                <w:color w:val="000000" w:themeColor="text1"/>
                <w:sz w:val="20"/>
                <w:szCs w:val="20"/>
                <w:shd w:val="clear" w:color="auto" w:fill="FFFFFF"/>
                <w:lang w:val="en-US"/>
              </w:rPr>
              <w:t>(1) AL PATRULEA PARAGRAF</w:t>
            </w:r>
          </w:p>
          <w:tbl>
            <w:tblPr>
              <w:tblStyle w:val="af7"/>
              <w:tblW w:w="0" w:type="auto"/>
              <w:tblLayout w:type="fixed"/>
              <w:tblLook w:val="04A0" w:firstRow="1" w:lastRow="0" w:firstColumn="1" w:lastColumn="0" w:noHBand="0" w:noVBand="1"/>
            </w:tblPr>
            <w:tblGrid>
              <w:gridCol w:w="2365"/>
              <w:gridCol w:w="2366"/>
            </w:tblGrid>
            <w:tr w:rsidR="00DF1AB5" w:rsidRPr="00DF1AB5" w14:paraId="3E3D22AE" w14:textId="77777777">
              <w:tc>
                <w:tcPr>
                  <w:tcW w:w="2365" w:type="dxa"/>
                </w:tcPr>
                <w:p w14:paraId="031188B7" w14:textId="77777777" w:rsidR="00124364" w:rsidRPr="00DF1AB5" w:rsidRDefault="00124364"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
              </w:tc>
              <w:tc>
                <w:tcPr>
                  <w:tcW w:w="2366" w:type="dxa"/>
                </w:tcPr>
                <w:p w14:paraId="52B67F44"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b/>
                      <w:bCs/>
                      <w:color w:val="000000" w:themeColor="text1"/>
                      <w:sz w:val="20"/>
                      <w:szCs w:val="20"/>
                      <w:shd w:val="clear" w:color="auto" w:fill="FFFFFF"/>
                      <w:lang w:val="en-US"/>
                    </w:rPr>
                    <w:t>Cotă</w:t>
                  </w:r>
                  <w:proofErr w:type="spellEnd"/>
                </w:p>
              </w:tc>
            </w:tr>
            <w:tr w:rsidR="00DF1AB5" w:rsidRPr="00DF1AB5" w14:paraId="46BC4659" w14:textId="77777777">
              <w:tc>
                <w:tcPr>
                  <w:tcW w:w="2365" w:type="dxa"/>
                </w:tcPr>
                <w:p w14:paraId="4A6848EC"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Bulgaria</w:t>
                  </w:r>
                </w:p>
              </w:tc>
              <w:tc>
                <w:tcPr>
                  <w:tcW w:w="2366" w:type="dxa"/>
                </w:tcPr>
                <w:p w14:paraId="1DC26C2A" w14:textId="496F8251"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4,</w:t>
                  </w:r>
                  <w:proofErr w:type="gramStart"/>
                  <w:r w:rsidRPr="00DF1AB5">
                    <w:rPr>
                      <w:rFonts w:eastAsia="Arial Unicode MS"/>
                      <w:color w:val="000000" w:themeColor="text1"/>
                      <w:sz w:val="20"/>
                      <w:szCs w:val="20"/>
                      <w:shd w:val="clear" w:color="auto" w:fill="FFFFFF"/>
                      <w:lang w:val="en-US"/>
                    </w:rPr>
                    <w:t xml:space="preserve">9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7DE5D0B3" w14:textId="77777777">
              <w:tc>
                <w:tcPr>
                  <w:tcW w:w="2365" w:type="dxa"/>
                </w:tcPr>
                <w:p w14:paraId="3FE39BEC"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Cehia</w:t>
                  </w:r>
                  <w:proofErr w:type="spellEnd"/>
                </w:p>
              </w:tc>
              <w:tc>
                <w:tcPr>
                  <w:tcW w:w="2366" w:type="dxa"/>
                </w:tcPr>
                <w:p w14:paraId="19E1938A" w14:textId="7D26DC52"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12,</w:t>
                  </w:r>
                  <w:proofErr w:type="gramStart"/>
                  <w:r w:rsidRPr="00DF1AB5">
                    <w:rPr>
                      <w:rFonts w:eastAsia="Arial Unicode MS"/>
                      <w:color w:val="000000" w:themeColor="text1"/>
                      <w:sz w:val="20"/>
                      <w:szCs w:val="20"/>
                      <w:shd w:val="clear" w:color="auto" w:fill="FFFFFF"/>
                      <w:lang w:val="en-US"/>
                    </w:rPr>
                    <w:t xml:space="preserve">6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5D29DC9F" w14:textId="77777777">
              <w:tc>
                <w:tcPr>
                  <w:tcW w:w="2365" w:type="dxa"/>
                </w:tcPr>
                <w:p w14:paraId="74844C60"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Estonia</w:t>
                  </w:r>
                </w:p>
              </w:tc>
              <w:tc>
                <w:tcPr>
                  <w:tcW w:w="2366" w:type="dxa"/>
                </w:tcPr>
                <w:p w14:paraId="1272E78E" w14:textId="23FE7E2D"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2,</w:t>
                  </w:r>
                  <w:proofErr w:type="gramStart"/>
                  <w:r w:rsidRPr="00DF1AB5">
                    <w:rPr>
                      <w:rFonts w:eastAsia="Arial Unicode MS"/>
                      <w:color w:val="000000" w:themeColor="text1"/>
                      <w:sz w:val="20"/>
                      <w:szCs w:val="20"/>
                      <w:shd w:val="clear" w:color="auto" w:fill="FFFFFF"/>
                      <w:lang w:val="en-US"/>
                    </w:rPr>
                    <w:t xml:space="preserve">1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235BC05E" w14:textId="77777777">
              <w:tc>
                <w:tcPr>
                  <w:tcW w:w="2365" w:type="dxa"/>
                </w:tcPr>
                <w:p w14:paraId="2A0195C8"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Grecia</w:t>
                  </w:r>
                </w:p>
              </w:tc>
              <w:tc>
                <w:tcPr>
                  <w:tcW w:w="2366" w:type="dxa"/>
                </w:tcPr>
                <w:p w14:paraId="19DBE137" w14:textId="035FDD1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10,</w:t>
                  </w:r>
                  <w:proofErr w:type="gramStart"/>
                  <w:r w:rsidRPr="00DF1AB5">
                    <w:rPr>
                      <w:rFonts w:eastAsia="Arial Unicode MS"/>
                      <w:color w:val="000000" w:themeColor="text1"/>
                      <w:sz w:val="20"/>
                      <w:szCs w:val="20"/>
                      <w:shd w:val="clear" w:color="auto" w:fill="FFFFFF"/>
                      <w:lang w:val="en-US"/>
                    </w:rPr>
                    <w:t xml:space="preserve">1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01F0EC5A" w14:textId="77777777">
              <w:tc>
                <w:tcPr>
                  <w:tcW w:w="2365" w:type="dxa"/>
                </w:tcPr>
                <w:p w14:paraId="11EF9145"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Croația</w:t>
                  </w:r>
                  <w:proofErr w:type="spellEnd"/>
                </w:p>
              </w:tc>
              <w:tc>
                <w:tcPr>
                  <w:tcW w:w="2366" w:type="dxa"/>
                </w:tcPr>
                <w:p w14:paraId="2EA4C39B" w14:textId="271BD265"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2,</w:t>
                  </w:r>
                  <w:proofErr w:type="gramStart"/>
                  <w:r w:rsidRPr="00DF1AB5">
                    <w:rPr>
                      <w:rFonts w:eastAsia="Arial Unicode MS"/>
                      <w:color w:val="000000" w:themeColor="text1"/>
                      <w:sz w:val="20"/>
                      <w:szCs w:val="20"/>
                      <w:shd w:val="clear" w:color="auto" w:fill="FFFFFF"/>
                      <w:lang w:val="en-US"/>
                    </w:rPr>
                    <w:t xml:space="preserve">3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64AE9D96" w14:textId="77777777">
              <w:tc>
                <w:tcPr>
                  <w:tcW w:w="2365" w:type="dxa"/>
                </w:tcPr>
                <w:p w14:paraId="12A7E069"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Letonia</w:t>
                  </w:r>
                  <w:proofErr w:type="spellEnd"/>
                </w:p>
              </w:tc>
              <w:tc>
                <w:tcPr>
                  <w:tcW w:w="2366" w:type="dxa"/>
                </w:tcPr>
                <w:p w14:paraId="4D58D9F6" w14:textId="211EB826"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w:t>
                  </w:r>
                  <w:proofErr w:type="gramStart"/>
                  <w:r w:rsidRPr="00DF1AB5">
                    <w:rPr>
                      <w:rFonts w:eastAsia="Arial Unicode MS"/>
                      <w:color w:val="000000" w:themeColor="text1"/>
                      <w:sz w:val="20"/>
                      <w:szCs w:val="20"/>
                      <w:shd w:val="clear" w:color="auto" w:fill="FFFFFF"/>
                      <w:lang w:val="en-US"/>
                    </w:rPr>
                    <w:t xml:space="preserve">0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33F70FAE" w14:textId="77777777">
              <w:tc>
                <w:tcPr>
                  <w:tcW w:w="2365" w:type="dxa"/>
                </w:tcPr>
                <w:p w14:paraId="19E080ED"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Lituania</w:t>
                  </w:r>
                  <w:proofErr w:type="spellEnd"/>
                </w:p>
              </w:tc>
              <w:tc>
                <w:tcPr>
                  <w:tcW w:w="2366" w:type="dxa"/>
                </w:tcPr>
                <w:p w14:paraId="54BEBA1F" w14:textId="69E43853"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1,</w:t>
                  </w:r>
                  <w:proofErr w:type="gramStart"/>
                  <w:r w:rsidRPr="00DF1AB5">
                    <w:rPr>
                      <w:rFonts w:eastAsia="Arial Unicode MS"/>
                      <w:color w:val="000000" w:themeColor="text1"/>
                      <w:sz w:val="20"/>
                      <w:szCs w:val="20"/>
                      <w:shd w:val="clear" w:color="auto" w:fill="FFFFFF"/>
                      <w:lang w:val="en-US"/>
                    </w:rPr>
                    <w:t xml:space="preserve">9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7120ED41" w14:textId="77777777">
              <w:tc>
                <w:tcPr>
                  <w:tcW w:w="2365" w:type="dxa"/>
                </w:tcPr>
                <w:p w14:paraId="28214693"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Ungaria</w:t>
                  </w:r>
                  <w:proofErr w:type="spellEnd"/>
                </w:p>
              </w:tc>
              <w:tc>
                <w:tcPr>
                  <w:tcW w:w="2366" w:type="dxa"/>
                </w:tcPr>
                <w:p w14:paraId="1F9D505E" w14:textId="15147A81"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5,</w:t>
                  </w:r>
                  <w:proofErr w:type="gramStart"/>
                  <w:r w:rsidRPr="00DF1AB5">
                    <w:rPr>
                      <w:rFonts w:eastAsia="Arial Unicode MS"/>
                      <w:color w:val="000000" w:themeColor="text1"/>
                      <w:sz w:val="20"/>
                      <w:szCs w:val="20"/>
                      <w:shd w:val="clear" w:color="auto" w:fill="FFFFFF"/>
                      <w:lang w:val="en-US"/>
                    </w:rPr>
                    <w:t xml:space="preserve">8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74D090D9" w14:textId="77777777">
              <w:tc>
                <w:tcPr>
                  <w:tcW w:w="2365" w:type="dxa"/>
                </w:tcPr>
                <w:p w14:paraId="173ABEEB"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Polonia</w:t>
                  </w:r>
                </w:p>
              </w:tc>
              <w:tc>
                <w:tcPr>
                  <w:tcW w:w="2366" w:type="dxa"/>
                </w:tcPr>
                <w:p w14:paraId="43BAEADA" w14:textId="09CCFC0A"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34,</w:t>
                  </w:r>
                  <w:proofErr w:type="gramStart"/>
                  <w:r w:rsidRPr="00DF1AB5">
                    <w:rPr>
                      <w:rFonts w:eastAsia="Arial Unicode MS"/>
                      <w:color w:val="000000" w:themeColor="text1"/>
                      <w:sz w:val="20"/>
                      <w:szCs w:val="20"/>
                      <w:shd w:val="clear" w:color="auto" w:fill="FFFFFF"/>
                      <w:lang w:val="en-US"/>
                    </w:rPr>
                    <w:t xml:space="preserve">2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7039D135" w14:textId="77777777">
              <w:tc>
                <w:tcPr>
                  <w:tcW w:w="2365" w:type="dxa"/>
                </w:tcPr>
                <w:p w14:paraId="0051C501"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Portugalia</w:t>
                  </w:r>
                  <w:proofErr w:type="spellEnd"/>
                </w:p>
              </w:tc>
              <w:tc>
                <w:tcPr>
                  <w:tcW w:w="2366" w:type="dxa"/>
                </w:tcPr>
                <w:p w14:paraId="5BFF67B1" w14:textId="093AFEC4"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8,</w:t>
                  </w:r>
                  <w:proofErr w:type="gramStart"/>
                  <w:r w:rsidRPr="00DF1AB5">
                    <w:rPr>
                      <w:rFonts w:eastAsia="Arial Unicode MS"/>
                      <w:color w:val="000000" w:themeColor="text1"/>
                      <w:sz w:val="20"/>
                      <w:szCs w:val="20"/>
                      <w:shd w:val="clear" w:color="auto" w:fill="FFFFFF"/>
                      <w:lang w:val="en-US"/>
                    </w:rPr>
                    <w:t xml:space="preserve">6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0CA5FEAF" w14:textId="77777777">
              <w:tc>
                <w:tcPr>
                  <w:tcW w:w="2365" w:type="dxa"/>
                </w:tcPr>
                <w:p w14:paraId="751BD9A8"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România</w:t>
                  </w:r>
                  <w:proofErr w:type="spellEnd"/>
                </w:p>
              </w:tc>
              <w:tc>
                <w:tcPr>
                  <w:tcW w:w="2366" w:type="dxa"/>
                </w:tcPr>
                <w:p w14:paraId="487A0887" w14:textId="21208CBC"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9,</w:t>
                  </w:r>
                  <w:proofErr w:type="gramStart"/>
                  <w:r w:rsidRPr="00DF1AB5">
                    <w:rPr>
                      <w:rFonts w:eastAsia="Arial Unicode MS"/>
                      <w:color w:val="000000" w:themeColor="text1"/>
                      <w:sz w:val="20"/>
                      <w:szCs w:val="20"/>
                      <w:shd w:val="clear" w:color="auto" w:fill="FFFFFF"/>
                      <w:lang w:val="en-US"/>
                    </w:rPr>
                    <w:t xml:space="preserve">7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186940E2" w14:textId="77777777">
              <w:tc>
                <w:tcPr>
                  <w:tcW w:w="2365" w:type="dxa"/>
                </w:tcPr>
                <w:p w14:paraId="572838AB"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Slovacia</w:t>
                  </w:r>
                  <w:proofErr w:type="spellEnd"/>
                </w:p>
              </w:tc>
              <w:tc>
                <w:tcPr>
                  <w:tcW w:w="2366" w:type="dxa"/>
                </w:tcPr>
                <w:p w14:paraId="3D12E1B2" w14:textId="55EA9984"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4,</w:t>
                  </w:r>
                  <w:proofErr w:type="gramStart"/>
                  <w:r w:rsidRPr="00DF1AB5">
                    <w:rPr>
                      <w:rFonts w:eastAsia="Arial Unicode MS"/>
                      <w:color w:val="000000" w:themeColor="text1"/>
                      <w:sz w:val="20"/>
                      <w:szCs w:val="20"/>
                      <w:shd w:val="clear" w:color="auto" w:fill="FFFFFF"/>
                      <w:lang w:val="en-US"/>
                    </w:rPr>
                    <w:t xml:space="preserve">8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r w:rsidR="00DF1AB5" w:rsidRPr="00DF1AB5" w14:paraId="48DC5E06" w14:textId="77777777">
              <w:tc>
                <w:tcPr>
                  <w:tcW w:w="2365" w:type="dxa"/>
                </w:tcPr>
                <w:p w14:paraId="18EAE210"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lastRenderedPageBreak/>
                    <w:t>Slovenia</w:t>
                  </w:r>
                </w:p>
              </w:tc>
              <w:tc>
                <w:tcPr>
                  <w:tcW w:w="2366" w:type="dxa"/>
                </w:tcPr>
                <w:p w14:paraId="05EF4FFD" w14:textId="4B644BD6"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i/>
                      <w:iC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2,</w:t>
                  </w:r>
                  <w:proofErr w:type="gramStart"/>
                  <w:r w:rsidRPr="00DF1AB5">
                    <w:rPr>
                      <w:rFonts w:eastAsia="Arial Unicode MS"/>
                      <w:color w:val="000000" w:themeColor="text1"/>
                      <w:sz w:val="20"/>
                      <w:szCs w:val="20"/>
                      <w:shd w:val="clear" w:color="auto" w:fill="FFFFFF"/>
                      <w:lang w:val="en-US"/>
                    </w:rPr>
                    <w:t xml:space="preserve">0 </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w:t>
                  </w:r>
                  <w:proofErr w:type="gramEnd"/>
                </w:p>
              </w:tc>
            </w:tr>
          </w:tbl>
          <w:p w14:paraId="490FE019" w14:textId="6AF7FC95" w:rsidR="00124364" w:rsidRPr="00E34C2B" w:rsidRDefault="00000000">
            <w:pPr>
              <w:pStyle w:val="ti-art"/>
              <w:shd w:val="clear" w:color="auto" w:fill="FFFFFF"/>
              <w:spacing w:before="0" w:beforeAutospacing="0" w:after="0" w:afterAutospacing="0"/>
              <w:rPr>
                <w:rFonts w:ascii="Arial Unicode MS" w:eastAsia="Arial Unicode MS" w:hAnsi="Arial Unicode MS" w:cs="Arial Unicode MS"/>
                <w:b/>
                <w:bCs/>
                <w:color w:val="333333"/>
                <w:sz w:val="21"/>
                <w:szCs w:val="21"/>
                <w:shd w:val="clear" w:color="auto" w:fill="FFFFFF"/>
                <w:lang w:val="en-US"/>
              </w:rPr>
            </w:pPr>
            <w:hyperlink r:id="rId385" w:tooltip="32009L0029: DELETED" w:history="1">
              <w:r>
                <w:rPr>
                  <w:rStyle w:val="af3"/>
                  <w:rFonts w:eastAsia="Arial Unicode MS"/>
                  <w:b/>
                  <w:bCs/>
                  <w:color w:val="4472C4" w:themeColor="accent1"/>
                  <w:sz w:val="20"/>
                  <w:szCs w:val="20"/>
                  <w:lang w:val="en-US"/>
                </w:rPr>
                <w:t>▼M4</w:t>
              </w:r>
            </w:hyperlink>
            <w:r w:rsidR="00DF1AB5">
              <w:rPr>
                <w:rFonts w:ascii="Arial Unicode MS" w:eastAsia="Arial Unicode MS" w:hAnsi="Arial Unicode MS" w:cs="Arial Unicode MS"/>
                <w:b/>
                <w:bCs/>
                <w:color w:val="4472C4" w:themeColor="accent1"/>
                <w:sz w:val="21"/>
                <w:szCs w:val="21"/>
                <w:shd w:val="clear" w:color="auto" w:fill="FFFFFF"/>
                <w:lang w:val="en-US"/>
              </w:rPr>
              <w:t xml:space="preserve"> </w:t>
            </w:r>
            <w:r>
              <w:rPr>
                <w:rFonts w:ascii="Arial Unicode MS" w:eastAsia="Arial Unicode MS" w:hAnsi="Arial Unicode MS" w:cs="Arial Unicode MS" w:hint="eastAsia"/>
                <w:b/>
                <w:bCs/>
                <w:color w:val="333333"/>
                <w:sz w:val="21"/>
                <w:szCs w:val="21"/>
                <w:shd w:val="clear" w:color="auto" w:fill="FFFFFF"/>
                <w:lang w:val="en-US"/>
              </w:rPr>
              <w:t>—————</w:t>
            </w:r>
          </w:p>
          <w:p w14:paraId="011509B6"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86" w:tooltip="32023L0959: INSERTED" w:history="1">
              <w:r>
                <w:rPr>
                  <w:rStyle w:val="af3"/>
                  <w:rFonts w:eastAsia="Arial Unicode MS"/>
                  <w:b/>
                  <w:bCs/>
                  <w:color w:val="4472C4" w:themeColor="accent1"/>
                  <w:sz w:val="20"/>
                  <w:szCs w:val="20"/>
                </w:rPr>
                <w:t>▼M15</w:t>
              </w:r>
            </w:hyperlink>
          </w:p>
        </w:tc>
        <w:tc>
          <w:tcPr>
            <w:tcW w:w="4394" w:type="dxa"/>
            <w:shd w:val="clear" w:color="auto" w:fill="auto"/>
          </w:tcPr>
          <w:p w14:paraId="1F222A71"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B58B121" w14:textId="52581214" w:rsidR="00124364" w:rsidRDefault="003515DF" w:rsidP="00B70A91">
            <w:pPr>
              <w:pStyle w:val="ColorfulList-Accent11"/>
              <w:spacing w:after="0" w:line="240" w:lineRule="auto"/>
              <w:ind w:left="0"/>
              <w:jc w:val="center"/>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74902A35"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E3396FB" w14:textId="4EA8CEC4" w:rsidR="003515DF" w:rsidRPr="00AF078F" w:rsidRDefault="003515DF" w:rsidP="003515DF">
            <w:pPr>
              <w:autoSpaceDE w:val="0"/>
              <w:spacing w:after="0" w:line="240" w:lineRule="auto"/>
              <w:jc w:val="both"/>
              <w:rPr>
                <w:rFonts w:ascii="Times New Roman" w:hAnsi="Times New Roman"/>
                <w:sz w:val="20"/>
                <w:szCs w:val="20"/>
                <w:lang w:val="ro-RO"/>
              </w:rPr>
            </w:pPr>
            <w:r w:rsidRPr="00AF078F">
              <w:rPr>
                <w:rFonts w:ascii="Times New Roman" w:hAnsi="Times New Roman"/>
                <w:sz w:val="20"/>
                <w:szCs w:val="20"/>
                <w:shd w:val="clear" w:color="auto" w:fill="FFFFFF"/>
                <w:lang w:val="ro-RO"/>
              </w:rPr>
              <w:t xml:space="preserve">Prevederile </w:t>
            </w:r>
            <w:r w:rsidRPr="00AF078F">
              <w:rPr>
                <w:rFonts w:ascii="Times New Roman" w:hAnsi="Times New Roman"/>
                <w:sz w:val="20"/>
                <w:szCs w:val="20"/>
                <w:lang w:val="ro-RO"/>
              </w:rPr>
              <w:t>nu se transpun, deoarece nu sunt relevante pentru Republica Moldova.</w:t>
            </w:r>
          </w:p>
          <w:p w14:paraId="59B030AF" w14:textId="77777777" w:rsidR="00124364" w:rsidRDefault="00124364">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44806C9" w14:textId="77777777" w:rsidR="00124364" w:rsidRDefault="00124364" w:rsidP="00B70A91">
            <w:pPr>
              <w:autoSpaceDE w:val="0"/>
              <w:spacing w:after="0" w:line="240" w:lineRule="auto"/>
              <w:rPr>
                <w:rFonts w:ascii="Times New Roman" w:hAnsi="Times New Roman"/>
                <w:b/>
                <w:bCs/>
                <w:sz w:val="20"/>
                <w:szCs w:val="20"/>
                <w:lang w:val="fr-FR"/>
              </w:rPr>
            </w:pPr>
          </w:p>
        </w:tc>
      </w:tr>
      <w:tr w:rsidR="00124364" w14:paraId="5FF86C15" w14:textId="77777777">
        <w:trPr>
          <w:trHeight w:val="558"/>
        </w:trPr>
        <w:tc>
          <w:tcPr>
            <w:tcW w:w="4957" w:type="dxa"/>
            <w:shd w:val="clear" w:color="auto" w:fill="auto"/>
          </w:tcPr>
          <w:p w14:paraId="69C34390" w14:textId="77777777" w:rsidR="00124364" w:rsidRPr="00DF1AB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DF1AB5">
              <w:rPr>
                <w:rFonts w:eastAsia="Arial Unicode MS"/>
                <w:i/>
                <w:iCs/>
                <w:color w:val="000000" w:themeColor="text1"/>
                <w:sz w:val="20"/>
                <w:szCs w:val="20"/>
                <w:shd w:val="clear" w:color="auto" w:fill="FFFFFF"/>
                <w:lang w:val="en-US"/>
              </w:rPr>
              <w:t>ANEXA III</w:t>
            </w:r>
          </w:p>
          <w:p w14:paraId="0303D8C9" w14:textId="77777777" w:rsidR="00124364" w:rsidRPr="00DF1AB5"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 xml:space="preserve">ACTIVITATEA CARE FACE OBIECTUL CAPITOLULUI </w:t>
            </w:r>
            <w:proofErr w:type="spellStart"/>
            <w:r w:rsidRPr="00DF1AB5">
              <w:rPr>
                <w:rFonts w:eastAsia="Arial Unicode MS"/>
                <w:b/>
                <w:bCs/>
                <w:color w:val="000000" w:themeColor="text1"/>
                <w:sz w:val="20"/>
                <w:szCs w:val="20"/>
                <w:shd w:val="clear" w:color="auto" w:fill="FFFFFF"/>
                <w:lang w:val="en-US"/>
              </w:rPr>
              <w:t>IVa</w:t>
            </w:r>
            <w:proofErr w:type="spellEnd"/>
          </w:p>
          <w:tbl>
            <w:tblPr>
              <w:tblStyle w:val="af7"/>
              <w:tblW w:w="0" w:type="auto"/>
              <w:tblLayout w:type="fixed"/>
              <w:tblLook w:val="04A0" w:firstRow="1" w:lastRow="0" w:firstColumn="1" w:lastColumn="0" w:noHBand="0" w:noVBand="1"/>
            </w:tblPr>
            <w:tblGrid>
              <w:gridCol w:w="3154"/>
              <w:gridCol w:w="1577"/>
            </w:tblGrid>
            <w:tr w:rsidR="00124364" w14:paraId="0A85B97E" w14:textId="77777777">
              <w:tc>
                <w:tcPr>
                  <w:tcW w:w="3154" w:type="dxa"/>
                </w:tcPr>
                <w:p w14:paraId="45A058F5"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sidRPr="00DF1AB5">
                    <w:rPr>
                      <w:rFonts w:eastAsia="Arial Unicode MS"/>
                      <w:b/>
                      <w:bCs/>
                      <w:color w:val="333333"/>
                      <w:sz w:val="20"/>
                      <w:szCs w:val="20"/>
                      <w:shd w:val="clear" w:color="auto" w:fill="FFFFFF"/>
                    </w:rPr>
                    <w:t>Activitate</w:t>
                  </w:r>
                  <w:proofErr w:type="spellEnd"/>
                </w:p>
              </w:tc>
              <w:tc>
                <w:tcPr>
                  <w:tcW w:w="1577" w:type="dxa"/>
                </w:tcPr>
                <w:p w14:paraId="338182DA"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sidRPr="00DF1AB5">
                    <w:rPr>
                      <w:rFonts w:eastAsia="Arial Unicode MS"/>
                      <w:b/>
                      <w:bCs/>
                      <w:color w:val="333333"/>
                      <w:sz w:val="20"/>
                      <w:szCs w:val="20"/>
                      <w:shd w:val="clear" w:color="auto" w:fill="FFFFFF"/>
                      <w:lang w:val="en-US"/>
                    </w:rPr>
                    <w:t xml:space="preserve">Gaze cu </w:t>
                  </w:r>
                  <w:proofErr w:type="spellStart"/>
                  <w:r w:rsidRPr="00DF1AB5">
                    <w:rPr>
                      <w:rFonts w:eastAsia="Arial Unicode MS"/>
                      <w:b/>
                      <w:bCs/>
                      <w:color w:val="333333"/>
                      <w:sz w:val="20"/>
                      <w:szCs w:val="20"/>
                      <w:shd w:val="clear" w:color="auto" w:fill="FFFFFF"/>
                      <w:lang w:val="en-US"/>
                    </w:rPr>
                    <w:t>efect</w:t>
                  </w:r>
                  <w:proofErr w:type="spellEnd"/>
                  <w:r w:rsidRPr="00DF1AB5">
                    <w:rPr>
                      <w:rFonts w:eastAsia="Arial Unicode MS"/>
                      <w:b/>
                      <w:bCs/>
                      <w:color w:val="333333"/>
                      <w:sz w:val="20"/>
                      <w:szCs w:val="20"/>
                      <w:shd w:val="clear" w:color="auto" w:fill="FFFFFF"/>
                      <w:lang w:val="en-US"/>
                    </w:rPr>
                    <w:t xml:space="preserve"> de </w:t>
                  </w:r>
                  <w:proofErr w:type="spellStart"/>
                  <w:r w:rsidRPr="00DF1AB5">
                    <w:rPr>
                      <w:rFonts w:eastAsia="Arial Unicode MS"/>
                      <w:b/>
                      <w:bCs/>
                      <w:color w:val="333333"/>
                      <w:sz w:val="20"/>
                      <w:szCs w:val="20"/>
                      <w:shd w:val="clear" w:color="auto" w:fill="FFFFFF"/>
                      <w:lang w:val="en-US"/>
                    </w:rPr>
                    <w:t>seră</w:t>
                  </w:r>
                  <w:proofErr w:type="spellEnd"/>
                </w:p>
              </w:tc>
            </w:tr>
            <w:tr w:rsidR="00124364" w14:paraId="5EEA643F" w14:textId="77777777">
              <w:tc>
                <w:tcPr>
                  <w:tcW w:w="3154" w:type="dxa"/>
                </w:tcPr>
                <w:p w14:paraId="4729D783" w14:textId="77777777" w:rsidR="00124364" w:rsidRPr="00DF1AB5" w:rsidRDefault="00000000" w:rsidP="00DF1AB5">
                  <w:pPr>
                    <w:pStyle w:val="ti-art"/>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rPr>
                  </w:pPr>
                  <w:proofErr w:type="spellStart"/>
                  <w:r w:rsidRPr="00DF1AB5">
                    <w:rPr>
                      <w:rFonts w:eastAsia="Arial Unicode MS"/>
                      <w:color w:val="000000" w:themeColor="text1"/>
                      <w:sz w:val="20"/>
                      <w:szCs w:val="20"/>
                      <w:shd w:val="clear" w:color="auto" w:fill="FFFFFF"/>
                      <w:lang w:val="en-US"/>
                    </w:rPr>
                    <w:t>Eliberarea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combustibililor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ardere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sectorul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clădirilor</w:t>
                  </w:r>
                  <w:proofErr w:type="spellEnd"/>
                  <w:r w:rsidRPr="00DF1AB5">
                    <w:rPr>
                      <w:rFonts w:eastAsia="Arial Unicode MS"/>
                      <w:color w:val="000000" w:themeColor="text1"/>
                      <w:sz w:val="20"/>
                      <w:szCs w:val="20"/>
                      <w:shd w:val="clear" w:color="auto" w:fill="FFFFFF"/>
                      <w:lang w:val="en-US"/>
                    </w:rPr>
                    <w:t xml:space="preserve">, al </w:t>
                  </w:r>
                  <w:proofErr w:type="spellStart"/>
                  <w:r w:rsidRPr="00DF1AB5">
                    <w:rPr>
                      <w:rFonts w:eastAsia="Arial Unicode MS"/>
                      <w:color w:val="000000" w:themeColor="text1"/>
                      <w:sz w:val="20"/>
                      <w:szCs w:val="20"/>
                      <w:shd w:val="clear" w:color="auto" w:fill="FFFFFF"/>
                      <w:lang w:val="en-US"/>
                    </w:rPr>
                    <w:t>transportului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rutier</w:t>
                  </w:r>
                  <w:proofErr w:type="spellEnd"/>
                  <w:r w:rsidRPr="00DF1AB5">
                    <w:rPr>
                      <w:rFonts w:eastAsia="Arial Unicode MS"/>
                      <w:color w:val="000000" w:themeColor="text1"/>
                      <w:sz w:val="20"/>
                      <w:szCs w:val="20"/>
                      <w:shd w:val="clear" w:color="auto" w:fill="FFFFFF"/>
                      <w:lang w:val="en-US"/>
                    </w:rPr>
                    <w:t xml:space="preserve"> și în </w:t>
                  </w:r>
                  <w:proofErr w:type="spellStart"/>
                  <w:r w:rsidRPr="00DF1AB5">
                    <w:rPr>
                      <w:rFonts w:eastAsia="Arial Unicode MS"/>
                      <w:color w:val="000000" w:themeColor="text1"/>
                      <w:sz w:val="20"/>
                      <w:szCs w:val="20"/>
                      <w:shd w:val="clear" w:color="auto" w:fill="FFFFFF"/>
                      <w:lang w:val="en-US"/>
                    </w:rPr>
                    <w:t>alte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sectoare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rPr>
                    <w:t>Această</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activitate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nu</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include</w:t>
                  </w:r>
                  <w:proofErr w:type="spellEnd"/>
                  <w:r w:rsidRPr="00DF1AB5">
                    <w:rPr>
                      <w:rFonts w:eastAsia="Arial Unicode MS"/>
                      <w:color w:val="000000" w:themeColor="text1"/>
                      <w:sz w:val="20"/>
                      <w:szCs w:val="20"/>
                      <w:shd w:val="clear" w:color="auto" w:fill="FFFFFF"/>
                    </w:rPr>
                    <w:t>:</w:t>
                  </w:r>
                </w:p>
                <w:p w14:paraId="2B3D9408" w14:textId="3FA8D64F" w:rsidR="00124364" w:rsidRPr="00DF1AB5" w:rsidRDefault="00000000" w:rsidP="00DF1AB5">
                  <w:pPr>
                    <w:pStyle w:val="ti-art"/>
                    <w:framePr w:hSpace="180" w:wrap="around" w:vAnchor="text" w:hAnchor="text" w:x="-136" w:y="1"/>
                    <w:numPr>
                      <w:ilvl w:val="0"/>
                      <w:numId w:val="167"/>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eliberarea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combustibililor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utilizați</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cazului</w:t>
                  </w:r>
                  <w:proofErr w:type="spellEnd"/>
                  <w:r w:rsidRPr="00DF1AB5">
                    <w:rPr>
                      <w:rFonts w:eastAsia="Arial Unicode MS"/>
                      <w:color w:val="000000" w:themeColor="text1"/>
                      <w:sz w:val="20"/>
                      <w:szCs w:val="20"/>
                      <w:shd w:val="clear" w:color="auto" w:fill="FFFFFF"/>
                      <w:lang w:val="en-US"/>
                    </w:rPr>
                    <w:t xml:space="preserve"> în care sunt </w:t>
                  </w:r>
                  <w:proofErr w:type="spellStart"/>
                  <w:r w:rsidRPr="00DF1AB5">
                    <w:rPr>
                      <w:rFonts w:eastAsia="Arial Unicode MS"/>
                      <w:color w:val="000000" w:themeColor="text1"/>
                      <w:sz w:val="20"/>
                      <w:szCs w:val="20"/>
                      <w:shd w:val="clear" w:color="auto" w:fill="FFFFFF"/>
                      <w:lang w:val="en-US"/>
                    </w:rPr>
                    <w:t>utilizați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ardere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cadrul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transport al </w:t>
                  </w:r>
                  <w:proofErr w:type="spellStart"/>
                  <w:r w:rsidRPr="00DF1AB5">
                    <w:rPr>
                      <w:rFonts w:eastAsia="Arial Unicode MS"/>
                      <w:color w:val="000000" w:themeColor="text1"/>
                      <w:sz w:val="20"/>
                      <w:szCs w:val="20"/>
                      <w:shd w:val="clear" w:color="auto" w:fill="FFFFFF"/>
                      <w:lang w:val="en-US"/>
                    </w:rPr>
                    <w:t>gazelor</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vederea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stocării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geologice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astfel</w:t>
                  </w:r>
                  <w:proofErr w:type="spellEnd"/>
                  <w:r w:rsidRPr="00DF1AB5">
                    <w:rPr>
                      <w:rFonts w:eastAsia="Arial Unicode MS"/>
                      <w:color w:val="000000" w:themeColor="text1"/>
                      <w:sz w:val="20"/>
                      <w:szCs w:val="20"/>
                      <w:shd w:val="clear" w:color="auto" w:fill="FFFFFF"/>
                      <w:lang w:val="en-US"/>
                    </w:rPr>
                    <w:t xml:space="preserve"> cum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prevăzut</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tabel</w:t>
                  </w:r>
                  <w:proofErr w:type="spellEnd"/>
                  <w:r w:rsidRPr="00DF1AB5">
                    <w:rPr>
                      <w:rFonts w:eastAsia="Arial Unicode MS"/>
                      <w:color w:val="000000" w:themeColor="text1"/>
                      <w:sz w:val="20"/>
                      <w:szCs w:val="20"/>
                      <w:shd w:val="clear" w:color="auto" w:fill="FFFFFF"/>
                      <w:lang w:val="en-US"/>
                    </w:rPr>
                    <w:t xml:space="preserve">, la al </w:t>
                  </w:r>
                  <w:proofErr w:type="spellStart"/>
                  <w:r w:rsidRPr="00DF1AB5">
                    <w:rPr>
                      <w:rFonts w:eastAsia="Arial Unicode MS"/>
                      <w:color w:val="000000" w:themeColor="text1"/>
                      <w:sz w:val="20"/>
                      <w:szCs w:val="20"/>
                      <w:shd w:val="clear" w:color="auto" w:fill="FFFFFF"/>
                      <w:lang w:val="en-US"/>
                    </w:rPr>
                    <w:t>douăzeci</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șaptelea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rând</w:t>
                  </w:r>
                  <w:proofErr w:type="spellEnd"/>
                  <w:r w:rsidRPr="00DF1AB5">
                    <w:rPr>
                      <w:rFonts w:eastAsia="Arial Unicode MS"/>
                      <w:color w:val="000000" w:themeColor="text1"/>
                      <w:sz w:val="20"/>
                      <w:szCs w:val="20"/>
                      <w:shd w:val="clear" w:color="auto" w:fill="FFFFFF"/>
                      <w:lang w:val="en-US"/>
                    </w:rPr>
                    <w:t xml:space="preserve"> al </w:t>
                  </w:r>
                  <w:proofErr w:type="spellStart"/>
                  <w:r w:rsidRPr="00DF1AB5">
                    <w:rPr>
                      <w:rFonts w:eastAsia="Arial Unicode MS"/>
                      <w:color w:val="000000" w:themeColor="text1"/>
                      <w:sz w:val="20"/>
                      <w:szCs w:val="20"/>
                      <w:shd w:val="clear" w:color="auto" w:fill="FFFFFF"/>
                      <w:lang w:val="en-US"/>
                    </w:rPr>
                    <w:t>anexei</w:t>
                  </w:r>
                  <w:proofErr w:type="spellEnd"/>
                  <w:r w:rsidRPr="00DF1AB5">
                    <w:rPr>
                      <w:rFonts w:eastAsia="Arial Unicode MS"/>
                      <w:color w:val="000000" w:themeColor="text1"/>
                      <w:sz w:val="20"/>
                      <w:szCs w:val="20"/>
                      <w:shd w:val="clear" w:color="auto" w:fill="FFFFFF"/>
                      <w:lang w:val="en-US"/>
                    </w:rPr>
                    <w:t xml:space="preserve"> respective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dacă</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utilizați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ardere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instalații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excluse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articolului</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27a;</w:t>
                  </w:r>
                </w:p>
                <w:p w14:paraId="7464CFC5" w14:textId="77777777" w:rsidR="00124364" w:rsidRPr="00DF1AB5" w:rsidRDefault="00000000" w:rsidP="00DF1AB5">
                  <w:pPr>
                    <w:pStyle w:val="ti-art"/>
                    <w:framePr w:hSpace="180" w:wrap="around" w:vAnchor="text" w:hAnchor="text" w:x="-136" w:y="1"/>
                    <w:numPr>
                      <w:ilvl w:val="0"/>
                      <w:numId w:val="167"/>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eliberarea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combustibililor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zero;</w:t>
                  </w:r>
                </w:p>
                <w:p w14:paraId="5A83A2BD" w14:textId="77777777" w:rsidR="00124364" w:rsidRPr="00DF1AB5" w:rsidRDefault="00000000" w:rsidP="00DF1AB5">
                  <w:pPr>
                    <w:pStyle w:val="ti-art"/>
                    <w:framePr w:hSpace="180" w:wrap="around" w:vAnchor="text" w:hAnchor="text" w:x="-136" w:y="1"/>
                    <w:numPr>
                      <w:ilvl w:val="0"/>
                      <w:numId w:val="167"/>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eliberarea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deșeurilor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periculoase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municipale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drept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w:t>
                  </w:r>
                </w:p>
                <w:p w14:paraId="07071557" w14:textId="77777777" w:rsidR="00124364" w:rsidRPr="00DF1AB5" w:rsidRDefault="00000000" w:rsidP="00DF1AB5">
                  <w:pPr>
                    <w:pStyle w:val="ti-art"/>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Sectoarele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clădirilor</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transportului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rutier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corespund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următoarelor</w:t>
                  </w:r>
                  <w:proofErr w:type="spellEnd"/>
                  <w:r w:rsidRPr="00DF1AB5">
                    <w:rPr>
                      <w:rFonts w:eastAsia="Arial Unicode MS"/>
                      <w:color w:val="000000" w:themeColor="text1"/>
                      <w:sz w:val="20"/>
                      <w:szCs w:val="20"/>
                      <w:shd w:val="clear" w:color="auto" w:fill="FFFFFF"/>
                      <w:lang w:val="en-US"/>
                    </w:rPr>
                    <w:t xml:space="preserve"> surse de </w:t>
                  </w:r>
                  <w:proofErr w:type="spellStart"/>
                  <w:r w:rsidRPr="00DF1AB5">
                    <w:rPr>
                      <w:rFonts w:eastAsia="Arial Unicode MS"/>
                      <w:color w:val="000000" w:themeColor="text1"/>
                      <w:sz w:val="20"/>
                      <w:szCs w:val="20"/>
                      <w:shd w:val="clear" w:color="auto" w:fill="FFFFFF"/>
                      <w:lang w:val="en-US"/>
                    </w:rPr>
                    <w:t>emisii</w:t>
                  </w:r>
                  <w:proofErr w:type="spellEnd"/>
                  <w:r w:rsidRPr="00DF1AB5">
                    <w:rPr>
                      <w:rFonts w:eastAsia="Arial Unicode MS"/>
                      <w:color w:val="000000" w:themeColor="text1"/>
                      <w:sz w:val="20"/>
                      <w:szCs w:val="20"/>
                      <w:shd w:val="clear" w:color="auto" w:fill="FFFFFF"/>
                      <w:lang w:val="en-US"/>
                    </w:rPr>
                    <w:t xml:space="preserve">, definite în </w:t>
                  </w:r>
                  <w:proofErr w:type="spellStart"/>
                  <w:r w:rsidRPr="00DF1AB5">
                    <w:rPr>
                      <w:rFonts w:eastAsia="Arial Unicode MS"/>
                      <w:color w:val="000000" w:themeColor="text1"/>
                      <w:sz w:val="20"/>
                      <w:szCs w:val="20"/>
                      <w:shd w:val="clear" w:color="auto" w:fill="FFFFFF"/>
                      <w:lang w:val="en-US"/>
                    </w:rPr>
                    <w:t>Orientările</w:t>
                  </w:r>
                  <w:proofErr w:type="spellEnd"/>
                  <w:r w:rsidRPr="00DF1AB5">
                    <w:rPr>
                      <w:rFonts w:eastAsia="Arial Unicode MS"/>
                      <w:color w:val="000000" w:themeColor="text1"/>
                      <w:sz w:val="20"/>
                      <w:szCs w:val="20"/>
                      <w:shd w:val="clear" w:color="auto" w:fill="FFFFFF"/>
                      <w:lang w:val="en-US"/>
                    </w:rPr>
                    <w:t xml:space="preserve"> IPCC din 2006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inventarele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naționale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gazelor</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modificările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necesare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definițiilor</w:t>
                  </w:r>
                  <w:proofErr w:type="spellEnd"/>
                  <w:r w:rsidRPr="00DF1AB5">
                    <w:rPr>
                      <w:rFonts w:eastAsia="Arial Unicode MS"/>
                      <w:color w:val="000000" w:themeColor="text1"/>
                      <w:sz w:val="20"/>
                      <w:szCs w:val="20"/>
                      <w:shd w:val="clear" w:color="auto" w:fill="FFFFFF"/>
                      <w:lang w:val="en-US"/>
                    </w:rPr>
                    <w:t xml:space="preserve"> respective,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cum </w:t>
                  </w:r>
                  <w:proofErr w:type="spellStart"/>
                  <w:r w:rsidRPr="00DF1AB5">
                    <w:rPr>
                      <w:rFonts w:eastAsia="Arial Unicode MS"/>
                      <w:color w:val="000000" w:themeColor="text1"/>
                      <w:sz w:val="20"/>
                      <w:szCs w:val="20"/>
                      <w:shd w:val="clear" w:color="auto" w:fill="FFFFFF"/>
                      <w:lang w:val="en-US"/>
                    </w:rPr>
                    <w:t>urmează</w:t>
                  </w:r>
                  <w:proofErr w:type="spellEnd"/>
                  <w:r w:rsidRPr="00DF1AB5">
                    <w:rPr>
                      <w:rFonts w:eastAsia="Arial Unicode MS"/>
                      <w:color w:val="000000" w:themeColor="text1"/>
                      <w:sz w:val="20"/>
                      <w:szCs w:val="20"/>
                      <w:shd w:val="clear" w:color="auto" w:fill="FFFFFF"/>
                      <w:lang w:val="en-US"/>
                    </w:rPr>
                    <w:t>:</w:t>
                  </w:r>
                </w:p>
                <w:p w14:paraId="35CA5491" w14:textId="77777777" w:rsidR="00124364" w:rsidRDefault="00000000" w:rsidP="00DF1AB5">
                  <w:pPr>
                    <w:pStyle w:val="ti-art"/>
                    <w:framePr w:hSpace="180" w:wrap="around" w:vAnchor="text" w:hAnchor="text" w:x="-136" w:y="1"/>
                    <w:numPr>
                      <w:ilvl w:val="0"/>
                      <w:numId w:val="168"/>
                    </w:numPr>
                    <w:spacing w:before="0" w:beforeAutospacing="0" w:after="0" w:afterAutospacing="0"/>
                    <w:suppressOverlap/>
                    <w:jc w:val="both"/>
                    <w:rPr>
                      <w:rFonts w:eastAsia="Arial Unicode MS"/>
                      <w:color w:val="333333"/>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generarea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combinată</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căldură</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energie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electrică</w:t>
                  </w:r>
                  <w:proofErr w:type="spellEnd"/>
                  <w:r w:rsidRPr="00DF1AB5">
                    <w:rPr>
                      <w:rFonts w:eastAsia="Arial Unicode MS"/>
                      <w:color w:val="000000" w:themeColor="text1"/>
                      <w:sz w:val="20"/>
                      <w:szCs w:val="20"/>
                      <w:shd w:val="clear" w:color="auto" w:fill="FFFFFF"/>
                      <w:lang w:val="en-US"/>
                    </w:rPr>
                    <w:t xml:space="preserve"> (CHP)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lastRenderedPageBreak/>
                    <w:t>sursă</w:t>
                  </w:r>
                  <w:proofErr w:type="spellEnd"/>
                  <w:r w:rsidRPr="00DF1AB5">
                    <w:rPr>
                      <w:rFonts w:eastAsia="Arial Unicode MS"/>
                      <w:color w:val="000000" w:themeColor="text1"/>
                      <w:sz w:val="20"/>
                      <w:szCs w:val="20"/>
                      <w:shd w:val="clear" w:color="auto" w:fill="FFFFFF"/>
                      <w:lang w:val="en-US"/>
                    </w:rPr>
                    <w:t xml:space="preserve"> 1A1a ii) și centrale </w:t>
                  </w:r>
                  <w:proofErr w:type="spellStart"/>
                  <w:r w:rsidRPr="00DF1AB5">
                    <w:rPr>
                      <w:rFonts w:eastAsia="Arial Unicode MS"/>
                      <w:color w:val="000000" w:themeColor="text1"/>
                      <w:sz w:val="20"/>
                      <w:szCs w:val="20"/>
                      <w:shd w:val="clear" w:color="auto" w:fill="FFFFFF"/>
                      <w:lang w:val="en-US"/>
                    </w:rPr>
                    <w:t>termice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xml:space="preserve"> 1A1a iii), în </w:t>
                  </w:r>
                  <w:proofErr w:type="spellStart"/>
                  <w:r w:rsidRPr="00DF1AB5">
                    <w:rPr>
                      <w:rFonts w:eastAsia="Arial Unicode MS"/>
                      <w:color w:val="000000" w:themeColor="text1"/>
                      <w:sz w:val="20"/>
                      <w:szCs w:val="20"/>
                      <w:shd w:val="clear" w:color="auto" w:fill="FFFFFF"/>
                      <w:lang w:val="en-US"/>
                    </w:rPr>
                    <w:t>măsura</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acestea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produc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căldură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vizate</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literele</w:t>
                  </w:r>
                  <w:proofErr w:type="spellEnd"/>
                  <w:r w:rsidRPr="00DF1AB5">
                    <w:rPr>
                      <w:rFonts w:eastAsia="Arial Unicode MS"/>
                      <w:color w:val="000000" w:themeColor="text1"/>
                      <w:sz w:val="20"/>
                      <w:szCs w:val="20"/>
                      <w:shd w:val="clear" w:color="auto" w:fill="FFFFFF"/>
                      <w:lang w:val="en-US"/>
                    </w:rPr>
                    <w:t xml:space="preserve"> (c) și (d) de la </w:t>
                  </w:r>
                  <w:proofErr w:type="spellStart"/>
                  <w:r w:rsidRPr="00DF1AB5">
                    <w:rPr>
                      <w:rFonts w:eastAsia="Arial Unicode MS"/>
                      <w:color w:val="000000" w:themeColor="text1"/>
                      <w:sz w:val="20"/>
                      <w:szCs w:val="20"/>
                      <w:shd w:val="clear" w:color="auto" w:fill="FFFFFF"/>
                      <w:lang w:val="en-US"/>
                    </w:rPr>
                    <w:t>prezentul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paragraf</w:t>
                  </w:r>
                  <w:proofErr w:type="spellEnd"/>
                  <w:r w:rsidRPr="00DF1AB5">
                    <w:rPr>
                      <w:rFonts w:eastAsia="Arial Unicode MS"/>
                      <w:color w:val="000000" w:themeColor="text1"/>
                      <w:sz w:val="20"/>
                      <w:szCs w:val="20"/>
                      <w:shd w:val="clear" w:color="auto" w:fill="FFFFFF"/>
                      <w:lang w:val="en-US"/>
                    </w:rPr>
                    <w:t xml:space="preserve">, fie direct, fie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intermediul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rețelelor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termoficare</w:t>
                  </w:r>
                  <w:proofErr w:type="spellEnd"/>
                  <w:r w:rsidRPr="00DF1AB5">
                    <w:rPr>
                      <w:rFonts w:eastAsia="Arial Unicode MS"/>
                      <w:color w:val="000000" w:themeColor="text1"/>
                      <w:sz w:val="20"/>
                      <w:szCs w:val="20"/>
                      <w:shd w:val="clear" w:color="auto" w:fill="FFFFFF"/>
                      <w:lang w:val="en-US"/>
                    </w:rPr>
                    <w:t>;</w:t>
                  </w:r>
                </w:p>
              </w:tc>
              <w:tc>
                <w:tcPr>
                  <w:tcW w:w="1577" w:type="dxa"/>
                </w:tcPr>
                <w:p w14:paraId="2E1B0DBA" w14:textId="77777777" w:rsidR="00124364" w:rsidRPr="00DF1AB5" w:rsidRDefault="00000000"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sidRPr="00DF1AB5">
                    <w:rPr>
                      <w:rFonts w:eastAsia="Arial Unicode MS"/>
                      <w:color w:val="333333"/>
                      <w:sz w:val="20"/>
                      <w:szCs w:val="20"/>
                      <w:shd w:val="clear" w:color="auto" w:fill="FFFFFF"/>
                    </w:rPr>
                    <w:lastRenderedPageBreak/>
                    <w:t>Dioxid</w:t>
                  </w:r>
                  <w:proofErr w:type="spellEnd"/>
                  <w:r w:rsidRPr="00DF1AB5">
                    <w:rPr>
                      <w:rFonts w:eastAsia="Arial Unicode MS"/>
                      <w:color w:val="333333"/>
                      <w:sz w:val="20"/>
                      <w:szCs w:val="20"/>
                      <w:shd w:val="clear" w:color="auto" w:fill="FFFFFF"/>
                    </w:rPr>
                    <w:t xml:space="preserve"> </w:t>
                  </w:r>
                  <w:proofErr w:type="spellStart"/>
                  <w:r w:rsidRPr="00DF1AB5">
                    <w:rPr>
                      <w:rFonts w:eastAsia="Arial Unicode MS"/>
                      <w:color w:val="333333"/>
                      <w:sz w:val="20"/>
                      <w:szCs w:val="20"/>
                      <w:shd w:val="clear" w:color="auto" w:fill="FFFFFF"/>
                    </w:rPr>
                    <w:t>de</w:t>
                  </w:r>
                  <w:proofErr w:type="spellEnd"/>
                  <w:r w:rsidRPr="00DF1AB5">
                    <w:rPr>
                      <w:rFonts w:eastAsia="Arial Unicode MS"/>
                      <w:color w:val="333333"/>
                      <w:sz w:val="20"/>
                      <w:szCs w:val="20"/>
                      <w:shd w:val="clear" w:color="auto" w:fill="FFFFFF"/>
                    </w:rPr>
                    <w:t xml:space="preserve"> carbon (CO</w:t>
                  </w:r>
                  <w:r w:rsidRPr="00DF1AB5">
                    <w:rPr>
                      <w:rStyle w:val="subscript"/>
                      <w:rFonts w:eastAsia="Arial Unicode MS"/>
                      <w:color w:val="333333"/>
                      <w:sz w:val="20"/>
                      <w:szCs w:val="20"/>
                      <w:vertAlign w:val="subscript"/>
                    </w:rPr>
                    <w:t>2</w:t>
                  </w:r>
                  <w:r w:rsidRPr="00DF1AB5">
                    <w:rPr>
                      <w:rFonts w:eastAsia="Arial Unicode MS"/>
                      <w:color w:val="333333"/>
                      <w:sz w:val="20"/>
                      <w:szCs w:val="20"/>
                      <w:shd w:val="clear" w:color="auto" w:fill="FFFFFF"/>
                    </w:rPr>
                    <w:t>)</w:t>
                  </w:r>
                </w:p>
              </w:tc>
            </w:tr>
            <w:tr w:rsidR="00124364" w14:paraId="77918009" w14:textId="77777777">
              <w:tc>
                <w:tcPr>
                  <w:tcW w:w="3154" w:type="dxa"/>
                </w:tcPr>
                <w:p w14:paraId="6114B042" w14:textId="77777777" w:rsidR="00124364" w:rsidRPr="00DF1AB5" w:rsidRDefault="00000000" w:rsidP="00DF1AB5">
                  <w:pPr>
                    <w:pStyle w:val="ti-art"/>
                    <w:framePr w:hSpace="180" w:wrap="around" w:vAnchor="text" w:hAnchor="text" w:x="-136" w:y="1"/>
                    <w:numPr>
                      <w:ilvl w:val="0"/>
                      <w:numId w:val="168"/>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transportul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rutier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xml:space="preserve"> 1A3b),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utilizării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vehiculelor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agricole</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drumuri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asfaltate</w:t>
                  </w:r>
                  <w:proofErr w:type="spellEnd"/>
                  <w:r w:rsidRPr="00DF1AB5">
                    <w:rPr>
                      <w:rFonts w:eastAsia="Arial Unicode MS"/>
                      <w:color w:val="000000" w:themeColor="text1"/>
                      <w:sz w:val="20"/>
                      <w:szCs w:val="20"/>
                      <w:shd w:val="clear" w:color="auto" w:fill="FFFFFF"/>
                      <w:lang w:val="en-US"/>
                    </w:rPr>
                    <w:t>;</w:t>
                  </w:r>
                </w:p>
                <w:p w14:paraId="71BAB8FA" w14:textId="77777777" w:rsidR="00124364" w:rsidRPr="00DF1AB5" w:rsidRDefault="00000000" w:rsidP="00DF1AB5">
                  <w:pPr>
                    <w:pStyle w:val="ti-art"/>
                    <w:framePr w:hSpace="180" w:wrap="around" w:vAnchor="text" w:hAnchor="text" w:x="-136" w:y="1"/>
                    <w:numPr>
                      <w:ilvl w:val="0"/>
                      <w:numId w:val="168"/>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clădiri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comerciale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instituționale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1A4a);</w:t>
                  </w:r>
                </w:p>
                <w:p w14:paraId="23574955" w14:textId="77777777" w:rsidR="00124364" w:rsidRPr="00DF1AB5" w:rsidRDefault="00000000" w:rsidP="00DF1AB5">
                  <w:pPr>
                    <w:pStyle w:val="ti-art"/>
                    <w:framePr w:hSpace="180" w:wrap="around" w:vAnchor="text" w:hAnchor="text" w:x="-136" w:y="1"/>
                    <w:numPr>
                      <w:ilvl w:val="0"/>
                      <w:numId w:val="168"/>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clădiri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rezidențiale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xml:space="preserve"> 1A4b).</w:t>
                  </w:r>
                </w:p>
                <w:p w14:paraId="66A4F4C1" w14:textId="77777777" w:rsidR="00124364" w:rsidRPr="00DF1AB5" w:rsidRDefault="00000000" w:rsidP="00DF1AB5">
                  <w:pPr>
                    <w:pStyle w:val="ti-art"/>
                    <w:framePr w:hSpace="180" w:wrap="around" w:vAnchor="text" w:hAnchor="text" w:x="-136" w:y="1"/>
                    <w:spacing w:before="0" w:beforeAutospacing="0" w:after="0" w:afterAutospacing="0"/>
                    <w:suppressOverlap/>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Alte </w:t>
                  </w:r>
                  <w:proofErr w:type="spellStart"/>
                  <w:r w:rsidRPr="00DF1AB5">
                    <w:rPr>
                      <w:rFonts w:eastAsia="Arial Unicode MS"/>
                      <w:color w:val="000000" w:themeColor="text1"/>
                      <w:sz w:val="20"/>
                      <w:szCs w:val="20"/>
                      <w:shd w:val="clear" w:color="auto" w:fill="FFFFFF"/>
                      <w:lang w:val="en-US"/>
                    </w:rPr>
                    <w:t>sectoare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corespund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următoarelor</w:t>
                  </w:r>
                  <w:proofErr w:type="spellEnd"/>
                  <w:r w:rsidRPr="00DF1AB5">
                    <w:rPr>
                      <w:rFonts w:eastAsia="Arial Unicode MS"/>
                      <w:color w:val="000000" w:themeColor="text1"/>
                      <w:sz w:val="20"/>
                      <w:szCs w:val="20"/>
                      <w:shd w:val="clear" w:color="auto" w:fill="FFFFFF"/>
                      <w:lang w:val="en-US"/>
                    </w:rPr>
                    <w:t xml:space="preserve"> surse de </w:t>
                  </w:r>
                  <w:proofErr w:type="spellStart"/>
                  <w:r w:rsidRPr="00DF1AB5">
                    <w:rPr>
                      <w:rFonts w:eastAsia="Arial Unicode MS"/>
                      <w:color w:val="000000" w:themeColor="text1"/>
                      <w:sz w:val="20"/>
                      <w:szCs w:val="20"/>
                      <w:shd w:val="clear" w:color="auto" w:fill="FFFFFF"/>
                      <w:lang w:val="en-US"/>
                    </w:rPr>
                    <w:t>emisii</w:t>
                  </w:r>
                  <w:proofErr w:type="spellEnd"/>
                  <w:r w:rsidRPr="00DF1AB5">
                    <w:rPr>
                      <w:rFonts w:eastAsia="Arial Unicode MS"/>
                      <w:color w:val="000000" w:themeColor="text1"/>
                      <w:sz w:val="20"/>
                      <w:szCs w:val="20"/>
                      <w:shd w:val="clear" w:color="auto" w:fill="FFFFFF"/>
                      <w:lang w:val="en-US"/>
                    </w:rPr>
                    <w:t xml:space="preserve">, definite în </w:t>
                  </w:r>
                  <w:proofErr w:type="spellStart"/>
                  <w:r w:rsidRPr="00DF1AB5">
                    <w:rPr>
                      <w:rFonts w:eastAsia="Arial Unicode MS"/>
                      <w:color w:val="000000" w:themeColor="text1"/>
                      <w:sz w:val="20"/>
                      <w:szCs w:val="20"/>
                      <w:shd w:val="clear" w:color="auto" w:fill="FFFFFF"/>
                      <w:lang w:val="en-US"/>
                    </w:rPr>
                    <w:t>orientările</w:t>
                  </w:r>
                  <w:proofErr w:type="spellEnd"/>
                  <w:r w:rsidRPr="00DF1AB5">
                    <w:rPr>
                      <w:rFonts w:eastAsia="Arial Unicode MS"/>
                      <w:color w:val="000000" w:themeColor="text1"/>
                      <w:sz w:val="20"/>
                      <w:szCs w:val="20"/>
                      <w:shd w:val="clear" w:color="auto" w:fill="FFFFFF"/>
                      <w:lang w:val="en-US"/>
                    </w:rPr>
                    <w:t xml:space="preserve"> IPCC din 2006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inventarele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naționale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gazelor</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w:t>
                  </w:r>
                </w:p>
                <w:p w14:paraId="614E76C3" w14:textId="77777777" w:rsidR="00124364" w:rsidRPr="00DF1AB5" w:rsidRDefault="00000000" w:rsidP="00DF1AB5">
                  <w:pPr>
                    <w:pStyle w:val="ti-art"/>
                    <w:framePr w:hSpace="180" w:wrap="around" w:vAnchor="text" w:hAnchor="text" w:x="-136" w:y="1"/>
                    <w:numPr>
                      <w:ilvl w:val="0"/>
                      <w:numId w:val="169"/>
                    </w:numPr>
                    <w:spacing w:before="0" w:beforeAutospacing="0" w:after="0" w:afterAutospacing="0"/>
                    <w:suppressOverlap/>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industriile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energetice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xml:space="preserve"> 1A1),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categoriilor</w:t>
                  </w:r>
                  <w:proofErr w:type="spellEnd"/>
                  <w:r w:rsidRPr="00DF1AB5">
                    <w:rPr>
                      <w:rFonts w:eastAsia="Arial Unicode MS"/>
                      <w:color w:val="000000" w:themeColor="text1"/>
                      <w:sz w:val="20"/>
                      <w:szCs w:val="20"/>
                      <w:shd w:val="clear" w:color="auto" w:fill="FFFFFF"/>
                      <w:lang w:val="en-US"/>
                    </w:rPr>
                    <w:t xml:space="preserve"> definite la al </w:t>
                  </w:r>
                  <w:proofErr w:type="spellStart"/>
                  <w:r w:rsidRPr="00DF1AB5">
                    <w:rPr>
                      <w:rFonts w:eastAsia="Arial Unicode MS"/>
                      <w:color w:val="000000" w:themeColor="text1"/>
                      <w:sz w:val="20"/>
                      <w:szCs w:val="20"/>
                      <w:shd w:val="clear" w:color="auto" w:fill="FFFFFF"/>
                      <w:lang w:val="en-US"/>
                    </w:rPr>
                    <w:t>doilea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paragraf</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litera</w:t>
                  </w:r>
                  <w:proofErr w:type="spellEnd"/>
                  <w:r w:rsidRPr="00DF1AB5">
                    <w:rPr>
                      <w:rFonts w:eastAsia="Arial Unicode MS"/>
                      <w:color w:val="000000" w:themeColor="text1"/>
                      <w:sz w:val="20"/>
                      <w:szCs w:val="20"/>
                      <w:shd w:val="clear" w:color="auto" w:fill="FFFFFF"/>
                      <w:lang w:val="en-US"/>
                    </w:rPr>
                    <w:t xml:space="preserve"> (a) din prezenta </w:t>
                  </w:r>
                  <w:proofErr w:type="spellStart"/>
                  <w:r w:rsidRPr="00DF1AB5">
                    <w:rPr>
                      <w:rFonts w:eastAsia="Arial Unicode MS"/>
                      <w:color w:val="000000" w:themeColor="text1"/>
                      <w:sz w:val="20"/>
                      <w:szCs w:val="20"/>
                      <w:shd w:val="clear" w:color="auto" w:fill="FFFFFF"/>
                      <w:lang w:val="en-US"/>
                    </w:rPr>
                    <w:t>anexă</w:t>
                  </w:r>
                  <w:proofErr w:type="spellEnd"/>
                  <w:r w:rsidRPr="00DF1AB5">
                    <w:rPr>
                      <w:rFonts w:eastAsia="Arial Unicode MS"/>
                      <w:color w:val="000000" w:themeColor="text1"/>
                      <w:sz w:val="20"/>
                      <w:szCs w:val="20"/>
                      <w:shd w:val="clear" w:color="auto" w:fill="FFFFFF"/>
                      <w:lang w:val="en-US"/>
                    </w:rPr>
                    <w:t>;</w:t>
                  </w:r>
                </w:p>
                <w:p w14:paraId="1A2F1133" w14:textId="77777777" w:rsidR="00124364" w:rsidRDefault="00000000" w:rsidP="00DF1AB5">
                  <w:pPr>
                    <w:pStyle w:val="ti-art"/>
                    <w:framePr w:hSpace="180" w:wrap="around" w:vAnchor="text" w:hAnchor="text" w:x="-136" w:y="1"/>
                    <w:numPr>
                      <w:ilvl w:val="0"/>
                      <w:numId w:val="169"/>
                    </w:numPr>
                    <w:spacing w:before="0" w:beforeAutospacing="0" w:after="0" w:afterAutospacing="0"/>
                    <w:suppressOverlap/>
                    <w:jc w:val="both"/>
                    <w:rPr>
                      <w:rFonts w:eastAsia="Arial Unicode MS"/>
                      <w:color w:val="333333"/>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industriile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prelucrătoare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sectorul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clădirilor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categoriei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sursă</w:t>
                  </w:r>
                  <w:proofErr w:type="spellEnd"/>
                  <w:r w:rsidRPr="00DF1AB5">
                    <w:rPr>
                      <w:rFonts w:eastAsia="Arial Unicode MS"/>
                      <w:color w:val="000000" w:themeColor="text1"/>
                      <w:sz w:val="20"/>
                      <w:szCs w:val="20"/>
                      <w:shd w:val="clear" w:color="auto" w:fill="FFFFFF"/>
                      <w:lang w:val="en-US"/>
                    </w:rPr>
                    <w:t xml:space="preserve"> 1A2).</w:t>
                  </w:r>
                </w:p>
              </w:tc>
              <w:tc>
                <w:tcPr>
                  <w:tcW w:w="1577" w:type="dxa"/>
                </w:tcPr>
                <w:p w14:paraId="1AB39CC2" w14:textId="77777777" w:rsidR="00124364" w:rsidRDefault="00124364" w:rsidP="00E34C2B">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r>
          </w:tbl>
          <w:p w14:paraId="23E9D700" w14:textId="77777777" w:rsidR="00124364" w:rsidRDefault="00124364">
            <w:pPr>
              <w:pStyle w:val="ti-art"/>
              <w:shd w:val="clear" w:color="auto" w:fill="FFFFFF"/>
              <w:spacing w:before="0" w:beforeAutospacing="0" w:after="0" w:afterAutospacing="0"/>
              <w:rPr>
                <w:rFonts w:eastAsia="Arial Unicode MS"/>
                <w:color w:val="333333"/>
                <w:sz w:val="20"/>
                <w:szCs w:val="20"/>
                <w:shd w:val="clear" w:color="auto" w:fill="FFFFFF"/>
                <w:lang w:val="en-US"/>
              </w:rPr>
            </w:pPr>
          </w:p>
        </w:tc>
        <w:tc>
          <w:tcPr>
            <w:tcW w:w="4394" w:type="dxa"/>
            <w:shd w:val="clear" w:color="auto" w:fill="auto"/>
          </w:tcPr>
          <w:p w14:paraId="5CE9ECE5"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531FB7D" w14:textId="7AA7F877" w:rsidR="00124364" w:rsidRDefault="004D7EFC">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w:t>
            </w:r>
            <w:r w:rsidR="00000000">
              <w:rPr>
                <w:rFonts w:ascii="Times New Roman" w:hAnsi="Times New Roman"/>
                <w:bCs/>
                <w:sz w:val="20"/>
                <w:szCs w:val="20"/>
                <w:lang w:val="ro-RO"/>
              </w:rPr>
              <w:t xml:space="preserve">ompatibil </w:t>
            </w:r>
          </w:p>
          <w:p w14:paraId="3989AC46"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1A2C64E"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125B8FE" w14:textId="77777777" w:rsidR="004D7EFC" w:rsidRPr="00DF1AB5" w:rsidRDefault="004D7EFC" w:rsidP="004D7EFC">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0C9E861D" w14:textId="2F36CA6E" w:rsidR="00124364" w:rsidRDefault="004D7EFC" w:rsidP="004D7EFC">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66B8F0BD" w14:textId="77777777" w:rsidR="00124364" w:rsidRDefault="00124364" w:rsidP="004D7EFC">
            <w:pPr>
              <w:autoSpaceDE w:val="0"/>
              <w:spacing w:after="0" w:line="240" w:lineRule="auto"/>
              <w:rPr>
                <w:rFonts w:ascii="Times New Roman" w:hAnsi="Times New Roman"/>
                <w:sz w:val="20"/>
                <w:szCs w:val="20"/>
                <w:lang w:val="fr-FR"/>
              </w:rPr>
            </w:pPr>
          </w:p>
        </w:tc>
      </w:tr>
      <w:tr w:rsidR="00124364" w14:paraId="63A578CD" w14:textId="77777777">
        <w:trPr>
          <w:trHeight w:val="558"/>
        </w:trPr>
        <w:tc>
          <w:tcPr>
            <w:tcW w:w="4957" w:type="dxa"/>
            <w:shd w:val="clear" w:color="auto" w:fill="auto"/>
          </w:tcPr>
          <w:p w14:paraId="58575145" w14:textId="77777777" w:rsidR="00124364" w:rsidRPr="00DF1AB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DF1AB5">
              <w:rPr>
                <w:rFonts w:eastAsia="Arial Unicode MS"/>
                <w:i/>
                <w:iCs/>
                <w:color w:val="000000" w:themeColor="text1"/>
                <w:sz w:val="20"/>
                <w:szCs w:val="20"/>
                <w:shd w:val="clear" w:color="auto" w:fill="FFFFFF"/>
                <w:lang w:val="en-US"/>
              </w:rPr>
              <w:t>ANEXA IIIa</w:t>
            </w:r>
          </w:p>
          <w:p w14:paraId="28D5B6A2" w14:textId="4F6A711D" w:rsidR="00124364" w:rsidRPr="00DF1AB5"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AJUSTAREA FACTORULUI LINEAR DE REDUCERE ÎN CONFORMITATE CU ARTICOLUL</w:t>
            </w:r>
            <w:r w:rsidR="00DF1AB5" w:rsidRPr="00DF1AB5">
              <w:rPr>
                <w:rFonts w:eastAsia="Arial Unicode MS"/>
                <w:b/>
                <w:bCs/>
                <w:color w:val="000000" w:themeColor="text1"/>
                <w:sz w:val="20"/>
                <w:szCs w:val="20"/>
                <w:shd w:val="clear" w:color="auto" w:fill="FFFFFF"/>
                <w:lang w:val="en-US"/>
              </w:rPr>
              <w:t xml:space="preserve"> </w:t>
            </w:r>
            <w:r w:rsidRPr="00DF1AB5">
              <w:rPr>
                <w:rFonts w:eastAsia="Arial Unicode MS"/>
                <w:b/>
                <w:bCs/>
                <w:color w:val="000000" w:themeColor="text1"/>
                <w:sz w:val="20"/>
                <w:szCs w:val="20"/>
                <w:shd w:val="clear" w:color="auto" w:fill="FFFFFF"/>
                <w:lang w:val="en-US"/>
              </w:rPr>
              <w:t>30c ALINEATUL (2)</w:t>
            </w:r>
          </w:p>
          <w:p w14:paraId="29CC3447" w14:textId="7FAAC71D" w:rsidR="00124364" w:rsidRPr="00DF1AB5" w:rsidRDefault="00000000" w:rsidP="00DF1AB5">
            <w:pPr>
              <w:pStyle w:val="ti-art"/>
              <w:numPr>
                <w:ilvl w:val="0"/>
                <w:numId w:val="1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În </w:t>
            </w:r>
            <w:proofErr w:type="spellStart"/>
            <w:r w:rsidRPr="00DF1AB5">
              <w:rPr>
                <w:rFonts w:eastAsia="Arial Unicode MS"/>
                <w:color w:val="000000" w:themeColor="text1"/>
                <w:sz w:val="20"/>
                <w:szCs w:val="20"/>
                <w:shd w:val="clear" w:color="auto" w:fill="FFFFFF"/>
                <w:lang w:val="en-US"/>
              </w:rPr>
              <w:t>cazul</w:t>
            </w:r>
            <w:proofErr w:type="spellEnd"/>
            <w:r w:rsidRPr="00DF1AB5">
              <w:rPr>
                <w:rFonts w:eastAsia="Arial Unicode MS"/>
                <w:color w:val="000000" w:themeColor="text1"/>
                <w:sz w:val="20"/>
                <w:szCs w:val="20"/>
                <w:shd w:val="clear" w:color="auto" w:fill="FFFFFF"/>
                <w:lang w:val="en-US"/>
              </w:rPr>
              <w:t xml:space="preserve"> în care media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capitolului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IVa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anii</w:t>
            </w:r>
            <w:proofErr w:type="spellEnd"/>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2024-2026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peste</w:t>
            </w:r>
            <w:proofErr w:type="spellEnd"/>
            <w:r w:rsidRPr="00DF1AB5">
              <w:rPr>
                <w:rFonts w:eastAsia="Arial Unicode MS"/>
                <w:color w:val="000000" w:themeColor="text1"/>
                <w:sz w:val="20"/>
                <w:szCs w:val="20"/>
                <w:shd w:val="clear" w:color="auto" w:fill="FFFFFF"/>
                <w:lang w:val="en-US"/>
              </w:rPr>
              <w:t xml:space="preserve"> 2</w:t>
            </w:r>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mare </w:t>
            </w:r>
            <w:proofErr w:type="spellStart"/>
            <w:r w:rsidRPr="00DF1AB5">
              <w:rPr>
                <w:rFonts w:eastAsia="Arial Unicode MS"/>
                <w:color w:val="000000" w:themeColor="text1"/>
                <w:sz w:val="20"/>
                <w:szCs w:val="20"/>
                <w:shd w:val="clear" w:color="auto" w:fill="FFFFFF"/>
                <w:lang w:val="en-US"/>
              </w:rPr>
              <w:t>decât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valoarea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cantității</w:t>
            </w:r>
            <w:proofErr w:type="spellEnd"/>
            <w:r w:rsidRPr="00DF1AB5">
              <w:rPr>
                <w:rFonts w:eastAsia="Arial Unicode MS"/>
                <w:color w:val="000000" w:themeColor="text1"/>
                <w:sz w:val="20"/>
                <w:szCs w:val="20"/>
                <w:shd w:val="clear" w:color="auto" w:fill="FFFFFF"/>
                <w:lang w:val="en-US"/>
              </w:rPr>
              <w:t xml:space="preserve"> din 2025 definite în conformitate cu </w:t>
            </w:r>
            <w:proofErr w:type="spellStart"/>
            <w:r w:rsidRPr="00DF1AB5">
              <w:rPr>
                <w:rFonts w:eastAsia="Arial Unicode MS"/>
                <w:color w:val="000000" w:themeColor="text1"/>
                <w:sz w:val="20"/>
                <w:szCs w:val="20"/>
                <w:shd w:val="clear" w:color="auto" w:fill="FFFFFF"/>
                <w:lang w:val="en-US"/>
              </w:rPr>
              <w:t>articolul</w:t>
            </w:r>
            <w:proofErr w:type="spellEnd"/>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30c </w:t>
            </w:r>
            <w:proofErr w:type="spellStart"/>
            <w:r w:rsidRPr="00DF1AB5">
              <w:rPr>
                <w:rFonts w:eastAsia="Arial Unicode MS"/>
                <w:color w:val="000000" w:themeColor="text1"/>
                <w:sz w:val="20"/>
                <w:szCs w:val="20"/>
                <w:shd w:val="clear" w:color="auto" w:fill="FFFFFF"/>
                <w:lang w:val="en-US"/>
              </w:rPr>
              <w:t>alineatul</w:t>
            </w:r>
            <w:proofErr w:type="spellEnd"/>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(1) și </w:t>
            </w:r>
            <w:proofErr w:type="spellStart"/>
            <w:r w:rsidRPr="00DF1AB5">
              <w:rPr>
                <w:rFonts w:eastAsia="Arial Unicode MS"/>
                <w:color w:val="000000" w:themeColor="text1"/>
                <w:sz w:val="20"/>
                <w:szCs w:val="20"/>
                <w:shd w:val="clear" w:color="auto" w:fill="FFFFFF"/>
                <w:lang w:val="en-US"/>
              </w:rPr>
              <w:t>dacă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diferențele</w:t>
            </w:r>
            <w:proofErr w:type="spellEnd"/>
            <w:r w:rsidRPr="00DF1AB5">
              <w:rPr>
                <w:rFonts w:eastAsia="Arial Unicode MS"/>
                <w:color w:val="000000" w:themeColor="text1"/>
                <w:sz w:val="20"/>
                <w:szCs w:val="20"/>
                <w:shd w:val="clear" w:color="auto" w:fill="FFFFFF"/>
                <w:lang w:val="en-US"/>
              </w:rPr>
              <w:t xml:space="preserve"> respective nu se </w:t>
            </w:r>
            <w:proofErr w:type="spellStart"/>
            <w:r w:rsidRPr="00DF1AB5">
              <w:rPr>
                <w:rFonts w:eastAsia="Arial Unicode MS"/>
                <w:color w:val="000000" w:themeColor="text1"/>
                <w:sz w:val="20"/>
                <w:szCs w:val="20"/>
                <w:shd w:val="clear" w:color="auto" w:fill="FFFFFF"/>
                <w:lang w:val="en-US"/>
              </w:rPr>
              <w:t>datorează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diferenței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mici</w:t>
            </w:r>
            <w:proofErr w:type="spellEnd"/>
            <w:r w:rsidRPr="00DF1AB5">
              <w:rPr>
                <w:rFonts w:eastAsia="Arial Unicode MS"/>
                <w:color w:val="000000" w:themeColor="text1"/>
                <w:sz w:val="20"/>
                <w:szCs w:val="20"/>
                <w:shd w:val="clear" w:color="auto" w:fill="FFFFFF"/>
                <w:lang w:val="en-US"/>
              </w:rPr>
              <w:t xml:space="preserve"> de 5</w:t>
            </w:r>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dintre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capitolului</w:t>
            </w:r>
            <w:proofErr w:type="spellEnd"/>
            <w:r w:rsid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IVa</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datele</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inventar</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de gaze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 xml:space="preserve"> din</w:t>
            </w:r>
            <w:r w:rsid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2025 ale </w:t>
            </w:r>
            <w:proofErr w:type="spellStart"/>
            <w:r w:rsidRPr="00DF1AB5">
              <w:rPr>
                <w:rFonts w:eastAsia="Arial Unicode MS"/>
                <w:color w:val="000000" w:themeColor="text1"/>
                <w:sz w:val="20"/>
                <w:szCs w:val="20"/>
                <w:shd w:val="clear" w:color="auto" w:fill="FFFFFF"/>
                <w:lang w:val="en-US"/>
              </w:rPr>
              <w:t>Uniunii</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categoriile</w:t>
            </w:r>
            <w:proofErr w:type="spellEnd"/>
            <w:r w:rsidRPr="00DF1AB5">
              <w:rPr>
                <w:rFonts w:eastAsia="Arial Unicode MS"/>
                <w:color w:val="000000" w:themeColor="text1"/>
                <w:sz w:val="20"/>
                <w:szCs w:val="20"/>
                <w:shd w:val="clear" w:color="auto" w:fill="FFFFFF"/>
                <w:lang w:val="en-US"/>
              </w:rPr>
              <w:t xml:space="preserve"> de surse ale CCONUSC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sectoarele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vizate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capitolul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IVa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lastRenderedPageBreak/>
              <w:t>factorul</w:t>
            </w:r>
            <w:proofErr w:type="spellEnd"/>
            <w:r w:rsidRPr="00DF1AB5">
              <w:rPr>
                <w:rFonts w:eastAsia="Arial Unicode MS"/>
                <w:color w:val="000000" w:themeColor="text1"/>
                <w:sz w:val="20"/>
                <w:szCs w:val="20"/>
                <w:shd w:val="clear" w:color="auto" w:fill="FFFFFF"/>
                <w:lang w:val="en-US"/>
              </w:rPr>
              <w:t xml:space="preserve"> linear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ajustarea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factorului</w:t>
            </w:r>
            <w:proofErr w:type="spellEnd"/>
            <w:r w:rsidRPr="00DF1AB5">
              <w:rPr>
                <w:rFonts w:eastAsia="Arial Unicode MS"/>
                <w:color w:val="000000" w:themeColor="text1"/>
                <w:sz w:val="20"/>
                <w:szCs w:val="20"/>
                <w:shd w:val="clear" w:color="auto" w:fill="FFFFFF"/>
                <w:lang w:val="en-US"/>
              </w:rPr>
              <w:t xml:space="preserve"> linear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menționat</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30c </w:t>
            </w:r>
            <w:proofErr w:type="spellStart"/>
            <w:r w:rsidRPr="00DF1AB5">
              <w:rPr>
                <w:rFonts w:eastAsia="Arial Unicode MS"/>
                <w:color w:val="000000" w:themeColor="text1"/>
                <w:sz w:val="20"/>
                <w:szCs w:val="20"/>
                <w:shd w:val="clear" w:color="auto" w:fill="FFFFFF"/>
                <w:lang w:val="en-US"/>
              </w:rPr>
              <w:t>alineatul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(1).</w:t>
            </w:r>
          </w:p>
          <w:p w14:paraId="19FE4FF4" w14:textId="77777777" w:rsidR="00124364" w:rsidRPr="00DF1AB5" w:rsidRDefault="00000000">
            <w:pPr>
              <w:pStyle w:val="ti-art"/>
              <w:numPr>
                <w:ilvl w:val="0"/>
                <w:numId w:val="170"/>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linear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ajustat</w:t>
            </w:r>
            <w:proofErr w:type="spellEnd"/>
            <w:r w:rsidRPr="00DF1AB5">
              <w:rPr>
                <w:rFonts w:eastAsia="Arial Unicode MS"/>
                <w:color w:val="000000" w:themeColor="text1"/>
                <w:sz w:val="20"/>
                <w:szCs w:val="20"/>
                <w:shd w:val="clear" w:color="auto" w:fill="FFFFFF"/>
                <w:lang w:val="en-US"/>
              </w:rPr>
              <w:t xml:space="preserve"> în conformitate cu </w:t>
            </w:r>
            <w:proofErr w:type="spellStart"/>
            <w:r w:rsidRPr="00DF1AB5">
              <w:rPr>
                <w:rFonts w:eastAsia="Arial Unicode MS"/>
                <w:color w:val="000000" w:themeColor="text1"/>
                <w:sz w:val="20"/>
                <w:szCs w:val="20"/>
                <w:shd w:val="clear" w:color="auto" w:fill="FFFFFF"/>
                <w:lang w:val="en-US"/>
              </w:rPr>
              <w:t>punctul</w:t>
            </w:r>
            <w:proofErr w:type="spellEnd"/>
            <w:r w:rsidRPr="00DF1AB5">
              <w:rPr>
                <w:rFonts w:eastAsia="Arial Unicode MS"/>
                <w:color w:val="000000" w:themeColor="text1"/>
                <w:sz w:val="20"/>
                <w:szCs w:val="20"/>
                <w:shd w:val="clear" w:color="auto" w:fill="FFFFFF"/>
                <w:lang w:val="en-US"/>
              </w:rPr>
              <w:t xml:space="preserve"> 1 se </w:t>
            </w:r>
            <w:proofErr w:type="spellStart"/>
            <w:r w:rsidRPr="00DF1AB5">
              <w:rPr>
                <w:rFonts w:eastAsia="Arial Unicode MS"/>
                <w:color w:val="000000" w:themeColor="text1"/>
                <w:sz w:val="20"/>
                <w:szCs w:val="20"/>
                <w:shd w:val="clear" w:color="auto" w:fill="FFFFFF"/>
                <w:lang w:val="en-US"/>
              </w:rPr>
              <w:t>determină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cum </w:t>
            </w:r>
            <w:proofErr w:type="spellStart"/>
            <w:r w:rsidRPr="00DF1AB5">
              <w:rPr>
                <w:rFonts w:eastAsia="Arial Unicode MS"/>
                <w:color w:val="000000" w:themeColor="text1"/>
                <w:sz w:val="20"/>
                <w:szCs w:val="20"/>
                <w:shd w:val="clear" w:color="auto" w:fill="FFFFFF"/>
                <w:lang w:val="en-US"/>
              </w:rPr>
              <w:t>urmează</w:t>
            </w:r>
            <w:proofErr w:type="spellEnd"/>
            <w:r w:rsidRPr="00DF1AB5">
              <w:rPr>
                <w:rFonts w:eastAsia="Arial Unicode MS"/>
                <w:color w:val="000000" w:themeColor="text1"/>
                <w:sz w:val="20"/>
                <w:szCs w:val="20"/>
                <w:shd w:val="clear" w:color="auto" w:fill="FFFFFF"/>
                <w:lang w:val="en-US"/>
              </w:rPr>
              <w:t>:</w:t>
            </w:r>
          </w:p>
          <w:p w14:paraId="4C4DF40B" w14:textId="2A27BDDB"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LRF</w:t>
            </w:r>
            <w:r w:rsidRPr="00DF1AB5">
              <w:rPr>
                <w:rStyle w:val="subscript"/>
                <w:rFonts w:eastAsia="Arial Unicode MS"/>
                <w:color w:val="000000" w:themeColor="text1"/>
                <w:sz w:val="20"/>
                <w:szCs w:val="20"/>
                <w:vertAlign w:val="subscript"/>
                <w:lang w:val="en-US"/>
              </w:rPr>
              <w:t>adj</w:t>
            </w:r>
            <w:proofErr w:type="spellEnd"/>
            <w:r w:rsidR="00DF1AB5" w:rsidRPr="00DF1AB5">
              <w:rPr>
                <w:rStyle w:val="apple-converted-space"/>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100%* [</w:t>
            </w:r>
            <w:proofErr w:type="gramStart"/>
            <w:r w:rsidRPr="00DF1AB5">
              <w:rPr>
                <w:rFonts w:eastAsia="Arial Unicode MS"/>
                <w:color w:val="000000" w:themeColor="text1"/>
                <w:sz w:val="20"/>
                <w:szCs w:val="20"/>
                <w:shd w:val="clear" w:color="auto" w:fill="FFFFFF"/>
                <w:lang w:val="en-US"/>
              </w:rPr>
              <w:t>MRV</w:t>
            </w:r>
            <w:r w:rsidRPr="00DF1AB5">
              <w:rPr>
                <w:rStyle w:val="subscript"/>
                <w:rFonts w:eastAsia="Arial Unicode MS"/>
                <w:color w:val="000000" w:themeColor="text1"/>
                <w:sz w:val="20"/>
                <w:szCs w:val="20"/>
                <w:vertAlign w:val="subscript"/>
                <w:lang w:val="en-US"/>
              </w:rPr>
              <w:t>[</w:t>
            </w:r>
            <w:proofErr w:type="gramEnd"/>
            <w:r w:rsidRPr="00DF1AB5">
              <w:rPr>
                <w:rStyle w:val="subscript"/>
                <w:rFonts w:eastAsia="Arial Unicode MS"/>
                <w:color w:val="000000" w:themeColor="text1"/>
                <w:sz w:val="20"/>
                <w:szCs w:val="20"/>
                <w:vertAlign w:val="subscript"/>
                <w:lang w:val="en-US"/>
              </w:rPr>
              <w:t>2024-2026]</w:t>
            </w:r>
            <w:r w:rsidR="00DF1AB5" w:rsidRPr="00DF1AB5">
              <w:rPr>
                <w:rStyle w:val="apple-converted-space"/>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(ESR</w:t>
            </w:r>
            <w:r w:rsidRPr="00DF1AB5">
              <w:rPr>
                <w:rStyle w:val="subscript"/>
                <w:rFonts w:eastAsia="Arial Unicode MS"/>
                <w:color w:val="000000" w:themeColor="text1"/>
                <w:sz w:val="20"/>
                <w:szCs w:val="20"/>
                <w:vertAlign w:val="subscript"/>
                <w:lang w:val="en-US"/>
              </w:rPr>
              <w:t>[2024]</w:t>
            </w:r>
            <w:r w:rsidR="00DF1AB5" w:rsidRPr="00DF1AB5">
              <w:rPr>
                <w:rStyle w:val="apple-converted-space"/>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- 6* LRF[</w:t>
            </w:r>
            <w:r w:rsidRPr="00DF1AB5">
              <w:rPr>
                <w:rStyle w:val="subscript"/>
                <w:rFonts w:eastAsia="Arial Unicode MS"/>
                <w:color w:val="000000" w:themeColor="text1"/>
                <w:sz w:val="20"/>
                <w:szCs w:val="20"/>
                <w:vertAlign w:val="subscript"/>
                <w:lang w:val="en-US"/>
              </w:rPr>
              <w:t>2024</w:t>
            </w:r>
            <w:r w:rsidRPr="00DF1AB5">
              <w:rPr>
                <w:rFonts w:eastAsia="Arial Unicode MS"/>
                <w:color w:val="000000" w:themeColor="text1"/>
                <w:sz w:val="20"/>
                <w:szCs w:val="20"/>
                <w:shd w:val="clear" w:color="auto" w:fill="FFFFFF"/>
                <w:lang w:val="en-US"/>
              </w:rPr>
              <w:t>]* ESR</w:t>
            </w:r>
            <w:r w:rsidRPr="00DF1AB5">
              <w:rPr>
                <w:rStyle w:val="subscript"/>
                <w:rFonts w:eastAsia="Arial Unicode MS"/>
                <w:color w:val="000000" w:themeColor="text1"/>
                <w:sz w:val="20"/>
                <w:szCs w:val="20"/>
                <w:vertAlign w:val="subscript"/>
                <w:lang w:val="en-US"/>
              </w:rPr>
              <w:t>[2024]</w:t>
            </w:r>
            <w:r w:rsidRPr="00DF1AB5">
              <w:rPr>
                <w:rFonts w:eastAsia="Arial Unicode MS"/>
                <w:color w:val="000000" w:themeColor="text1"/>
                <w:sz w:val="20"/>
                <w:szCs w:val="20"/>
                <w:shd w:val="clear" w:color="auto" w:fill="FFFFFF"/>
                <w:lang w:val="en-US"/>
              </w:rPr>
              <w:t>)]/ (5*</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MRV</w:t>
            </w:r>
            <w:r w:rsidRPr="00DF1AB5">
              <w:rPr>
                <w:rStyle w:val="subscript"/>
                <w:rFonts w:eastAsia="Arial Unicode MS"/>
                <w:color w:val="000000" w:themeColor="text1"/>
                <w:sz w:val="20"/>
                <w:szCs w:val="20"/>
                <w:vertAlign w:val="subscript"/>
                <w:lang w:val="en-US"/>
              </w:rPr>
              <w:t>[2024-2026]</w:t>
            </w:r>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unde</w:t>
            </w:r>
            <w:proofErr w:type="spellEnd"/>
            <w:r w:rsidRPr="00DF1AB5">
              <w:rPr>
                <w:rFonts w:eastAsia="Arial Unicode MS"/>
                <w:color w:val="000000" w:themeColor="text1"/>
                <w:sz w:val="20"/>
                <w:szCs w:val="20"/>
                <w:shd w:val="clear" w:color="auto" w:fill="FFFFFF"/>
                <w:lang w:val="en-US"/>
              </w:rPr>
              <w:t>,</w:t>
            </w:r>
          </w:p>
          <w:p w14:paraId="659830DF" w14:textId="3090235D"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LRF</w:t>
            </w:r>
            <w:r w:rsidRPr="00DF1AB5">
              <w:rPr>
                <w:rStyle w:val="subscript"/>
                <w:rFonts w:eastAsia="Arial Unicode MS"/>
                <w:color w:val="000000" w:themeColor="text1"/>
                <w:sz w:val="20"/>
                <w:szCs w:val="20"/>
                <w:vertAlign w:val="subscript"/>
                <w:lang w:val="en-US"/>
              </w:rPr>
              <w:t>adj</w:t>
            </w:r>
            <w:proofErr w:type="spellEnd"/>
            <w:r w:rsidR="00DF1AB5" w:rsidRPr="00DF1AB5">
              <w:rPr>
                <w:rStyle w:val="apple-converted-space"/>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linear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ajustat</w:t>
            </w:r>
            <w:proofErr w:type="spellEnd"/>
            <w:r w:rsidRPr="00DF1AB5">
              <w:rPr>
                <w:rFonts w:eastAsia="Arial Unicode MS"/>
                <w:color w:val="000000" w:themeColor="text1"/>
                <w:sz w:val="20"/>
                <w:szCs w:val="20"/>
                <w:shd w:val="clear" w:color="auto" w:fill="FFFFFF"/>
                <w:lang w:val="en-US"/>
              </w:rPr>
              <w:t>;</w:t>
            </w:r>
          </w:p>
          <w:p w14:paraId="1A97C3EA" w14:textId="24094EFE"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gramStart"/>
            <w:r w:rsidRPr="00DF1AB5">
              <w:rPr>
                <w:rFonts w:eastAsia="Arial Unicode MS"/>
                <w:color w:val="000000" w:themeColor="text1"/>
                <w:sz w:val="20"/>
                <w:szCs w:val="20"/>
                <w:shd w:val="clear" w:color="auto" w:fill="FFFFFF"/>
                <w:lang w:val="en-US"/>
              </w:rPr>
              <w:t>MRV</w:t>
            </w:r>
            <w:r w:rsidRPr="00DF1AB5">
              <w:rPr>
                <w:rStyle w:val="subscript"/>
                <w:rFonts w:eastAsia="Arial Unicode MS"/>
                <w:color w:val="000000" w:themeColor="text1"/>
                <w:sz w:val="20"/>
                <w:szCs w:val="20"/>
                <w:vertAlign w:val="subscript"/>
                <w:lang w:val="en-US"/>
              </w:rPr>
              <w:t>[</w:t>
            </w:r>
            <w:proofErr w:type="gramEnd"/>
            <w:r w:rsidRPr="00DF1AB5">
              <w:rPr>
                <w:rStyle w:val="subscript"/>
                <w:rFonts w:eastAsia="Arial Unicode MS"/>
                <w:color w:val="000000" w:themeColor="text1"/>
                <w:sz w:val="20"/>
                <w:szCs w:val="20"/>
                <w:vertAlign w:val="subscript"/>
                <w:lang w:val="en-US"/>
              </w:rPr>
              <w:t>2024-2026]</w:t>
            </w:r>
            <w:r w:rsidR="00DF1AB5" w:rsidRPr="00DF1AB5">
              <w:rPr>
                <w:rStyle w:val="apple-converted-space"/>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media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verificate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capitolului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IVa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anii</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2024-2026;</w:t>
            </w:r>
          </w:p>
          <w:p w14:paraId="4B43A6DF" w14:textId="32423C3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gramStart"/>
            <w:r w:rsidRPr="00DF1AB5">
              <w:rPr>
                <w:rFonts w:eastAsia="Arial Unicode MS"/>
                <w:color w:val="000000" w:themeColor="text1"/>
                <w:sz w:val="20"/>
                <w:szCs w:val="20"/>
                <w:shd w:val="clear" w:color="auto" w:fill="FFFFFF"/>
                <w:lang w:val="en-US"/>
              </w:rPr>
              <w:t>ESR</w:t>
            </w:r>
            <w:r w:rsidRPr="00DF1AB5">
              <w:rPr>
                <w:rStyle w:val="subscript"/>
                <w:rFonts w:eastAsia="Arial Unicode MS"/>
                <w:color w:val="000000" w:themeColor="text1"/>
                <w:sz w:val="20"/>
                <w:szCs w:val="20"/>
                <w:vertAlign w:val="subscript"/>
                <w:lang w:val="en-US"/>
              </w:rPr>
              <w:t>[</w:t>
            </w:r>
            <w:proofErr w:type="gramEnd"/>
            <w:r w:rsidRPr="00DF1AB5">
              <w:rPr>
                <w:rStyle w:val="subscript"/>
                <w:rFonts w:eastAsia="Arial Unicode MS"/>
                <w:color w:val="000000" w:themeColor="text1"/>
                <w:sz w:val="20"/>
                <w:szCs w:val="20"/>
                <w:vertAlign w:val="subscript"/>
                <w:lang w:val="en-US"/>
              </w:rPr>
              <w:t>2024]</w:t>
            </w:r>
            <w:r w:rsidR="00DF1AB5" w:rsidRPr="00DF1AB5">
              <w:rPr>
                <w:rStyle w:val="apple-converted-space"/>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reprezintă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valoarea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din 2024, </w:t>
            </w:r>
            <w:proofErr w:type="spellStart"/>
            <w:r w:rsidRPr="00DF1AB5">
              <w:rPr>
                <w:rFonts w:eastAsia="Arial Unicode MS"/>
                <w:color w:val="000000" w:themeColor="text1"/>
                <w:sz w:val="20"/>
                <w:szCs w:val="20"/>
                <w:shd w:val="clear" w:color="auto" w:fill="FFFFFF"/>
                <w:lang w:val="en-US"/>
              </w:rPr>
              <w:t>definită</w:t>
            </w:r>
            <w:proofErr w:type="spellEnd"/>
            <w:r w:rsidRPr="00DF1AB5">
              <w:rPr>
                <w:rFonts w:eastAsia="Arial Unicode MS"/>
                <w:color w:val="000000" w:themeColor="text1"/>
                <w:sz w:val="20"/>
                <w:szCs w:val="20"/>
                <w:shd w:val="clear" w:color="auto" w:fill="FFFFFF"/>
                <w:lang w:val="en-US"/>
              </w:rPr>
              <w:t xml:space="preserve"> în conformitate cu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30c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(1),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sectoarele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vizate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capitolul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IVa</w:t>
            </w:r>
            <w:proofErr w:type="spellEnd"/>
            <w:r w:rsidRPr="00DF1AB5">
              <w:rPr>
                <w:rFonts w:eastAsia="Arial Unicode MS"/>
                <w:color w:val="000000" w:themeColor="text1"/>
                <w:sz w:val="20"/>
                <w:szCs w:val="20"/>
                <w:shd w:val="clear" w:color="auto" w:fill="FFFFFF"/>
                <w:lang w:val="en-US"/>
              </w:rPr>
              <w:t>;</w:t>
            </w:r>
          </w:p>
          <w:p w14:paraId="7D65A20F" w14:textId="7B12CE3D"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gramStart"/>
            <w:r w:rsidRPr="00DF1AB5">
              <w:rPr>
                <w:rFonts w:eastAsia="Arial Unicode MS"/>
                <w:color w:val="000000" w:themeColor="text1"/>
                <w:sz w:val="20"/>
                <w:szCs w:val="20"/>
                <w:shd w:val="clear" w:color="auto" w:fill="FFFFFF"/>
                <w:lang w:val="en-US"/>
              </w:rPr>
              <w:t>LRF[</w:t>
            </w:r>
            <w:proofErr w:type="gramEnd"/>
            <w:r w:rsidRPr="00DF1AB5">
              <w:rPr>
                <w:rStyle w:val="subscript"/>
                <w:rFonts w:eastAsia="Arial Unicode MS"/>
                <w:color w:val="000000" w:themeColor="text1"/>
                <w:sz w:val="20"/>
                <w:szCs w:val="20"/>
                <w:vertAlign w:val="subscript"/>
                <w:lang w:val="en-US"/>
              </w:rPr>
              <w:t>2024</w:t>
            </w:r>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linear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menționat</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30c </w:t>
            </w:r>
            <w:proofErr w:type="spellStart"/>
            <w:r w:rsidRPr="00DF1AB5">
              <w:rPr>
                <w:rFonts w:eastAsia="Arial Unicode MS"/>
                <w:color w:val="000000" w:themeColor="text1"/>
                <w:sz w:val="20"/>
                <w:szCs w:val="20"/>
                <w:shd w:val="clear" w:color="auto" w:fill="FFFFFF"/>
                <w:lang w:val="en-US"/>
              </w:rPr>
              <w:t>alineatul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(1).</w:t>
            </w:r>
          </w:p>
          <w:p w14:paraId="3F070C9D"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87" w:tooltip="32003L0087" w:history="1">
              <w:r>
                <w:rPr>
                  <w:rStyle w:val="af3"/>
                  <w:rFonts w:eastAsia="Arial Unicode MS"/>
                  <w:b/>
                  <w:bCs/>
                  <w:color w:val="4472C4" w:themeColor="accent1"/>
                  <w:sz w:val="20"/>
                  <w:szCs w:val="20"/>
                </w:rPr>
                <w:t>▼B</w:t>
              </w:r>
            </w:hyperlink>
          </w:p>
        </w:tc>
        <w:tc>
          <w:tcPr>
            <w:tcW w:w="4394" w:type="dxa"/>
            <w:shd w:val="clear" w:color="auto" w:fill="auto"/>
          </w:tcPr>
          <w:p w14:paraId="0C7BC3EC"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317E2E5" w14:textId="4ECC8550" w:rsidR="00124364" w:rsidRDefault="004D7EFC">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Inc</w:t>
            </w:r>
            <w:r w:rsidR="00000000">
              <w:rPr>
                <w:rFonts w:ascii="Times New Roman" w:hAnsi="Times New Roman"/>
                <w:bCs/>
                <w:sz w:val="20"/>
                <w:szCs w:val="20"/>
                <w:lang w:val="ro-RO"/>
              </w:rPr>
              <w:t xml:space="preserve">ompatibil </w:t>
            </w:r>
          </w:p>
          <w:p w14:paraId="46681A79"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2CC5F0A"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566CD44" w14:textId="6CF2A95C" w:rsidR="00124364" w:rsidRDefault="004D7EFC">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 xml:space="preserve">sistemul de comercializare a cotelor de emisii de gaze cu efect de seră, dar intenționează să le transpună și să instituie un sistem regional de comercializare a cotelor, care va fi </w:t>
            </w:r>
            <w:r w:rsidRPr="00DF1AB5">
              <w:rPr>
                <w:rFonts w:ascii="Times New Roman" w:eastAsiaTheme="minorHAnsi" w:hAnsi="Times New Roman"/>
                <w:color w:val="000000" w:themeColor="text1"/>
                <w:sz w:val="20"/>
                <w:szCs w:val="20"/>
                <w:lang w:val="ro-RO"/>
              </w:rPr>
              <w:lastRenderedPageBreak/>
              <w:t>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7DCE0512" w14:textId="77777777" w:rsidR="00124364" w:rsidRDefault="00124364" w:rsidP="004D7EFC">
            <w:pPr>
              <w:autoSpaceDE w:val="0"/>
              <w:spacing w:after="0" w:line="240" w:lineRule="auto"/>
              <w:rPr>
                <w:rFonts w:ascii="Times New Roman" w:hAnsi="Times New Roman"/>
                <w:sz w:val="20"/>
                <w:szCs w:val="20"/>
                <w:lang w:val="fr-FR"/>
              </w:rPr>
            </w:pPr>
          </w:p>
        </w:tc>
      </w:tr>
      <w:tr w:rsidR="00124364" w14:paraId="38111E0E" w14:textId="77777777">
        <w:trPr>
          <w:trHeight w:val="558"/>
        </w:trPr>
        <w:tc>
          <w:tcPr>
            <w:tcW w:w="4957" w:type="dxa"/>
            <w:shd w:val="clear" w:color="auto" w:fill="auto"/>
          </w:tcPr>
          <w:p w14:paraId="5E1834A6" w14:textId="77777777" w:rsidR="00124364" w:rsidRPr="00DF1AB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DF1AB5">
              <w:rPr>
                <w:rFonts w:eastAsia="Arial Unicode MS"/>
                <w:i/>
                <w:iCs/>
                <w:color w:val="000000" w:themeColor="text1"/>
                <w:sz w:val="20"/>
                <w:szCs w:val="20"/>
                <w:shd w:val="clear" w:color="auto" w:fill="FFFFFF"/>
                <w:lang w:val="en-US"/>
              </w:rPr>
              <w:t>ANEXA IV</w:t>
            </w:r>
          </w:p>
          <w:p w14:paraId="61A8BEE3" w14:textId="77777777" w:rsidR="00124364" w:rsidRPr="00DF1AB5"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PRINCIPIILE DE MONITORIZARE ȘI RAPORTARE PREVĂZUTE LA ARTICOLUL 14 ALINEATUL (1)</w:t>
            </w:r>
          </w:p>
          <w:p w14:paraId="21AFEA9A"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88" w:tooltip="32008L0101: INSERTED" w:history="1">
              <w:r w:rsidRPr="00E34C2B">
                <w:rPr>
                  <w:rStyle w:val="af3"/>
                  <w:rFonts w:eastAsia="Arial Unicode MS"/>
                  <w:b/>
                  <w:bCs/>
                  <w:color w:val="4472C4" w:themeColor="accent1"/>
                  <w:sz w:val="20"/>
                  <w:szCs w:val="20"/>
                  <w:lang w:val="en-US"/>
                </w:rPr>
                <w:t>▼M2</w:t>
              </w:r>
            </w:hyperlink>
          </w:p>
          <w:p w14:paraId="74C7CB24" w14:textId="4DAA1B0C" w:rsidR="00124364" w:rsidRDefault="00000000">
            <w:pPr>
              <w:pStyle w:val="ti-art"/>
              <w:shd w:val="clear" w:color="auto" w:fill="FFFFFF"/>
              <w:spacing w:before="0" w:beforeAutospacing="0" w:after="0" w:afterAutospacing="0"/>
              <w:rPr>
                <w:rStyle w:val="boldface"/>
                <w:rFonts w:eastAsia="Arial Unicode MS"/>
                <w:b/>
                <w:bCs/>
                <w:color w:val="333333"/>
                <w:sz w:val="20"/>
                <w:szCs w:val="20"/>
                <w:lang w:val="en-US"/>
              </w:rPr>
            </w:pPr>
            <w:r>
              <w:rPr>
                <w:rFonts w:eastAsia="Arial Unicode MS"/>
                <w:b/>
                <w:bCs/>
                <w:color w:val="333333"/>
                <w:sz w:val="20"/>
                <w:szCs w:val="20"/>
                <w:shd w:val="clear" w:color="auto" w:fill="FFFFFF"/>
                <w:lang w:val="en-US"/>
              </w:rPr>
              <w:t>PARTEA A –</w:t>
            </w:r>
            <w:proofErr w:type="spellStart"/>
            <w:r>
              <w:rPr>
                <w:rStyle w:val="boldface"/>
                <w:rFonts w:eastAsia="Arial Unicode MS"/>
                <w:b/>
                <w:bCs/>
                <w:color w:val="333333"/>
                <w:sz w:val="20"/>
                <w:szCs w:val="20"/>
                <w:lang w:val="en-US"/>
              </w:rPr>
              <w:t>Monitorizarea</w:t>
            </w:r>
            <w:proofErr w:type="spellEnd"/>
            <w:r>
              <w:rPr>
                <w:rStyle w:val="boldface"/>
                <w:rFonts w:eastAsia="Arial Unicode MS"/>
                <w:b/>
                <w:bCs/>
                <w:color w:val="333333"/>
                <w:sz w:val="20"/>
                <w:szCs w:val="20"/>
                <w:lang w:val="en-US"/>
              </w:rPr>
              <w:t xml:space="preserve"> și </w:t>
            </w:r>
            <w:proofErr w:type="spellStart"/>
            <w:r>
              <w:rPr>
                <w:rStyle w:val="boldface"/>
                <w:rFonts w:eastAsia="Arial Unicode MS"/>
                <w:b/>
                <w:bCs/>
                <w:color w:val="333333"/>
                <w:sz w:val="20"/>
                <w:szCs w:val="20"/>
                <w:lang w:val="en-US"/>
              </w:rPr>
              <w:t>raportarea</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emisiilor</w:t>
            </w:r>
            <w:proofErr w:type="spellEnd"/>
            <w:r>
              <w:rPr>
                <w:rStyle w:val="boldface"/>
                <w:rFonts w:eastAsia="Arial Unicode MS"/>
                <w:b/>
                <w:bCs/>
                <w:color w:val="333333"/>
                <w:sz w:val="20"/>
                <w:szCs w:val="20"/>
                <w:lang w:val="en-US"/>
              </w:rPr>
              <w:t xml:space="preserve"> din </w:t>
            </w:r>
            <w:proofErr w:type="spellStart"/>
            <w:r>
              <w:rPr>
                <w:rStyle w:val="boldface"/>
                <w:rFonts w:eastAsia="Arial Unicode MS"/>
                <w:b/>
                <w:bCs/>
                <w:color w:val="333333"/>
                <w:sz w:val="20"/>
                <w:szCs w:val="20"/>
                <w:lang w:val="en-US"/>
              </w:rPr>
              <w:t>instalațiile</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staționare</w:t>
            </w:r>
            <w:proofErr w:type="spellEnd"/>
          </w:p>
          <w:p w14:paraId="2FC922EF"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89" w:tooltip="32003L0087" w:history="1">
              <w:r w:rsidRPr="00E34C2B">
                <w:rPr>
                  <w:rStyle w:val="af3"/>
                  <w:rFonts w:eastAsia="Arial Unicode MS"/>
                  <w:b/>
                  <w:bCs/>
                  <w:color w:val="4472C4" w:themeColor="accent1"/>
                  <w:sz w:val="20"/>
                  <w:szCs w:val="20"/>
                  <w:lang w:val="en-US"/>
                </w:rPr>
                <w:t>▼B</w:t>
              </w:r>
            </w:hyperlink>
          </w:p>
          <w:p w14:paraId="524DF23B" w14:textId="77777777" w:rsidR="00124364" w:rsidRPr="00DF1AB5" w:rsidRDefault="00000000" w:rsidP="00DF1AB5">
            <w:pPr>
              <w:pStyle w:val="ti-art"/>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Monitorizarea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emisiilor</w:t>
            </w:r>
            <w:proofErr w:type="spellEnd"/>
            <w:r w:rsidRPr="00DF1AB5">
              <w:rPr>
                <w:rFonts w:eastAsia="Arial Unicode MS"/>
                <w:i/>
                <w:iCs/>
                <w:color w:val="000000" w:themeColor="text1"/>
                <w:sz w:val="20"/>
                <w:szCs w:val="20"/>
                <w:shd w:val="clear" w:color="auto" w:fill="FFFFFF"/>
                <w:lang w:val="en-US"/>
              </w:rPr>
              <w:t xml:space="preserve"> de </w:t>
            </w:r>
            <w:proofErr w:type="spellStart"/>
            <w:r w:rsidRPr="00DF1AB5">
              <w:rPr>
                <w:rFonts w:eastAsia="Arial Unicode MS"/>
                <w:i/>
                <w:iCs/>
                <w:color w:val="000000" w:themeColor="text1"/>
                <w:sz w:val="20"/>
                <w:szCs w:val="20"/>
                <w:shd w:val="clear" w:color="auto" w:fill="FFFFFF"/>
                <w:lang w:val="en-US"/>
              </w:rPr>
              <w:t>dioxid</w:t>
            </w:r>
            <w:proofErr w:type="spellEnd"/>
            <w:r w:rsidRPr="00DF1AB5">
              <w:rPr>
                <w:rFonts w:eastAsia="Arial Unicode MS"/>
                <w:i/>
                <w:iCs/>
                <w:color w:val="000000" w:themeColor="text1"/>
                <w:sz w:val="20"/>
                <w:szCs w:val="20"/>
                <w:shd w:val="clear" w:color="auto" w:fill="FFFFFF"/>
                <w:lang w:val="en-US"/>
              </w:rPr>
              <w:t xml:space="preserve"> de carbon</w:t>
            </w:r>
          </w:p>
          <w:p w14:paraId="13529F3F"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monitorizează</w:t>
            </w:r>
            <w:proofErr w:type="spellEnd"/>
            <w:r w:rsidRPr="00DF1AB5">
              <w:rPr>
                <w:rFonts w:eastAsia="Arial Unicode MS"/>
                <w:color w:val="000000" w:themeColor="text1"/>
                <w:sz w:val="20"/>
                <w:szCs w:val="20"/>
                <w:shd w:val="clear" w:color="auto" w:fill="FFFFFF"/>
                <w:lang w:val="en-US"/>
              </w:rPr>
              <w:t xml:space="preserve"> fie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calculelor</w:t>
            </w:r>
            <w:proofErr w:type="spellEnd"/>
            <w:r w:rsidRPr="00DF1AB5">
              <w:rPr>
                <w:rFonts w:eastAsia="Arial Unicode MS"/>
                <w:color w:val="000000" w:themeColor="text1"/>
                <w:sz w:val="20"/>
                <w:szCs w:val="20"/>
                <w:shd w:val="clear" w:color="auto" w:fill="FFFFFF"/>
                <w:lang w:val="en-US"/>
              </w:rPr>
              <w:t xml:space="preserve">, fie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măsurătorilor</w:t>
            </w:r>
            <w:proofErr w:type="spellEnd"/>
            <w:r w:rsidRPr="00DF1AB5">
              <w:rPr>
                <w:rFonts w:eastAsia="Arial Unicode MS"/>
                <w:color w:val="000000" w:themeColor="text1"/>
                <w:sz w:val="20"/>
                <w:szCs w:val="20"/>
                <w:shd w:val="clear" w:color="auto" w:fill="FFFFFF"/>
                <w:lang w:val="en-US"/>
              </w:rPr>
              <w:t>.</w:t>
            </w:r>
          </w:p>
          <w:p w14:paraId="63B3F73F" w14:textId="77777777" w:rsidR="00124364" w:rsidRPr="00DF1AB5"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Calculul</w:t>
            </w:r>
            <w:proofErr w:type="spellEnd"/>
          </w:p>
          <w:p w14:paraId="0A21110B"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Calcularea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realizează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formula:</w:t>
            </w:r>
          </w:p>
          <w:p w14:paraId="31978EB7"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Date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activitatea</w:t>
            </w:r>
            <w:proofErr w:type="spellEnd"/>
            <w:r w:rsidRPr="00DF1AB5">
              <w:rPr>
                <w:rFonts w:eastAsia="Arial Unicode MS"/>
                <w:color w:val="000000" w:themeColor="text1"/>
                <w:sz w:val="20"/>
                <w:szCs w:val="20"/>
                <w:shd w:val="clear" w:color="auto" w:fill="FFFFFF"/>
                <w:lang w:val="en-US"/>
              </w:rPr>
              <w:t xml:space="preserve"> × factor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 factor de </w:t>
            </w:r>
            <w:proofErr w:type="spellStart"/>
            <w:r w:rsidRPr="00DF1AB5">
              <w:rPr>
                <w:rFonts w:eastAsia="Arial Unicode MS"/>
                <w:color w:val="000000" w:themeColor="text1"/>
                <w:sz w:val="20"/>
                <w:szCs w:val="20"/>
                <w:shd w:val="clear" w:color="auto" w:fill="FFFFFF"/>
                <w:lang w:val="en-US"/>
              </w:rPr>
              <w:t>oxidare</w:t>
            </w:r>
            <w:proofErr w:type="spellEnd"/>
          </w:p>
          <w:p w14:paraId="1E4AD368"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Datele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utilizat</w:t>
            </w:r>
            <w:proofErr w:type="spellEnd"/>
            <w:r w:rsidRPr="00DF1AB5">
              <w:rPr>
                <w:rFonts w:eastAsia="Arial Unicode MS"/>
                <w:color w:val="000000" w:themeColor="text1"/>
                <w:sz w:val="20"/>
                <w:szCs w:val="20"/>
                <w:shd w:val="clear" w:color="auto" w:fill="FFFFFF"/>
                <w:lang w:val="en-US"/>
              </w:rPr>
              <w:t xml:space="preserve">, rata de </w:t>
            </w:r>
            <w:proofErr w:type="spellStart"/>
            <w:r w:rsidRPr="00DF1AB5">
              <w:rPr>
                <w:rFonts w:eastAsia="Arial Unicode MS"/>
                <w:color w:val="000000" w:themeColor="text1"/>
                <w:sz w:val="20"/>
                <w:szCs w:val="20"/>
                <w:shd w:val="clear" w:color="auto" w:fill="FFFFFF"/>
                <w:lang w:val="en-US"/>
              </w:rPr>
              <w:t>producție</w:t>
            </w:r>
            <w:proofErr w:type="spellEnd"/>
            <w:r w:rsidRPr="00DF1AB5">
              <w:rPr>
                <w:rFonts w:eastAsia="Arial Unicode MS"/>
                <w:color w:val="000000" w:themeColor="text1"/>
                <w:sz w:val="20"/>
                <w:szCs w:val="20"/>
                <w:shd w:val="clear" w:color="auto" w:fill="FFFFFF"/>
                <w:lang w:val="en-US"/>
              </w:rPr>
              <w:t xml:space="preserve"> etc.) se </w:t>
            </w:r>
            <w:proofErr w:type="spellStart"/>
            <w:r w:rsidRPr="00DF1AB5">
              <w:rPr>
                <w:rFonts w:eastAsia="Arial Unicode MS"/>
                <w:color w:val="000000" w:themeColor="text1"/>
                <w:sz w:val="20"/>
                <w:szCs w:val="20"/>
                <w:shd w:val="clear" w:color="auto" w:fill="FFFFFF"/>
                <w:lang w:val="en-US"/>
              </w:rPr>
              <w:t>monitorizează</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datelor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aprovizionarea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bază</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măsurători</w:t>
            </w:r>
            <w:proofErr w:type="spellEnd"/>
            <w:r w:rsidRPr="00DF1AB5">
              <w:rPr>
                <w:rFonts w:eastAsia="Arial Unicode MS"/>
                <w:color w:val="000000" w:themeColor="text1"/>
                <w:sz w:val="20"/>
                <w:szCs w:val="20"/>
                <w:shd w:val="clear" w:color="auto" w:fill="FFFFFF"/>
                <w:lang w:val="en-US"/>
              </w:rPr>
              <w:t>.</w:t>
            </w:r>
          </w:p>
          <w:p w14:paraId="379CF6DA" w14:textId="2BA70AF0" w:rsidR="00124364" w:rsidRPr="00E34C2B" w:rsidRDefault="00000000" w:rsidP="00DF1AB5">
            <w:pPr>
              <w:pStyle w:val="ti-art"/>
              <w:shd w:val="clear" w:color="auto" w:fill="FFFFFF"/>
              <w:spacing w:before="0" w:beforeAutospacing="0" w:after="0" w:afterAutospacing="0"/>
              <w:jc w:val="both"/>
              <w:rPr>
                <w:rStyle w:val="boldface"/>
                <w:rFonts w:eastAsia="Arial Unicode MS"/>
                <w:b/>
                <w:bCs/>
                <w:color w:val="333333"/>
                <w:sz w:val="20"/>
                <w:szCs w:val="20"/>
                <w:lang w:val="en-US"/>
              </w:rPr>
            </w:pPr>
            <w:r w:rsidRPr="00DF1AB5">
              <w:rPr>
                <w:rFonts w:eastAsia="Arial Unicode MS"/>
                <w:color w:val="000000" w:themeColor="text1"/>
                <w:sz w:val="20"/>
                <w:szCs w:val="20"/>
                <w:shd w:val="clear" w:color="auto" w:fill="FFFFFF"/>
                <w:lang w:val="en-US"/>
              </w:rPr>
              <w:t xml:space="preserve">Se </w:t>
            </w:r>
            <w:proofErr w:type="spellStart"/>
            <w:r w:rsidRPr="00DF1AB5">
              <w:rPr>
                <w:rFonts w:eastAsia="Arial Unicode MS"/>
                <w:color w:val="000000" w:themeColor="text1"/>
                <w:sz w:val="20"/>
                <w:szCs w:val="20"/>
                <w:shd w:val="clear" w:color="auto" w:fill="FFFFFF"/>
                <w:lang w:val="en-US"/>
              </w:rPr>
              <w:t>utilizează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acceptați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toți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combustibilii</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acceptă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activității</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acceptă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impliciți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toți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combustibilii</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necomerciali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combustibili</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deșeuri</w:t>
            </w:r>
            <w:proofErr w:type="spellEnd"/>
            <w:r w:rsidRPr="00DF1AB5">
              <w:rPr>
                <w:rFonts w:eastAsia="Arial Unicode MS"/>
                <w:color w:val="000000" w:themeColor="text1"/>
                <w:sz w:val="20"/>
                <w:szCs w:val="20"/>
                <w:shd w:val="clear" w:color="auto" w:fill="FFFFFF"/>
                <w:lang w:val="en-US"/>
              </w:rPr>
              <w:t xml:space="preserve"> precum </w:t>
            </w:r>
            <w:proofErr w:type="spellStart"/>
            <w:r w:rsidRPr="00DF1AB5">
              <w:rPr>
                <w:rFonts w:eastAsia="Arial Unicode MS"/>
                <w:color w:val="000000" w:themeColor="text1"/>
                <w:sz w:val="20"/>
                <w:szCs w:val="20"/>
                <w:shd w:val="clear" w:color="auto" w:fill="FFFFFF"/>
                <w:lang w:val="en-US"/>
              </w:rPr>
              <w:t>anvelope</w:t>
            </w:r>
            <w:proofErr w:type="spellEnd"/>
            <w:r w:rsidRPr="00DF1AB5">
              <w:rPr>
                <w:rFonts w:eastAsia="Arial Unicode MS"/>
                <w:color w:val="000000" w:themeColor="text1"/>
                <w:sz w:val="20"/>
                <w:szCs w:val="20"/>
                <w:shd w:val="clear" w:color="auto" w:fill="FFFFFF"/>
                <w:lang w:val="en-US"/>
              </w:rPr>
              <w:t xml:space="preserve"> și gaze din </w:t>
            </w:r>
            <w:proofErr w:type="spellStart"/>
            <w:r w:rsidRPr="00DF1AB5">
              <w:rPr>
                <w:rFonts w:eastAsia="Arial Unicode MS"/>
                <w:color w:val="000000" w:themeColor="text1"/>
                <w:sz w:val="20"/>
                <w:szCs w:val="20"/>
                <w:shd w:val="clear" w:color="auto" w:fill="FFFFFF"/>
                <w:lang w:val="en-US"/>
              </w:rPr>
              <w:t>procese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industriale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vor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elabora</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continuare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valori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implicite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stratul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cărbuni</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valori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implicite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specifice</w:t>
            </w:r>
            <w:proofErr w:type="spellEnd"/>
            <w:r w:rsidRPr="00DF1AB5">
              <w:rPr>
                <w:rFonts w:eastAsia="Arial Unicode MS"/>
                <w:color w:val="000000" w:themeColor="text1"/>
                <w:sz w:val="20"/>
                <w:szCs w:val="20"/>
                <w:shd w:val="clear" w:color="auto" w:fill="FFFFFF"/>
                <w:lang w:val="en-US"/>
              </w:rPr>
              <w:t xml:space="preserve"> UE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țărilor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gaz</w:t>
            </w:r>
            <w:proofErr w:type="spellEnd"/>
            <w:r w:rsidRPr="00DF1AB5">
              <w:rPr>
                <w:rFonts w:eastAsia="Arial Unicode MS"/>
                <w:color w:val="000000" w:themeColor="text1"/>
                <w:sz w:val="20"/>
                <w:szCs w:val="20"/>
                <w:shd w:val="clear" w:color="auto" w:fill="FFFFFF"/>
                <w:lang w:val="en-US"/>
              </w:rPr>
              <w:t xml:space="preserve"> natural.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produsele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rafinărie</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acceptate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valorile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implicite</w:t>
            </w:r>
            <w:proofErr w:type="spellEnd"/>
            <w:r w:rsidRPr="00DF1AB5">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IPCC.</w:t>
            </w:r>
            <w:r w:rsidR="00DF1AB5">
              <w:rPr>
                <w:rStyle w:val="apple-converted-space"/>
                <w:rFonts w:eastAsia="Arial Unicode MS"/>
                <w:color w:val="333333"/>
                <w:sz w:val="20"/>
                <w:szCs w:val="20"/>
                <w:shd w:val="clear" w:color="auto" w:fill="FFFFFF"/>
                <w:lang w:val="en-US"/>
              </w:rPr>
              <w:t xml:space="preserve"> </w:t>
            </w:r>
            <w:hyperlink r:id="rId390" w:tooltip="32023L0959: REPLACED" w:history="1">
              <w:r>
                <w:rPr>
                  <w:rStyle w:val="boldface"/>
                  <w:rFonts w:eastAsia="Arial Unicode MS"/>
                  <w:b/>
                  <w:bCs/>
                  <w:color w:val="4472C4" w:themeColor="accent1"/>
                  <w:sz w:val="20"/>
                  <w:szCs w:val="20"/>
                  <w:lang w:val="en-US"/>
                </w:rPr>
                <w:t>►M15</w:t>
              </w:r>
            </w:hyperlink>
            <w:r w:rsidR="00DF1AB5">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Factorul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emisie</w:t>
            </w:r>
            <w:proofErr w:type="spellEnd"/>
            <w:r>
              <w:rPr>
                <w:rFonts w:eastAsia="Arial Unicode MS"/>
                <w:color w:val="333333"/>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biomasă</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respectă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criteriile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durabilitate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criteriile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de gaze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biomasei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stabilite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Directiva</w:t>
            </w:r>
            <w:proofErr w:type="spellEnd"/>
            <w:r w:rsidRPr="00DF1AB5">
              <w:rPr>
                <w:rFonts w:eastAsia="Arial Unicode MS"/>
                <w:color w:val="000000" w:themeColor="text1"/>
                <w:sz w:val="20"/>
                <w:szCs w:val="20"/>
                <w:shd w:val="clear" w:color="auto" w:fill="FFFFFF"/>
                <w:lang w:val="en-US"/>
              </w:rPr>
              <w:t xml:space="preserve"> (UE)</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2018/2001, cu </w:t>
            </w:r>
            <w:proofErr w:type="spellStart"/>
            <w:r w:rsidRPr="00DF1AB5">
              <w:rPr>
                <w:rFonts w:eastAsia="Arial Unicode MS"/>
                <w:color w:val="000000" w:themeColor="text1"/>
                <w:sz w:val="20"/>
                <w:szCs w:val="20"/>
                <w:shd w:val="clear" w:color="auto" w:fill="FFFFFF"/>
                <w:lang w:val="en-US"/>
              </w:rPr>
              <w:t>orice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ajustări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necesare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aplicarea</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prezentei</w:t>
            </w:r>
            <w:proofErr w:type="spellEnd"/>
            <w:r w:rsidRPr="00DF1AB5">
              <w:rPr>
                <w:rFonts w:eastAsia="Arial Unicode MS"/>
                <w:color w:val="000000" w:themeColor="text1"/>
                <w:sz w:val="20"/>
                <w:szCs w:val="20"/>
                <w:shd w:val="clear" w:color="auto" w:fill="FFFFFF"/>
                <w:lang w:val="en-US"/>
              </w:rPr>
              <w:t xml:space="preserve"> directive, </w:t>
            </w:r>
            <w:proofErr w:type="spellStart"/>
            <w:r w:rsidRPr="00DF1AB5">
              <w:rPr>
                <w:rFonts w:eastAsia="Arial Unicode MS"/>
                <w:color w:val="000000" w:themeColor="text1"/>
                <w:sz w:val="20"/>
                <w:szCs w:val="20"/>
                <w:shd w:val="clear" w:color="auto" w:fill="FFFFFF"/>
                <w:lang w:val="en-US"/>
              </w:rPr>
              <w:t>astfel</w:t>
            </w:r>
            <w:proofErr w:type="spellEnd"/>
            <w:r w:rsidRPr="00DF1AB5">
              <w:rPr>
                <w:rFonts w:eastAsia="Arial Unicode MS"/>
                <w:color w:val="000000" w:themeColor="text1"/>
                <w:sz w:val="20"/>
                <w:szCs w:val="20"/>
                <w:shd w:val="clear" w:color="auto" w:fill="FFFFFF"/>
                <w:lang w:val="en-US"/>
              </w:rPr>
              <w:t xml:space="preserve"> cum se </w:t>
            </w:r>
            <w:proofErr w:type="spellStart"/>
            <w:r w:rsidRPr="00DF1AB5">
              <w:rPr>
                <w:rFonts w:eastAsia="Arial Unicode MS"/>
                <w:color w:val="000000" w:themeColor="text1"/>
                <w:sz w:val="20"/>
                <w:szCs w:val="20"/>
                <w:shd w:val="clear" w:color="auto" w:fill="FFFFFF"/>
                <w:lang w:val="en-US"/>
              </w:rPr>
              <w:t>prevede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actele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punere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aplicare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lastRenderedPageBreak/>
              <w:t>menționate</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14 din </w:t>
            </w:r>
            <w:r>
              <w:rPr>
                <w:rFonts w:eastAsia="Arial Unicode MS"/>
                <w:color w:val="333333"/>
                <w:sz w:val="20"/>
                <w:szCs w:val="20"/>
                <w:shd w:val="clear" w:color="auto" w:fill="FFFFFF"/>
                <w:lang w:val="en-US"/>
              </w:rPr>
              <w:t xml:space="preserve">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zero.</w:t>
            </w:r>
            <w:r w:rsidR="00DF1AB5">
              <w:rPr>
                <w:rStyle w:val="boldface"/>
                <w:rFonts w:eastAsia="Arial Unicode MS"/>
                <w:b/>
                <w:bCs/>
                <w:color w:val="333333"/>
                <w:sz w:val="20"/>
                <w:szCs w:val="20"/>
                <w:lang w:val="en-US"/>
              </w:rPr>
              <w:t xml:space="preserve"> </w:t>
            </w:r>
            <w:r w:rsidRPr="00E34C2B">
              <w:rPr>
                <w:rStyle w:val="boldface"/>
                <w:rFonts w:eastAsia="Arial Unicode MS"/>
                <w:b/>
                <w:bCs/>
                <w:color w:val="333333"/>
                <w:sz w:val="20"/>
                <w:szCs w:val="20"/>
                <w:lang w:val="en-US"/>
              </w:rPr>
              <w:t>◄</w:t>
            </w:r>
          </w:p>
          <w:p w14:paraId="1BB6DA45"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În </w:t>
            </w:r>
            <w:proofErr w:type="spellStart"/>
            <w:r w:rsidRPr="00DF1AB5">
              <w:rPr>
                <w:rFonts w:eastAsia="Arial Unicode MS"/>
                <w:color w:val="000000" w:themeColor="text1"/>
                <w:sz w:val="20"/>
                <w:szCs w:val="20"/>
                <w:shd w:val="clear" w:color="auto" w:fill="FFFFFF"/>
                <w:lang w:val="en-US"/>
              </w:rPr>
              <w:t>cazul</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nu </w:t>
            </w:r>
            <w:proofErr w:type="spellStart"/>
            <w:r w:rsidRPr="00DF1AB5">
              <w:rPr>
                <w:rFonts w:eastAsia="Arial Unicode MS"/>
                <w:color w:val="000000" w:themeColor="text1"/>
                <w:sz w:val="20"/>
                <w:szCs w:val="20"/>
                <w:shd w:val="clear" w:color="auto" w:fill="FFFFFF"/>
                <w:lang w:val="en-US"/>
              </w:rPr>
              <w:t>ia</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considerare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faptul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că</w:t>
            </w:r>
            <w:proofErr w:type="spellEnd"/>
            <w:r w:rsidRPr="00DF1AB5">
              <w:rPr>
                <w:rFonts w:eastAsia="Arial Unicode MS"/>
                <w:color w:val="000000" w:themeColor="text1"/>
                <w:sz w:val="20"/>
                <w:szCs w:val="20"/>
                <w:shd w:val="clear" w:color="auto" w:fill="FFFFFF"/>
                <w:lang w:val="en-US"/>
              </w:rPr>
              <w:t xml:space="preserve"> o </w:t>
            </w:r>
            <w:proofErr w:type="spellStart"/>
            <w:r w:rsidRPr="00DF1AB5">
              <w:rPr>
                <w:rFonts w:eastAsia="Arial Unicode MS"/>
                <w:color w:val="000000" w:themeColor="text1"/>
                <w:sz w:val="20"/>
                <w:szCs w:val="20"/>
                <w:shd w:val="clear" w:color="auto" w:fill="FFFFFF"/>
                <w:lang w:val="en-US"/>
              </w:rPr>
              <w:t>parte</w:t>
            </w:r>
            <w:proofErr w:type="spellEnd"/>
            <w:r w:rsidRPr="00DF1AB5">
              <w:rPr>
                <w:rFonts w:eastAsia="Arial Unicode MS"/>
                <w:color w:val="000000" w:themeColor="text1"/>
                <w:sz w:val="20"/>
                <w:szCs w:val="20"/>
                <w:shd w:val="clear" w:color="auto" w:fill="FFFFFF"/>
                <w:lang w:val="en-US"/>
              </w:rPr>
              <w:t xml:space="preserve"> din carbon nu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oxidat</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utilizează</w:t>
            </w:r>
            <w:proofErr w:type="spellEnd"/>
            <w:r w:rsidRPr="00DF1AB5">
              <w:rPr>
                <w:rFonts w:eastAsia="Arial Unicode MS"/>
                <w:color w:val="000000" w:themeColor="text1"/>
                <w:sz w:val="20"/>
                <w:szCs w:val="20"/>
                <w:shd w:val="clear" w:color="auto" w:fill="FFFFFF"/>
                <w:lang w:val="en-US"/>
              </w:rPr>
              <w:t xml:space="preserve"> un factor </w:t>
            </w:r>
            <w:proofErr w:type="spellStart"/>
            <w:r w:rsidRPr="00DF1AB5">
              <w:rPr>
                <w:rFonts w:eastAsia="Arial Unicode MS"/>
                <w:color w:val="000000" w:themeColor="text1"/>
                <w:sz w:val="20"/>
                <w:szCs w:val="20"/>
                <w:shd w:val="clear" w:color="auto" w:fill="FFFFFF"/>
                <w:lang w:val="en-US"/>
              </w:rPr>
              <w:t>suplimentar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oxidare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cazul</w:t>
            </w:r>
            <w:proofErr w:type="spellEnd"/>
            <w:r w:rsidRPr="00DF1AB5">
              <w:rPr>
                <w:rFonts w:eastAsia="Arial Unicode MS"/>
                <w:color w:val="000000" w:themeColor="text1"/>
                <w:sz w:val="20"/>
                <w:szCs w:val="20"/>
                <w:shd w:val="clear" w:color="auto" w:fill="FFFFFF"/>
                <w:lang w:val="en-US"/>
              </w:rPr>
              <w:t xml:space="preserve"> în care s-au </w:t>
            </w:r>
            <w:proofErr w:type="spellStart"/>
            <w:r w:rsidRPr="00DF1AB5">
              <w:rPr>
                <w:rFonts w:eastAsia="Arial Unicode MS"/>
                <w:color w:val="000000" w:themeColor="text1"/>
                <w:sz w:val="20"/>
                <w:szCs w:val="20"/>
                <w:shd w:val="clear" w:color="auto" w:fill="FFFFFF"/>
                <w:lang w:val="en-US"/>
              </w:rPr>
              <w:t>calculat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iau</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considerare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oxidarea</w:t>
            </w:r>
            <w:proofErr w:type="spellEnd"/>
            <w:r w:rsidRPr="00DF1AB5">
              <w:rPr>
                <w:rFonts w:eastAsia="Arial Unicode MS"/>
                <w:color w:val="000000" w:themeColor="text1"/>
                <w:sz w:val="20"/>
                <w:szCs w:val="20"/>
                <w:shd w:val="clear" w:color="auto" w:fill="FFFFFF"/>
                <w:lang w:val="en-US"/>
              </w:rPr>
              <w:t xml:space="preserve">, nu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necesară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unui</w:t>
            </w:r>
            <w:proofErr w:type="spellEnd"/>
            <w:r w:rsidRPr="00DF1AB5">
              <w:rPr>
                <w:rFonts w:eastAsia="Arial Unicode MS"/>
                <w:color w:val="000000" w:themeColor="text1"/>
                <w:sz w:val="20"/>
                <w:szCs w:val="20"/>
                <w:shd w:val="clear" w:color="auto" w:fill="FFFFFF"/>
                <w:lang w:val="en-US"/>
              </w:rPr>
              <w:t xml:space="preserve"> factor </w:t>
            </w:r>
            <w:proofErr w:type="spellStart"/>
            <w:r w:rsidRPr="00DF1AB5">
              <w:rPr>
                <w:rFonts w:eastAsia="Arial Unicode MS"/>
                <w:color w:val="000000" w:themeColor="text1"/>
                <w:sz w:val="20"/>
                <w:szCs w:val="20"/>
                <w:shd w:val="clear" w:color="auto" w:fill="FFFFFF"/>
                <w:lang w:val="en-US"/>
              </w:rPr>
              <w:t>suplimentar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oxidare</w:t>
            </w:r>
            <w:proofErr w:type="spellEnd"/>
            <w:r w:rsidRPr="00DF1AB5">
              <w:rPr>
                <w:rFonts w:eastAsia="Arial Unicode MS"/>
                <w:color w:val="000000" w:themeColor="text1"/>
                <w:sz w:val="20"/>
                <w:szCs w:val="20"/>
                <w:shd w:val="clear" w:color="auto" w:fill="FFFFFF"/>
                <w:lang w:val="en-US"/>
              </w:rPr>
              <w:t>.</w:t>
            </w:r>
          </w:p>
          <w:p w14:paraId="50E05112"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91" w:tooltip="32023L0959: REPLACED" w:history="1">
              <w:r w:rsidRPr="00E34C2B">
                <w:rPr>
                  <w:rStyle w:val="af3"/>
                  <w:rFonts w:eastAsia="Arial Unicode MS"/>
                  <w:b/>
                  <w:bCs/>
                  <w:color w:val="4472C4" w:themeColor="accent1"/>
                  <w:sz w:val="20"/>
                  <w:szCs w:val="20"/>
                  <w:lang w:val="en-US"/>
                </w:rPr>
                <w:t>▼M15</w:t>
              </w:r>
            </w:hyperlink>
          </w:p>
          <w:p w14:paraId="48930EBC"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Se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impliciți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oxidare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elaborați</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Directivei</w:t>
            </w:r>
            <w:proofErr w:type="spellEnd"/>
            <w:r w:rsidRPr="00DF1AB5">
              <w:rPr>
                <w:rFonts w:eastAsia="Arial Unicode MS"/>
                <w:color w:val="000000" w:themeColor="text1"/>
                <w:sz w:val="20"/>
                <w:szCs w:val="20"/>
                <w:shd w:val="clear" w:color="auto" w:fill="FFFFFF"/>
                <w:lang w:val="en-US"/>
              </w:rPr>
              <w:t xml:space="preserve"> 2010/75/UE,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cazurilor</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demonstra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activității</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exacți</w:t>
            </w:r>
            <w:proofErr w:type="spellEnd"/>
            <w:r w:rsidRPr="00DF1AB5">
              <w:rPr>
                <w:rFonts w:eastAsia="Arial Unicode MS"/>
                <w:color w:val="000000" w:themeColor="text1"/>
                <w:sz w:val="20"/>
                <w:szCs w:val="20"/>
                <w:shd w:val="clear" w:color="auto" w:fill="FFFFFF"/>
                <w:lang w:val="en-US"/>
              </w:rPr>
              <w:t>.</w:t>
            </w:r>
          </w:p>
          <w:p w14:paraId="4CA90B0D"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392" w:tooltip="32003L0087" w:history="1">
              <w:r w:rsidRPr="00E34C2B">
                <w:rPr>
                  <w:rStyle w:val="af3"/>
                  <w:rFonts w:eastAsia="Arial Unicode MS"/>
                  <w:b/>
                  <w:bCs/>
                  <w:color w:val="4472C4" w:themeColor="accent1"/>
                  <w:sz w:val="20"/>
                  <w:szCs w:val="20"/>
                  <w:lang w:val="en-US"/>
                </w:rPr>
                <w:t>▼B</w:t>
              </w:r>
            </w:hyperlink>
          </w:p>
          <w:p w14:paraId="0C19D9E0"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Se efectuează </w:t>
            </w:r>
            <w:proofErr w:type="spellStart"/>
            <w:r w:rsidRPr="00DF1AB5">
              <w:rPr>
                <w:rFonts w:eastAsia="Arial Unicode MS"/>
                <w:color w:val="000000" w:themeColor="text1"/>
                <w:sz w:val="20"/>
                <w:szCs w:val="20"/>
                <w:shd w:val="clear" w:color="auto" w:fill="FFFFFF"/>
                <w:lang w:val="en-US"/>
              </w:rPr>
              <w:t>calcule</w:t>
            </w:r>
            <w:proofErr w:type="spellEnd"/>
            <w:r w:rsidRPr="00DF1AB5">
              <w:rPr>
                <w:rFonts w:eastAsia="Arial Unicode MS"/>
                <w:color w:val="000000" w:themeColor="text1"/>
                <w:sz w:val="20"/>
                <w:szCs w:val="20"/>
                <w:shd w:val="clear" w:color="auto" w:fill="FFFFFF"/>
                <w:lang w:val="en-US"/>
              </w:rPr>
              <w:t xml:space="preserve"> separate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instalație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w:t>
            </w:r>
          </w:p>
          <w:p w14:paraId="56C82C48" w14:textId="77777777" w:rsidR="00124364" w:rsidRPr="00DF1AB5" w:rsidRDefault="00000000" w:rsidP="00DF1AB5">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Măsurări</w:t>
            </w:r>
            <w:proofErr w:type="spellEnd"/>
          </w:p>
          <w:p w14:paraId="5857B20D" w14:textId="77777777" w:rsidR="00124364" w:rsidRPr="00DF1AB5" w:rsidRDefault="00000000" w:rsidP="00DF1AB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Măsurarea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realizează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metode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standardizate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acceptate</w:t>
            </w:r>
            <w:proofErr w:type="spellEnd"/>
            <w:r w:rsidRPr="00DF1AB5">
              <w:rPr>
                <w:rFonts w:eastAsia="Arial Unicode MS"/>
                <w:color w:val="000000" w:themeColor="text1"/>
                <w:sz w:val="20"/>
                <w:szCs w:val="20"/>
                <w:shd w:val="clear" w:color="auto" w:fill="FFFFFF"/>
                <w:lang w:val="en-US"/>
              </w:rPr>
              <w:t xml:space="preserve"> și se </w:t>
            </w:r>
            <w:proofErr w:type="spellStart"/>
            <w:r w:rsidRPr="00DF1AB5">
              <w:rPr>
                <w:rFonts w:eastAsia="Arial Unicode MS"/>
                <w:color w:val="000000" w:themeColor="text1"/>
                <w:sz w:val="20"/>
                <w:szCs w:val="20"/>
                <w:shd w:val="clear" w:color="auto" w:fill="FFFFFF"/>
                <w:lang w:val="en-US"/>
              </w:rPr>
              <w:t>coroborează</w:t>
            </w:r>
            <w:proofErr w:type="spellEnd"/>
            <w:r w:rsidRPr="00DF1AB5">
              <w:rPr>
                <w:rFonts w:eastAsia="Arial Unicode MS"/>
                <w:color w:val="000000" w:themeColor="text1"/>
                <w:sz w:val="20"/>
                <w:szCs w:val="20"/>
                <w:shd w:val="clear" w:color="auto" w:fill="FFFFFF"/>
                <w:lang w:val="en-US"/>
              </w:rPr>
              <w:t xml:space="preserve"> cu un </w:t>
            </w:r>
            <w:proofErr w:type="spellStart"/>
            <w:r w:rsidRPr="00DF1AB5">
              <w:rPr>
                <w:rFonts w:eastAsia="Arial Unicode MS"/>
                <w:color w:val="000000" w:themeColor="text1"/>
                <w:sz w:val="20"/>
                <w:szCs w:val="20"/>
                <w:shd w:val="clear" w:color="auto" w:fill="FFFFFF"/>
                <w:lang w:val="en-US"/>
              </w:rPr>
              <w:t>calcul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ajutător</w:t>
            </w:r>
            <w:proofErr w:type="spellEnd"/>
            <w:r w:rsidRPr="00DF1AB5">
              <w:rPr>
                <w:rFonts w:eastAsia="Arial Unicode MS"/>
                <w:color w:val="000000" w:themeColor="text1"/>
                <w:sz w:val="20"/>
                <w:szCs w:val="20"/>
                <w:shd w:val="clear" w:color="auto" w:fill="FFFFFF"/>
                <w:lang w:val="en-US"/>
              </w:rPr>
              <w:t xml:space="preserve"> al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w:t>
            </w:r>
          </w:p>
          <w:p w14:paraId="37568C24"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i/>
                <w:iCs/>
                <w:color w:val="000000" w:themeColor="text1"/>
                <w:sz w:val="20"/>
                <w:szCs w:val="20"/>
                <w:shd w:val="clear" w:color="auto" w:fill="FFFFFF"/>
                <w:lang w:val="en-US"/>
              </w:rPr>
            </w:pPr>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Monitorizarea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emisiilor</w:t>
            </w:r>
            <w:proofErr w:type="spellEnd"/>
            <w:r w:rsidRPr="00DF1AB5">
              <w:rPr>
                <w:rFonts w:eastAsia="Arial Unicode MS"/>
                <w:i/>
                <w:iCs/>
                <w:color w:val="000000" w:themeColor="text1"/>
                <w:sz w:val="20"/>
                <w:szCs w:val="20"/>
                <w:shd w:val="clear" w:color="auto" w:fill="FFFFFF"/>
                <w:lang w:val="en-US"/>
              </w:rPr>
              <w:t xml:space="preserve"> de </w:t>
            </w:r>
            <w:proofErr w:type="spellStart"/>
            <w:r w:rsidRPr="00DF1AB5">
              <w:rPr>
                <w:rFonts w:eastAsia="Arial Unicode MS"/>
                <w:i/>
                <w:iCs/>
                <w:color w:val="000000" w:themeColor="text1"/>
                <w:sz w:val="20"/>
                <w:szCs w:val="20"/>
                <w:shd w:val="clear" w:color="auto" w:fill="FFFFFF"/>
                <w:lang w:val="en-US"/>
              </w:rPr>
              <w:t>alte</w:t>
            </w:r>
            <w:proofErr w:type="spellEnd"/>
            <w:r w:rsidRPr="00DF1AB5">
              <w:rPr>
                <w:rFonts w:eastAsia="Arial Unicode MS"/>
                <w:i/>
                <w:iCs/>
                <w:color w:val="000000" w:themeColor="text1"/>
                <w:sz w:val="20"/>
                <w:szCs w:val="20"/>
                <w:shd w:val="clear" w:color="auto" w:fill="FFFFFF"/>
                <w:lang w:val="en-US"/>
              </w:rPr>
              <w:t xml:space="preserve"> gaze cu </w:t>
            </w:r>
            <w:proofErr w:type="spellStart"/>
            <w:r w:rsidRPr="00DF1AB5">
              <w:rPr>
                <w:rFonts w:eastAsia="Arial Unicode MS"/>
                <w:i/>
                <w:iCs/>
                <w:color w:val="000000" w:themeColor="text1"/>
                <w:sz w:val="20"/>
                <w:szCs w:val="20"/>
                <w:shd w:val="clear" w:color="auto" w:fill="FFFFFF"/>
                <w:lang w:val="en-US"/>
              </w:rPr>
              <w:t>efect</w:t>
            </w:r>
            <w:proofErr w:type="spellEnd"/>
            <w:r w:rsidRPr="00DF1AB5">
              <w:rPr>
                <w:rFonts w:eastAsia="Arial Unicode MS"/>
                <w:i/>
                <w:iCs/>
                <w:color w:val="000000" w:themeColor="text1"/>
                <w:sz w:val="20"/>
                <w:szCs w:val="20"/>
                <w:shd w:val="clear" w:color="auto" w:fill="FFFFFF"/>
                <w:lang w:val="en-US"/>
              </w:rPr>
              <w:t xml:space="preserve"> de </w:t>
            </w:r>
            <w:proofErr w:type="spellStart"/>
            <w:r w:rsidRPr="00DF1AB5">
              <w:rPr>
                <w:rFonts w:eastAsia="Arial Unicode MS"/>
                <w:i/>
                <w:iCs/>
                <w:color w:val="000000" w:themeColor="text1"/>
                <w:sz w:val="20"/>
                <w:szCs w:val="20"/>
                <w:shd w:val="clear" w:color="auto" w:fill="FFFFFF"/>
                <w:lang w:val="en-US"/>
              </w:rPr>
              <w:t>seră</w:t>
            </w:r>
            <w:proofErr w:type="spellEnd"/>
          </w:p>
          <w:p w14:paraId="0E4B1EBE" w14:textId="77777777" w:rsidR="00124364" w:rsidRPr="00E34C2B" w:rsidRDefault="00000000">
            <w:pPr>
              <w:pStyle w:val="ti-art"/>
              <w:shd w:val="clear" w:color="auto" w:fill="FFFFFF"/>
              <w:tabs>
                <w:tab w:val="left" w:pos="1366"/>
              </w:tabs>
              <w:spacing w:before="0" w:beforeAutospacing="0" w:after="0" w:afterAutospacing="0"/>
              <w:rPr>
                <w:color w:val="4472C4" w:themeColor="accent1"/>
                <w:sz w:val="20"/>
                <w:szCs w:val="20"/>
                <w:lang w:val="en-US"/>
              </w:rPr>
            </w:pPr>
            <w:hyperlink r:id="rId393" w:tooltip="32018L0410: REPLACED" w:history="1">
              <w:r w:rsidRPr="00E34C2B">
                <w:rPr>
                  <w:rStyle w:val="af3"/>
                  <w:rFonts w:eastAsia="Arial Unicode MS"/>
                  <w:b/>
                  <w:bCs/>
                  <w:color w:val="4472C4" w:themeColor="accent1"/>
                  <w:sz w:val="20"/>
                  <w:szCs w:val="20"/>
                  <w:lang w:val="en-US"/>
                </w:rPr>
                <w:t>▼M9</w:t>
              </w:r>
            </w:hyperlink>
          </w:p>
          <w:p w14:paraId="72E71472"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Se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metode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standardizate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acceptate</w:t>
            </w:r>
            <w:proofErr w:type="spellEnd"/>
            <w:r w:rsidRPr="00DF1AB5">
              <w:rPr>
                <w:rFonts w:eastAsia="Arial Unicode MS"/>
                <w:color w:val="000000" w:themeColor="text1"/>
                <w:sz w:val="20"/>
                <w:szCs w:val="20"/>
                <w:shd w:val="clear" w:color="auto" w:fill="FFFFFF"/>
                <w:lang w:val="en-US"/>
              </w:rPr>
              <w:t xml:space="preserve">, elaborate de </w:t>
            </w:r>
            <w:proofErr w:type="spellStart"/>
            <w:r w:rsidRPr="00DF1AB5">
              <w:rPr>
                <w:rFonts w:eastAsia="Arial Unicode MS"/>
                <w:color w:val="000000" w:themeColor="text1"/>
                <w:sz w:val="20"/>
                <w:szCs w:val="20"/>
                <w:shd w:val="clear" w:color="auto" w:fill="FFFFFF"/>
                <w:lang w:val="en-US"/>
              </w:rPr>
              <w:t>Comisie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colaborare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părțile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interesate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relevante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adoptate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articolului</w:t>
            </w:r>
            <w:proofErr w:type="spellEnd"/>
            <w:r w:rsidRPr="00DF1AB5">
              <w:rPr>
                <w:rFonts w:eastAsia="Arial Unicode MS"/>
                <w:color w:val="000000" w:themeColor="text1"/>
                <w:sz w:val="20"/>
                <w:szCs w:val="20"/>
                <w:shd w:val="clear" w:color="auto" w:fill="FFFFFF"/>
                <w:lang w:val="en-US"/>
              </w:rPr>
              <w:t xml:space="preserve"> 14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(1).</w:t>
            </w:r>
          </w:p>
          <w:p w14:paraId="260846D0" w14:textId="77777777" w:rsidR="00124364" w:rsidRPr="00E34C2B" w:rsidRDefault="00000000">
            <w:pPr>
              <w:pStyle w:val="ti-art"/>
              <w:shd w:val="clear" w:color="auto" w:fill="FFFFFF"/>
              <w:tabs>
                <w:tab w:val="left" w:pos="1366"/>
              </w:tabs>
              <w:spacing w:before="0" w:beforeAutospacing="0" w:after="0" w:afterAutospacing="0"/>
              <w:rPr>
                <w:color w:val="4472C4" w:themeColor="accent1"/>
                <w:sz w:val="20"/>
                <w:szCs w:val="20"/>
                <w:lang w:val="en-US"/>
              </w:rPr>
            </w:pPr>
            <w:hyperlink r:id="rId394" w:tooltip="32003L0087" w:history="1">
              <w:r w:rsidRPr="00E34C2B">
                <w:rPr>
                  <w:rStyle w:val="af3"/>
                  <w:rFonts w:eastAsia="Arial Unicode MS"/>
                  <w:b/>
                  <w:bCs/>
                  <w:color w:val="4472C4" w:themeColor="accent1"/>
                  <w:sz w:val="20"/>
                  <w:szCs w:val="20"/>
                  <w:lang w:val="en-US"/>
                </w:rPr>
                <w:t>▼B</w:t>
              </w:r>
            </w:hyperlink>
          </w:p>
          <w:p w14:paraId="26915488" w14:textId="77777777" w:rsidR="00124364" w:rsidRPr="00E34C2B" w:rsidRDefault="00000000">
            <w:pPr>
              <w:pStyle w:val="ti-art"/>
              <w:shd w:val="clear" w:color="auto" w:fill="FFFFFF"/>
              <w:tabs>
                <w:tab w:val="left" w:pos="1366"/>
              </w:tabs>
              <w:spacing w:before="0" w:beforeAutospacing="0" w:after="0" w:afterAutospacing="0"/>
              <w:jc w:val="center"/>
              <w:rPr>
                <w:rFonts w:eastAsia="Arial Unicode MS"/>
                <w:i/>
                <w:iCs/>
                <w:color w:val="333333"/>
                <w:sz w:val="20"/>
                <w:szCs w:val="20"/>
                <w:shd w:val="clear" w:color="auto" w:fill="FFFFFF"/>
                <w:lang w:val="en-US"/>
              </w:rPr>
            </w:pPr>
            <w:proofErr w:type="spellStart"/>
            <w:r w:rsidRPr="00E34C2B">
              <w:rPr>
                <w:rFonts w:eastAsia="Arial Unicode MS"/>
                <w:i/>
                <w:iCs/>
                <w:color w:val="333333"/>
                <w:sz w:val="20"/>
                <w:szCs w:val="20"/>
                <w:shd w:val="clear" w:color="auto" w:fill="FFFFFF"/>
                <w:lang w:val="en-US"/>
              </w:rPr>
              <w:t>Raportarea</w:t>
            </w:r>
            <w:proofErr w:type="spellEnd"/>
            <w:r w:rsidRPr="00E34C2B">
              <w:rPr>
                <w:rFonts w:eastAsia="Arial Unicode MS"/>
                <w:i/>
                <w:iCs/>
                <w:color w:val="333333"/>
                <w:sz w:val="20"/>
                <w:szCs w:val="20"/>
                <w:shd w:val="clear" w:color="auto" w:fill="FFFFFF"/>
                <w:lang w:val="en-US"/>
              </w:rPr>
              <w:t xml:space="preserve"> </w:t>
            </w:r>
            <w:proofErr w:type="spellStart"/>
            <w:r w:rsidRPr="00E34C2B">
              <w:rPr>
                <w:rFonts w:eastAsia="Arial Unicode MS"/>
                <w:i/>
                <w:iCs/>
                <w:color w:val="333333"/>
                <w:sz w:val="20"/>
                <w:szCs w:val="20"/>
                <w:shd w:val="clear" w:color="auto" w:fill="FFFFFF"/>
                <w:lang w:val="en-US"/>
              </w:rPr>
              <w:t>emisiilor</w:t>
            </w:r>
            <w:proofErr w:type="spellEnd"/>
          </w:p>
          <w:p w14:paraId="3064BD60"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operator include </w:t>
            </w:r>
            <w:proofErr w:type="spellStart"/>
            <w:r w:rsidRPr="00DF1AB5">
              <w:rPr>
                <w:rFonts w:eastAsia="Arial Unicode MS"/>
                <w:color w:val="000000" w:themeColor="text1"/>
                <w:sz w:val="20"/>
                <w:szCs w:val="20"/>
                <w:shd w:val="clear" w:color="auto" w:fill="FFFFFF"/>
                <w:lang w:val="en-US"/>
              </w:rPr>
              <w:t>următoarele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raportul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o </w:t>
            </w:r>
            <w:proofErr w:type="spellStart"/>
            <w:r w:rsidRPr="00DF1AB5">
              <w:rPr>
                <w:rFonts w:eastAsia="Arial Unicode MS"/>
                <w:color w:val="000000" w:themeColor="text1"/>
                <w:sz w:val="20"/>
                <w:szCs w:val="20"/>
                <w:shd w:val="clear" w:color="auto" w:fill="FFFFFF"/>
                <w:lang w:val="en-US"/>
              </w:rPr>
              <w:t>instalație</w:t>
            </w:r>
            <w:proofErr w:type="spellEnd"/>
            <w:r w:rsidRPr="00DF1AB5">
              <w:rPr>
                <w:rFonts w:eastAsia="Arial Unicode MS"/>
                <w:color w:val="000000" w:themeColor="text1"/>
                <w:sz w:val="20"/>
                <w:szCs w:val="20"/>
                <w:shd w:val="clear" w:color="auto" w:fill="FFFFFF"/>
                <w:lang w:val="en-US"/>
              </w:rPr>
              <w:t>:</w:t>
            </w:r>
          </w:p>
          <w:p w14:paraId="23C1C8CB" w14:textId="77777777" w:rsidR="00124364" w:rsidRPr="00DF1AB5" w:rsidRDefault="00000000" w:rsidP="00DF1AB5">
            <w:pPr>
              <w:pStyle w:val="ti-art"/>
              <w:numPr>
                <w:ilvl w:val="0"/>
                <w:numId w:val="17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Date de </w:t>
            </w:r>
            <w:proofErr w:type="spellStart"/>
            <w:r w:rsidRPr="00DF1AB5">
              <w:rPr>
                <w:rFonts w:eastAsia="Arial Unicode MS"/>
                <w:color w:val="000000" w:themeColor="text1"/>
                <w:sz w:val="20"/>
                <w:szCs w:val="20"/>
                <w:shd w:val="clear" w:color="auto" w:fill="FFFFFF"/>
                <w:lang w:val="en-US"/>
              </w:rPr>
              <w:t>identificare</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instalației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w:t>
            </w:r>
          </w:p>
          <w:p w14:paraId="5C40E112" w14:textId="77777777" w:rsidR="00124364" w:rsidRPr="00DF1AB5" w:rsidRDefault="00000000" w:rsidP="00DF1AB5">
            <w:pPr>
              <w:pStyle w:val="ti-art"/>
              <w:numPr>
                <w:ilvl w:val="0"/>
                <w:numId w:val="172"/>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numele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instalației</w:t>
            </w:r>
            <w:proofErr w:type="spellEnd"/>
            <w:r w:rsidRPr="00DF1AB5">
              <w:rPr>
                <w:rFonts w:eastAsia="Arial Unicode MS"/>
                <w:color w:val="000000" w:themeColor="text1"/>
                <w:sz w:val="20"/>
                <w:szCs w:val="20"/>
                <w:shd w:val="clear" w:color="auto" w:fill="FFFFFF"/>
              </w:rPr>
              <w:t>;</w:t>
            </w:r>
          </w:p>
          <w:p w14:paraId="40075AC3" w14:textId="77777777" w:rsidR="00124364" w:rsidRPr="00DF1AB5" w:rsidRDefault="00000000" w:rsidP="00DF1AB5">
            <w:pPr>
              <w:pStyle w:val="ti-art"/>
              <w:numPr>
                <w:ilvl w:val="0"/>
                <w:numId w:val="172"/>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acesteia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poștal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țara</w:t>
            </w:r>
            <w:proofErr w:type="spellEnd"/>
            <w:r w:rsidRPr="00DF1AB5">
              <w:rPr>
                <w:rFonts w:eastAsia="Arial Unicode MS"/>
                <w:color w:val="000000" w:themeColor="text1"/>
                <w:sz w:val="20"/>
                <w:szCs w:val="20"/>
                <w:shd w:val="clear" w:color="auto" w:fill="FFFFFF"/>
                <w:lang w:val="en-US"/>
              </w:rPr>
              <w:t>;</w:t>
            </w:r>
          </w:p>
          <w:p w14:paraId="7531C1E7" w14:textId="77777777" w:rsidR="00124364" w:rsidRPr="00DF1AB5" w:rsidRDefault="00000000" w:rsidP="00DF1AB5">
            <w:pPr>
              <w:pStyle w:val="ti-art"/>
              <w:numPr>
                <w:ilvl w:val="0"/>
                <w:numId w:val="172"/>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tipul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activități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prevăzute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desfășurate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instalație</w:t>
            </w:r>
            <w:proofErr w:type="spellEnd"/>
            <w:r w:rsidRPr="00DF1AB5">
              <w:rPr>
                <w:rFonts w:eastAsia="Arial Unicode MS"/>
                <w:color w:val="000000" w:themeColor="text1"/>
                <w:sz w:val="20"/>
                <w:szCs w:val="20"/>
                <w:shd w:val="clear" w:color="auto" w:fill="FFFFFF"/>
                <w:lang w:val="en-US"/>
              </w:rPr>
              <w:t>;</w:t>
            </w:r>
          </w:p>
          <w:p w14:paraId="10E8BDAC" w14:textId="77777777" w:rsidR="00124364" w:rsidRPr="00DF1AB5" w:rsidRDefault="00000000" w:rsidP="00DF1AB5">
            <w:pPr>
              <w:pStyle w:val="ti-art"/>
              <w:numPr>
                <w:ilvl w:val="0"/>
                <w:numId w:val="172"/>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telefon</w:t>
            </w:r>
            <w:proofErr w:type="spellEnd"/>
            <w:r w:rsidRPr="00DF1AB5">
              <w:rPr>
                <w:rFonts w:eastAsia="Arial Unicode MS"/>
                <w:color w:val="000000" w:themeColor="text1"/>
                <w:sz w:val="20"/>
                <w:szCs w:val="20"/>
                <w:shd w:val="clear" w:color="auto" w:fill="FFFFFF"/>
                <w:lang w:val="en-US"/>
              </w:rPr>
              <w:t xml:space="preserve">, de fax și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poștă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electronică</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unei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persoane</w:t>
            </w:r>
            <w:proofErr w:type="spellEnd"/>
            <w:r w:rsidRPr="00DF1AB5">
              <w:rPr>
                <w:rFonts w:eastAsia="Arial Unicode MS"/>
                <w:color w:val="000000" w:themeColor="text1"/>
                <w:sz w:val="20"/>
                <w:szCs w:val="20"/>
                <w:shd w:val="clear" w:color="auto" w:fill="FFFFFF"/>
                <w:lang w:val="en-US"/>
              </w:rPr>
              <w:t xml:space="preserve"> de contact și</w:t>
            </w:r>
          </w:p>
          <w:p w14:paraId="4BC1219C" w14:textId="77777777" w:rsidR="00124364" w:rsidRPr="00DF1AB5" w:rsidRDefault="00000000" w:rsidP="00DF1AB5">
            <w:pPr>
              <w:pStyle w:val="ti-art"/>
              <w:numPr>
                <w:ilvl w:val="0"/>
                <w:numId w:val="172"/>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proprietarului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instalației</w:t>
            </w:r>
            <w:proofErr w:type="spellEnd"/>
            <w:r w:rsidRPr="00DF1AB5">
              <w:rPr>
                <w:rFonts w:eastAsia="Arial Unicode MS"/>
                <w:color w:val="000000" w:themeColor="text1"/>
                <w:sz w:val="20"/>
                <w:szCs w:val="20"/>
                <w:shd w:val="clear" w:color="auto" w:fill="FFFFFF"/>
                <w:lang w:val="en-US"/>
              </w:rPr>
              <w:t xml:space="preserve"> și al </w:t>
            </w:r>
            <w:proofErr w:type="spellStart"/>
            <w:r w:rsidRPr="00DF1AB5">
              <w:rPr>
                <w:rFonts w:eastAsia="Arial Unicode MS"/>
                <w:color w:val="000000" w:themeColor="text1"/>
                <w:sz w:val="20"/>
                <w:szCs w:val="20"/>
                <w:shd w:val="clear" w:color="auto" w:fill="FFFFFF"/>
                <w:lang w:val="en-US"/>
              </w:rPr>
              <w:t>societății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mamă</w:t>
            </w:r>
            <w:proofErr w:type="spellEnd"/>
            <w:r w:rsidRPr="00DF1AB5">
              <w:rPr>
                <w:rFonts w:eastAsia="Arial Unicode MS"/>
                <w:color w:val="000000" w:themeColor="text1"/>
                <w:sz w:val="20"/>
                <w:szCs w:val="20"/>
                <w:shd w:val="clear" w:color="auto" w:fill="FFFFFF"/>
                <w:lang w:val="en-US"/>
              </w:rPr>
              <w:t>.</w:t>
            </w:r>
          </w:p>
          <w:p w14:paraId="4B334B5E" w14:textId="77777777" w:rsidR="00124364" w:rsidRPr="00DF1AB5" w:rsidRDefault="00000000" w:rsidP="00DF1AB5">
            <w:pPr>
              <w:pStyle w:val="ti-art"/>
              <w:numPr>
                <w:ilvl w:val="0"/>
                <w:numId w:val="173"/>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activitate</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desfășurată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locul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w:t>
            </w:r>
          </w:p>
          <w:p w14:paraId="09DF2BFE" w14:textId="77777777" w:rsidR="00124364" w:rsidRPr="00DF1AB5" w:rsidRDefault="00000000" w:rsidP="00DF1AB5">
            <w:pPr>
              <w:pStyle w:val="ti-art"/>
              <w:numPr>
                <w:ilvl w:val="0"/>
                <w:numId w:val="174"/>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date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privind</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activitatea</w:t>
            </w:r>
            <w:proofErr w:type="spellEnd"/>
            <w:r w:rsidRPr="00DF1AB5">
              <w:rPr>
                <w:rFonts w:eastAsia="Arial Unicode MS"/>
                <w:color w:val="000000" w:themeColor="text1"/>
                <w:sz w:val="20"/>
                <w:szCs w:val="20"/>
                <w:shd w:val="clear" w:color="auto" w:fill="FFFFFF"/>
              </w:rPr>
              <w:t>;</w:t>
            </w:r>
          </w:p>
          <w:p w14:paraId="51A776C1" w14:textId="77777777" w:rsidR="00124364" w:rsidRPr="00DF1AB5" w:rsidRDefault="00000000" w:rsidP="00DF1AB5">
            <w:pPr>
              <w:pStyle w:val="ti-art"/>
              <w:numPr>
                <w:ilvl w:val="0"/>
                <w:numId w:val="174"/>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factori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emisie</w:t>
            </w:r>
            <w:proofErr w:type="spellEnd"/>
            <w:r w:rsidRPr="00DF1AB5">
              <w:rPr>
                <w:rFonts w:eastAsia="Arial Unicode MS"/>
                <w:color w:val="000000" w:themeColor="text1"/>
                <w:sz w:val="20"/>
                <w:szCs w:val="20"/>
                <w:shd w:val="clear" w:color="auto" w:fill="FFFFFF"/>
              </w:rPr>
              <w:t>;</w:t>
            </w:r>
          </w:p>
          <w:p w14:paraId="2083AEE5" w14:textId="77777777" w:rsidR="00124364" w:rsidRPr="00DF1AB5" w:rsidRDefault="00000000" w:rsidP="00DF1AB5">
            <w:pPr>
              <w:pStyle w:val="ti-art"/>
              <w:numPr>
                <w:ilvl w:val="0"/>
                <w:numId w:val="174"/>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factori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oxidare</w:t>
            </w:r>
            <w:proofErr w:type="spellEnd"/>
            <w:r w:rsidRPr="00DF1AB5">
              <w:rPr>
                <w:rFonts w:eastAsia="Arial Unicode MS"/>
                <w:color w:val="000000" w:themeColor="text1"/>
                <w:sz w:val="20"/>
                <w:szCs w:val="20"/>
                <w:shd w:val="clear" w:color="auto" w:fill="FFFFFF"/>
              </w:rPr>
              <w:t>;</w:t>
            </w:r>
          </w:p>
          <w:p w14:paraId="76D9466E" w14:textId="77777777" w:rsidR="00124364" w:rsidRPr="00DF1AB5" w:rsidRDefault="00000000" w:rsidP="00DF1AB5">
            <w:pPr>
              <w:pStyle w:val="ti-art"/>
              <w:numPr>
                <w:ilvl w:val="0"/>
                <w:numId w:val="174"/>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emisii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totale</w:t>
            </w:r>
            <w:proofErr w:type="spellEnd"/>
            <w:r w:rsidRPr="00DF1AB5">
              <w:rPr>
                <w:rFonts w:eastAsia="Arial Unicode MS"/>
                <w:color w:val="000000" w:themeColor="text1"/>
                <w:sz w:val="20"/>
                <w:szCs w:val="20"/>
                <w:shd w:val="clear" w:color="auto" w:fill="FFFFFF"/>
              </w:rPr>
              <w:t xml:space="preserve"> și</w:t>
            </w:r>
          </w:p>
          <w:p w14:paraId="086FCF7E" w14:textId="77777777" w:rsidR="00124364" w:rsidRPr="00DF1AB5" w:rsidRDefault="00000000" w:rsidP="00DF1AB5">
            <w:pPr>
              <w:pStyle w:val="ti-art"/>
              <w:numPr>
                <w:ilvl w:val="0"/>
                <w:numId w:val="174"/>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gradul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incertitudine</w:t>
            </w:r>
            <w:proofErr w:type="spellEnd"/>
            <w:r w:rsidRPr="00DF1AB5">
              <w:rPr>
                <w:rFonts w:eastAsia="Arial Unicode MS"/>
                <w:color w:val="000000" w:themeColor="text1"/>
                <w:sz w:val="20"/>
                <w:szCs w:val="20"/>
                <w:shd w:val="clear" w:color="auto" w:fill="FFFFFF"/>
              </w:rPr>
              <w:t>.</w:t>
            </w:r>
          </w:p>
          <w:p w14:paraId="4477CD0B" w14:textId="77777777" w:rsidR="00124364" w:rsidRPr="00DF1AB5" w:rsidRDefault="00000000" w:rsidP="00DF1AB5">
            <w:pPr>
              <w:pStyle w:val="ti-art"/>
              <w:numPr>
                <w:ilvl w:val="0"/>
                <w:numId w:val="175"/>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lastRenderedPageBreak/>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activitate</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desfășurată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locul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se </w:t>
            </w:r>
            <w:proofErr w:type="spellStart"/>
            <w:r w:rsidRPr="00DF1AB5">
              <w:rPr>
                <w:rFonts w:eastAsia="Arial Unicode MS"/>
                <w:color w:val="000000" w:themeColor="text1"/>
                <w:sz w:val="20"/>
                <w:szCs w:val="20"/>
                <w:shd w:val="clear" w:color="auto" w:fill="FFFFFF"/>
                <w:lang w:val="en-US"/>
              </w:rPr>
              <w:t>măsoară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w:t>
            </w:r>
          </w:p>
          <w:p w14:paraId="430208A5" w14:textId="77777777" w:rsidR="00124364" w:rsidRPr="00DF1AB5" w:rsidRDefault="00000000" w:rsidP="00DF1AB5">
            <w:pPr>
              <w:pStyle w:val="ti-art"/>
              <w:numPr>
                <w:ilvl w:val="0"/>
                <w:numId w:val="176"/>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emisii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totale</w:t>
            </w:r>
            <w:proofErr w:type="spellEnd"/>
            <w:r w:rsidRPr="00DF1AB5">
              <w:rPr>
                <w:rFonts w:eastAsia="Arial Unicode MS"/>
                <w:color w:val="000000" w:themeColor="text1"/>
                <w:sz w:val="20"/>
                <w:szCs w:val="20"/>
                <w:shd w:val="clear" w:color="auto" w:fill="FFFFFF"/>
              </w:rPr>
              <w:t>;</w:t>
            </w:r>
          </w:p>
          <w:p w14:paraId="40128020" w14:textId="77777777" w:rsidR="00124364" w:rsidRPr="00DF1AB5" w:rsidRDefault="00000000" w:rsidP="00DF1AB5">
            <w:pPr>
              <w:pStyle w:val="ti-art"/>
              <w:numPr>
                <w:ilvl w:val="0"/>
                <w:numId w:val="176"/>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fiabilitatea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metodelor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măsurare</w:t>
            </w:r>
            <w:proofErr w:type="spellEnd"/>
            <w:r w:rsidRPr="00DF1AB5">
              <w:rPr>
                <w:rFonts w:eastAsia="Arial Unicode MS"/>
                <w:color w:val="000000" w:themeColor="text1"/>
                <w:sz w:val="20"/>
                <w:szCs w:val="20"/>
                <w:shd w:val="clear" w:color="auto" w:fill="FFFFFF"/>
                <w:lang w:val="en-US"/>
              </w:rPr>
              <w:t xml:space="preserve"> și</w:t>
            </w:r>
          </w:p>
          <w:p w14:paraId="20CA31D4" w14:textId="77777777" w:rsidR="00124364" w:rsidRPr="00DF1AB5" w:rsidRDefault="00000000" w:rsidP="00DF1AB5">
            <w:pPr>
              <w:pStyle w:val="ti-art"/>
              <w:numPr>
                <w:ilvl w:val="0"/>
                <w:numId w:val="176"/>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gradul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incertitudine</w:t>
            </w:r>
            <w:proofErr w:type="spellEnd"/>
            <w:r w:rsidRPr="00DF1AB5">
              <w:rPr>
                <w:rFonts w:eastAsia="Arial Unicode MS"/>
                <w:color w:val="000000" w:themeColor="text1"/>
                <w:sz w:val="20"/>
                <w:szCs w:val="20"/>
                <w:shd w:val="clear" w:color="auto" w:fill="FFFFFF"/>
              </w:rPr>
              <w:t>.</w:t>
            </w:r>
          </w:p>
          <w:p w14:paraId="07E66291" w14:textId="77777777" w:rsidR="00124364" w:rsidRPr="00DF1AB5" w:rsidRDefault="00000000" w:rsidP="00DF1AB5">
            <w:pPr>
              <w:pStyle w:val="ti-art"/>
              <w:numPr>
                <w:ilvl w:val="0"/>
                <w:numId w:val="177"/>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arderi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w:t>
            </w:r>
            <w:proofErr w:type="spellEnd"/>
            <w:r w:rsidRPr="00DF1AB5">
              <w:rPr>
                <w:rFonts w:eastAsia="Arial Unicode MS"/>
                <w:color w:val="000000" w:themeColor="text1"/>
                <w:sz w:val="20"/>
                <w:szCs w:val="20"/>
                <w:shd w:val="clear" w:color="auto" w:fill="FFFFFF"/>
                <w:lang w:val="en-US"/>
              </w:rPr>
              <w:t xml:space="preserve"> include, de </w:t>
            </w:r>
            <w:proofErr w:type="spellStart"/>
            <w:r w:rsidRPr="00DF1AB5">
              <w:rPr>
                <w:rFonts w:eastAsia="Arial Unicode MS"/>
                <w:color w:val="000000" w:themeColor="text1"/>
                <w:sz w:val="20"/>
                <w:szCs w:val="20"/>
                <w:shd w:val="clear" w:color="auto" w:fill="FFFFFF"/>
                <w:lang w:val="en-US"/>
              </w:rPr>
              <w:t>asemenea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oxidare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cazurilor</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oxidarea</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fost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luată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considerare</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elaborarea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unui</w:t>
            </w:r>
            <w:proofErr w:type="spellEnd"/>
            <w:r w:rsidRPr="00DF1AB5">
              <w:rPr>
                <w:rFonts w:eastAsia="Arial Unicode MS"/>
                <w:color w:val="000000" w:themeColor="text1"/>
                <w:sz w:val="20"/>
                <w:szCs w:val="20"/>
                <w:shd w:val="clear" w:color="auto" w:fill="FFFFFF"/>
                <w:lang w:val="en-US"/>
              </w:rPr>
              <w:t xml:space="preserve"> factor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specific </w:t>
            </w:r>
            <w:proofErr w:type="spellStart"/>
            <w:r w:rsidRPr="00DF1AB5">
              <w:rPr>
                <w:rFonts w:eastAsia="Arial Unicode MS"/>
                <w:color w:val="000000" w:themeColor="text1"/>
                <w:sz w:val="20"/>
                <w:szCs w:val="20"/>
                <w:shd w:val="clear" w:color="auto" w:fill="FFFFFF"/>
                <w:lang w:val="en-US"/>
              </w:rPr>
              <w:t>activității</w:t>
            </w:r>
            <w:proofErr w:type="spellEnd"/>
            <w:r w:rsidRPr="00DF1AB5">
              <w:rPr>
                <w:rFonts w:eastAsia="Arial Unicode MS"/>
                <w:color w:val="000000" w:themeColor="text1"/>
                <w:sz w:val="20"/>
                <w:szCs w:val="20"/>
                <w:shd w:val="clear" w:color="auto" w:fill="FFFFFF"/>
                <w:lang w:val="en-US"/>
              </w:rPr>
              <w:t>.</w:t>
            </w:r>
          </w:p>
          <w:p w14:paraId="2C601245"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Statele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membre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măsuri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coordonarea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cerințelor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raportare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orice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cerințe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raportare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existente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a reduce la minimum </w:t>
            </w:r>
            <w:proofErr w:type="spellStart"/>
            <w:r w:rsidRPr="00DF1AB5">
              <w:rPr>
                <w:rFonts w:eastAsia="Arial Unicode MS"/>
                <w:color w:val="000000" w:themeColor="text1"/>
                <w:sz w:val="20"/>
                <w:szCs w:val="20"/>
                <w:shd w:val="clear" w:color="auto" w:fill="FFFFFF"/>
                <w:lang w:val="en-US"/>
              </w:rPr>
              <w:t>sarcinile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societăților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raportarea</w:t>
            </w:r>
            <w:proofErr w:type="spellEnd"/>
            <w:r w:rsidRPr="00DF1AB5">
              <w:rPr>
                <w:rFonts w:eastAsia="Arial Unicode MS"/>
                <w:color w:val="000000" w:themeColor="text1"/>
                <w:sz w:val="20"/>
                <w:szCs w:val="20"/>
                <w:shd w:val="clear" w:color="auto" w:fill="FFFFFF"/>
                <w:lang w:val="en-US"/>
              </w:rPr>
              <w:t>.</w:t>
            </w:r>
          </w:p>
          <w:p w14:paraId="7CA9A061" w14:textId="77777777" w:rsidR="00124364" w:rsidRPr="00E34C2B" w:rsidRDefault="00000000">
            <w:pPr>
              <w:pStyle w:val="ti-art"/>
              <w:shd w:val="clear" w:color="auto" w:fill="FFFFFF"/>
              <w:tabs>
                <w:tab w:val="left" w:pos="1366"/>
              </w:tabs>
              <w:spacing w:before="0" w:beforeAutospacing="0" w:after="0" w:afterAutospacing="0"/>
              <w:rPr>
                <w:color w:val="4472C4" w:themeColor="accent1"/>
                <w:sz w:val="20"/>
                <w:szCs w:val="20"/>
                <w:lang w:val="en-US"/>
              </w:rPr>
            </w:pPr>
            <w:hyperlink r:id="rId395" w:tooltip="32008L0101: INSERTED" w:history="1">
              <w:r w:rsidRPr="00E34C2B">
                <w:rPr>
                  <w:rStyle w:val="af3"/>
                  <w:rFonts w:eastAsia="Arial Unicode MS"/>
                  <w:b/>
                  <w:bCs/>
                  <w:color w:val="4472C4" w:themeColor="accent1"/>
                  <w:sz w:val="20"/>
                  <w:szCs w:val="20"/>
                  <w:lang w:val="en-US"/>
                </w:rPr>
                <w:t>▼M2</w:t>
              </w:r>
            </w:hyperlink>
          </w:p>
          <w:p w14:paraId="127A95BD" w14:textId="1E041459" w:rsidR="00124364" w:rsidRPr="00DF1AB5" w:rsidRDefault="00000000" w:rsidP="00DF1AB5">
            <w:pPr>
              <w:pStyle w:val="ti-art"/>
              <w:shd w:val="clear" w:color="auto" w:fill="FFFFFF"/>
              <w:tabs>
                <w:tab w:val="left" w:pos="1366"/>
              </w:tabs>
              <w:spacing w:before="0" w:beforeAutospacing="0" w:after="0" w:afterAutospacing="0"/>
              <w:jc w:val="both"/>
              <w:rPr>
                <w:rStyle w:val="boldface"/>
                <w:rFonts w:eastAsia="Arial Unicode MS"/>
                <w:b/>
                <w:bCs/>
                <w:color w:val="000000" w:themeColor="text1"/>
                <w:sz w:val="20"/>
                <w:szCs w:val="20"/>
                <w:lang w:val="en-US"/>
              </w:rPr>
            </w:pPr>
            <w:r w:rsidRPr="00DF1AB5">
              <w:rPr>
                <w:rFonts w:eastAsia="Arial Unicode MS"/>
                <w:b/>
                <w:bCs/>
                <w:color w:val="000000" w:themeColor="text1"/>
                <w:sz w:val="20"/>
                <w:szCs w:val="20"/>
                <w:shd w:val="clear" w:color="auto" w:fill="FFFFFF"/>
                <w:lang w:val="en-US"/>
              </w:rPr>
              <w:t>PARTEA B –</w:t>
            </w:r>
            <w:proofErr w:type="spellStart"/>
            <w:r w:rsidRPr="00DF1AB5">
              <w:rPr>
                <w:rStyle w:val="boldface"/>
                <w:rFonts w:eastAsia="Arial Unicode MS"/>
                <w:b/>
                <w:bCs/>
                <w:color w:val="000000" w:themeColor="text1"/>
                <w:sz w:val="20"/>
                <w:szCs w:val="20"/>
                <w:lang w:val="en-US"/>
              </w:rPr>
              <w:t>Monitorizarea</w:t>
            </w:r>
            <w:proofErr w:type="spellEnd"/>
            <w:r w:rsidRPr="00DF1AB5">
              <w:rPr>
                <w:rStyle w:val="boldface"/>
                <w:rFonts w:eastAsia="Arial Unicode MS"/>
                <w:b/>
                <w:bCs/>
                <w:color w:val="000000" w:themeColor="text1"/>
                <w:sz w:val="20"/>
                <w:szCs w:val="20"/>
                <w:lang w:val="en-US"/>
              </w:rPr>
              <w:t xml:space="preserve"> și </w:t>
            </w:r>
            <w:proofErr w:type="spellStart"/>
            <w:r w:rsidRPr="00DF1AB5">
              <w:rPr>
                <w:rStyle w:val="boldface"/>
                <w:rFonts w:eastAsia="Arial Unicode MS"/>
                <w:b/>
                <w:bCs/>
                <w:color w:val="000000" w:themeColor="text1"/>
                <w:sz w:val="20"/>
                <w:szCs w:val="20"/>
                <w:lang w:val="en-US"/>
              </w:rPr>
              <w:t>raportarea</w:t>
            </w:r>
            <w:proofErr w:type="spellEnd"/>
            <w:r w:rsidRPr="00DF1AB5">
              <w:rPr>
                <w:rStyle w:val="boldface"/>
                <w:rFonts w:eastAsia="Arial Unicode MS"/>
                <w:b/>
                <w:bCs/>
                <w:color w:val="000000" w:themeColor="text1"/>
                <w:sz w:val="20"/>
                <w:szCs w:val="20"/>
                <w:lang w:val="en-US"/>
              </w:rPr>
              <w:t xml:space="preserve"> </w:t>
            </w:r>
            <w:proofErr w:type="spellStart"/>
            <w:r w:rsidRPr="00DF1AB5">
              <w:rPr>
                <w:rStyle w:val="boldface"/>
                <w:rFonts w:eastAsia="Arial Unicode MS"/>
                <w:b/>
                <w:bCs/>
                <w:color w:val="000000" w:themeColor="text1"/>
                <w:sz w:val="20"/>
                <w:szCs w:val="20"/>
                <w:lang w:val="en-US"/>
              </w:rPr>
              <w:t>emisiilor</w:t>
            </w:r>
            <w:proofErr w:type="spellEnd"/>
            <w:r w:rsidRPr="00DF1AB5">
              <w:rPr>
                <w:rStyle w:val="boldface"/>
                <w:rFonts w:eastAsia="Arial Unicode MS"/>
                <w:b/>
                <w:bCs/>
                <w:color w:val="000000" w:themeColor="text1"/>
                <w:sz w:val="20"/>
                <w:szCs w:val="20"/>
                <w:lang w:val="en-US"/>
              </w:rPr>
              <w:t xml:space="preserve"> </w:t>
            </w:r>
            <w:proofErr w:type="spellStart"/>
            <w:r w:rsidRPr="00DF1AB5">
              <w:rPr>
                <w:rStyle w:val="boldface"/>
                <w:rFonts w:eastAsia="Arial Unicode MS"/>
                <w:b/>
                <w:bCs/>
                <w:color w:val="000000" w:themeColor="text1"/>
                <w:sz w:val="20"/>
                <w:szCs w:val="20"/>
                <w:lang w:val="en-US"/>
              </w:rPr>
              <w:t>provenite</w:t>
            </w:r>
            <w:proofErr w:type="spellEnd"/>
            <w:r w:rsidRPr="00DF1AB5">
              <w:rPr>
                <w:rStyle w:val="boldface"/>
                <w:rFonts w:eastAsia="Arial Unicode MS"/>
                <w:b/>
                <w:bCs/>
                <w:color w:val="000000" w:themeColor="text1"/>
                <w:sz w:val="20"/>
                <w:szCs w:val="20"/>
                <w:lang w:val="en-US"/>
              </w:rPr>
              <w:t xml:space="preserve"> din </w:t>
            </w:r>
            <w:proofErr w:type="spellStart"/>
            <w:r w:rsidRPr="00DF1AB5">
              <w:rPr>
                <w:rStyle w:val="boldface"/>
                <w:rFonts w:eastAsia="Arial Unicode MS"/>
                <w:b/>
                <w:bCs/>
                <w:color w:val="000000" w:themeColor="text1"/>
                <w:sz w:val="20"/>
                <w:szCs w:val="20"/>
                <w:lang w:val="en-US"/>
              </w:rPr>
              <w:t>activități</w:t>
            </w:r>
            <w:proofErr w:type="spellEnd"/>
            <w:r w:rsidRPr="00DF1AB5">
              <w:rPr>
                <w:rStyle w:val="boldface"/>
                <w:rFonts w:eastAsia="Arial Unicode MS"/>
                <w:b/>
                <w:bCs/>
                <w:color w:val="000000" w:themeColor="text1"/>
                <w:sz w:val="20"/>
                <w:szCs w:val="20"/>
                <w:lang w:val="en-US"/>
              </w:rPr>
              <w:t xml:space="preserve"> de </w:t>
            </w:r>
            <w:proofErr w:type="spellStart"/>
            <w:r w:rsidRPr="00DF1AB5">
              <w:rPr>
                <w:rStyle w:val="boldface"/>
                <w:rFonts w:eastAsia="Arial Unicode MS"/>
                <w:b/>
                <w:bCs/>
                <w:color w:val="000000" w:themeColor="text1"/>
                <w:sz w:val="20"/>
                <w:szCs w:val="20"/>
                <w:lang w:val="en-US"/>
              </w:rPr>
              <w:t>aviație</w:t>
            </w:r>
            <w:proofErr w:type="spellEnd"/>
          </w:p>
          <w:p w14:paraId="03CF27BD"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Monitorizarea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emisiilor</w:t>
            </w:r>
            <w:proofErr w:type="spellEnd"/>
            <w:r w:rsidRPr="00DF1AB5">
              <w:rPr>
                <w:rFonts w:eastAsia="Arial Unicode MS"/>
                <w:i/>
                <w:iCs/>
                <w:color w:val="000000" w:themeColor="text1"/>
                <w:sz w:val="20"/>
                <w:szCs w:val="20"/>
                <w:shd w:val="clear" w:color="auto" w:fill="FFFFFF"/>
                <w:lang w:val="en-US"/>
              </w:rPr>
              <w:t xml:space="preserve"> de </w:t>
            </w:r>
            <w:proofErr w:type="spellStart"/>
            <w:r w:rsidRPr="00DF1AB5">
              <w:rPr>
                <w:rFonts w:eastAsia="Arial Unicode MS"/>
                <w:i/>
                <w:iCs/>
                <w:color w:val="000000" w:themeColor="text1"/>
                <w:sz w:val="20"/>
                <w:szCs w:val="20"/>
                <w:shd w:val="clear" w:color="auto" w:fill="FFFFFF"/>
                <w:lang w:val="en-US"/>
              </w:rPr>
              <w:t>dioxid</w:t>
            </w:r>
            <w:proofErr w:type="spellEnd"/>
            <w:r w:rsidRPr="00DF1AB5">
              <w:rPr>
                <w:rFonts w:eastAsia="Arial Unicode MS"/>
                <w:i/>
                <w:iCs/>
                <w:color w:val="000000" w:themeColor="text1"/>
                <w:sz w:val="20"/>
                <w:szCs w:val="20"/>
                <w:shd w:val="clear" w:color="auto" w:fill="FFFFFF"/>
                <w:lang w:val="en-US"/>
              </w:rPr>
              <w:t xml:space="preserve"> de carbon</w:t>
            </w:r>
          </w:p>
          <w:p w14:paraId="3D343A5A"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monitorizate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calcul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Calcularea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realizează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formula:</w:t>
            </w:r>
          </w:p>
          <w:p w14:paraId="17AF6D7B"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DF1AB5">
              <w:rPr>
                <w:rFonts w:eastAsia="Arial Unicode MS"/>
                <w:b/>
                <w:bCs/>
                <w:color w:val="000000" w:themeColor="text1"/>
                <w:sz w:val="20"/>
                <w:szCs w:val="20"/>
                <w:shd w:val="clear" w:color="auto" w:fill="FFFFFF"/>
                <w:lang w:val="en-US"/>
              </w:rPr>
              <w:t>Consum</w:t>
            </w:r>
            <w:proofErr w:type="spellEnd"/>
            <w:r w:rsidRPr="00DF1AB5">
              <w:rPr>
                <w:rFonts w:eastAsia="Arial Unicode MS"/>
                <w:b/>
                <w:bCs/>
                <w:color w:val="000000" w:themeColor="text1"/>
                <w:sz w:val="20"/>
                <w:szCs w:val="20"/>
                <w:shd w:val="clear" w:color="auto" w:fill="FFFFFF"/>
                <w:lang w:val="en-US"/>
              </w:rPr>
              <w:t xml:space="preserve"> de </w:t>
            </w:r>
            <w:proofErr w:type="spellStart"/>
            <w:r w:rsidRPr="00DF1AB5">
              <w:rPr>
                <w:rFonts w:eastAsia="Arial Unicode MS"/>
                <w:b/>
                <w:bCs/>
                <w:color w:val="000000" w:themeColor="text1"/>
                <w:sz w:val="20"/>
                <w:szCs w:val="20"/>
                <w:shd w:val="clear" w:color="auto" w:fill="FFFFFF"/>
                <w:lang w:val="en-US"/>
              </w:rPr>
              <w:t>combustibil</w:t>
            </w:r>
            <w:proofErr w:type="spellEnd"/>
            <w:r w:rsidRPr="00DF1AB5">
              <w:rPr>
                <w:rFonts w:eastAsia="Arial Unicode MS"/>
                <w:b/>
                <w:bCs/>
                <w:color w:val="000000" w:themeColor="text1"/>
                <w:sz w:val="20"/>
                <w:szCs w:val="20"/>
                <w:shd w:val="clear" w:color="auto" w:fill="FFFFFF"/>
                <w:lang w:val="en-US"/>
              </w:rPr>
              <w:t xml:space="preserve"> × factor de </w:t>
            </w:r>
            <w:proofErr w:type="spellStart"/>
            <w:r w:rsidRPr="00DF1AB5">
              <w:rPr>
                <w:rFonts w:eastAsia="Arial Unicode MS"/>
                <w:b/>
                <w:bCs/>
                <w:color w:val="000000" w:themeColor="text1"/>
                <w:sz w:val="20"/>
                <w:szCs w:val="20"/>
                <w:shd w:val="clear" w:color="auto" w:fill="FFFFFF"/>
                <w:lang w:val="en-US"/>
              </w:rPr>
              <w:t>emisie</w:t>
            </w:r>
            <w:proofErr w:type="spellEnd"/>
          </w:p>
          <w:p w14:paraId="4007D8E8"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Consumul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include </w:t>
            </w:r>
            <w:proofErr w:type="spellStart"/>
            <w:r w:rsidRPr="00DF1AB5">
              <w:rPr>
                <w:rFonts w:eastAsia="Arial Unicode MS"/>
                <w:color w:val="000000" w:themeColor="text1"/>
                <w:sz w:val="20"/>
                <w:szCs w:val="20"/>
                <w:shd w:val="clear" w:color="auto" w:fill="FFFFFF"/>
                <w:lang w:val="en-US"/>
              </w:rPr>
              <w:t>combustibilul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consumat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unitatea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auxiliară</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putere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Consumul</w:t>
            </w:r>
            <w:proofErr w:type="spellEnd"/>
            <w:r w:rsidRPr="00DF1AB5">
              <w:rPr>
                <w:rFonts w:eastAsia="Arial Unicode MS"/>
                <w:color w:val="000000" w:themeColor="text1"/>
                <w:sz w:val="20"/>
                <w:szCs w:val="20"/>
                <w:shd w:val="clear" w:color="auto" w:fill="FFFFFF"/>
                <w:lang w:val="en-US"/>
              </w:rPr>
              <w:t xml:space="preserve"> real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folosit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ori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câte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posibil</w:t>
            </w:r>
            <w:proofErr w:type="spellEnd"/>
            <w:r w:rsidRPr="00DF1AB5">
              <w:rPr>
                <w:rFonts w:eastAsia="Arial Unicode MS"/>
                <w:color w:val="000000" w:themeColor="text1"/>
                <w:sz w:val="20"/>
                <w:szCs w:val="20"/>
                <w:shd w:val="clear" w:color="auto" w:fill="FFFFFF"/>
                <w:lang w:val="en-US"/>
              </w:rPr>
              <w:t xml:space="preserve"> și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formula:</w:t>
            </w:r>
          </w:p>
          <w:p w14:paraId="0819123A"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Cantitatea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rezervoarele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terminarea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alimentării</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respectiv</w:t>
            </w:r>
            <w:proofErr w:type="spellEnd"/>
            <w:r w:rsidRPr="00DF1AB5">
              <w:rPr>
                <w:rFonts w:eastAsia="Arial Unicode MS"/>
                <w:color w:val="000000" w:themeColor="text1"/>
                <w:sz w:val="20"/>
                <w:szCs w:val="20"/>
                <w:shd w:val="clear" w:color="auto" w:fill="FFFFFF"/>
                <w:lang w:val="en-US"/>
              </w:rPr>
              <w:t xml:space="preserve"> – </w:t>
            </w:r>
            <w:proofErr w:type="spellStart"/>
            <w:r w:rsidRPr="00DF1AB5">
              <w:rPr>
                <w:rFonts w:eastAsia="Arial Unicode MS"/>
                <w:color w:val="000000" w:themeColor="text1"/>
                <w:sz w:val="20"/>
                <w:szCs w:val="20"/>
                <w:shd w:val="clear" w:color="auto" w:fill="FFFFFF"/>
                <w:lang w:val="en-US"/>
              </w:rPr>
              <w:t>cantitatea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rezervoarele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alimentarea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următor</w:t>
            </w:r>
            <w:proofErr w:type="spellEnd"/>
            <w:r w:rsidRPr="00DF1AB5">
              <w:rPr>
                <w:rFonts w:eastAsia="Arial Unicode MS"/>
                <w:color w:val="000000" w:themeColor="text1"/>
                <w:sz w:val="20"/>
                <w:szCs w:val="20"/>
                <w:shd w:val="clear" w:color="auto" w:fill="FFFFFF"/>
                <w:lang w:val="en-US"/>
              </w:rPr>
              <w:t xml:space="preserve"> + </w:t>
            </w:r>
            <w:proofErr w:type="spellStart"/>
            <w:r w:rsidRPr="00DF1AB5">
              <w:rPr>
                <w:rFonts w:eastAsia="Arial Unicode MS"/>
                <w:color w:val="000000" w:themeColor="text1"/>
                <w:sz w:val="20"/>
                <w:szCs w:val="20"/>
                <w:shd w:val="clear" w:color="auto" w:fill="FFFFFF"/>
                <w:lang w:val="en-US"/>
              </w:rPr>
              <w:t>cantitatea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alimentat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următor</w:t>
            </w:r>
            <w:proofErr w:type="spellEnd"/>
            <w:r w:rsidRPr="00DF1AB5">
              <w:rPr>
                <w:rFonts w:eastAsia="Arial Unicode MS"/>
                <w:color w:val="000000" w:themeColor="text1"/>
                <w:sz w:val="20"/>
                <w:szCs w:val="20"/>
                <w:shd w:val="clear" w:color="auto" w:fill="FFFFFF"/>
                <w:lang w:val="en-US"/>
              </w:rPr>
              <w:t>.</w:t>
            </w:r>
          </w:p>
          <w:p w14:paraId="44DCFBA9"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Dacă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datele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nu sunt </w:t>
            </w:r>
            <w:proofErr w:type="spellStart"/>
            <w:r w:rsidRPr="00DF1AB5">
              <w:rPr>
                <w:rFonts w:eastAsia="Arial Unicode MS"/>
                <w:color w:val="000000" w:themeColor="text1"/>
                <w:sz w:val="20"/>
                <w:szCs w:val="20"/>
                <w:shd w:val="clear" w:color="auto" w:fill="FFFFFF"/>
                <w:lang w:val="en-US"/>
              </w:rPr>
              <w:t>disponibile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folosește</w:t>
            </w:r>
            <w:proofErr w:type="spellEnd"/>
            <w:r w:rsidRPr="00DF1AB5">
              <w:rPr>
                <w:rFonts w:eastAsia="Arial Unicode MS"/>
                <w:color w:val="000000" w:themeColor="text1"/>
                <w:sz w:val="20"/>
                <w:szCs w:val="20"/>
                <w:shd w:val="clear" w:color="auto" w:fill="FFFFFF"/>
                <w:lang w:val="en-US"/>
              </w:rPr>
              <w:t xml:space="preserve"> o </w:t>
            </w:r>
            <w:proofErr w:type="spellStart"/>
            <w:r w:rsidRPr="00DF1AB5">
              <w:rPr>
                <w:rFonts w:eastAsia="Arial Unicode MS"/>
                <w:color w:val="000000" w:themeColor="text1"/>
                <w:sz w:val="20"/>
                <w:szCs w:val="20"/>
                <w:shd w:val="clear" w:color="auto" w:fill="FFFFFF"/>
                <w:lang w:val="en-US"/>
              </w:rPr>
              <w:t>metodă</w:t>
            </w:r>
            <w:proofErr w:type="spellEnd"/>
            <w:r w:rsidRPr="00DF1AB5">
              <w:rPr>
                <w:rFonts w:eastAsia="Arial Unicode MS"/>
                <w:color w:val="000000" w:themeColor="text1"/>
                <w:sz w:val="20"/>
                <w:szCs w:val="20"/>
                <w:shd w:val="clear" w:color="auto" w:fill="FFFFFF"/>
                <w:lang w:val="en-US"/>
              </w:rPr>
              <w:t xml:space="preserve"> standard, pe </w:t>
            </w:r>
            <w:proofErr w:type="spellStart"/>
            <w:r w:rsidRPr="00DF1AB5">
              <w:rPr>
                <w:rFonts w:eastAsia="Arial Unicode MS"/>
                <w:color w:val="000000" w:themeColor="text1"/>
                <w:sz w:val="20"/>
                <w:szCs w:val="20"/>
                <w:shd w:val="clear" w:color="auto" w:fill="FFFFFF"/>
                <w:lang w:val="en-US"/>
              </w:rPr>
              <w:t>niveluri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estima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fiabile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disponibile</w:t>
            </w:r>
            <w:proofErr w:type="spellEnd"/>
            <w:r w:rsidRPr="00DF1AB5">
              <w:rPr>
                <w:rFonts w:eastAsia="Arial Unicode MS"/>
                <w:color w:val="000000" w:themeColor="text1"/>
                <w:sz w:val="20"/>
                <w:szCs w:val="20"/>
                <w:shd w:val="clear" w:color="auto" w:fill="FFFFFF"/>
                <w:lang w:val="en-US"/>
              </w:rPr>
              <w:t>.</w:t>
            </w:r>
          </w:p>
          <w:p w14:paraId="6CAF4BE6" w14:textId="493F3BCA" w:rsidR="00124364" w:rsidRPr="00E34C2B" w:rsidRDefault="00000000" w:rsidP="00DF1AB5">
            <w:pPr>
              <w:pStyle w:val="ti-art"/>
              <w:shd w:val="clear" w:color="auto" w:fill="FFFFFF"/>
              <w:tabs>
                <w:tab w:val="left" w:pos="1366"/>
              </w:tabs>
              <w:spacing w:before="0" w:beforeAutospacing="0" w:after="0" w:afterAutospacing="0"/>
              <w:jc w:val="both"/>
              <w:rPr>
                <w:rStyle w:val="boldface"/>
                <w:rFonts w:eastAsia="Arial Unicode MS"/>
                <w:b/>
                <w:bCs/>
                <w:color w:val="333333"/>
                <w:sz w:val="20"/>
                <w:szCs w:val="20"/>
                <w:lang w:val="en-US"/>
              </w:rPr>
            </w:pPr>
            <w:r w:rsidRPr="00DF1AB5">
              <w:rPr>
                <w:rFonts w:eastAsia="Arial Unicode MS"/>
                <w:color w:val="000000" w:themeColor="text1"/>
                <w:sz w:val="20"/>
                <w:szCs w:val="20"/>
                <w:shd w:val="clear" w:color="auto" w:fill="FFFFFF"/>
                <w:lang w:val="en-US"/>
              </w:rPr>
              <w:t xml:space="preserve">Se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standard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liniile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directoare</w:t>
            </w:r>
            <w:proofErr w:type="spellEnd"/>
            <w:r w:rsidRPr="00DF1AB5">
              <w:rPr>
                <w:rFonts w:eastAsia="Arial Unicode MS"/>
                <w:color w:val="000000" w:themeColor="text1"/>
                <w:sz w:val="20"/>
                <w:szCs w:val="20"/>
                <w:shd w:val="clear" w:color="auto" w:fill="FFFFFF"/>
                <w:lang w:val="en-US"/>
              </w:rPr>
              <w:t xml:space="preserve"> IPCC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inventariere</w:t>
            </w:r>
            <w:proofErr w:type="spellEnd"/>
            <w:r w:rsidRPr="00DF1AB5">
              <w:rPr>
                <w:rFonts w:eastAsia="Arial Unicode MS"/>
                <w:color w:val="000000" w:themeColor="text1"/>
                <w:sz w:val="20"/>
                <w:szCs w:val="20"/>
                <w:shd w:val="clear" w:color="auto" w:fill="FFFFFF"/>
                <w:lang w:val="en-US"/>
              </w:rPr>
              <w:t xml:space="preserve"> din 2006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actualizările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ulterioare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respectivelor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linii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directoare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cazului</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identificați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laboratoare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acreditate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independente</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metode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analitice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acceptate</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exacți</w:t>
            </w:r>
            <w:proofErr w:type="spellEnd"/>
            <w:r>
              <w:rPr>
                <w:rFonts w:eastAsia="Arial Unicode MS"/>
                <w:color w:val="333333"/>
                <w:sz w:val="20"/>
                <w:szCs w:val="20"/>
                <w:shd w:val="clear" w:color="auto" w:fill="FFFFFF"/>
                <w:lang w:val="en-US"/>
              </w:rPr>
              <w:t>.</w:t>
            </w:r>
            <w:r w:rsidR="00DF1AB5">
              <w:rPr>
                <w:rStyle w:val="apple-converted-space"/>
                <w:rFonts w:eastAsia="Arial Unicode MS"/>
                <w:color w:val="333333"/>
                <w:sz w:val="20"/>
                <w:szCs w:val="20"/>
                <w:shd w:val="clear" w:color="auto" w:fill="FFFFFF"/>
                <w:lang w:val="en-US"/>
              </w:rPr>
              <w:t xml:space="preserve"> </w:t>
            </w:r>
            <w:hyperlink r:id="rId396" w:tooltip="32023L0959: REPLACED" w:history="1">
              <w:r>
                <w:rPr>
                  <w:rStyle w:val="boldface"/>
                  <w:rFonts w:eastAsia="Arial Unicode MS"/>
                  <w:b/>
                  <w:bCs/>
                  <w:color w:val="4472C4" w:themeColor="accent1"/>
                  <w:sz w:val="20"/>
                  <w:szCs w:val="20"/>
                  <w:lang w:val="en-US"/>
                </w:rPr>
                <w:t>►M15</w:t>
              </w:r>
            </w:hyperlink>
            <w:r w:rsidR="00DF1AB5">
              <w:rPr>
                <w:rStyle w:val="apple-converted-space"/>
                <w:rFonts w:eastAsia="Arial Unicode MS"/>
                <w:color w:val="4472C4" w:themeColor="accent1"/>
                <w:sz w:val="20"/>
                <w:szCs w:val="20"/>
                <w:lang w:val="en-US"/>
              </w:rPr>
              <w:t xml:space="preserve"> </w:t>
            </w:r>
            <w:proofErr w:type="spellStart"/>
            <w:r w:rsidRPr="00DF1AB5">
              <w:rPr>
                <w:rFonts w:eastAsia="Arial Unicode MS"/>
                <w:color w:val="000000" w:themeColor="text1"/>
                <w:sz w:val="20"/>
                <w:szCs w:val="20"/>
                <w:shd w:val="clear" w:color="auto" w:fill="FFFFFF"/>
                <w:lang w:val="en-US"/>
              </w:rPr>
              <w:t>Factorul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biomasă</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respectă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criteriile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durabilitate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criteriile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reducere</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de gaze cu </w:t>
            </w:r>
            <w:proofErr w:type="spellStart"/>
            <w:r w:rsidRPr="00DF1AB5">
              <w:rPr>
                <w:rFonts w:eastAsia="Arial Unicode MS"/>
                <w:color w:val="000000" w:themeColor="text1"/>
                <w:sz w:val="20"/>
                <w:szCs w:val="20"/>
                <w:shd w:val="clear" w:color="auto" w:fill="FFFFFF"/>
                <w:lang w:val="en-US"/>
              </w:rPr>
              <w:t>efect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seră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biomasei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stabilite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Directiva</w:t>
            </w:r>
            <w:proofErr w:type="spellEnd"/>
            <w:r w:rsidRPr="00DF1AB5">
              <w:rPr>
                <w:rFonts w:eastAsia="Arial Unicode MS"/>
                <w:color w:val="000000" w:themeColor="text1"/>
                <w:sz w:val="20"/>
                <w:szCs w:val="20"/>
                <w:shd w:val="clear" w:color="auto" w:fill="FFFFFF"/>
                <w:lang w:val="en-US"/>
              </w:rPr>
              <w:t xml:space="preserve"> (UE)</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2018/2001, cu </w:t>
            </w:r>
            <w:proofErr w:type="spellStart"/>
            <w:r w:rsidRPr="00DF1AB5">
              <w:rPr>
                <w:rFonts w:eastAsia="Arial Unicode MS"/>
                <w:color w:val="000000" w:themeColor="text1"/>
                <w:sz w:val="20"/>
                <w:szCs w:val="20"/>
                <w:shd w:val="clear" w:color="auto" w:fill="FFFFFF"/>
                <w:lang w:val="en-US"/>
              </w:rPr>
              <w:t>orice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ajustări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necesare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aplicarea</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prezentei</w:t>
            </w:r>
            <w:proofErr w:type="spellEnd"/>
            <w:r w:rsidRPr="00DF1AB5">
              <w:rPr>
                <w:rFonts w:eastAsia="Arial Unicode MS"/>
                <w:color w:val="000000" w:themeColor="text1"/>
                <w:sz w:val="20"/>
                <w:szCs w:val="20"/>
                <w:shd w:val="clear" w:color="auto" w:fill="FFFFFF"/>
                <w:lang w:val="en-US"/>
              </w:rPr>
              <w:t xml:space="preserve"> directive, </w:t>
            </w:r>
            <w:proofErr w:type="spellStart"/>
            <w:r w:rsidRPr="00DF1AB5">
              <w:rPr>
                <w:rFonts w:eastAsia="Arial Unicode MS"/>
                <w:color w:val="000000" w:themeColor="text1"/>
                <w:sz w:val="20"/>
                <w:szCs w:val="20"/>
                <w:shd w:val="clear" w:color="auto" w:fill="FFFFFF"/>
                <w:lang w:val="en-US"/>
              </w:rPr>
              <w:t>astfel</w:t>
            </w:r>
            <w:proofErr w:type="spellEnd"/>
            <w:r w:rsidRPr="00DF1AB5">
              <w:rPr>
                <w:rFonts w:eastAsia="Arial Unicode MS"/>
                <w:color w:val="000000" w:themeColor="text1"/>
                <w:sz w:val="20"/>
                <w:szCs w:val="20"/>
                <w:shd w:val="clear" w:color="auto" w:fill="FFFFFF"/>
                <w:lang w:val="en-US"/>
              </w:rPr>
              <w:t xml:space="preserve"> cum se </w:t>
            </w:r>
            <w:proofErr w:type="spellStart"/>
            <w:r w:rsidRPr="00DF1AB5">
              <w:rPr>
                <w:rFonts w:eastAsia="Arial Unicode MS"/>
                <w:color w:val="000000" w:themeColor="text1"/>
                <w:sz w:val="20"/>
                <w:szCs w:val="20"/>
                <w:shd w:val="clear" w:color="auto" w:fill="FFFFFF"/>
                <w:lang w:val="en-US"/>
              </w:rPr>
              <w:t>prevede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actele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punere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aplicare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menționate</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14 din prezenta </w:t>
            </w:r>
            <w:proofErr w:type="spellStart"/>
            <w:r>
              <w:rPr>
                <w:rFonts w:eastAsia="Arial Unicode MS"/>
                <w:color w:val="333333"/>
                <w:sz w:val="20"/>
                <w:szCs w:val="20"/>
                <w:shd w:val="clear" w:color="auto" w:fill="FFFFFF"/>
                <w:lang w:val="en-US"/>
              </w:rPr>
              <w:t>directivă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zero.</w:t>
            </w:r>
            <w:r>
              <w:rPr>
                <w:rStyle w:val="boldface"/>
                <w:rFonts w:eastAsia="Arial Unicode MS"/>
                <w:b/>
                <w:bCs/>
                <w:color w:val="333333"/>
                <w:sz w:val="20"/>
                <w:szCs w:val="20"/>
                <w:lang w:val="en-US"/>
              </w:rPr>
              <w:t>◄</w:t>
            </w:r>
            <w:r w:rsidR="00DF1AB5" w:rsidRPr="00DF1AB5">
              <w:rPr>
                <w:rStyle w:val="apple-converted-space"/>
                <w:rFonts w:eastAsia="Arial Unicode MS"/>
                <w:lang w:val="en-US"/>
              </w:rPr>
              <w:t xml:space="preserve"> </w:t>
            </w:r>
            <w:hyperlink r:id="rId397" w:tooltip="32023L0958: INSERTED" w:history="1">
              <w:r>
                <w:rPr>
                  <w:rStyle w:val="boldface"/>
                  <w:rFonts w:eastAsia="Arial Unicode MS"/>
                  <w:b/>
                  <w:bCs/>
                  <w:color w:val="4472C4" w:themeColor="accent1"/>
                  <w:sz w:val="20"/>
                  <w:szCs w:val="20"/>
                  <w:lang w:val="en-US"/>
                </w:rPr>
                <w:t>►M14</w:t>
              </w:r>
            </w:hyperlink>
            <w:r w:rsidR="00DF1AB5">
              <w:rPr>
                <w:rStyle w:val="apple-converted-space"/>
                <w:rFonts w:eastAsia="Arial Unicode MS"/>
                <w:color w:val="4472C4" w:themeColor="accent1"/>
                <w:sz w:val="20"/>
                <w:szCs w:val="20"/>
                <w:lang w:val="en-US"/>
              </w:rPr>
              <w:t xml:space="preserve"> </w:t>
            </w:r>
            <w:proofErr w:type="spellStart"/>
            <w:r>
              <w:rPr>
                <w:rFonts w:eastAsia="Arial Unicode MS"/>
                <w:color w:val="333333"/>
                <w:sz w:val="20"/>
                <w:szCs w:val="20"/>
                <w:shd w:val="clear" w:color="auto" w:fill="FFFFFF"/>
                <w:lang w:val="en-US"/>
              </w:rPr>
              <w:t>Factorul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aferent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lastRenderedPageBreak/>
              <w:t>kerosenului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aviație</w:t>
            </w:r>
            <w:proofErr w:type="spellEnd"/>
            <w:r>
              <w:rPr>
                <w:rFonts w:eastAsia="Arial Unicode MS"/>
                <w:color w:val="333333"/>
                <w:sz w:val="20"/>
                <w:szCs w:val="20"/>
                <w:shd w:val="clear" w:color="auto" w:fill="FFFFFF"/>
                <w:lang w:val="en-US"/>
              </w:rPr>
              <w:t xml:space="preserve"> (Jet A1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Jet A)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de 3,16 (t CO</w:t>
            </w:r>
            <w:r>
              <w:rPr>
                <w:rStyle w:val="subscript"/>
                <w:rFonts w:eastAsia="Arial Unicode MS"/>
                <w:color w:val="333333"/>
                <w:sz w:val="20"/>
                <w:szCs w:val="20"/>
                <w:vertAlign w:val="subscript"/>
                <w:lang w:val="en-US"/>
              </w:rPr>
              <w:t>2</w:t>
            </w:r>
            <w:r>
              <w:rPr>
                <w:rFonts w:eastAsia="Arial Unicode MS"/>
                <w:color w:val="333333"/>
                <w:sz w:val="20"/>
                <w:szCs w:val="20"/>
                <w:shd w:val="clear" w:color="auto" w:fill="FFFFFF"/>
                <w:lang w:val="en-US"/>
              </w:rPr>
              <w:t xml:space="preserve">/t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w:t>
            </w:r>
            <w:r w:rsidR="00DF1AB5">
              <w:rPr>
                <w:rStyle w:val="boldface"/>
                <w:rFonts w:eastAsia="Arial Unicode MS"/>
                <w:b/>
                <w:bCs/>
                <w:color w:val="333333"/>
                <w:sz w:val="20"/>
                <w:szCs w:val="20"/>
                <w:lang w:val="en-US"/>
              </w:rPr>
              <w:t xml:space="preserve"> </w:t>
            </w:r>
            <w:r w:rsidRPr="00E34C2B">
              <w:rPr>
                <w:rStyle w:val="boldface"/>
                <w:rFonts w:eastAsia="Arial Unicode MS"/>
                <w:b/>
                <w:bCs/>
                <w:color w:val="333333"/>
                <w:sz w:val="20"/>
                <w:szCs w:val="20"/>
                <w:lang w:val="en-US"/>
              </w:rPr>
              <w:t>◄</w:t>
            </w:r>
          </w:p>
          <w:p w14:paraId="1BFF97AA" w14:textId="77777777" w:rsidR="00124364" w:rsidRPr="00E34C2B" w:rsidRDefault="00000000">
            <w:pPr>
              <w:pStyle w:val="ti-art"/>
              <w:shd w:val="clear" w:color="auto" w:fill="FFFFFF"/>
              <w:tabs>
                <w:tab w:val="left" w:pos="1366"/>
              </w:tabs>
              <w:spacing w:before="0" w:beforeAutospacing="0" w:after="0" w:afterAutospacing="0"/>
              <w:rPr>
                <w:color w:val="4472C4" w:themeColor="accent1"/>
                <w:sz w:val="20"/>
                <w:szCs w:val="20"/>
                <w:lang w:val="en-US"/>
              </w:rPr>
            </w:pPr>
            <w:hyperlink r:id="rId398" w:tooltip="32023L0958: INSERTED" w:history="1">
              <w:r w:rsidRPr="00E34C2B">
                <w:rPr>
                  <w:rStyle w:val="af3"/>
                  <w:rFonts w:eastAsia="Arial Unicode MS"/>
                  <w:b/>
                  <w:bCs/>
                  <w:color w:val="4472C4" w:themeColor="accent1"/>
                  <w:sz w:val="20"/>
                  <w:szCs w:val="20"/>
                  <w:lang w:val="en-US"/>
                </w:rPr>
                <w:t>▼M14</w:t>
              </w:r>
            </w:hyperlink>
          </w:p>
          <w:p w14:paraId="376A17D2" w14:textId="46CEE84C"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Până</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adoptarea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actului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punere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aplicare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menționat</w:t>
            </w:r>
            <w:proofErr w:type="spellEnd"/>
            <w:r w:rsidRPr="00DF1AB5">
              <w:rPr>
                <w:rFonts w:eastAsia="Arial Unicode MS"/>
                <w:color w:val="000000" w:themeColor="text1"/>
                <w:sz w:val="20"/>
                <w:szCs w:val="20"/>
                <w:shd w:val="clear" w:color="auto" w:fill="FFFFFF"/>
                <w:lang w:val="en-US"/>
              </w:rPr>
              <w:t xml:space="preserve"> la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14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(1) din prezenta </w:t>
            </w:r>
            <w:proofErr w:type="spellStart"/>
            <w:r w:rsidRPr="00DF1AB5">
              <w:rPr>
                <w:rFonts w:eastAsia="Arial Unicode MS"/>
                <w:color w:val="000000" w:themeColor="text1"/>
                <w:sz w:val="20"/>
                <w:szCs w:val="20"/>
                <w:shd w:val="clear" w:color="auto" w:fill="FFFFFF"/>
                <w:lang w:val="en-US"/>
              </w:rPr>
              <w:t>directivă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r w:rsidRPr="00DF1AB5">
              <w:rPr>
                <w:rFonts w:eastAsia="Arial Unicode MS"/>
                <w:color w:val="000000" w:themeColor="text1"/>
                <w:sz w:val="20"/>
                <w:szCs w:val="20"/>
                <w:shd w:val="clear" w:color="auto" w:fill="FFFFFF"/>
                <w:lang w:val="en-US"/>
              </w:rPr>
              <w:t xml:space="preserve"> generate de </w:t>
            </w:r>
            <w:proofErr w:type="spellStart"/>
            <w:r w:rsidRPr="00DF1AB5">
              <w:rPr>
                <w:rFonts w:eastAsia="Arial Unicode MS"/>
                <w:color w:val="000000" w:themeColor="text1"/>
                <w:sz w:val="20"/>
                <w:szCs w:val="20"/>
                <w:shd w:val="clear" w:color="auto" w:fill="FFFFFF"/>
                <w:lang w:val="en-US"/>
              </w:rPr>
              <w:t>combustibilii</w:t>
            </w:r>
            <w:proofErr w:type="spellEnd"/>
            <w:r w:rsidRPr="00DF1AB5">
              <w:rPr>
                <w:rFonts w:eastAsia="Arial Unicode MS"/>
                <w:color w:val="000000" w:themeColor="text1"/>
                <w:sz w:val="20"/>
                <w:szCs w:val="20"/>
                <w:shd w:val="clear" w:color="auto" w:fill="FFFFFF"/>
                <w:lang w:val="en-US"/>
              </w:rPr>
              <w:t xml:space="preserve"> din surse </w:t>
            </w:r>
            <w:proofErr w:type="spellStart"/>
            <w:r w:rsidRPr="00DF1AB5">
              <w:rPr>
                <w:rFonts w:eastAsia="Arial Unicode MS"/>
                <w:color w:val="000000" w:themeColor="text1"/>
                <w:sz w:val="20"/>
                <w:szCs w:val="20"/>
                <w:shd w:val="clear" w:color="auto" w:fill="FFFFFF"/>
                <w:lang w:val="en-US"/>
              </w:rPr>
              <w:t>regenerabile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origine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nebiologică</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utilizează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hidrogen</w:t>
            </w:r>
            <w:proofErr w:type="spellEnd"/>
            <w:r w:rsidRPr="00DF1AB5">
              <w:rPr>
                <w:rFonts w:eastAsia="Arial Unicode MS"/>
                <w:color w:val="000000" w:themeColor="text1"/>
                <w:sz w:val="20"/>
                <w:szCs w:val="20"/>
                <w:shd w:val="clear" w:color="auto" w:fill="FFFFFF"/>
                <w:lang w:val="en-US"/>
              </w:rPr>
              <w:t xml:space="preserve"> din surse </w:t>
            </w:r>
            <w:proofErr w:type="spellStart"/>
            <w:r w:rsidRPr="00DF1AB5">
              <w:rPr>
                <w:rFonts w:eastAsia="Arial Unicode MS"/>
                <w:color w:val="000000" w:themeColor="text1"/>
                <w:sz w:val="20"/>
                <w:szCs w:val="20"/>
                <w:shd w:val="clear" w:color="auto" w:fill="FFFFFF"/>
                <w:lang w:val="en-US"/>
              </w:rPr>
              <w:t>regenerabile</w:t>
            </w:r>
            <w:proofErr w:type="spellEnd"/>
            <w:r w:rsidRPr="00DF1AB5">
              <w:rPr>
                <w:rFonts w:eastAsia="Arial Unicode MS"/>
                <w:color w:val="000000" w:themeColor="text1"/>
                <w:sz w:val="20"/>
                <w:szCs w:val="20"/>
                <w:shd w:val="clear" w:color="auto" w:fill="FFFFFF"/>
                <w:lang w:val="en-US"/>
              </w:rPr>
              <w:t xml:space="preserve"> în conformitate cu </w:t>
            </w:r>
            <w:proofErr w:type="spellStart"/>
            <w:r w:rsidRPr="00DF1AB5">
              <w:rPr>
                <w:rFonts w:eastAsia="Arial Unicode MS"/>
                <w:color w:val="000000" w:themeColor="text1"/>
                <w:sz w:val="20"/>
                <w:szCs w:val="20"/>
                <w:shd w:val="clear" w:color="auto" w:fill="FFFFFF"/>
                <w:lang w:val="en-US"/>
              </w:rPr>
              <w:t>articolul</w:t>
            </w:r>
            <w:proofErr w:type="spellEnd"/>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25 din </w:t>
            </w:r>
            <w:proofErr w:type="spellStart"/>
            <w:r w:rsidRPr="00DF1AB5">
              <w:rPr>
                <w:rFonts w:eastAsia="Arial Unicode MS"/>
                <w:color w:val="000000" w:themeColor="text1"/>
                <w:sz w:val="20"/>
                <w:szCs w:val="20"/>
                <w:shd w:val="clear" w:color="auto" w:fill="FFFFFF"/>
                <w:lang w:val="en-US"/>
              </w:rPr>
              <w:t>Directiva</w:t>
            </w:r>
            <w:proofErr w:type="spellEnd"/>
            <w:r w:rsidRPr="00DF1AB5">
              <w:rPr>
                <w:rFonts w:eastAsia="Arial Unicode MS"/>
                <w:color w:val="000000" w:themeColor="text1"/>
                <w:sz w:val="20"/>
                <w:szCs w:val="20"/>
                <w:shd w:val="clear" w:color="auto" w:fill="FFFFFF"/>
                <w:lang w:val="en-US"/>
              </w:rPr>
              <w:t xml:space="preserve"> (UE)</w:t>
            </w:r>
            <w:r w:rsidR="00DF1AB5"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t xml:space="preserve">2018/2001, li se </w:t>
            </w:r>
            <w:proofErr w:type="spellStart"/>
            <w:r w:rsidRPr="00DF1AB5">
              <w:rPr>
                <w:rFonts w:eastAsia="Arial Unicode MS"/>
                <w:color w:val="000000" w:themeColor="text1"/>
                <w:sz w:val="20"/>
                <w:szCs w:val="20"/>
                <w:shd w:val="clear" w:color="auto" w:fill="FFFFFF"/>
                <w:lang w:val="en-US"/>
              </w:rPr>
              <w:t>atribuie</w:t>
            </w:r>
            <w:proofErr w:type="spellEnd"/>
            <w:r w:rsidRPr="00DF1AB5">
              <w:rPr>
                <w:rFonts w:eastAsia="Arial Unicode MS"/>
                <w:color w:val="000000" w:themeColor="text1"/>
                <w:sz w:val="20"/>
                <w:szCs w:val="20"/>
                <w:shd w:val="clear" w:color="auto" w:fill="FFFFFF"/>
                <w:lang w:val="en-US"/>
              </w:rPr>
              <w:t xml:space="preserve"> un </w:t>
            </w:r>
            <w:proofErr w:type="spellStart"/>
            <w:r w:rsidRPr="00DF1AB5">
              <w:rPr>
                <w:rFonts w:eastAsia="Arial Unicode MS"/>
                <w:color w:val="000000" w:themeColor="text1"/>
                <w:sz w:val="20"/>
                <w:szCs w:val="20"/>
                <w:shd w:val="clear" w:color="auto" w:fill="FFFFFF"/>
                <w:lang w:val="en-US"/>
              </w:rPr>
              <w:t>nivel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emisii</w:t>
            </w:r>
            <w:proofErr w:type="spellEnd"/>
            <w:r w:rsidRPr="00DF1AB5">
              <w:rPr>
                <w:rFonts w:eastAsia="Arial Unicode MS"/>
                <w:color w:val="000000" w:themeColor="text1"/>
                <w:sz w:val="20"/>
                <w:szCs w:val="20"/>
                <w:shd w:val="clear" w:color="auto" w:fill="FFFFFF"/>
                <w:lang w:val="en-US"/>
              </w:rPr>
              <w:t xml:space="preserve"> zero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care le </w:t>
            </w:r>
            <w:proofErr w:type="spellStart"/>
            <w:r w:rsidRPr="00DF1AB5">
              <w:rPr>
                <w:rFonts w:eastAsia="Arial Unicode MS"/>
                <w:color w:val="000000" w:themeColor="text1"/>
                <w:sz w:val="20"/>
                <w:szCs w:val="20"/>
                <w:shd w:val="clear" w:color="auto" w:fill="FFFFFF"/>
                <w:lang w:val="en-US"/>
              </w:rPr>
              <w:t>utilizează</w:t>
            </w:r>
            <w:proofErr w:type="spellEnd"/>
            <w:r w:rsidRPr="00DF1AB5">
              <w:rPr>
                <w:rFonts w:eastAsia="Arial Unicode MS"/>
                <w:color w:val="000000" w:themeColor="text1"/>
                <w:sz w:val="20"/>
                <w:szCs w:val="20"/>
                <w:shd w:val="clear" w:color="auto" w:fill="FFFFFF"/>
                <w:lang w:val="en-US"/>
              </w:rPr>
              <w:t>.</w:t>
            </w:r>
          </w:p>
          <w:p w14:paraId="7C209C91" w14:textId="77777777" w:rsidR="00124364" w:rsidRPr="00E34C2B" w:rsidRDefault="00000000">
            <w:pPr>
              <w:pStyle w:val="ti-art"/>
              <w:shd w:val="clear" w:color="auto" w:fill="FFFFFF"/>
              <w:tabs>
                <w:tab w:val="left" w:pos="1366"/>
              </w:tabs>
              <w:spacing w:before="0" w:beforeAutospacing="0" w:after="0" w:afterAutospacing="0"/>
              <w:rPr>
                <w:color w:val="4472C4" w:themeColor="accent1"/>
                <w:sz w:val="20"/>
                <w:szCs w:val="20"/>
                <w:lang w:val="en-US"/>
              </w:rPr>
            </w:pPr>
            <w:hyperlink r:id="rId399" w:tooltip="32008L0101: INSERTED" w:history="1">
              <w:r w:rsidRPr="00E34C2B">
                <w:rPr>
                  <w:rStyle w:val="af3"/>
                  <w:rFonts w:eastAsia="Arial Unicode MS"/>
                  <w:b/>
                  <w:bCs/>
                  <w:color w:val="4472C4" w:themeColor="accent1"/>
                  <w:sz w:val="20"/>
                  <w:szCs w:val="20"/>
                  <w:lang w:val="en-US"/>
                </w:rPr>
                <w:t>▼M2</w:t>
              </w:r>
            </w:hyperlink>
          </w:p>
          <w:p w14:paraId="0A23593F"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parte</w:t>
            </w:r>
            <w:proofErr w:type="spellEnd"/>
            <w:r w:rsidRPr="00DF1AB5">
              <w:rPr>
                <w:rFonts w:eastAsia="Arial Unicode MS"/>
                <w:color w:val="000000" w:themeColor="text1"/>
                <w:sz w:val="20"/>
                <w:szCs w:val="20"/>
                <w:shd w:val="clear" w:color="auto" w:fill="FFFFFF"/>
                <w:lang w:val="en-US"/>
              </w:rPr>
              <w:t xml:space="preserve"> se efectuează un </w:t>
            </w:r>
            <w:proofErr w:type="spellStart"/>
            <w:r w:rsidRPr="00DF1AB5">
              <w:rPr>
                <w:rFonts w:eastAsia="Arial Unicode MS"/>
                <w:color w:val="000000" w:themeColor="text1"/>
                <w:sz w:val="20"/>
                <w:szCs w:val="20"/>
                <w:shd w:val="clear" w:color="auto" w:fill="FFFFFF"/>
                <w:lang w:val="en-US"/>
              </w:rPr>
              <w:t>calcul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separat</w:t>
            </w:r>
            <w:proofErr w:type="spellEnd"/>
            <w:r w:rsidRPr="00DF1AB5">
              <w:rPr>
                <w:rFonts w:eastAsia="Arial Unicode MS"/>
                <w:color w:val="000000" w:themeColor="text1"/>
                <w:sz w:val="20"/>
                <w:szCs w:val="20"/>
                <w:shd w:val="clear" w:color="auto" w:fill="FFFFFF"/>
                <w:lang w:val="en-US"/>
              </w:rPr>
              <w:t>.</w:t>
            </w:r>
          </w:p>
          <w:p w14:paraId="09236F07" w14:textId="77777777" w:rsidR="00124364" w:rsidRPr="00DF1AB5" w:rsidRDefault="00000000" w:rsidP="00DF1AB5">
            <w:pPr>
              <w:pStyle w:val="ti-art"/>
              <w:shd w:val="clear" w:color="auto" w:fill="FFFFFF"/>
              <w:tabs>
                <w:tab w:val="left" w:pos="1366"/>
              </w:tabs>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Raportarea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emisiilor</w:t>
            </w:r>
            <w:proofErr w:type="spellEnd"/>
          </w:p>
          <w:p w14:paraId="2F67084E" w14:textId="77777777" w:rsidR="00124364" w:rsidRPr="00DF1AB5" w:rsidRDefault="00000000" w:rsidP="00DF1AB5">
            <w:pPr>
              <w:pStyle w:val="ti-art"/>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operator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include în </w:t>
            </w:r>
            <w:proofErr w:type="spellStart"/>
            <w:r w:rsidRPr="00DF1AB5">
              <w:rPr>
                <w:rFonts w:eastAsia="Arial Unicode MS"/>
                <w:color w:val="000000" w:themeColor="text1"/>
                <w:sz w:val="20"/>
                <w:szCs w:val="20"/>
                <w:shd w:val="clear" w:color="auto" w:fill="FFFFFF"/>
                <w:lang w:val="en-US"/>
              </w:rPr>
              <w:t>raportul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prezentat</w:t>
            </w:r>
            <w:proofErr w:type="spellEnd"/>
            <w:r w:rsidRPr="00DF1AB5">
              <w:rPr>
                <w:rFonts w:eastAsia="Arial Unicode MS"/>
                <w:color w:val="000000" w:themeColor="text1"/>
                <w:sz w:val="20"/>
                <w:szCs w:val="20"/>
                <w:shd w:val="clear" w:color="auto" w:fill="FFFFFF"/>
                <w:lang w:val="en-US"/>
              </w:rPr>
              <w:t xml:space="preserve"> în conformitate cu </w:t>
            </w:r>
            <w:proofErr w:type="spellStart"/>
            <w:r w:rsidRPr="00DF1AB5">
              <w:rPr>
                <w:rFonts w:eastAsia="Arial Unicode MS"/>
                <w:color w:val="000000" w:themeColor="text1"/>
                <w:sz w:val="20"/>
                <w:szCs w:val="20"/>
                <w:shd w:val="clear" w:color="auto" w:fill="FFFFFF"/>
                <w:lang w:val="en-US"/>
              </w:rPr>
              <w:t>dispozițiile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articolului</w:t>
            </w:r>
            <w:proofErr w:type="spellEnd"/>
            <w:r w:rsidRPr="00DF1AB5">
              <w:rPr>
                <w:rFonts w:eastAsia="Arial Unicode MS"/>
                <w:color w:val="000000" w:themeColor="text1"/>
                <w:sz w:val="20"/>
                <w:szCs w:val="20"/>
                <w:shd w:val="clear" w:color="auto" w:fill="FFFFFF"/>
                <w:lang w:val="en-US"/>
              </w:rPr>
              <w:t xml:space="preserve"> 14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(3) </w:t>
            </w:r>
            <w:proofErr w:type="spellStart"/>
            <w:r w:rsidRPr="00DF1AB5">
              <w:rPr>
                <w:rFonts w:eastAsia="Arial Unicode MS"/>
                <w:color w:val="000000" w:themeColor="text1"/>
                <w:sz w:val="20"/>
                <w:szCs w:val="20"/>
                <w:shd w:val="clear" w:color="auto" w:fill="FFFFFF"/>
                <w:lang w:val="en-US"/>
              </w:rPr>
              <w:t>următoarele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w:t>
            </w:r>
          </w:p>
          <w:p w14:paraId="1EB66AFC" w14:textId="77777777" w:rsidR="00124364" w:rsidRPr="00DF1AB5" w:rsidRDefault="00000000" w:rsidP="00DF1AB5">
            <w:pPr>
              <w:pStyle w:val="ti-art"/>
              <w:numPr>
                <w:ilvl w:val="0"/>
                <w:numId w:val="178"/>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identificare</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operatorului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w:t>
            </w:r>
          </w:p>
          <w:p w14:paraId="5733066F"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denumirea</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operatorului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aeronave</w:t>
            </w:r>
            <w:proofErr w:type="spellEnd"/>
            <w:r w:rsidRPr="00DF1AB5">
              <w:rPr>
                <w:rFonts w:eastAsia="Arial Unicode MS"/>
                <w:color w:val="000000" w:themeColor="text1"/>
                <w:sz w:val="20"/>
                <w:szCs w:val="20"/>
                <w:shd w:val="clear" w:color="auto" w:fill="FFFFFF"/>
              </w:rPr>
              <w:t>;</w:t>
            </w:r>
          </w:p>
          <w:p w14:paraId="5B8AB5B3"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statul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membru</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administrare</w:t>
            </w:r>
            <w:proofErr w:type="spellEnd"/>
            <w:r w:rsidRPr="00DF1AB5">
              <w:rPr>
                <w:rFonts w:eastAsia="Arial Unicode MS"/>
                <w:color w:val="000000" w:themeColor="text1"/>
                <w:sz w:val="20"/>
                <w:szCs w:val="20"/>
                <w:shd w:val="clear" w:color="auto" w:fill="FFFFFF"/>
              </w:rPr>
              <w:t>;</w:t>
            </w:r>
          </w:p>
          <w:p w14:paraId="73698B03"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poștal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țara</w:t>
            </w:r>
            <w:proofErr w:type="spellEnd"/>
            <w:r w:rsidRPr="00DF1AB5">
              <w:rPr>
                <w:rFonts w:eastAsia="Arial Unicode MS"/>
                <w:color w:val="000000" w:themeColor="text1"/>
                <w:sz w:val="20"/>
                <w:szCs w:val="20"/>
                <w:shd w:val="clear" w:color="auto" w:fill="FFFFFF"/>
                <w:lang w:val="en-US"/>
              </w:rPr>
              <w:t xml:space="preserve"> și, în </w:t>
            </w:r>
            <w:proofErr w:type="spellStart"/>
            <w:r w:rsidRPr="00DF1AB5">
              <w:rPr>
                <w:rFonts w:eastAsia="Arial Unicode MS"/>
                <w:color w:val="000000" w:themeColor="text1"/>
                <w:sz w:val="20"/>
                <w:szCs w:val="20"/>
                <w:shd w:val="clear" w:color="auto" w:fill="FFFFFF"/>
                <w:lang w:val="en-US"/>
              </w:rPr>
              <w:t>cazul</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diferită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de contact din </w:t>
            </w:r>
            <w:proofErr w:type="spellStart"/>
            <w:r w:rsidRPr="00DF1AB5">
              <w:rPr>
                <w:rFonts w:eastAsia="Arial Unicode MS"/>
                <w:color w:val="000000" w:themeColor="text1"/>
                <w:sz w:val="20"/>
                <w:szCs w:val="20"/>
                <w:shd w:val="clear" w:color="auto" w:fill="FFFFFF"/>
                <w:lang w:val="en-US"/>
              </w:rPr>
              <w:t>statul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administrare</w:t>
            </w:r>
            <w:proofErr w:type="spellEnd"/>
            <w:r w:rsidRPr="00DF1AB5">
              <w:rPr>
                <w:rFonts w:eastAsia="Arial Unicode MS"/>
                <w:color w:val="000000" w:themeColor="text1"/>
                <w:sz w:val="20"/>
                <w:szCs w:val="20"/>
                <w:shd w:val="clear" w:color="auto" w:fill="FFFFFF"/>
                <w:lang w:val="en-US"/>
              </w:rPr>
              <w:t>;</w:t>
            </w:r>
          </w:p>
          <w:p w14:paraId="3306DD03"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numerele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înregistrare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aeronavelor</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tipurile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folosite</w:t>
            </w:r>
            <w:proofErr w:type="spellEnd"/>
            <w:r w:rsidRPr="00DF1AB5">
              <w:rPr>
                <w:rFonts w:eastAsia="Arial Unicode MS"/>
                <w:color w:val="000000" w:themeColor="text1"/>
                <w:sz w:val="20"/>
                <w:szCs w:val="20"/>
                <w:shd w:val="clear" w:color="auto" w:fill="FFFFFF"/>
                <w:lang w:val="en-US"/>
              </w:rPr>
              <w:t xml:space="preserve">, în perioada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29599DB9"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autoritatea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emitentă</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certificatului</w:t>
            </w:r>
            <w:proofErr w:type="spellEnd"/>
            <w:r w:rsidRPr="00DF1AB5">
              <w:rPr>
                <w:rFonts w:eastAsia="Arial Unicode MS"/>
                <w:color w:val="000000" w:themeColor="text1"/>
                <w:sz w:val="20"/>
                <w:szCs w:val="20"/>
                <w:shd w:val="clear" w:color="auto" w:fill="FFFFFF"/>
                <w:lang w:val="en-US"/>
              </w:rPr>
              <w:t xml:space="preserve"> de operator </w:t>
            </w:r>
            <w:proofErr w:type="spellStart"/>
            <w:r w:rsidRPr="00DF1AB5">
              <w:rPr>
                <w:rFonts w:eastAsia="Arial Unicode MS"/>
                <w:color w:val="000000" w:themeColor="text1"/>
                <w:sz w:val="20"/>
                <w:szCs w:val="20"/>
                <w:shd w:val="clear" w:color="auto" w:fill="FFFFFF"/>
                <w:lang w:val="en-US"/>
              </w:rPr>
              <w:t>aerian</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licența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operare</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cărora</w:t>
            </w:r>
            <w:proofErr w:type="spellEnd"/>
            <w:r w:rsidRPr="00DF1AB5">
              <w:rPr>
                <w:rFonts w:eastAsia="Arial Unicode MS"/>
                <w:color w:val="000000" w:themeColor="text1"/>
                <w:sz w:val="20"/>
                <w:szCs w:val="20"/>
                <w:shd w:val="clear" w:color="auto" w:fill="FFFFFF"/>
                <w:lang w:val="en-US"/>
              </w:rPr>
              <w:t xml:space="preserve"> efectuează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6E048FAE"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telefon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fax și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electronică</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unei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persoane</w:t>
            </w:r>
            <w:proofErr w:type="spellEnd"/>
            <w:r w:rsidRPr="00DF1AB5">
              <w:rPr>
                <w:rFonts w:eastAsia="Arial Unicode MS"/>
                <w:color w:val="000000" w:themeColor="text1"/>
                <w:sz w:val="20"/>
                <w:szCs w:val="20"/>
                <w:shd w:val="clear" w:color="auto" w:fill="FFFFFF"/>
                <w:lang w:val="en-US"/>
              </w:rPr>
              <w:t xml:space="preserve"> de contact; precum și</w:t>
            </w:r>
          </w:p>
          <w:p w14:paraId="4008FF5F" w14:textId="77777777" w:rsidR="00124364" w:rsidRPr="00DF1AB5" w:rsidRDefault="00000000" w:rsidP="00DF1AB5">
            <w:pPr>
              <w:pStyle w:val="ti-art"/>
              <w:numPr>
                <w:ilvl w:val="0"/>
                <w:numId w:val="179"/>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denumirea</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proprietarului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aeronavei</w:t>
            </w:r>
            <w:proofErr w:type="spellEnd"/>
            <w:r w:rsidRPr="00DF1AB5">
              <w:rPr>
                <w:rFonts w:eastAsia="Arial Unicode MS"/>
                <w:color w:val="000000" w:themeColor="text1"/>
                <w:sz w:val="20"/>
                <w:szCs w:val="20"/>
                <w:shd w:val="clear" w:color="auto" w:fill="FFFFFF"/>
              </w:rPr>
              <w:t>.</w:t>
            </w:r>
          </w:p>
          <w:p w14:paraId="3439AE6A" w14:textId="77777777" w:rsidR="00124364" w:rsidRPr="00DF1AB5" w:rsidRDefault="00000000" w:rsidP="00DF1AB5">
            <w:pPr>
              <w:pStyle w:val="ti-art"/>
              <w:numPr>
                <w:ilvl w:val="0"/>
                <w:numId w:val="180"/>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tip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w:t>
            </w:r>
          </w:p>
          <w:p w14:paraId="23E4D640"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consumul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combustibil</w:t>
            </w:r>
            <w:proofErr w:type="spellEnd"/>
            <w:r w:rsidRPr="00DF1AB5">
              <w:rPr>
                <w:rFonts w:eastAsia="Arial Unicode MS"/>
                <w:color w:val="000000" w:themeColor="text1"/>
                <w:sz w:val="20"/>
                <w:szCs w:val="20"/>
                <w:shd w:val="clear" w:color="auto" w:fill="FFFFFF"/>
              </w:rPr>
              <w:t>;</w:t>
            </w:r>
          </w:p>
          <w:p w14:paraId="1CFC2281"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factorul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emisie</w:t>
            </w:r>
            <w:proofErr w:type="spellEnd"/>
            <w:r w:rsidRPr="00DF1AB5">
              <w:rPr>
                <w:rFonts w:eastAsia="Arial Unicode MS"/>
                <w:color w:val="000000" w:themeColor="text1"/>
                <w:sz w:val="20"/>
                <w:szCs w:val="20"/>
                <w:shd w:val="clear" w:color="auto" w:fill="FFFFFF"/>
              </w:rPr>
              <w:t>;</w:t>
            </w:r>
          </w:p>
          <w:p w14:paraId="0FC46CC2"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cumulate </w:t>
            </w:r>
            <w:proofErr w:type="spellStart"/>
            <w:r w:rsidRPr="00DF1AB5">
              <w:rPr>
                <w:rFonts w:eastAsia="Arial Unicode MS"/>
                <w:color w:val="000000" w:themeColor="text1"/>
                <w:sz w:val="20"/>
                <w:szCs w:val="20"/>
                <w:shd w:val="clear" w:color="auto" w:fill="FFFFFF"/>
                <w:lang w:val="en-US"/>
              </w:rPr>
              <w:t>totale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provenite</w:t>
            </w:r>
            <w:proofErr w:type="spellEnd"/>
            <w:r w:rsidRPr="00DF1AB5">
              <w:rPr>
                <w:rFonts w:eastAsia="Arial Unicode MS"/>
                <w:color w:val="000000" w:themeColor="text1"/>
                <w:sz w:val="20"/>
                <w:szCs w:val="20"/>
                <w:shd w:val="clear" w:color="auto" w:fill="FFFFFF"/>
                <w:lang w:val="en-US"/>
              </w:rPr>
              <w:t xml:space="preserve"> de la </w:t>
            </w: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efectuate</w:t>
            </w:r>
            <w:proofErr w:type="spellEnd"/>
            <w:r w:rsidRPr="00DF1AB5">
              <w:rPr>
                <w:rFonts w:eastAsia="Arial Unicode MS"/>
                <w:color w:val="000000" w:themeColor="text1"/>
                <w:sz w:val="20"/>
                <w:szCs w:val="20"/>
                <w:shd w:val="clear" w:color="auto" w:fill="FFFFFF"/>
                <w:lang w:val="en-US"/>
              </w:rPr>
              <w:t xml:space="preserve"> în perioada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încadrează</w:t>
            </w:r>
            <w:proofErr w:type="spellEnd"/>
            <w:r w:rsidRPr="00DF1AB5">
              <w:rPr>
                <w:rFonts w:eastAsia="Arial Unicode MS"/>
                <w:color w:val="000000" w:themeColor="text1"/>
                <w:sz w:val="20"/>
                <w:szCs w:val="20"/>
                <w:shd w:val="clear" w:color="auto" w:fill="FFFFFF"/>
                <w:lang w:val="en-US"/>
              </w:rPr>
              <w:t xml:space="preserve"> </w:t>
            </w:r>
            <w:r w:rsidRPr="00DF1AB5">
              <w:rPr>
                <w:rFonts w:eastAsia="Arial Unicode MS"/>
                <w:color w:val="000000" w:themeColor="text1"/>
                <w:sz w:val="20"/>
                <w:szCs w:val="20"/>
                <w:shd w:val="clear" w:color="auto" w:fill="FFFFFF"/>
                <w:lang w:val="en-US"/>
              </w:rPr>
              <w:lastRenderedPageBreak/>
              <w:t xml:space="preserve">în </w:t>
            </w:r>
            <w:proofErr w:type="spellStart"/>
            <w:r w:rsidRPr="00DF1AB5">
              <w:rPr>
                <w:rFonts w:eastAsia="Arial Unicode MS"/>
                <w:color w:val="000000" w:themeColor="text1"/>
                <w:sz w:val="20"/>
                <w:szCs w:val="20"/>
                <w:shd w:val="clear" w:color="auto" w:fill="FFFFFF"/>
                <w:lang w:val="en-US"/>
              </w:rPr>
              <w:t>categoria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7D8D034C"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w:t>
            </w:r>
            <w:proofErr w:type="spellEnd"/>
            <w:r w:rsidRPr="00DF1AB5">
              <w:rPr>
                <w:rFonts w:eastAsia="Arial Unicode MS"/>
                <w:color w:val="000000" w:themeColor="text1"/>
                <w:sz w:val="20"/>
                <w:szCs w:val="20"/>
                <w:shd w:val="clear" w:color="auto" w:fill="FFFFFF"/>
                <w:lang w:val="en-US"/>
              </w:rPr>
              <w:t xml:space="preserve"> cumulate </w:t>
            </w:r>
            <w:proofErr w:type="spellStart"/>
            <w:r w:rsidRPr="00DF1AB5">
              <w:rPr>
                <w:rFonts w:eastAsia="Arial Unicode MS"/>
                <w:color w:val="000000" w:themeColor="text1"/>
                <w:sz w:val="20"/>
                <w:szCs w:val="20"/>
                <w:shd w:val="clear" w:color="auto" w:fill="FFFFFF"/>
                <w:lang w:val="en-US"/>
              </w:rPr>
              <w:t>provenite</w:t>
            </w:r>
            <w:proofErr w:type="spellEnd"/>
            <w:r w:rsidRPr="00DF1AB5">
              <w:rPr>
                <w:rFonts w:eastAsia="Arial Unicode MS"/>
                <w:color w:val="000000" w:themeColor="text1"/>
                <w:sz w:val="20"/>
                <w:szCs w:val="20"/>
                <w:shd w:val="clear" w:color="auto" w:fill="FFFFFF"/>
                <w:lang w:val="en-US"/>
              </w:rPr>
              <w:t xml:space="preserve"> de la:</w:t>
            </w:r>
          </w:p>
          <w:p w14:paraId="25C47CFD"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efectuate</w:t>
            </w:r>
            <w:proofErr w:type="spellEnd"/>
            <w:r w:rsidRPr="00DF1AB5">
              <w:rPr>
                <w:rFonts w:eastAsia="Arial Unicode MS"/>
                <w:color w:val="000000" w:themeColor="text1"/>
                <w:sz w:val="20"/>
                <w:szCs w:val="20"/>
                <w:shd w:val="clear" w:color="auto" w:fill="FFFFFF"/>
                <w:lang w:val="en-US"/>
              </w:rPr>
              <w:t xml:space="preserve"> în perioada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care se </w:t>
            </w:r>
            <w:proofErr w:type="spellStart"/>
            <w:r w:rsidRPr="00DF1AB5">
              <w:rPr>
                <w:rFonts w:eastAsia="Arial Unicode MS"/>
                <w:color w:val="000000" w:themeColor="text1"/>
                <w:sz w:val="20"/>
                <w:szCs w:val="20"/>
                <w:shd w:val="clear" w:color="auto" w:fill="FFFFFF"/>
                <w:lang w:val="en-US"/>
              </w:rPr>
              <w:t>încadrează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categoria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 xml:space="preserve">, care au </w:t>
            </w:r>
            <w:proofErr w:type="spellStart"/>
            <w:r w:rsidRPr="00DF1AB5">
              <w:rPr>
                <w:rFonts w:eastAsia="Arial Unicode MS"/>
                <w:color w:val="000000" w:themeColor="text1"/>
                <w:sz w:val="20"/>
                <w:szCs w:val="20"/>
                <w:shd w:val="clear" w:color="auto" w:fill="FFFFFF"/>
                <w:lang w:val="en-US"/>
              </w:rPr>
              <w:t>avut</w:t>
            </w:r>
            <w:proofErr w:type="spellEnd"/>
            <w:r w:rsidRPr="00DF1AB5">
              <w:rPr>
                <w:rFonts w:eastAsia="Arial Unicode MS"/>
                <w:color w:val="000000" w:themeColor="text1"/>
                <w:sz w:val="20"/>
                <w:szCs w:val="20"/>
                <w:shd w:val="clear" w:color="auto" w:fill="FFFFFF"/>
                <w:lang w:val="en-US"/>
              </w:rPr>
              <w:t xml:space="preserve"> ca </w:t>
            </w:r>
            <w:proofErr w:type="spellStart"/>
            <w:r w:rsidRPr="00DF1AB5">
              <w:rPr>
                <w:rFonts w:eastAsia="Arial Unicode MS"/>
                <w:color w:val="000000" w:themeColor="text1"/>
                <w:sz w:val="20"/>
                <w:szCs w:val="20"/>
                <w:shd w:val="clear" w:color="auto" w:fill="FFFFFF"/>
                <w:lang w:val="en-US"/>
              </w:rPr>
              <w:t>punct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plecare</w:t>
            </w:r>
            <w:proofErr w:type="spellEnd"/>
            <w:r w:rsidRPr="00DF1AB5">
              <w:rPr>
                <w:rFonts w:eastAsia="Arial Unicode MS"/>
                <w:color w:val="000000" w:themeColor="text1"/>
                <w:sz w:val="20"/>
                <w:szCs w:val="20"/>
                <w:shd w:val="clear" w:color="auto" w:fill="FFFFFF"/>
                <w:lang w:val="en-US"/>
              </w:rPr>
              <w:t xml:space="preserve"> un </w:t>
            </w:r>
            <w:proofErr w:type="spellStart"/>
            <w:r w:rsidRPr="00DF1AB5">
              <w:rPr>
                <w:rFonts w:eastAsia="Arial Unicode MS"/>
                <w:color w:val="000000" w:themeColor="text1"/>
                <w:sz w:val="20"/>
                <w:szCs w:val="20"/>
                <w:shd w:val="clear" w:color="auto" w:fill="FFFFFF"/>
                <w:lang w:val="en-US"/>
              </w:rPr>
              <w:t>aerodrom</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situat</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teritoriul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unui</w:t>
            </w:r>
            <w:proofErr w:type="spellEnd"/>
            <w:r w:rsidRPr="00DF1AB5">
              <w:rPr>
                <w:rFonts w:eastAsia="Arial Unicode MS"/>
                <w:color w:val="000000" w:themeColor="text1"/>
                <w:sz w:val="20"/>
                <w:szCs w:val="20"/>
                <w:shd w:val="clear" w:color="auto" w:fill="FFFFFF"/>
                <w:lang w:val="en-US"/>
              </w:rPr>
              <w:t xml:space="preserve"> stat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iar</w:t>
            </w:r>
            <w:proofErr w:type="spellEnd"/>
            <w:r w:rsidRPr="00DF1AB5">
              <w:rPr>
                <w:rFonts w:eastAsia="Arial Unicode MS"/>
                <w:color w:val="000000" w:themeColor="text1"/>
                <w:sz w:val="20"/>
                <w:szCs w:val="20"/>
                <w:shd w:val="clear" w:color="auto" w:fill="FFFFFF"/>
                <w:lang w:val="en-US"/>
              </w:rPr>
              <w:t xml:space="preserve"> ca </w:t>
            </w:r>
            <w:proofErr w:type="spellStart"/>
            <w:r w:rsidRPr="00DF1AB5">
              <w:rPr>
                <w:rFonts w:eastAsia="Arial Unicode MS"/>
                <w:color w:val="000000" w:themeColor="text1"/>
                <w:sz w:val="20"/>
                <w:szCs w:val="20"/>
                <w:shd w:val="clear" w:color="auto" w:fill="FFFFFF"/>
                <w:lang w:val="en-US"/>
              </w:rPr>
              <w:t>punct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sosire</w:t>
            </w:r>
            <w:proofErr w:type="spellEnd"/>
            <w:r w:rsidRPr="00DF1AB5">
              <w:rPr>
                <w:rFonts w:eastAsia="Arial Unicode MS"/>
                <w:color w:val="000000" w:themeColor="text1"/>
                <w:sz w:val="20"/>
                <w:szCs w:val="20"/>
                <w:shd w:val="clear" w:color="auto" w:fill="FFFFFF"/>
                <w:lang w:val="en-US"/>
              </w:rPr>
              <w:t xml:space="preserve"> un </w:t>
            </w:r>
            <w:proofErr w:type="spellStart"/>
            <w:r w:rsidRPr="00DF1AB5">
              <w:rPr>
                <w:rFonts w:eastAsia="Arial Unicode MS"/>
                <w:color w:val="000000" w:themeColor="text1"/>
                <w:sz w:val="20"/>
                <w:szCs w:val="20"/>
                <w:shd w:val="clear" w:color="auto" w:fill="FFFFFF"/>
                <w:lang w:val="en-US"/>
              </w:rPr>
              <w:t>aerodrom</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situat</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teritoriul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aceluiași</w:t>
            </w:r>
            <w:proofErr w:type="spellEnd"/>
            <w:r w:rsidRPr="00DF1AB5">
              <w:rPr>
                <w:rFonts w:eastAsia="Arial Unicode MS"/>
                <w:color w:val="000000" w:themeColor="text1"/>
                <w:sz w:val="20"/>
                <w:szCs w:val="20"/>
                <w:shd w:val="clear" w:color="auto" w:fill="FFFFFF"/>
                <w:lang w:val="en-US"/>
              </w:rPr>
              <w:t xml:space="preserve"> stat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w:t>
            </w:r>
          </w:p>
          <w:p w14:paraId="7DFBAB7B"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celelalte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efectuate</w:t>
            </w:r>
            <w:proofErr w:type="spellEnd"/>
            <w:r w:rsidRPr="00DF1AB5">
              <w:rPr>
                <w:rFonts w:eastAsia="Arial Unicode MS"/>
                <w:color w:val="000000" w:themeColor="text1"/>
                <w:sz w:val="20"/>
                <w:szCs w:val="20"/>
                <w:shd w:val="clear" w:color="auto" w:fill="FFFFFF"/>
                <w:lang w:val="en-US"/>
              </w:rPr>
              <w:t xml:space="preserve"> în perioada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încadrează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categoria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3AEE8904"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cumulate </w:t>
            </w:r>
            <w:proofErr w:type="spellStart"/>
            <w:r w:rsidRPr="00DF1AB5">
              <w:rPr>
                <w:rFonts w:eastAsia="Arial Unicode MS"/>
                <w:color w:val="000000" w:themeColor="text1"/>
                <w:sz w:val="20"/>
                <w:szCs w:val="20"/>
                <w:shd w:val="clear" w:color="auto" w:fill="FFFFFF"/>
                <w:lang w:val="en-US"/>
              </w:rPr>
              <w:t>provenite</w:t>
            </w:r>
            <w:proofErr w:type="spellEnd"/>
            <w:r w:rsidRPr="00DF1AB5">
              <w:rPr>
                <w:rFonts w:eastAsia="Arial Unicode MS"/>
                <w:color w:val="000000" w:themeColor="text1"/>
                <w:sz w:val="20"/>
                <w:szCs w:val="20"/>
                <w:shd w:val="clear" w:color="auto" w:fill="FFFFFF"/>
                <w:lang w:val="en-US"/>
              </w:rPr>
              <w:t xml:space="preserve"> de la </w:t>
            </w: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efectuate</w:t>
            </w:r>
            <w:proofErr w:type="spellEnd"/>
            <w:r w:rsidRPr="00DF1AB5">
              <w:rPr>
                <w:rFonts w:eastAsia="Arial Unicode MS"/>
                <w:color w:val="000000" w:themeColor="text1"/>
                <w:sz w:val="20"/>
                <w:szCs w:val="20"/>
                <w:shd w:val="clear" w:color="auto" w:fill="FFFFFF"/>
                <w:lang w:val="en-US"/>
              </w:rPr>
              <w:t xml:space="preserve"> în perioada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încadrează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categoria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 xml:space="preserve"> și care:</w:t>
            </w:r>
          </w:p>
          <w:p w14:paraId="6C0B378A"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au </w:t>
            </w:r>
            <w:proofErr w:type="spellStart"/>
            <w:r w:rsidRPr="00DF1AB5">
              <w:rPr>
                <w:rFonts w:eastAsia="Arial Unicode MS"/>
                <w:color w:val="000000" w:themeColor="text1"/>
                <w:sz w:val="20"/>
                <w:szCs w:val="20"/>
                <w:shd w:val="clear" w:color="auto" w:fill="FFFFFF"/>
                <w:lang w:val="en-US"/>
              </w:rPr>
              <w:t>avut</w:t>
            </w:r>
            <w:proofErr w:type="spellEnd"/>
            <w:r w:rsidRPr="00DF1AB5">
              <w:rPr>
                <w:rFonts w:eastAsia="Arial Unicode MS"/>
                <w:color w:val="000000" w:themeColor="text1"/>
                <w:sz w:val="20"/>
                <w:szCs w:val="20"/>
                <w:shd w:val="clear" w:color="auto" w:fill="FFFFFF"/>
                <w:lang w:val="en-US"/>
              </w:rPr>
              <w:t xml:space="preserve"> ca </w:t>
            </w:r>
            <w:proofErr w:type="spellStart"/>
            <w:r w:rsidRPr="00DF1AB5">
              <w:rPr>
                <w:rFonts w:eastAsia="Arial Unicode MS"/>
                <w:color w:val="000000" w:themeColor="text1"/>
                <w:sz w:val="20"/>
                <w:szCs w:val="20"/>
                <w:shd w:val="clear" w:color="auto" w:fill="FFFFFF"/>
                <w:lang w:val="en-US"/>
              </w:rPr>
              <w:t>punct</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plecare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stat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 și</w:t>
            </w:r>
          </w:p>
          <w:p w14:paraId="055EA837"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au </w:t>
            </w:r>
            <w:proofErr w:type="spellStart"/>
            <w:r w:rsidRPr="00DF1AB5">
              <w:rPr>
                <w:rFonts w:eastAsia="Arial Unicode MS"/>
                <w:color w:val="000000" w:themeColor="text1"/>
                <w:sz w:val="20"/>
                <w:szCs w:val="20"/>
                <w:shd w:val="clear" w:color="auto" w:fill="FFFFFF"/>
                <w:lang w:val="en-US"/>
              </w:rPr>
              <w:t>sosit</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stat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dintr</w:t>
            </w:r>
            <w:proofErr w:type="spellEnd"/>
            <w:r w:rsidRPr="00DF1AB5">
              <w:rPr>
                <w:rFonts w:eastAsia="Arial Unicode MS"/>
                <w:color w:val="000000" w:themeColor="text1"/>
                <w:sz w:val="20"/>
                <w:szCs w:val="20"/>
                <w:shd w:val="clear" w:color="auto" w:fill="FFFFFF"/>
                <w:lang w:val="en-US"/>
              </w:rPr>
              <w:t xml:space="preserve">-o </w:t>
            </w:r>
            <w:proofErr w:type="spellStart"/>
            <w:r w:rsidRPr="00DF1AB5">
              <w:rPr>
                <w:rFonts w:eastAsia="Arial Unicode MS"/>
                <w:color w:val="000000" w:themeColor="text1"/>
                <w:sz w:val="20"/>
                <w:szCs w:val="20"/>
                <w:shd w:val="clear" w:color="auto" w:fill="FFFFFF"/>
                <w:lang w:val="en-US"/>
              </w:rPr>
              <w:t>țară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terță</w:t>
            </w:r>
            <w:proofErr w:type="spellEnd"/>
            <w:r w:rsidRPr="00DF1AB5">
              <w:rPr>
                <w:rFonts w:eastAsia="Arial Unicode MS"/>
                <w:color w:val="000000" w:themeColor="text1"/>
                <w:sz w:val="20"/>
                <w:szCs w:val="20"/>
                <w:shd w:val="clear" w:color="auto" w:fill="FFFFFF"/>
                <w:lang w:val="en-US"/>
              </w:rPr>
              <w:t>;</w:t>
            </w:r>
          </w:p>
          <w:p w14:paraId="1B67FBDB" w14:textId="77777777" w:rsidR="00124364" w:rsidRPr="00DF1AB5" w:rsidRDefault="00000000" w:rsidP="00DF1AB5">
            <w:pPr>
              <w:pStyle w:val="ti-art"/>
              <w:numPr>
                <w:ilvl w:val="0"/>
                <w:numId w:val="181"/>
              </w:numPr>
              <w:shd w:val="clear" w:color="auto" w:fill="FFFFFF"/>
              <w:tabs>
                <w:tab w:val="left" w:pos="1366"/>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gradul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incertitudine</w:t>
            </w:r>
            <w:proofErr w:type="spellEnd"/>
            <w:r w:rsidRPr="00DF1AB5">
              <w:rPr>
                <w:rFonts w:eastAsia="Arial Unicode MS"/>
                <w:color w:val="000000" w:themeColor="text1"/>
                <w:sz w:val="20"/>
                <w:szCs w:val="20"/>
                <w:shd w:val="clear" w:color="auto" w:fill="FFFFFF"/>
              </w:rPr>
              <w:t>.</w:t>
            </w:r>
          </w:p>
          <w:p w14:paraId="7F35CB09" w14:textId="77777777" w:rsidR="00124364" w:rsidRPr="00DF1AB5" w:rsidRDefault="00000000" w:rsidP="00DF1AB5">
            <w:pPr>
              <w:pStyle w:val="ti-art"/>
              <w:shd w:val="clear" w:color="auto" w:fill="FFFFFF"/>
              <w:tabs>
                <w:tab w:val="left" w:pos="2012"/>
              </w:tabs>
              <w:spacing w:before="0" w:beforeAutospacing="0" w:after="0" w:afterAutospacing="0"/>
              <w:ind w:left="720"/>
              <w:jc w:val="both"/>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Monitorizarea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datelor</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tonă-kilometru</w:t>
            </w:r>
            <w:proofErr w:type="spellEnd"/>
            <w:r w:rsidRPr="00DF1AB5">
              <w:rPr>
                <w:rFonts w:eastAsia="Arial Unicode MS"/>
                <w:i/>
                <w:iCs/>
                <w:color w:val="000000" w:themeColor="text1"/>
                <w:sz w:val="20"/>
                <w:szCs w:val="20"/>
                <w:shd w:val="clear" w:color="auto" w:fill="FFFFFF"/>
                <w:lang w:val="en-US"/>
              </w:rPr>
              <w:t xml:space="preserve"> în </w:t>
            </w:r>
            <w:proofErr w:type="spellStart"/>
            <w:r w:rsidRPr="00DF1AB5">
              <w:rPr>
                <w:rFonts w:eastAsia="Arial Unicode MS"/>
                <w:i/>
                <w:iCs/>
                <w:color w:val="000000" w:themeColor="text1"/>
                <w:sz w:val="20"/>
                <w:szCs w:val="20"/>
                <w:shd w:val="clear" w:color="auto" w:fill="FFFFFF"/>
                <w:lang w:val="en-US"/>
              </w:rPr>
              <w:t>sensul</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articolelor</w:t>
            </w:r>
            <w:proofErr w:type="spellEnd"/>
            <w:r w:rsidRPr="00DF1AB5">
              <w:rPr>
                <w:rFonts w:eastAsia="Arial Unicode MS"/>
                <w:i/>
                <w:iCs/>
                <w:color w:val="000000" w:themeColor="text1"/>
                <w:sz w:val="20"/>
                <w:szCs w:val="20"/>
                <w:shd w:val="clear" w:color="auto" w:fill="FFFFFF"/>
                <w:lang w:val="en-US"/>
              </w:rPr>
              <w:t xml:space="preserve"> 3e și 3f</w:t>
            </w:r>
          </w:p>
          <w:p w14:paraId="4DBB073D"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cererile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alocare</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cotelor</w:t>
            </w:r>
            <w:proofErr w:type="spellEnd"/>
            <w:r w:rsidRPr="00DF1AB5">
              <w:rPr>
                <w:rFonts w:eastAsia="Arial Unicode MS"/>
                <w:color w:val="000000" w:themeColor="text1"/>
                <w:sz w:val="20"/>
                <w:szCs w:val="20"/>
                <w:shd w:val="clear" w:color="auto" w:fill="FFFFFF"/>
                <w:lang w:val="en-US"/>
              </w:rPr>
              <w:t xml:space="preserve"> în conformitate cu </w:t>
            </w:r>
            <w:proofErr w:type="spellStart"/>
            <w:r w:rsidRPr="00DF1AB5">
              <w:rPr>
                <w:rFonts w:eastAsia="Arial Unicode MS"/>
                <w:color w:val="000000" w:themeColor="text1"/>
                <w:sz w:val="20"/>
                <w:szCs w:val="20"/>
                <w:shd w:val="clear" w:color="auto" w:fill="FFFFFF"/>
                <w:lang w:val="en-US"/>
              </w:rPr>
              <w:t>articolul</w:t>
            </w:r>
            <w:proofErr w:type="spellEnd"/>
            <w:r w:rsidRPr="00DF1AB5">
              <w:rPr>
                <w:rFonts w:eastAsia="Arial Unicode MS"/>
                <w:color w:val="000000" w:themeColor="text1"/>
                <w:sz w:val="20"/>
                <w:szCs w:val="20"/>
                <w:shd w:val="clear" w:color="auto" w:fill="FFFFFF"/>
                <w:lang w:val="en-US"/>
              </w:rPr>
              <w:t xml:space="preserve"> 3e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(1)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articolul</w:t>
            </w:r>
            <w:proofErr w:type="spellEnd"/>
            <w:r w:rsidRPr="00DF1AB5">
              <w:rPr>
                <w:rFonts w:eastAsia="Arial Unicode MS"/>
                <w:color w:val="000000" w:themeColor="text1"/>
                <w:sz w:val="20"/>
                <w:szCs w:val="20"/>
                <w:shd w:val="clear" w:color="auto" w:fill="FFFFFF"/>
                <w:lang w:val="en-US"/>
              </w:rPr>
              <w:t xml:space="preserve"> 3f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(2), </w:t>
            </w:r>
            <w:proofErr w:type="spellStart"/>
            <w:r w:rsidRPr="00DF1AB5">
              <w:rPr>
                <w:rFonts w:eastAsia="Arial Unicode MS"/>
                <w:color w:val="000000" w:themeColor="text1"/>
                <w:sz w:val="20"/>
                <w:szCs w:val="20"/>
                <w:shd w:val="clear" w:color="auto" w:fill="FFFFFF"/>
                <w:lang w:val="en-US"/>
              </w:rPr>
              <w:t>volumul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în tone-</w:t>
            </w:r>
            <w:proofErr w:type="spellStart"/>
            <w:r w:rsidRPr="00DF1AB5">
              <w:rPr>
                <w:rFonts w:eastAsia="Arial Unicode MS"/>
                <w:color w:val="000000" w:themeColor="text1"/>
                <w:sz w:val="20"/>
                <w:szCs w:val="20"/>
                <w:shd w:val="clear" w:color="auto" w:fill="FFFFFF"/>
                <w:lang w:val="en-US"/>
              </w:rPr>
              <w:t>kilometri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după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formulă</w:t>
            </w:r>
            <w:proofErr w:type="spellEnd"/>
            <w:r w:rsidRPr="00DF1AB5">
              <w:rPr>
                <w:rFonts w:eastAsia="Arial Unicode MS"/>
                <w:color w:val="000000" w:themeColor="text1"/>
                <w:sz w:val="20"/>
                <w:szCs w:val="20"/>
                <w:shd w:val="clear" w:color="auto" w:fill="FFFFFF"/>
                <w:lang w:val="en-US"/>
              </w:rPr>
              <w:t>:</w:t>
            </w:r>
          </w:p>
          <w:p w14:paraId="1B118974"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tone-</w:t>
            </w:r>
            <w:proofErr w:type="spellStart"/>
            <w:r w:rsidRPr="00DF1AB5">
              <w:rPr>
                <w:rFonts w:eastAsia="Arial Unicode MS"/>
                <w:color w:val="000000" w:themeColor="text1"/>
                <w:sz w:val="20"/>
                <w:szCs w:val="20"/>
                <w:shd w:val="clear" w:color="auto" w:fill="FFFFFF"/>
                <w:lang w:val="en-US"/>
              </w:rPr>
              <w:t>kilometri</w:t>
            </w:r>
            <w:proofErr w:type="spellEnd"/>
            <w:r w:rsidRPr="00DF1AB5">
              <w:rPr>
                <w:rFonts w:eastAsia="Arial Unicode MS"/>
                <w:color w:val="000000" w:themeColor="text1"/>
                <w:sz w:val="20"/>
                <w:szCs w:val="20"/>
                <w:shd w:val="clear" w:color="auto" w:fill="FFFFFF"/>
                <w:lang w:val="en-US"/>
              </w:rPr>
              <w:t xml:space="preserve"> = </w:t>
            </w:r>
            <w:proofErr w:type="spellStart"/>
            <w:r w:rsidRPr="00DF1AB5">
              <w:rPr>
                <w:rFonts w:eastAsia="Arial Unicode MS"/>
                <w:color w:val="000000" w:themeColor="text1"/>
                <w:sz w:val="20"/>
                <w:szCs w:val="20"/>
                <w:shd w:val="clear" w:color="auto" w:fill="FFFFFF"/>
                <w:lang w:val="en-US"/>
              </w:rPr>
              <w:t>distanța</w:t>
            </w:r>
            <w:proofErr w:type="spellEnd"/>
            <w:r w:rsidRPr="00DF1AB5">
              <w:rPr>
                <w:rFonts w:eastAsia="Arial Unicode MS"/>
                <w:color w:val="000000" w:themeColor="text1"/>
                <w:sz w:val="20"/>
                <w:szCs w:val="20"/>
                <w:shd w:val="clear" w:color="auto" w:fill="FFFFFF"/>
                <w:lang w:val="en-US"/>
              </w:rPr>
              <w:t xml:space="preserve"> × </w:t>
            </w:r>
            <w:proofErr w:type="spellStart"/>
            <w:r w:rsidRPr="00DF1AB5">
              <w:rPr>
                <w:rFonts w:eastAsia="Arial Unicode MS"/>
                <w:color w:val="000000" w:themeColor="text1"/>
                <w:sz w:val="20"/>
                <w:szCs w:val="20"/>
                <w:shd w:val="clear" w:color="auto" w:fill="FFFFFF"/>
                <w:lang w:val="en-US"/>
              </w:rPr>
              <w:t>sarcina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utilă</w:t>
            </w:r>
            <w:proofErr w:type="spellEnd"/>
          </w:p>
          <w:p w14:paraId="0AD2D5E6"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unde</w:t>
            </w:r>
            <w:proofErr w:type="spellEnd"/>
            <w:r w:rsidRPr="00DF1AB5">
              <w:rPr>
                <w:rFonts w:eastAsia="Arial Unicode MS"/>
                <w:color w:val="000000" w:themeColor="text1"/>
                <w:sz w:val="20"/>
                <w:szCs w:val="20"/>
                <w:shd w:val="clear" w:color="auto" w:fill="FFFFFF"/>
                <w:lang w:val="en-US"/>
              </w:rPr>
              <w:t>:</w:t>
            </w:r>
          </w:p>
          <w:p w14:paraId="55649938"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w:t>
            </w:r>
            <w:proofErr w:type="spellStart"/>
            <w:r w:rsidRPr="00DF1AB5">
              <w:rPr>
                <w:rFonts w:eastAsia="Arial Unicode MS"/>
                <w:color w:val="000000" w:themeColor="text1"/>
                <w:sz w:val="20"/>
                <w:szCs w:val="20"/>
                <w:shd w:val="clear" w:color="auto" w:fill="FFFFFF"/>
                <w:lang w:val="en-US"/>
              </w:rPr>
              <w:t>distanță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înseamnă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distanța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ortodromică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între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aerodromul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plecare</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cel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sosire</w:t>
            </w:r>
            <w:proofErr w:type="spellEnd"/>
            <w:r w:rsidRPr="00DF1AB5">
              <w:rPr>
                <w:rFonts w:eastAsia="Arial Unicode MS"/>
                <w:color w:val="000000" w:themeColor="text1"/>
                <w:sz w:val="20"/>
                <w:szCs w:val="20"/>
                <w:shd w:val="clear" w:color="auto" w:fill="FFFFFF"/>
                <w:lang w:val="en-US"/>
              </w:rPr>
              <w:t xml:space="preserve"> plus un factor </w:t>
            </w:r>
            <w:proofErr w:type="spellStart"/>
            <w:r w:rsidRPr="00DF1AB5">
              <w:rPr>
                <w:rFonts w:eastAsia="Arial Unicode MS"/>
                <w:color w:val="000000" w:themeColor="text1"/>
                <w:sz w:val="20"/>
                <w:szCs w:val="20"/>
                <w:shd w:val="clear" w:color="auto" w:fill="FFFFFF"/>
                <w:lang w:val="en-US"/>
              </w:rPr>
              <w:t>suplimentar</w:t>
            </w:r>
            <w:proofErr w:type="spellEnd"/>
            <w:r w:rsidRPr="00DF1AB5">
              <w:rPr>
                <w:rFonts w:eastAsia="Arial Unicode MS"/>
                <w:color w:val="000000" w:themeColor="text1"/>
                <w:sz w:val="20"/>
                <w:szCs w:val="20"/>
                <w:shd w:val="clear" w:color="auto" w:fill="FFFFFF"/>
                <w:lang w:val="en-US"/>
              </w:rPr>
              <w:t xml:space="preserve"> fix de 95 km; și</w:t>
            </w:r>
          </w:p>
          <w:p w14:paraId="0F56C9D2"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w:t>
            </w:r>
            <w:proofErr w:type="spellStart"/>
            <w:r w:rsidRPr="00DF1AB5">
              <w:rPr>
                <w:rFonts w:eastAsia="Arial Unicode MS"/>
                <w:color w:val="000000" w:themeColor="text1"/>
                <w:sz w:val="20"/>
                <w:szCs w:val="20"/>
                <w:shd w:val="clear" w:color="auto" w:fill="FFFFFF"/>
                <w:lang w:val="en-US"/>
              </w:rPr>
              <w:t>sarcină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înseamnă</w:t>
            </w:r>
            <w:proofErr w:type="spellEnd"/>
            <w:r w:rsidRPr="00DF1AB5">
              <w:rPr>
                <w:rFonts w:eastAsia="Arial Unicode MS"/>
                <w:color w:val="000000" w:themeColor="text1"/>
                <w:sz w:val="20"/>
                <w:szCs w:val="20"/>
                <w:shd w:val="clear" w:color="auto" w:fill="FFFFFF"/>
                <w:lang w:val="en-US"/>
              </w:rPr>
              <w:t xml:space="preserve"> masa </w:t>
            </w:r>
            <w:proofErr w:type="spellStart"/>
            <w:r w:rsidRPr="00DF1AB5">
              <w:rPr>
                <w:rFonts w:eastAsia="Arial Unicode MS"/>
                <w:color w:val="000000" w:themeColor="text1"/>
                <w:sz w:val="20"/>
                <w:szCs w:val="20"/>
                <w:shd w:val="clear" w:color="auto" w:fill="FFFFFF"/>
                <w:lang w:val="en-US"/>
              </w:rPr>
              <w:t>totală</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mărfurilor</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poștei</w:t>
            </w:r>
            <w:proofErr w:type="spellEnd"/>
            <w:r w:rsidRPr="00DF1AB5">
              <w:rPr>
                <w:rFonts w:eastAsia="Arial Unicode MS"/>
                <w:color w:val="000000" w:themeColor="text1"/>
                <w:sz w:val="20"/>
                <w:szCs w:val="20"/>
                <w:shd w:val="clear" w:color="auto" w:fill="FFFFFF"/>
                <w:lang w:val="en-US"/>
              </w:rPr>
              <w:t xml:space="preserve"> și a </w:t>
            </w:r>
            <w:proofErr w:type="spellStart"/>
            <w:r w:rsidRPr="00DF1AB5">
              <w:rPr>
                <w:rFonts w:eastAsia="Arial Unicode MS"/>
                <w:color w:val="000000" w:themeColor="text1"/>
                <w:sz w:val="20"/>
                <w:szCs w:val="20"/>
                <w:shd w:val="clear" w:color="auto" w:fill="FFFFFF"/>
                <w:lang w:val="en-US"/>
              </w:rPr>
              <w:t>pasagerilor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transportați</w:t>
            </w:r>
            <w:proofErr w:type="spellEnd"/>
            <w:r w:rsidRPr="00DF1AB5">
              <w:rPr>
                <w:rFonts w:eastAsia="Arial Unicode MS"/>
                <w:color w:val="000000" w:themeColor="text1"/>
                <w:sz w:val="20"/>
                <w:szCs w:val="20"/>
                <w:shd w:val="clear" w:color="auto" w:fill="FFFFFF"/>
                <w:lang w:val="en-US"/>
              </w:rPr>
              <w:t>.</w:t>
            </w:r>
          </w:p>
          <w:p w14:paraId="0F8933EA"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rPr>
            </w:pPr>
            <w:proofErr w:type="spellStart"/>
            <w:r w:rsidRPr="00DF1AB5">
              <w:rPr>
                <w:rFonts w:eastAsia="Arial Unicode MS"/>
                <w:color w:val="000000" w:themeColor="text1"/>
                <w:sz w:val="20"/>
                <w:szCs w:val="20"/>
                <w:shd w:val="clear" w:color="auto" w:fill="FFFFFF"/>
              </w:rPr>
              <w:t>Pentru</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calculul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sarcinii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utile</w:t>
            </w:r>
            <w:proofErr w:type="spellEnd"/>
            <w:r w:rsidRPr="00DF1AB5">
              <w:rPr>
                <w:rFonts w:eastAsia="Arial Unicode MS"/>
                <w:color w:val="000000" w:themeColor="text1"/>
                <w:sz w:val="20"/>
                <w:szCs w:val="20"/>
                <w:shd w:val="clear" w:color="auto" w:fill="FFFFFF"/>
              </w:rPr>
              <w:t>:</w:t>
            </w:r>
          </w:p>
          <w:p w14:paraId="1D995B72" w14:textId="77777777" w:rsidR="00124364" w:rsidRPr="00DF1AB5" w:rsidRDefault="00000000" w:rsidP="00DF1AB5">
            <w:pPr>
              <w:pStyle w:val="ti-art"/>
              <w:numPr>
                <w:ilvl w:val="0"/>
                <w:numId w:val="182"/>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pasageri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persoane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aflate</w:t>
            </w:r>
            <w:proofErr w:type="spellEnd"/>
            <w:r w:rsidRPr="00DF1AB5">
              <w:rPr>
                <w:rFonts w:eastAsia="Arial Unicode MS"/>
                <w:color w:val="000000" w:themeColor="text1"/>
                <w:sz w:val="20"/>
                <w:szCs w:val="20"/>
                <w:shd w:val="clear" w:color="auto" w:fill="FFFFFF"/>
                <w:lang w:val="en-US"/>
              </w:rPr>
              <w:t xml:space="preserve"> la bord,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membrilor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echipajului</w:t>
            </w:r>
            <w:proofErr w:type="spellEnd"/>
            <w:r w:rsidRPr="00DF1AB5">
              <w:rPr>
                <w:rFonts w:eastAsia="Arial Unicode MS"/>
                <w:color w:val="000000" w:themeColor="text1"/>
                <w:sz w:val="20"/>
                <w:szCs w:val="20"/>
                <w:shd w:val="clear" w:color="auto" w:fill="FFFFFF"/>
                <w:lang w:val="en-US"/>
              </w:rPr>
              <w:t>;</w:t>
            </w:r>
          </w:p>
          <w:p w14:paraId="1F55EA2D" w14:textId="77777777" w:rsidR="00124364" w:rsidRPr="00DF1AB5" w:rsidRDefault="00000000" w:rsidP="00DF1AB5">
            <w:pPr>
              <w:pStyle w:val="ti-art"/>
              <w:numPr>
                <w:ilvl w:val="0"/>
                <w:numId w:val="182"/>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un operator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opta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aplice</w:t>
            </w:r>
            <w:proofErr w:type="spellEnd"/>
            <w:r w:rsidRPr="00DF1AB5">
              <w:rPr>
                <w:rFonts w:eastAsia="Arial Unicode MS"/>
                <w:color w:val="000000" w:themeColor="text1"/>
                <w:sz w:val="20"/>
                <w:szCs w:val="20"/>
                <w:shd w:val="clear" w:color="auto" w:fill="FFFFFF"/>
                <w:lang w:val="en-US"/>
              </w:rPr>
              <w:t xml:space="preserve"> fie masa standard, fie masa </w:t>
            </w:r>
            <w:proofErr w:type="spellStart"/>
            <w:r w:rsidRPr="00DF1AB5">
              <w:rPr>
                <w:rFonts w:eastAsia="Arial Unicode MS"/>
                <w:color w:val="000000" w:themeColor="text1"/>
                <w:sz w:val="20"/>
                <w:szCs w:val="20"/>
                <w:shd w:val="clear" w:color="auto" w:fill="FFFFFF"/>
                <w:lang w:val="en-US"/>
              </w:rPr>
              <w:t>reală</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pasagerilor</w:t>
            </w:r>
            <w:proofErr w:type="spellEnd"/>
            <w:r w:rsidRPr="00DF1AB5">
              <w:rPr>
                <w:rFonts w:eastAsia="Arial Unicode MS"/>
                <w:color w:val="000000" w:themeColor="text1"/>
                <w:sz w:val="20"/>
                <w:szCs w:val="20"/>
                <w:shd w:val="clear" w:color="auto" w:fill="FFFFFF"/>
                <w:lang w:val="en-US"/>
              </w:rPr>
              <w:t xml:space="preserve"> și a </w:t>
            </w:r>
            <w:proofErr w:type="spellStart"/>
            <w:r w:rsidRPr="00DF1AB5">
              <w:rPr>
                <w:rFonts w:eastAsia="Arial Unicode MS"/>
                <w:color w:val="000000" w:themeColor="text1"/>
                <w:sz w:val="20"/>
                <w:szCs w:val="20"/>
                <w:shd w:val="clear" w:color="auto" w:fill="FFFFFF"/>
                <w:lang w:val="en-US"/>
              </w:rPr>
              <w:t>bagajelor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cală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înregistrate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documentația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lastRenderedPageBreak/>
              <w:t>privind</w:t>
            </w:r>
            <w:proofErr w:type="spellEnd"/>
            <w:r w:rsidRPr="00DF1AB5">
              <w:rPr>
                <w:rFonts w:eastAsia="Arial Unicode MS"/>
                <w:color w:val="000000" w:themeColor="text1"/>
                <w:sz w:val="20"/>
                <w:szCs w:val="20"/>
                <w:shd w:val="clear" w:color="auto" w:fill="FFFFFF"/>
                <w:lang w:val="en-US"/>
              </w:rPr>
              <w:t xml:space="preserve"> masa și </w:t>
            </w:r>
            <w:proofErr w:type="spellStart"/>
            <w:r w:rsidRPr="00DF1AB5">
              <w:rPr>
                <w:rFonts w:eastAsia="Arial Unicode MS"/>
                <w:color w:val="000000" w:themeColor="text1"/>
                <w:sz w:val="20"/>
                <w:szCs w:val="20"/>
                <w:shd w:val="clear" w:color="auto" w:fill="FFFFFF"/>
                <w:lang w:val="en-US"/>
              </w:rPr>
              <w:t>centrajul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relevante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o </w:t>
            </w:r>
            <w:proofErr w:type="spellStart"/>
            <w:r w:rsidRPr="00DF1AB5">
              <w:rPr>
                <w:rFonts w:eastAsia="Arial Unicode MS"/>
                <w:color w:val="000000" w:themeColor="text1"/>
                <w:sz w:val="20"/>
                <w:szCs w:val="20"/>
                <w:shd w:val="clear" w:color="auto" w:fill="FFFFFF"/>
                <w:lang w:val="en-US"/>
              </w:rPr>
              <w:t>valoare</w:t>
            </w:r>
            <w:proofErr w:type="spellEnd"/>
            <w:r w:rsidRPr="00DF1AB5">
              <w:rPr>
                <w:rFonts w:eastAsia="Arial Unicode MS"/>
                <w:color w:val="000000" w:themeColor="text1"/>
                <w:sz w:val="20"/>
                <w:szCs w:val="20"/>
                <w:shd w:val="clear" w:color="auto" w:fill="FFFFFF"/>
                <w:lang w:val="en-US"/>
              </w:rPr>
              <w:t xml:space="preserve"> standard de 100 kg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pasager</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bagajul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său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înregistrat</w:t>
            </w:r>
            <w:proofErr w:type="spellEnd"/>
            <w:r w:rsidRPr="00DF1AB5">
              <w:rPr>
                <w:rFonts w:eastAsia="Arial Unicode MS"/>
                <w:color w:val="000000" w:themeColor="text1"/>
                <w:sz w:val="20"/>
                <w:szCs w:val="20"/>
                <w:shd w:val="clear" w:color="auto" w:fill="FFFFFF"/>
                <w:lang w:val="en-US"/>
              </w:rPr>
              <w:t>.</w:t>
            </w:r>
          </w:p>
          <w:p w14:paraId="3E0577F2" w14:textId="77777777" w:rsidR="00124364" w:rsidRPr="00DF1AB5" w:rsidRDefault="00000000" w:rsidP="00DF1AB5">
            <w:pPr>
              <w:pStyle w:val="ti-art"/>
              <w:shd w:val="clear" w:color="auto" w:fill="FFFFFF"/>
              <w:tabs>
                <w:tab w:val="left" w:pos="2012"/>
              </w:tabs>
              <w:spacing w:before="0" w:beforeAutospacing="0" w:after="0" w:afterAutospacing="0"/>
              <w:ind w:left="720"/>
              <w:jc w:val="both"/>
              <w:rPr>
                <w:rFonts w:eastAsia="Arial Unicode MS"/>
                <w:i/>
                <w:iCs/>
                <w:color w:val="000000" w:themeColor="text1"/>
                <w:sz w:val="20"/>
                <w:szCs w:val="20"/>
                <w:shd w:val="clear" w:color="auto" w:fill="FFFFFF"/>
                <w:lang w:val="en-US"/>
              </w:rPr>
            </w:pPr>
            <w:proofErr w:type="spellStart"/>
            <w:r w:rsidRPr="00DF1AB5">
              <w:rPr>
                <w:rFonts w:eastAsia="Arial Unicode MS"/>
                <w:i/>
                <w:iCs/>
                <w:color w:val="000000" w:themeColor="text1"/>
                <w:sz w:val="20"/>
                <w:szCs w:val="20"/>
                <w:shd w:val="clear" w:color="auto" w:fill="FFFFFF"/>
                <w:lang w:val="en-US"/>
              </w:rPr>
              <w:t>Raportarea</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datelor</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tonă-kilometru</w:t>
            </w:r>
            <w:proofErr w:type="spellEnd"/>
            <w:r w:rsidRPr="00DF1AB5">
              <w:rPr>
                <w:rFonts w:eastAsia="Arial Unicode MS"/>
                <w:i/>
                <w:iCs/>
                <w:color w:val="000000" w:themeColor="text1"/>
                <w:sz w:val="20"/>
                <w:szCs w:val="20"/>
                <w:shd w:val="clear" w:color="auto" w:fill="FFFFFF"/>
                <w:lang w:val="en-US"/>
              </w:rPr>
              <w:t xml:space="preserve"> în </w:t>
            </w:r>
            <w:proofErr w:type="spellStart"/>
            <w:r w:rsidRPr="00DF1AB5">
              <w:rPr>
                <w:rFonts w:eastAsia="Arial Unicode MS"/>
                <w:i/>
                <w:iCs/>
                <w:color w:val="000000" w:themeColor="text1"/>
                <w:sz w:val="20"/>
                <w:szCs w:val="20"/>
                <w:shd w:val="clear" w:color="auto" w:fill="FFFFFF"/>
                <w:lang w:val="en-US"/>
              </w:rPr>
              <w:t>sensul</w:t>
            </w:r>
            <w:proofErr w:type="spellEnd"/>
            <w:r w:rsidRPr="00DF1AB5">
              <w:rPr>
                <w:rFonts w:eastAsia="Arial Unicode MS"/>
                <w:i/>
                <w:iCs/>
                <w:color w:val="000000" w:themeColor="text1"/>
                <w:sz w:val="20"/>
                <w:szCs w:val="20"/>
                <w:shd w:val="clear" w:color="auto" w:fill="FFFFFF"/>
                <w:lang w:val="en-US"/>
              </w:rPr>
              <w:t xml:space="preserve"> </w:t>
            </w:r>
            <w:proofErr w:type="spellStart"/>
            <w:r w:rsidRPr="00DF1AB5">
              <w:rPr>
                <w:rFonts w:eastAsia="Arial Unicode MS"/>
                <w:i/>
                <w:iCs/>
                <w:color w:val="000000" w:themeColor="text1"/>
                <w:sz w:val="20"/>
                <w:szCs w:val="20"/>
                <w:shd w:val="clear" w:color="auto" w:fill="FFFFFF"/>
                <w:lang w:val="en-US"/>
              </w:rPr>
              <w:t>articolelor</w:t>
            </w:r>
            <w:proofErr w:type="spellEnd"/>
            <w:r w:rsidRPr="00DF1AB5">
              <w:rPr>
                <w:rFonts w:eastAsia="Arial Unicode MS"/>
                <w:i/>
                <w:iCs/>
                <w:color w:val="000000" w:themeColor="text1"/>
                <w:sz w:val="20"/>
                <w:szCs w:val="20"/>
                <w:shd w:val="clear" w:color="auto" w:fill="FFFFFF"/>
                <w:lang w:val="en-US"/>
              </w:rPr>
              <w:t xml:space="preserve"> 3e și 3f</w:t>
            </w:r>
          </w:p>
          <w:p w14:paraId="72D75035"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operator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introduce </w:t>
            </w:r>
            <w:proofErr w:type="spellStart"/>
            <w:r w:rsidRPr="00DF1AB5">
              <w:rPr>
                <w:rFonts w:eastAsia="Arial Unicode MS"/>
                <w:color w:val="000000" w:themeColor="text1"/>
                <w:sz w:val="20"/>
                <w:szCs w:val="20"/>
                <w:shd w:val="clear" w:color="auto" w:fill="FFFFFF"/>
                <w:lang w:val="en-US"/>
              </w:rPr>
              <w:t>următoarele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cererea</w:t>
            </w:r>
            <w:proofErr w:type="spellEnd"/>
            <w:r w:rsidRPr="00DF1AB5">
              <w:rPr>
                <w:rFonts w:eastAsia="Arial Unicode MS"/>
                <w:color w:val="000000" w:themeColor="text1"/>
                <w:sz w:val="20"/>
                <w:szCs w:val="20"/>
                <w:shd w:val="clear" w:color="auto" w:fill="FFFFFF"/>
                <w:lang w:val="en-US"/>
              </w:rPr>
              <w:t xml:space="preserve"> pe care o </w:t>
            </w:r>
            <w:proofErr w:type="spellStart"/>
            <w:r w:rsidRPr="00DF1AB5">
              <w:rPr>
                <w:rFonts w:eastAsia="Arial Unicode MS"/>
                <w:color w:val="000000" w:themeColor="text1"/>
                <w:sz w:val="20"/>
                <w:szCs w:val="20"/>
                <w:shd w:val="clear" w:color="auto" w:fill="FFFFFF"/>
                <w:lang w:val="en-US"/>
              </w:rPr>
              <w:t>depune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temeiul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articolului</w:t>
            </w:r>
            <w:proofErr w:type="spellEnd"/>
            <w:r w:rsidRPr="00DF1AB5">
              <w:rPr>
                <w:rFonts w:eastAsia="Arial Unicode MS"/>
                <w:color w:val="000000" w:themeColor="text1"/>
                <w:sz w:val="20"/>
                <w:szCs w:val="20"/>
                <w:shd w:val="clear" w:color="auto" w:fill="FFFFFF"/>
                <w:lang w:val="en-US"/>
              </w:rPr>
              <w:t xml:space="preserve"> 3e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(1)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al </w:t>
            </w:r>
            <w:proofErr w:type="spellStart"/>
            <w:r w:rsidRPr="00DF1AB5">
              <w:rPr>
                <w:rFonts w:eastAsia="Arial Unicode MS"/>
                <w:color w:val="000000" w:themeColor="text1"/>
                <w:sz w:val="20"/>
                <w:szCs w:val="20"/>
                <w:shd w:val="clear" w:color="auto" w:fill="FFFFFF"/>
                <w:lang w:val="en-US"/>
              </w:rPr>
              <w:t>articolului</w:t>
            </w:r>
            <w:proofErr w:type="spellEnd"/>
            <w:r w:rsidRPr="00DF1AB5">
              <w:rPr>
                <w:rFonts w:eastAsia="Arial Unicode MS"/>
                <w:color w:val="000000" w:themeColor="text1"/>
                <w:sz w:val="20"/>
                <w:szCs w:val="20"/>
                <w:shd w:val="clear" w:color="auto" w:fill="FFFFFF"/>
                <w:lang w:val="en-US"/>
              </w:rPr>
              <w:t xml:space="preserve"> 3f </w:t>
            </w:r>
            <w:proofErr w:type="spellStart"/>
            <w:r w:rsidRPr="00DF1AB5">
              <w:rPr>
                <w:rFonts w:eastAsia="Arial Unicode MS"/>
                <w:color w:val="000000" w:themeColor="text1"/>
                <w:sz w:val="20"/>
                <w:szCs w:val="20"/>
                <w:shd w:val="clear" w:color="auto" w:fill="FFFFFF"/>
                <w:lang w:val="en-US"/>
              </w:rPr>
              <w:t>alineatul</w:t>
            </w:r>
            <w:proofErr w:type="spellEnd"/>
            <w:r w:rsidRPr="00DF1AB5">
              <w:rPr>
                <w:rFonts w:eastAsia="Arial Unicode MS"/>
                <w:color w:val="000000" w:themeColor="text1"/>
                <w:sz w:val="20"/>
                <w:szCs w:val="20"/>
                <w:shd w:val="clear" w:color="auto" w:fill="FFFFFF"/>
                <w:lang w:val="en-US"/>
              </w:rPr>
              <w:t xml:space="preserve"> (2):</w:t>
            </w:r>
          </w:p>
          <w:p w14:paraId="492D0487" w14:textId="77777777" w:rsidR="00124364" w:rsidRPr="00DF1AB5" w:rsidRDefault="00000000" w:rsidP="00DF1AB5">
            <w:pPr>
              <w:pStyle w:val="ti-art"/>
              <w:numPr>
                <w:ilvl w:val="0"/>
                <w:numId w:val="183"/>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identificare</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operatorului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w:t>
            </w:r>
          </w:p>
          <w:p w14:paraId="5F1391DF"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denumirea</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operatorului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aeronave</w:t>
            </w:r>
            <w:proofErr w:type="spellEnd"/>
            <w:r w:rsidRPr="00DF1AB5">
              <w:rPr>
                <w:rFonts w:eastAsia="Arial Unicode MS"/>
                <w:color w:val="000000" w:themeColor="text1"/>
                <w:sz w:val="20"/>
                <w:szCs w:val="20"/>
                <w:shd w:val="clear" w:color="auto" w:fill="FFFFFF"/>
              </w:rPr>
              <w:t>;</w:t>
            </w:r>
          </w:p>
          <w:p w14:paraId="0CD00842"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statul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membru</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administrare</w:t>
            </w:r>
            <w:proofErr w:type="spellEnd"/>
            <w:r w:rsidRPr="00DF1AB5">
              <w:rPr>
                <w:rFonts w:eastAsia="Arial Unicode MS"/>
                <w:color w:val="000000" w:themeColor="text1"/>
                <w:sz w:val="20"/>
                <w:szCs w:val="20"/>
                <w:shd w:val="clear" w:color="auto" w:fill="FFFFFF"/>
              </w:rPr>
              <w:t>;</w:t>
            </w:r>
          </w:p>
          <w:p w14:paraId="23D98333"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poștal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țara</w:t>
            </w:r>
            <w:proofErr w:type="spellEnd"/>
            <w:r w:rsidRPr="00DF1AB5">
              <w:rPr>
                <w:rFonts w:eastAsia="Arial Unicode MS"/>
                <w:color w:val="000000" w:themeColor="text1"/>
                <w:sz w:val="20"/>
                <w:szCs w:val="20"/>
                <w:shd w:val="clear" w:color="auto" w:fill="FFFFFF"/>
                <w:lang w:val="en-US"/>
              </w:rPr>
              <w:t xml:space="preserve"> și, în </w:t>
            </w:r>
            <w:proofErr w:type="spellStart"/>
            <w:r w:rsidRPr="00DF1AB5">
              <w:rPr>
                <w:rFonts w:eastAsia="Arial Unicode MS"/>
                <w:color w:val="000000" w:themeColor="text1"/>
                <w:sz w:val="20"/>
                <w:szCs w:val="20"/>
                <w:shd w:val="clear" w:color="auto" w:fill="FFFFFF"/>
                <w:lang w:val="en-US"/>
              </w:rPr>
              <w:t>cazul</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diferită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de contact din </w:t>
            </w:r>
            <w:proofErr w:type="spellStart"/>
            <w:r w:rsidRPr="00DF1AB5">
              <w:rPr>
                <w:rFonts w:eastAsia="Arial Unicode MS"/>
                <w:color w:val="000000" w:themeColor="text1"/>
                <w:sz w:val="20"/>
                <w:szCs w:val="20"/>
                <w:shd w:val="clear" w:color="auto" w:fill="FFFFFF"/>
                <w:lang w:val="en-US"/>
              </w:rPr>
              <w:t>statul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membru</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administrare</w:t>
            </w:r>
            <w:proofErr w:type="spellEnd"/>
            <w:r w:rsidRPr="00DF1AB5">
              <w:rPr>
                <w:rFonts w:eastAsia="Arial Unicode MS"/>
                <w:color w:val="000000" w:themeColor="text1"/>
                <w:sz w:val="20"/>
                <w:szCs w:val="20"/>
                <w:shd w:val="clear" w:color="auto" w:fill="FFFFFF"/>
                <w:lang w:val="en-US"/>
              </w:rPr>
              <w:t>;</w:t>
            </w:r>
          </w:p>
          <w:p w14:paraId="6A8B1058"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numerele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înregistrare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aeronavelor</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tipurile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folosite</w:t>
            </w:r>
            <w:proofErr w:type="spellEnd"/>
            <w:r w:rsidRPr="00DF1AB5">
              <w:rPr>
                <w:rFonts w:eastAsia="Arial Unicode MS"/>
                <w:color w:val="000000" w:themeColor="text1"/>
                <w:sz w:val="20"/>
                <w:szCs w:val="20"/>
                <w:shd w:val="clear" w:color="auto" w:fill="FFFFFF"/>
                <w:lang w:val="en-US"/>
              </w:rPr>
              <w:t xml:space="preserve">, în anul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73FEF17B"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autoritatea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emitentă</w:t>
            </w:r>
            <w:proofErr w:type="spellEnd"/>
            <w:r w:rsidRPr="00DF1AB5">
              <w:rPr>
                <w:rFonts w:eastAsia="Arial Unicode MS"/>
                <w:color w:val="000000" w:themeColor="text1"/>
                <w:sz w:val="20"/>
                <w:szCs w:val="20"/>
                <w:shd w:val="clear" w:color="auto" w:fill="FFFFFF"/>
                <w:lang w:val="en-US"/>
              </w:rPr>
              <w:t xml:space="preserve"> a </w:t>
            </w:r>
            <w:proofErr w:type="spellStart"/>
            <w:r w:rsidRPr="00DF1AB5">
              <w:rPr>
                <w:rFonts w:eastAsia="Arial Unicode MS"/>
                <w:color w:val="000000" w:themeColor="text1"/>
                <w:sz w:val="20"/>
                <w:szCs w:val="20"/>
                <w:shd w:val="clear" w:color="auto" w:fill="FFFFFF"/>
                <w:lang w:val="en-US"/>
              </w:rPr>
              <w:t>certificatului</w:t>
            </w:r>
            <w:proofErr w:type="spellEnd"/>
            <w:r w:rsidRPr="00DF1AB5">
              <w:rPr>
                <w:rFonts w:eastAsia="Arial Unicode MS"/>
                <w:color w:val="000000" w:themeColor="text1"/>
                <w:sz w:val="20"/>
                <w:szCs w:val="20"/>
                <w:shd w:val="clear" w:color="auto" w:fill="FFFFFF"/>
                <w:lang w:val="en-US"/>
              </w:rPr>
              <w:t xml:space="preserve"> de operator </w:t>
            </w:r>
            <w:proofErr w:type="spellStart"/>
            <w:r w:rsidRPr="00DF1AB5">
              <w:rPr>
                <w:rFonts w:eastAsia="Arial Unicode MS"/>
                <w:color w:val="000000" w:themeColor="text1"/>
                <w:sz w:val="20"/>
                <w:szCs w:val="20"/>
                <w:shd w:val="clear" w:color="auto" w:fill="FFFFFF"/>
                <w:lang w:val="en-US"/>
              </w:rPr>
              <w:t>aerian</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licența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operare</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baza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căreia</w:t>
            </w:r>
            <w:proofErr w:type="spellEnd"/>
            <w:r w:rsidRPr="00DF1AB5">
              <w:rPr>
                <w:rFonts w:eastAsia="Arial Unicode MS"/>
                <w:color w:val="000000" w:themeColor="text1"/>
                <w:sz w:val="20"/>
                <w:szCs w:val="20"/>
                <w:shd w:val="clear" w:color="auto" w:fill="FFFFFF"/>
                <w:lang w:val="en-US"/>
              </w:rPr>
              <w:t xml:space="preserve"> efectuează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operator de </w:t>
            </w:r>
            <w:proofErr w:type="spellStart"/>
            <w:r w:rsidRPr="00DF1AB5">
              <w:rPr>
                <w:rFonts w:eastAsia="Arial Unicode MS"/>
                <w:color w:val="000000" w:themeColor="text1"/>
                <w:sz w:val="20"/>
                <w:szCs w:val="20"/>
                <w:shd w:val="clear" w:color="auto" w:fill="FFFFFF"/>
                <w:lang w:val="en-US"/>
              </w:rPr>
              <w:t>aeronave</w:t>
            </w:r>
            <w:proofErr w:type="spellEnd"/>
            <w:r w:rsidRPr="00DF1AB5">
              <w:rPr>
                <w:rFonts w:eastAsia="Arial Unicode MS"/>
                <w:color w:val="000000" w:themeColor="text1"/>
                <w:sz w:val="20"/>
                <w:szCs w:val="20"/>
                <w:shd w:val="clear" w:color="auto" w:fill="FFFFFF"/>
                <w:lang w:val="en-US"/>
              </w:rPr>
              <w:t>;</w:t>
            </w:r>
          </w:p>
          <w:p w14:paraId="16830302"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telefon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fax și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electronică</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unei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persoane</w:t>
            </w:r>
            <w:proofErr w:type="spellEnd"/>
            <w:r w:rsidRPr="00DF1AB5">
              <w:rPr>
                <w:rFonts w:eastAsia="Arial Unicode MS"/>
                <w:color w:val="000000" w:themeColor="text1"/>
                <w:sz w:val="20"/>
                <w:szCs w:val="20"/>
                <w:shd w:val="clear" w:color="auto" w:fill="FFFFFF"/>
                <w:lang w:val="en-US"/>
              </w:rPr>
              <w:t xml:space="preserve"> de contact; precum și</w:t>
            </w:r>
          </w:p>
          <w:p w14:paraId="3B1718DA" w14:textId="77777777" w:rsidR="00124364" w:rsidRPr="00DF1AB5" w:rsidRDefault="00000000" w:rsidP="00DF1AB5">
            <w:pPr>
              <w:pStyle w:val="ti-art"/>
              <w:numPr>
                <w:ilvl w:val="0"/>
                <w:numId w:val="184"/>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denumirea</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proprietarului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aeronavei</w:t>
            </w:r>
            <w:proofErr w:type="spellEnd"/>
            <w:r w:rsidRPr="00DF1AB5">
              <w:rPr>
                <w:rFonts w:eastAsia="Arial Unicode MS"/>
                <w:color w:val="000000" w:themeColor="text1"/>
                <w:sz w:val="20"/>
                <w:szCs w:val="20"/>
                <w:shd w:val="clear" w:color="auto" w:fill="FFFFFF"/>
              </w:rPr>
              <w:t>.</w:t>
            </w:r>
          </w:p>
          <w:p w14:paraId="002134B9" w14:textId="77777777" w:rsidR="00124364" w:rsidRPr="00DF1AB5" w:rsidRDefault="00000000" w:rsidP="00DF1AB5">
            <w:pPr>
              <w:pStyle w:val="ti-art"/>
              <w:numPr>
                <w:ilvl w:val="0"/>
                <w:numId w:val="183"/>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Date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tonă-kilometru</w:t>
            </w:r>
            <w:proofErr w:type="spellEnd"/>
            <w:r w:rsidRPr="00DF1AB5">
              <w:rPr>
                <w:rFonts w:eastAsia="Arial Unicode MS"/>
                <w:color w:val="000000" w:themeColor="text1"/>
                <w:sz w:val="20"/>
                <w:szCs w:val="20"/>
                <w:shd w:val="clear" w:color="auto" w:fill="FFFFFF"/>
              </w:rPr>
              <w:t>:</w:t>
            </w:r>
          </w:p>
          <w:p w14:paraId="14F0424D" w14:textId="77777777" w:rsidR="00124364" w:rsidRPr="00DF1AB5" w:rsidRDefault="00000000" w:rsidP="00DF1AB5">
            <w:pPr>
              <w:pStyle w:val="ti-art"/>
              <w:numPr>
                <w:ilvl w:val="0"/>
                <w:numId w:val="185"/>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zboruri</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aerodromuri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pereche</w:t>
            </w:r>
            <w:proofErr w:type="spellEnd"/>
            <w:r w:rsidRPr="00DF1AB5">
              <w:rPr>
                <w:rFonts w:eastAsia="Arial Unicode MS"/>
                <w:color w:val="000000" w:themeColor="text1"/>
                <w:sz w:val="20"/>
                <w:szCs w:val="20"/>
                <w:shd w:val="clear" w:color="auto" w:fill="FFFFFF"/>
                <w:lang w:val="en-US"/>
              </w:rPr>
              <w:t>;</w:t>
            </w:r>
          </w:p>
          <w:p w14:paraId="602C3414" w14:textId="77777777" w:rsidR="00124364" w:rsidRPr="00DF1AB5" w:rsidRDefault="00000000" w:rsidP="00DF1AB5">
            <w:pPr>
              <w:pStyle w:val="ti-art"/>
              <w:numPr>
                <w:ilvl w:val="0"/>
                <w:numId w:val="185"/>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pasageri-kilometru</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aerodromuri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pereche</w:t>
            </w:r>
            <w:proofErr w:type="spellEnd"/>
            <w:r w:rsidRPr="00DF1AB5">
              <w:rPr>
                <w:rFonts w:eastAsia="Arial Unicode MS"/>
                <w:color w:val="000000" w:themeColor="text1"/>
                <w:sz w:val="20"/>
                <w:szCs w:val="20"/>
                <w:shd w:val="clear" w:color="auto" w:fill="FFFFFF"/>
                <w:lang w:val="en-US"/>
              </w:rPr>
              <w:t>;</w:t>
            </w:r>
          </w:p>
          <w:p w14:paraId="1AD6BCA4" w14:textId="77777777" w:rsidR="00124364" w:rsidRPr="00DF1AB5" w:rsidRDefault="00000000" w:rsidP="00DF1AB5">
            <w:pPr>
              <w:pStyle w:val="ti-art"/>
              <w:numPr>
                <w:ilvl w:val="0"/>
                <w:numId w:val="185"/>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tone-</w:t>
            </w:r>
            <w:proofErr w:type="spellStart"/>
            <w:r w:rsidRPr="00DF1AB5">
              <w:rPr>
                <w:rFonts w:eastAsia="Arial Unicode MS"/>
                <w:color w:val="000000" w:themeColor="text1"/>
                <w:sz w:val="20"/>
                <w:szCs w:val="20"/>
                <w:shd w:val="clear" w:color="auto" w:fill="FFFFFF"/>
                <w:lang w:val="en-US"/>
              </w:rPr>
              <w:t>kilometru</w:t>
            </w:r>
            <w:proofErr w:type="spellEnd"/>
            <w:r w:rsidRPr="00DF1AB5">
              <w:rPr>
                <w:rFonts w:eastAsia="Arial Unicode MS"/>
                <w:color w:val="000000" w:themeColor="text1"/>
                <w:sz w:val="20"/>
                <w:szCs w:val="20"/>
                <w:shd w:val="clear" w:color="auto" w:fill="FFFFFF"/>
                <w:lang w:val="en-US"/>
              </w:rPr>
              <w:t xml:space="preserve"> pe </w:t>
            </w:r>
            <w:proofErr w:type="spellStart"/>
            <w:r w:rsidRPr="00DF1AB5">
              <w:rPr>
                <w:rFonts w:eastAsia="Arial Unicode MS"/>
                <w:color w:val="000000" w:themeColor="text1"/>
                <w:sz w:val="20"/>
                <w:szCs w:val="20"/>
                <w:shd w:val="clear" w:color="auto" w:fill="FFFFFF"/>
                <w:lang w:val="en-US"/>
              </w:rPr>
              <w:t>aerodromuri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pereche</w:t>
            </w:r>
            <w:proofErr w:type="spellEnd"/>
            <w:r w:rsidRPr="00DF1AB5">
              <w:rPr>
                <w:rFonts w:eastAsia="Arial Unicode MS"/>
                <w:color w:val="000000" w:themeColor="text1"/>
                <w:sz w:val="20"/>
                <w:szCs w:val="20"/>
                <w:shd w:val="clear" w:color="auto" w:fill="FFFFFF"/>
                <w:lang w:val="en-US"/>
              </w:rPr>
              <w:t>;</w:t>
            </w:r>
          </w:p>
          <w:p w14:paraId="3B0F8F4F" w14:textId="77777777" w:rsidR="00124364" w:rsidRPr="00DF1AB5" w:rsidRDefault="00000000" w:rsidP="00DF1AB5">
            <w:pPr>
              <w:pStyle w:val="ti-art"/>
              <w:numPr>
                <w:ilvl w:val="0"/>
                <w:numId w:val="185"/>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metoda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aleasă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calculul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masei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pasagerilor</w:t>
            </w:r>
            <w:proofErr w:type="spellEnd"/>
            <w:r w:rsidRPr="00DF1AB5">
              <w:rPr>
                <w:rFonts w:eastAsia="Arial Unicode MS"/>
                <w:color w:val="000000" w:themeColor="text1"/>
                <w:sz w:val="20"/>
                <w:szCs w:val="20"/>
                <w:shd w:val="clear" w:color="auto" w:fill="FFFFFF"/>
                <w:lang w:val="en-US"/>
              </w:rPr>
              <w:t xml:space="preserve"> și a </w:t>
            </w:r>
            <w:proofErr w:type="spellStart"/>
            <w:r w:rsidRPr="00DF1AB5">
              <w:rPr>
                <w:rFonts w:eastAsia="Arial Unicode MS"/>
                <w:color w:val="000000" w:themeColor="text1"/>
                <w:sz w:val="20"/>
                <w:szCs w:val="20"/>
                <w:shd w:val="clear" w:color="auto" w:fill="FFFFFF"/>
                <w:lang w:val="en-US"/>
              </w:rPr>
              <w:t>bagajelor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cală</w:t>
            </w:r>
            <w:proofErr w:type="spellEnd"/>
            <w:r w:rsidRPr="00DF1AB5">
              <w:rPr>
                <w:rFonts w:eastAsia="Arial Unicode MS"/>
                <w:color w:val="000000" w:themeColor="text1"/>
                <w:sz w:val="20"/>
                <w:szCs w:val="20"/>
                <w:shd w:val="clear" w:color="auto" w:fill="FFFFFF"/>
                <w:lang w:val="en-US"/>
              </w:rPr>
              <w:t>;</w:t>
            </w:r>
          </w:p>
          <w:p w14:paraId="5EF99839" w14:textId="77777777" w:rsidR="00124364" w:rsidRPr="00DF1AB5" w:rsidRDefault="00000000" w:rsidP="00DF1AB5">
            <w:pPr>
              <w:pStyle w:val="ti-art"/>
              <w:numPr>
                <w:ilvl w:val="0"/>
                <w:numId w:val="185"/>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total de tone-</w:t>
            </w:r>
            <w:proofErr w:type="spellStart"/>
            <w:r w:rsidRPr="00DF1AB5">
              <w:rPr>
                <w:rFonts w:eastAsia="Arial Unicode MS"/>
                <w:color w:val="000000" w:themeColor="text1"/>
                <w:sz w:val="20"/>
                <w:szCs w:val="20"/>
                <w:shd w:val="clear" w:color="auto" w:fill="FFFFFF"/>
                <w:lang w:val="en-US"/>
              </w:rPr>
              <w:t>kilometru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toate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zborurile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efectuate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cursul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anului</w:t>
            </w:r>
            <w:proofErr w:type="spellEnd"/>
            <w:r w:rsidRPr="00DF1AB5">
              <w:rPr>
                <w:rFonts w:eastAsia="Arial Unicode MS"/>
                <w:color w:val="000000" w:themeColor="text1"/>
                <w:sz w:val="20"/>
                <w:szCs w:val="20"/>
                <w:shd w:val="clear" w:color="auto" w:fill="FFFFFF"/>
                <w:lang w:val="en-US"/>
              </w:rPr>
              <w:t xml:space="preserve"> care face </w:t>
            </w:r>
            <w:proofErr w:type="spellStart"/>
            <w:r w:rsidRPr="00DF1AB5">
              <w:rPr>
                <w:rFonts w:eastAsia="Arial Unicode MS"/>
                <w:color w:val="000000" w:themeColor="text1"/>
                <w:sz w:val="20"/>
                <w:szCs w:val="20"/>
                <w:shd w:val="clear" w:color="auto" w:fill="FFFFFF"/>
                <w:lang w:val="en-US"/>
              </w:rPr>
              <w:t>obiectul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raportului</w:t>
            </w:r>
            <w:proofErr w:type="spellEnd"/>
            <w:r w:rsidRPr="00DF1AB5">
              <w:rPr>
                <w:rFonts w:eastAsia="Arial Unicode MS"/>
                <w:color w:val="000000" w:themeColor="text1"/>
                <w:sz w:val="20"/>
                <w:szCs w:val="20"/>
                <w:shd w:val="clear" w:color="auto" w:fill="FFFFFF"/>
                <w:lang w:val="en-US"/>
              </w:rPr>
              <w:t xml:space="preserve"> și care se </w:t>
            </w:r>
            <w:proofErr w:type="spellStart"/>
            <w:r w:rsidRPr="00DF1AB5">
              <w:rPr>
                <w:rFonts w:eastAsia="Arial Unicode MS"/>
                <w:color w:val="000000" w:themeColor="text1"/>
                <w:sz w:val="20"/>
                <w:szCs w:val="20"/>
                <w:shd w:val="clear" w:color="auto" w:fill="FFFFFF"/>
                <w:lang w:val="en-US"/>
              </w:rPr>
              <w:t>încadrează</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categoria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activităților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aviație</w:t>
            </w:r>
            <w:proofErr w:type="spellEnd"/>
            <w:r w:rsidRPr="00DF1AB5">
              <w:rPr>
                <w:rFonts w:eastAsia="Arial Unicode MS"/>
                <w:color w:val="000000" w:themeColor="text1"/>
                <w:sz w:val="20"/>
                <w:szCs w:val="20"/>
                <w:shd w:val="clear" w:color="auto" w:fill="FFFFFF"/>
                <w:lang w:val="en-US"/>
              </w:rPr>
              <w:t xml:space="preserve"> enumerate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operatorul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aeronavei</w:t>
            </w:r>
            <w:proofErr w:type="spellEnd"/>
            <w:r w:rsidRPr="00DF1AB5">
              <w:rPr>
                <w:rFonts w:eastAsia="Arial Unicode MS"/>
                <w:color w:val="000000" w:themeColor="text1"/>
                <w:sz w:val="20"/>
                <w:szCs w:val="20"/>
                <w:shd w:val="clear" w:color="auto" w:fill="FFFFFF"/>
                <w:lang w:val="en-US"/>
              </w:rPr>
              <w:t>.</w:t>
            </w:r>
          </w:p>
          <w:p w14:paraId="2851AA56" w14:textId="77777777" w:rsidR="00124364" w:rsidRPr="00E34C2B" w:rsidRDefault="00000000">
            <w:pPr>
              <w:pStyle w:val="ti-art"/>
              <w:shd w:val="clear" w:color="auto" w:fill="FFFFFF"/>
              <w:tabs>
                <w:tab w:val="left" w:pos="2012"/>
              </w:tabs>
              <w:spacing w:before="0" w:beforeAutospacing="0" w:after="0" w:afterAutospacing="0"/>
              <w:rPr>
                <w:color w:val="4472C4" w:themeColor="accent1"/>
                <w:sz w:val="20"/>
                <w:szCs w:val="20"/>
                <w:lang w:val="en-US"/>
              </w:rPr>
            </w:pPr>
            <w:hyperlink r:id="rId400" w:tooltip="32023L0959: INSERTED" w:history="1">
              <w:r w:rsidRPr="00E34C2B">
                <w:rPr>
                  <w:rStyle w:val="af3"/>
                  <w:rFonts w:eastAsia="Arial Unicode MS"/>
                  <w:b/>
                  <w:bCs/>
                  <w:color w:val="4472C4" w:themeColor="accent1"/>
                  <w:sz w:val="20"/>
                  <w:szCs w:val="20"/>
                  <w:lang w:val="en-US"/>
                </w:rPr>
                <w:t>▼M15</w:t>
              </w:r>
            </w:hyperlink>
          </w:p>
          <w:p w14:paraId="600060BC"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b/>
                <w:bCs/>
                <w:color w:val="000000" w:themeColor="text1"/>
                <w:sz w:val="20"/>
                <w:szCs w:val="20"/>
                <w:shd w:val="clear" w:color="auto" w:fill="FFFFFF"/>
                <w:lang w:val="en-US"/>
              </w:rPr>
            </w:pPr>
            <w:r w:rsidRPr="00DF1AB5">
              <w:rPr>
                <w:rFonts w:eastAsia="Arial Unicode MS"/>
                <w:b/>
                <w:bCs/>
                <w:color w:val="000000" w:themeColor="text1"/>
                <w:sz w:val="20"/>
                <w:szCs w:val="20"/>
                <w:shd w:val="clear" w:color="auto" w:fill="FFFFFF"/>
                <w:lang w:val="en-US"/>
              </w:rPr>
              <w:t>PARTEA C</w:t>
            </w:r>
          </w:p>
          <w:p w14:paraId="098BEEAE"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DF1AB5">
              <w:rPr>
                <w:rFonts w:eastAsia="Arial Unicode MS"/>
                <w:b/>
                <w:bCs/>
                <w:color w:val="000000" w:themeColor="text1"/>
                <w:sz w:val="20"/>
                <w:szCs w:val="20"/>
                <w:shd w:val="clear" w:color="auto" w:fill="FFFFFF"/>
                <w:lang w:val="en-US"/>
              </w:rPr>
              <w:lastRenderedPageBreak/>
              <w:t>Monitorizarea</w:t>
            </w:r>
            <w:proofErr w:type="spellEnd"/>
            <w:r w:rsidRPr="00DF1AB5">
              <w:rPr>
                <w:rFonts w:eastAsia="Arial Unicode MS"/>
                <w:b/>
                <w:bCs/>
                <w:color w:val="000000" w:themeColor="text1"/>
                <w:sz w:val="20"/>
                <w:szCs w:val="20"/>
                <w:shd w:val="clear" w:color="auto" w:fill="FFFFFF"/>
                <w:lang w:val="en-US"/>
              </w:rPr>
              <w:t xml:space="preserve"> și </w:t>
            </w:r>
            <w:proofErr w:type="spellStart"/>
            <w:r w:rsidRPr="00DF1AB5">
              <w:rPr>
                <w:rFonts w:eastAsia="Arial Unicode MS"/>
                <w:b/>
                <w:bCs/>
                <w:color w:val="000000" w:themeColor="text1"/>
                <w:sz w:val="20"/>
                <w:szCs w:val="20"/>
                <w:shd w:val="clear" w:color="auto" w:fill="FFFFFF"/>
                <w:lang w:val="en-US"/>
              </w:rPr>
              <w:t>raportarea</w:t>
            </w:r>
            <w:proofErr w:type="spellEnd"/>
            <w:r w:rsidRPr="00DF1AB5">
              <w:rPr>
                <w:rFonts w:eastAsia="Arial Unicode MS"/>
                <w:b/>
                <w:bCs/>
                <w:color w:val="000000" w:themeColor="text1"/>
                <w:sz w:val="20"/>
                <w:szCs w:val="20"/>
                <w:shd w:val="clear" w:color="auto" w:fill="FFFFFF"/>
                <w:lang w:val="en-US"/>
              </w:rPr>
              <w:t xml:space="preserve"> </w:t>
            </w:r>
            <w:proofErr w:type="spellStart"/>
            <w:r w:rsidRPr="00DF1AB5">
              <w:rPr>
                <w:rFonts w:eastAsia="Arial Unicode MS"/>
                <w:b/>
                <w:bCs/>
                <w:color w:val="000000" w:themeColor="text1"/>
                <w:sz w:val="20"/>
                <w:szCs w:val="20"/>
                <w:shd w:val="clear" w:color="auto" w:fill="FFFFFF"/>
                <w:lang w:val="en-US"/>
              </w:rPr>
              <w:t>emisiilor</w:t>
            </w:r>
            <w:proofErr w:type="spellEnd"/>
            <w:r w:rsidRPr="00DF1AB5">
              <w:rPr>
                <w:rFonts w:eastAsia="Arial Unicode MS"/>
                <w:b/>
                <w:bCs/>
                <w:color w:val="000000" w:themeColor="text1"/>
                <w:sz w:val="20"/>
                <w:szCs w:val="20"/>
                <w:shd w:val="clear" w:color="auto" w:fill="FFFFFF"/>
                <w:lang w:val="en-US"/>
              </w:rPr>
              <w:t xml:space="preserve"> </w:t>
            </w:r>
            <w:proofErr w:type="spellStart"/>
            <w:r w:rsidRPr="00DF1AB5">
              <w:rPr>
                <w:rFonts w:eastAsia="Arial Unicode MS"/>
                <w:b/>
                <w:bCs/>
                <w:color w:val="000000" w:themeColor="text1"/>
                <w:sz w:val="20"/>
                <w:szCs w:val="20"/>
                <w:shd w:val="clear" w:color="auto" w:fill="FFFFFF"/>
                <w:lang w:val="en-US"/>
              </w:rPr>
              <w:t>corespunzătoare</w:t>
            </w:r>
            <w:proofErr w:type="spellEnd"/>
            <w:r w:rsidRPr="00DF1AB5">
              <w:rPr>
                <w:rFonts w:eastAsia="Arial Unicode MS"/>
                <w:b/>
                <w:bCs/>
                <w:color w:val="000000" w:themeColor="text1"/>
                <w:sz w:val="20"/>
                <w:szCs w:val="20"/>
                <w:shd w:val="clear" w:color="auto" w:fill="FFFFFF"/>
                <w:lang w:val="en-US"/>
              </w:rPr>
              <w:t xml:space="preserve"> </w:t>
            </w:r>
            <w:proofErr w:type="spellStart"/>
            <w:r w:rsidRPr="00DF1AB5">
              <w:rPr>
                <w:rFonts w:eastAsia="Arial Unicode MS"/>
                <w:b/>
                <w:bCs/>
                <w:color w:val="000000" w:themeColor="text1"/>
                <w:sz w:val="20"/>
                <w:szCs w:val="20"/>
                <w:shd w:val="clear" w:color="auto" w:fill="FFFFFF"/>
                <w:lang w:val="en-US"/>
              </w:rPr>
              <w:t>activității</w:t>
            </w:r>
            <w:proofErr w:type="spellEnd"/>
            <w:r w:rsidRPr="00DF1AB5">
              <w:rPr>
                <w:rFonts w:eastAsia="Arial Unicode MS"/>
                <w:b/>
                <w:bCs/>
                <w:color w:val="000000" w:themeColor="text1"/>
                <w:sz w:val="20"/>
                <w:szCs w:val="20"/>
                <w:shd w:val="clear" w:color="auto" w:fill="FFFFFF"/>
                <w:lang w:val="en-US"/>
              </w:rPr>
              <w:t xml:space="preserve"> </w:t>
            </w:r>
            <w:proofErr w:type="spellStart"/>
            <w:r w:rsidRPr="00DF1AB5">
              <w:rPr>
                <w:rFonts w:eastAsia="Arial Unicode MS"/>
                <w:b/>
                <w:bCs/>
                <w:color w:val="000000" w:themeColor="text1"/>
                <w:sz w:val="20"/>
                <w:szCs w:val="20"/>
                <w:shd w:val="clear" w:color="auto" w:fill="FFFFFF"/>
                <w:lang w:val="en-US"/>
              </w:rPr>
              <w:t>menționate</w:t>
            </w:r>
            <w:proofErr w:type="spellEnd"/>
            <w:r w:rsidRPr="00DF1AB5">
              <w:rPr>
                <w:rFonts w:eastAsia="Arial Unicode MS"/>
                <w:b/>
                <w:bCs/>
                <w:color w:val="000000" w:themeColor="text1"/>
                <w:sz w:val="20"/>
                <w:szCs w:val="20"/>
                <w:shd w:val="clear" w:color="auto" w:fill="FFFFFF"/>
                <w:lang w:val="en-US"/>
              </w:rPr>
              <w:t xml:space="preserve"> în </w:t>
            </w:r>
            <w:proofErr w:type="spellStart"/>
            <w:r w:rsidRPr="00DF1AB5">
              <w:rPr>
                <w:rFonts w:eastAsia="Arial Unicode MS"/>
                <w:b/>
                <w:bCs/>
                <w:color w:val="000000" w:themeColor="text1"/>
                <w:sz w:val="20"/>
                <w:szCs w:val="20"/>
                <w:shd w:val="clear" w:color="auto" w:fill="FFFFFF"/>
                <w:lang w:val="en-US"/>
              </w:rPr>
              <w:t>anexa</w:t>
            </w:r>
            <w:proofErr w:type="spellEnd"/>
            <w:r w:rsidRPr="00DF1AB5">
              <w:rPr>
                <w:rFonts w:eastAsia="Arial Unicode MS"/>
                <w:b/>
                <w:bCs/>
                <w:color w:val="000000" w:themeColor="text1"/>
                <w:sz w:val="20"/>
                <w:szCs w:val="20"/>
                <w:shd w:val="clear" w:color="auto" w:fill="FFFFFF"/>
                <w:lang w:val="en-US"/>
              </w:rPr>
              <w:t xml:space="preserve"> III</w:t>
            </w:r>
          </w:p>
          <w:p w14:paraId="58504FA4"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Monitorizarea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p>
          <w:p w14:paraId="1C0C3CE4"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monitorizate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calcul</w:t>
            </w:r>
            <w:proofErr w:type="spellEnd"/>
            <w:r w:rsidRPr="00DF1AB5">
              <w:rPr>
                <w:rFonts w:eastAsia="Arial Unicode MS"/>
                <w:color w:val="000000" w:themeColor="text1"/>
                <w:sz w:val="20"/>
                <w:szCs w:val="20"/>
                <w:shd w:val="clear" w:color="auto" w:fill="FFFFFF"/>
                <w:lang w:val="en-US"/>
              </w:rPr>
              <w:t>.</w:t>
            </w:r>
          </w:p>
          <w:p w14:paraId="1C88C967"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Calcul</w:t>
            </w:r>
            <w:proofErr w:type="spellEnd"/>
          </w:p>
          <w:p w14:paraId="46A32E56"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 xml:space="preserv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ajutorul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următoarei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formule</w:t>
            </w:r>
            <w:proofErr w:type="spellEnd"/>
            <w:r w:rsidRPr="00DF1AB5">
              <w:rPr>
                <w:rFonts w:eastAsia="Arial Unicode MS"/>
                <w:color w:val="000000" w:themeColor="text1"/>
                <w:sz w:val="20"/>
                <w:szCs w:val="20"/>
                <w:shd w:val="clear" w:color="auto" w:fill="FFFFFF"/>
                <w:lang w:val="en-US"/>
              </w:rPr>
              <w:t>:</w:t>
            </w:r>
          </w:p>
          <w:p w14:paraId="7D3582BD"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 factor de </w:t>
            </w:r>
            <w:proofErr w:type="spellStart"/>
            <w:r w:rsidRPr="00DF1AB5">
              <w:rPr>
                <w:rFonts w:eastAsia="Arial Unicode MS"/>
                <w:color w:val="000000" w:themeColor="text1"/>
                <w:sz w:val="20"/>
                <w:szCs w:val="20"/>
                <w:shd w:val="clear" w:color="auto" w:fill="FFFFFF"/>
                <w:lang w:val="en-US"/>
              </w:rPr>
              <w:t>emisie</w:t>
            </w:r>
            <w:proofErr w:type="spellEnd"/>
          </w:p>
          <w:p w14:paraId="08E58346"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Combustibilul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include </w:t>
            </w:r>
            <w:proofErr w:type="spellStart"/>
            <w:r w:rsidRPr="00DF1AB5">
              <w:rPr>
                <w:rFonts w:eastAsia="Arial Unicode MS"/>
                <w:color w:val="000000" w:themeColor="text1"/>
                <w:sz w:val="20"/>
                <w:szCs w:val="20"/>
                <w:shd w:val="clear" w:color="auto" w:fill="FFFFFF"/>
                <w:lang w:val="en-US"/>
              </w:rPr>
              <w:t>cantitatea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către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entitatea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reglementată</w:t>
            </w:r>
            <w:proofErr w:type="spellEnd"/>
            <w:r w:rsidRPr="00DF1AB5">
              <w:rPr>
                <w:rFonts w:eastAsia="Arial Unicode MS"/>
                <w:color w:val="000000" w:themeColor="text1"/>
                <w:sz w:val="20"/>
                <w:szCs w:val="20"/>
                <w:shd w:val="clear" w:color="auto" w:fill="FFFFFF"/>
                <w:lang w:val="en-US"/>
              </w:rPr>
              <w:t>.</w:t>
            </w:r>
          </w:p>
          <w:p w14:paraId="67E9DC95"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Se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standard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IPPC, </w:t>
            </w:r>
            <w:proofErr w:type="spellStart"/>
            <w:r w:rsidRPr="00DF1AB5">
              <w:rPr>
                <w:rFonts w:eastAsia="Arial Unicode MS"/>
                <w:color w:val="000000" w:themeColor="text1"/>
                <w:sz w:val="20"/>
                <w:szCs w:val="20"/>
                <w:shd w:val="clear" w:color="auto" w:fill="FFFFFF"/>
                <w:lang w:val="en-US"/>
              </w:rPr>
              <w:t>extrași</w:t>
            </w:r>
            <w:proofErr w:type="spellEnd"/>
            <w:r w:rsidRPr="00DF1AB5">
              <w:rPr>
                <w:rFonts w:eastAsia="Arial Unicode MS"/>
                <w:color w:val="000000" w:themeColor="text1"/>
                <w:sz w:val="20"/>
                <w:szCs w:val="20"/>
                <w:shd w:val="clear" w:color="auto" w:fill="FFFFFF"/>
                <w:lang w:val="en-US"/>
              </w:rPr>
              <w:t xml:space="preserve"> din </w:t>
            </w:r>
            <w:proofErr w:type="spellStart"/>
            <w:r w:rsidRPr="00DF1AB5">
              <w:rPr>
                <w:rFonts w:eastAsia="Arial Unicode MS"/>
                <w:color w:val="000000" w:themeColor="text1"/>
                <w:sz w:val="20"/>
                <w:szCs w:val="20"/>
                <w:shd w:val="clear" w:color="auto" w:fill="FFFFFF"/>
                <w:lang w:val="en-US"/>
              </w:rPr>
              <w:t>orientările</w:t>
            </w:r>
            <w:proofErr w:type="spellEnd"/>
            <w:r w:rsidRPr="00DF1AB5">
              <w:rPr>
                <w:rFonts w:eastAsia="Arial Unicode MS"/>
                <w:color w:val="000000" w:themeColor="text1"/>
                <w:sz w:val="20"/>
                <w:szCs w:val="20"/>
                <w:shd w:val="clear" w:color="auto" w:fill="FFFFFF"/>
                <w:lang w:val="en-US"/>
              </w:rPr>
              <w:t xml:space="preserve"> IPCC din 2006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inventarele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actualizările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ulterioare</w:t>
            </w:r>
            <w:proofErr w:type="spellEnd"/>
            <w:r w:rsidRPr="00DF1AB5">
              <w:rPr>
                <w:rFonts w:eastAsia="Arial Unicode MS"/>
                <w:color w:val="000000" w:themeColor="text1"/>
                <w:sz w:val="20"/>
                <w:szCs w:val="20"/>
                <w:shd w:val="clear" w:color="auto" w:fill="FFFFFF"/>
                <w:lang w:val="en-US"/>
              </w:rPr>
              <w:t xml:space="preserve"> ale </w:t>
            </w:r>
            <w:proofErr w:type="spellStart"/>
            <w:r w:rsidRPr="00DF1AB5">
              <w:rPr>
                <w:rFonts w:eastAsia="Arial Unicode MS"/>
                <w:color w:val="000000" w:themeColor="text1"/>
                <w:sz w:val="20"/>
                <w:szCs w:val="20"/>
                <w:shd w:val="clear" w:color="auto" w:fill="FFFFFF"/>
                <w:lang w:val="en-US"/>
              </w:rPr>
              <w:t>liniilor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directoare</w:t>
            </w:r>
            <w:proofErr w:type="spellEnd"/>
            <w:r w:rsidRPr="00DF1AB5">
              <w:rPr>
                <w:rFonts w:eastAsia="Arial Unicode MS"/>
                <w:color w:val="000000" w:themeColor="text1"/>
                <w:sz w:val="20"/>
                <w:szCs w:val="20"/>
                <w:shd w:val="clear" w:color="auto" w:fill="FFFFFF"/>
                <w:lang w:val="en-US"/>
              </w:rPr>
              <w:t xml:space="preserve"> respective, cu </w:t>
            </w:r>
            <w:proofErr w:type="spellStart"/>
            <w:r w:rsidRPr="00DF1AB5">
              <w:rPr>
                <w:rFonts w:eastAsia="Arial Unicode MS"/>
                <w:color w:val="000000" w:themeColor="text1"/>
                <w:sz w:val="20"/>
                <w:szCs w:val="20"/>
                <w:shd w:val="clear" w:color="auto" w:fill="FFFFFF"/>
                <w:lang w:val="en-US"/>
              </w:rPr>
              <w:t>excepția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cazului</w:t>
            </w:r>
            <w:proofErr w:type="spellEnd"/>
            <w:r w:rsidRPr="00DF1AB5">
              <w:rPr>
                <w:rFonts w:eastAsia="Arial Unicode MS"/>
                <w:color w:val="000000" w:themeColor="text1"/>
                <w:sz w:val="20"/>
                <w:szCs w:val="20"/>
                <w:shd w:val="clear" w:color="auto" w:fill="FFFFFF"/>
                <w:lang w:val="en-US"/>
              </w:rPr>
              <w:t xml:space="preserve"> în care </w:t>
            </w:r>
            <w:proofErr w:type="spellStart"/>
            <w:r w:rsidRPr="00DF1AB5">
              <w:rPr>
                <w:rFonts w:eastAsia="Arial Unicode MS"/>
                <w:color w:val="000000" w:themeColor="text1"/>
                <w:sz w:val="20"/>
                <w:szCs w:val="20"/>
                <w:shd w:val="clear" w:color="auto" w:fill="FFFFFF"/>
                <w:lang w:val="en-US"/>
              </w:rPr>
              <w:t>factorii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emisie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specifici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identificați</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laboratoare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acreditate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independente</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folosesc</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metode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analitice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acceptate</w:t>
            </w:r>
            <w:proofErr w:type="spellEnd"/>
            <w:r w:rsidRPr="00DF1AB5">
              <w:rPr>
                <w:rFonts w:eastAsia="Arial Unicode MS"/>
                <w:color w:val="000000" w:themeColor="text1"/>
                <w:sz w:val="20"/>
                <w:szCs w:val="20"/>
                <w:shd w:val="clear" w:color="auto" w:fill="FFFFFF"/>
                <w:lang w:val="en-US"/>
              </w:rPr>
              <w:t xml:space="preserve">, sunt </w:t>
            </w:r>
            <w:proofErr w:type="spellStart"/>
            <w:r w:rsidRPr="00DF1AB5">
              <w:rPr>
                <w:rFonts w:eastAsia="Arial Unicode MS"/>
                <w:color w:val="000000" w:themeColor="text1"/>
                <w:sz w:val="20"/>
                <w:szCs w:val="20"/>
                <w:shd w:val="clear" w:color="auto" w:fill="FFFFFF"/>
                <w:lang w:val="en-US"/>
              </w:rPr>
              <w:t>mai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exacți</w:t>
            </w:r>
            <w:proofErr w:type="spellEnd"/>
            <w:r w:rsidRPr="00DF1AB5">
              <w:rPr>
                <w:rFonts w:eastAsia="Arial Unicode MS"/>
                <w:color w:val="000000" w:themeColor="text1"/>
                <w:sz w:val="20"/>
                <w:szCs w:val="20"/>
                <w:shd w:val="clear" w:color="auto" w:fill="FFFFFF"/>
                <w:lang w:val="en-US"/>
              </w:rPr>
              <w:t>.</w:t>
            </w:r>
          </w:p>
          <w:p w14:paraId="11C03D43"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entitate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reglementată</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parte</w:t>
            </w:r>
            <w:proofErr w:type="spellEnd"/>
            <w:r w:rsidRPr="00DF1AB5">
              <w:rPr>
                <w:rFonts w:eastAsia="Arial Unicode MS"/>
                <w:color w:val="000000" w:themeColor="text1"/>
                <w:sz w:val="20"/>
                <w:szCs w:val="20"/>
                <w:shd w:val="clear" w:color="auto" w:fill="FFFFFF"/>
                <w:lang w:val="en-US"/>
              </w:rPr>
              <w:t xml:space="preserve"> se efectuează un </w:t>
            </w:r>
            <w:proofErr w:type="spellStart"/>
            <w:r w:rsidRPr="00DF1AB5">
              <w:rPr>
                <w:rFonts w:eastAsia="Arial Unicode MS"/>
                <w:color w:val="000000" w:themeColor="text1"/>
                <w:sz w:val="20"/>
                <w:szCs w:val="20"/>
                <w:shd w:val="clear" w:color="auto" w:fill="FFFFFF"/>
                <w:lang w:val="en-US"/>
              </w:rPr>
              <w:t>calcul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separat</w:t>
            </w:r>
            <w:proofErr w:type="spellEnd"/>
            <w:r w:rsidRPr="00DF1AB5">
              <w:rPr>
                <w:rFonts w:eastAsia="Arial Unicode MS"/>
                <w:color w:val="000000" w:themeColor="text1"/>
                <w:sz w:val="20"/>
                <w:szCs w:val="20"/>
                <w:shd w:val="clear" w:color="auto" w:fill="FFFFFF"/>
                <w:lang w:val="en-US"/>
              </w:rPr>
              <w:t>.</w:t>
            </w:r>
          </w:p>
          <w:p w14:paraId="16FAF3DB"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Raportarea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emisiilor</w:t>
            </w:r>
            <w:proofErr w:type="spellEnd"/>
          </w:p>
          <w:p w14:paraId="3469DB19"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entitate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reglementată</w:t>
            </w:r>
            <w:proofErr w:type="spellEnd"/>
            <w:r w:rsidRPr="00DF1AB5">
              <w:rPr>
                <w:rFonts w:eastAsia="Arial Unicode MS"/>
                <w:color w:val="000000" w:themeColor="text1"/>
                <w:sz w:val="20"/>
                <w:szCs w:val="20"/>
                <w:shd w:val="clear" w:color="auto" w:fill="FFFFFF"/>
                <w:lang w:val="en-US"/>
              </w:rPr>
              <w:t xml:space="preserve"> include în </w:t>
            </w:r>
            <w:proofErr w:type="spellStart"/>
            <w:r w:rsidRPr="00DF1AB5">
              <w:rPr>
                <w:rFonts w:eastAsia="Arial Unicode MS"/>
                <w:color w:val="000000" w:themeColor="text1"/>
                <w:sz w:val="20"/>
                <w:szCs w:val="20"/>
                <w:shd w:val="clear" w:color="auto" w:fill="FFFFFF"/>
                <w:lang w:val="en-US"/>
              </w:rPr>
              <w:t>raportul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său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următoarele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informații</w:t>
            </w:r>
            <w:proofErr w:type="spellEnd"/>
            <w:r w:rsidRPr="00DF1AB5">
              <w:rPr>
                <w:rFonts w:eastAsia="Arial Unicode MS"/>
                <w:color w:val="000000" w:themeColor="text1"/>
                <w:sz w:val="20"/>
                <w:szCs w:val="20"/>
                <w:shd w:val="clear" w:color="auto" w:fill="FFFFFF"/>
                <w:lang w:val="en-US"/>
              </w:rPr>
              <w:t>:</w:t>
            </w:r>
          </w:p>
          <w:p w14:paraId="5C070CF2" w14:textId="77777777" w:rsidR="00124364" w:rsidRPr="00DF1AB5" w:rsidRDefault="00000000" w:rsidP="00DF1AB5">
            <w:pPr>
              <w:pStyle w:val="ti-art"/>
              <w:numPr>
                <w:ilvl w:val="0"/>
                <w:numId w:val="186"/>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r w:rsidRPr="00DF1AB5">
              <w:rPr>
                <w:rFonts w:eastAsia="Arial Unicode MS"/>
                <w:color w:val="000000" w:themeColor="text1"/>
                <w:sz w:val="20"/>
                <w:szCs w:val="20"/>
                <w:shd w:val="clear" w:color="auto" w:fill="FFFFFF"/>
                <w:lang w:val="en-US"/>
              </w:rPr>
              <w:t xml:space="preserve">Date de </w:t>
            </w:r>
            <w:proofErr w:type="spellStart"/>
            <w:r w:rsidRPr="00DF1AB5">
              <w:rPr>
                <w:rFonts w:eastAsia="Arial Unicode MS"/>
                <w:color w:val="000000" w:themeColor="text1"/>
                <w:sz w:val="20"/>
                <w:szCs w:val="20"/>
                <w:shd w:val="clear" w:color="auto" w:fill="FFFFFF"/>
                <w:lang w:val="en-US"/>
              </w:rPr>
              <w:t>identificare</w:t>
            </w:r>
            <w:proofErr w:type="spellEnd"/>
            <w:r w:rsidRPr="00DF1AB5">
              <w:rPr>
                <w:rFonts w:eastAsia="Arial Unicode MS"/>
                <w:color w:val="000000" w:themeColor="text1"/>
                <w:sz w:val="20"/>
                <w:szCs w:val="20"/>
                <w:shd w:val="clear" w:color="auto" w:fill="FFFFFF"/>
                <w:lang w:val="en-US"/>
              </w:rPr>
              <w:t xml:space="preserve"> </w:t>
            </w:r>
            <w:proofErr w:type="gramStart"/>
            <w:r w:rsidRPr="00DF1AB5">
              <w:rPr>
                <w:rFonts w:eastAsia="Arial Unicode MS"/>
                <w:color w:val="000000" w:themeColor="text1"/>
                <w:sz w:val="20"/>
                <w:szCs w:val="20"/>
                <w:shd w:val="clear" w:color="auto" w:fill="FFFFFF"/>
                <w:lang w:val="en-US"/>
              </w:rPr>
              <w:t>a</w:t>
            </w:r>
            <w:proofErr w:type="gram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entității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reglementate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w:t>
            </w:r>
          </w:p>
          <w:p w14:paraId="158888F7" w14:textId="77777777" w:rsidR="00124364" w:rsidRPr="00DF1AB5" w:rsidRDefault="00000000" w:rsidP="00DF1AB5">
            <w:pPr>
              <w:pStyle w:val="ti-art"/>
              <w:numPr>
                <w:ilvl w:val="0"/>
                <w:numId w:val="187"/>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denumirea</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entității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reglementate</w:t>
            </w:r>
            <w:proofErr w:type="spellEnd"/>
            <w:r w:rsidRPr="00DF1AB5">
              <w:rPr>
                <w:rFonts w:eastAsia="Arial Unicode MS"/>
                <w:color w:val="000000" w:themeColor="text1"/>
                <w:sz w:val="20"/>
                <w:szCs w:val="20"/>
                <w:shd w:val="clear" w:color="auto" w:fill="FFFFFF"/>
              </w:rPr>
              <w:t>;</w:t>
            </w:r>
          </w:p>
          <w:p w14:paraId="31FB3888" w14:textId="77777777" w:rsidR="00124364" w:rsidRPr="00DF1AB5" w:rsidRDefault="00000000" w:rsidP="00DF1AB5">
            <w:pPr>
              <w:pStyle w:val="ti-art"/>
              <w:numPr>
                <w:ilvl w:val="0"/>
                <w:numId w:val="187"/>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acesteia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codul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poștal</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țara</w:t>
            </w:r>
            <w:proofErr w:type="spellEnd"/>
            <w:r w:rsidRPr="00DF1AB5">
              <w:rPr>
                <w:rFonts w:eastAsia="Arial Unicode MS"/>
                <w:color w:val="000000" w:themeColor="text1"/>
                <w:sz w:val="20"/>
                <w:szCs w:val="20"/>
                <w:shd w:val="clear" w:color="auto" w:fill="FFFFFF"/>
                <w:lang w:val="en-US"/>
              </w:rPr>
              <w:t>;</w:t>
            </w:r>
          </w:p>
          <w:p w14:paraId="0DB49A38" w14:textId="77777777" w:rsidR="00124364" w:rsidRPr="00DF1AB5" w:rsidRDefault="00000000" w:rsidP="00DF1AB5">
            <w:pPr>
              <w:pStyle w:val="ti-art"/>
              <w:numPr>
                <w:ilvl w:val="0"/>
                <w:numId w:val="187"/>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tipul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eliberați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și </w:t>
            </w:r>
            <w:proofErr w:type="spellStart"/>
            <w:r w:rsidRPr="00DF1AB5">
              <w:rPr>
                <w:rFonts w:eastAsia="Arial Unicode MS"/>
                <w:color w:val="000000" w:themeColor="text1"/>
                <w:sz w:val="20"/>
                <w:szCs w:val="20"/>
                <w:shd w:val="clear" w:color="auto" w:fill="FFFFFF"/>
                <w:lang w:val="en-US"/>
              </w:rPr>
              <w:t>activitățile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prin</w:t>
            </w:r>
            <w:proofErr w:type="spellEnd"/>
            <w:r w:rsidRPr="00DF1AB5">
              <w:rPr>
                <w:rFonts w:eastAsia="Arial Unicode MS"/>
                <w:color w:val="000000" w:themeColor="text1"/>
                <w:sz w:val="20"/>
                <w:szCs w:val="20"/>
                <w:shd w:val="clear" w:color="auto" w:fill="FFFFFF"/>
                <w:lang w:val="en-US"/>
              </w:rPr>
              <w:t xml:space="preserve"> care </w:t>
            </w:r>
            <w:proofErr w:type="spellStart"/>
            <w:r w:rsidRPr="00DF1AB5">
              <w:rPr>
                <w:rFonts w:eastAsia="Arial Unicode MS"/>
                <w:color w:val="000000" w:themeColor="text1"/>
                <w:sz w:val="20"/>
                <w:szCs w:val="20"/>
                <w:shd w:val="clear" w:color="auto" w:fill="FFFFFF"/>
                <w:lang w:val="en-US"/>
              </w:rPr>
              <w:t>eliberează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combustibilii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inclusiv</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tehnologia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utilizată</w:t>
            </w:r>
            <w:proofErr w:type="spellEnd"/>
            <w:r w:rsidRPr="00DF1AB5">
              <w:rPr>
                <w:rFonts w:eastAsia="Arial Unicode MS"/>
                <w:color w:val="000000" w:themeColor="text1"/>
                <w:sz w:val="20"/>
                <w:szCs w:val="20"/>
                <w:shd w:val="clear" w:color="auto" w:fill="FFFFFF"/>
                <w:lang w:val="en-US"/>
              </w:rPr>
              <w:t>;</w:t>
            </w:r>
          </w:p>
          <w:p w14:paraId="648CFD88" w14:textId="77777777" w:rsidR="00124364" w:rsidRPr="00DF1AB5" w:rsidRDefault="00000000" w:rsidP="00DF1AB5">
            <w:pPr>
              <w:pStyle w:val="ti-art"/>
              <w:numPr>
                <w:ilvl w:val="0"/>
                <w:numId w:val="187"/>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telefon</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numărul</w:t>
            </w:r>
            <w:proofErr w:type="spellEnd"/>
            <w:r w:rsidRPr="00DF1AB5">
              <w:rPr>
                <w:rFonts w:eastAsia="Arial Unicode MS"/>
                <w:color w:val="000000" w:themeColor="text1"/>
                <w:sz w:val="20"/>
                <w:szCs w:val="20"/>
                <w:shd w:val="clear" w:color="auto" w:fill="FFFFFF"/>
                <w:lang w:val="en-US"/>
              </w:rPr>
              <w:t xml:space="preserve"> de fax și </w:t>
            </w:r>
            <w:proofErr w:type="spellStart"/>
            <w:r w:rsidRPr="00DF1AB5">
              <w:rPr>
                <w:rFonts w:eastAsia="Arial Unicode MS"/>
                <w:color w:val="000000" w:themeColor="text1"/>
                <w:sz w:val="20"/>
                <w:szCs w:val="20"/>
                <w:shd w:val="clear" w:color="auto" w:fill="FFFFFF"/>
                <w:lang w:val="en-US"/>
              </w:rPr>
              <w:t>adresa</w:t>
            </w:r>
            <w:proofErr w:type="spellEnd"/>
            <w:r w:rsidRPr="00DF1AB5">
              <w:rPr>
                <w:rFonts w:eastAsia="Arial Unicode MS"/>
                <w:color w:val="000000" w:themeColor="text1"/>
                <w:sz w:val="20"/>
                <w:szCs w:val="20"/>
                <w:shd w:val="clear" w:color="auto" w:fill="FFFFFF"/>
                <w:lang w:val="en-US"/>
              </w:rPr>
              <w:t xml:space="preserve"> de e-mail ale </w:t>
            </w:r>
            <w:proofErr w:type="spellStart"/>
            <w:r w:rsidRPr="00DF1AB5">
              <w:rPr>
                <w:rFonts w:eastAsia="Arial Unicode MS"/>
                <w:color w:val="000000" w:themeColor="text1"/>
                <w:sz w:val="20"/>
                <w:szCs w:val="20"/>
                <w:shd w:val="clear" w:color="auto" w:fill="FFFFFF"/>
                <w:lang w:val="en-US"/>
              </w:rPr>
              <w:t>unei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persoane</w:t>
            </w:r>
            <w:proofErr w:type="spellEnd"/>
            <w:r w:rsidRPr="00DF1AB5">
              <w:rPr>
                <w:rFonts w:eastAsia="Arial Unicode MS"/>
                <w:color w:val="000000" w:themeColor="text1"/>
                <w:sz w:val="20"/>
                <w:szCs w:val="20"/>
                <w:shd w:val="clear" w:color="auto" w:fill="FFFFFF"/>
                <w:lang w:val="en-US"/>
              </w:rPr>
              <w:t xml:space="preserve"> de contact; și</w:t>
            </w:r>
          </w:p>
          <w:p w14:paraId="0FE7242C" w14:textId="77777777" w:rsidR="00124364" w:rsidRPr="00DF1AB5" w:rsidRDefault="00000000" w:rsidP="00DF1AB5">
            <w:pPr>
              <w:pStyle w:val="ti-art"/>
              <w:numPr>
                <w:ilvl w:val="0"/>
                <w:numId w:val="187"/>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numele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proprietarului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entității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reglementate</w:t>
            </w:r>
            <w:proofErr w:type="spellEnd"/>
            <w:r w:rsidRPr="00DF1AB5">
              <w:rPr>
                <w:rFonts w:eastAsia="Arial Unicode MS"/>
                <w:color w:val="000000" w:themeColor="text1"/>
                <w:sz w:val="20"/>
                <w:szCs w:val="20"/>
                <w:shd w:val="clear" w:color="auto" w:fill="FFFFFF"/>
                <w:lang w:val="en-US"/>
              </w:rPr>
              <w:t xml:space="preserve"> și al </w:t>
            </w:r>
            <w:proofErr w:type="spellStart"/>
            <w:r w:rsidRPr="00DF1AB5">
              <w:rPr>
                <w:rFonts w:eastAsia="Arial Unicode MS"/>
                <w:color w:val="000000" w:themeColor="text1"/>
                <w:sz w:val="20"/>
                <w:szCs w:val="20"/>
                <w:shd w:val="clear" w:color="auto" w:fill="FFFFFF"/>
                <w:lang w:val="en-US"/>
              </w:rPr>
              <w:t>societății-mamă</w:t>
            </w:r>
            <w:proofErr w:type="spellEnd"/>
            <w:r w:rsidRPr="00DF1AB5">
              <w:rPr>
                <w:rFonts w:eastAsia="Arial Unicode MS"/>
                <w:color w:val="000000" w:themeColor="text1"/>
                <w:sz w:val="20"/>
                <w:szCs w:val="20"/>
                <w:shd w:val="clear" w:color="auto" w:fill="FFFFFF"/>
                <w:lang w:val="en-US"/>
              </w:rPr>
              <w:t>.</w:t>
            </w:r>
          </w:p>
          <w:p w14:paraId="316376B0" w14:textId="77777777" w:rsidR="00124364" w:rsidRPr="00DF1AB5" w:rsidRDefault="00000000" w:rsidP="00DF1AB5">
            <w:pPr>
              <w:pStyle w:val="ti-art"/>
              <w:numPr>
                <w:ilvl w:val="0"/>
                <w:numId w:val="186"/>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fiecare</w:t>
            </w:r>
            <w:proofErr w:type="spellEnd"/>
            <w:r w:rsidRPr="00DF1AB5">
              <w:rPr>
                <w:rFonts w:eastAsia="Arial Unicode MS"/>
                <w:color w:val="000000" w:themeColor="text1"/>
                <w:sz w:val="20"/>
                <w:szCs w:val="20"/>
                <w:shd w:val="clear" w:color="auto" w:fill="FFFFFF"/>
                <w:lang w:val="en-US"/>
              </w:rPr>
              <w:t xml:space="preserve"> tip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xml:space="preserve"> și care </w:t>
            </w:r>
            <w:proofErr w:type="spellStart"/>
            <w:r w:rsidRPr="00DF1AB5">
              <w:rPr>
                <w:rFonts w:eastAsia="Arial Unicode MS"/>
                <w:color w:val="000000" w:themeColor="text1"/>
                <w:sz w:val="20"/>
                <w:szCs w:val="20"/>
                <w:shd w:val="clear" w:color="auto" w:fill="FFFFFF"/>
                <w:lang w:val="en-US"/>
              </w:rPr>
              <w:t>este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ardere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sectoarele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menționate</w:t>
            </w:r>
            <w:proofErr w:type="spellEnd"/>
            <w:r w:rsidRPr="00DF1AB5">
              <w:rPr>
                <w:rFonts w:eastAsia="Arial Unicode MS"/>
                <w:color w:val="000000" w:themeColor="text1"/>
                <w:sz w:val="20"/>
                <w:szCs w:val="20"/>
                <w:shd w:val="clear" w:color="auto" w:fill="FFFFFF"/>
                <w:lang w:val="en-US"/>
              </w:rPr>
              <w:t xml:space="preserve"> în </w:t>
            </w:r>
            <w:proofErr w:type="spellStart"/>
            <w:r w:rsidRPr="00DF1AB5">
              <w:rPr>
                <w:rFonts w:eastAsia="Arial Unicode MS"/>
                <w:color w:val="000000" w:themeColor="text1"/>
                <w:sz w:val="20"/>
                <w:szCs w:val="20"/>
                <w:shd w:val="clear" w:color="auto" w:fill="FFFFFF"/>
                <w:lang w:val="en-US"/>
              </w:rPr>
              <w:t>anexa</w:t>
            </w:r>
            <w:proofErr w:type="spellEnd"/>
            <w:r w:rsidRPr="00DF1AB5">
              <w:rPr>
                <w:rFonts w:eastAsia="Arial Unicode MS"/>
                <w:color w:val="000000" w:themeColor="text1"/>
                <w:sz w:val="20"/>
                <w:szCs w:val="20"/>
                <w:shd w:val="clear" w:color="auto" w:fill="FFFFFF"/>
                <w:lang w:val="en-US"/>
              </w:rPr>
              <w:t xml:space="preserve"> III,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care se </w:t>
            </w:r>
            <w:proofErr w:type="spellStart"/>
            <w:r w:rsidRPr="00DF1AB5">
              <w:rPr>
                <w:rFonts w:eastAsia="Arial Unicode MS"/>
                <w:color w:val="000000" w:themeColor="text1"/>
                <w:sz w:val="20"/>
                <w:szCs w:val="20"/>
                <w:shd w:val="clear" w:color="auto" w:fill="FFFFFF"/>
                <w:lang w:val="en-US"/>
              </w:rPr>
              <w:t>calculează</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emisiile</w:t>
            </w:r>
            <w:proofErr w:type="spellEnd"/>
            <w:r w:rsidRPr="00DF1AB5">
              <w:rPr>
                <w:rFonts w:eastAsia="Arial Unicode MS"/>
                <w:color w:val="000000" w:themeColor="text1"/>
                <w:sz w:val="20"/>
                <w:szCs w:val="20"/>
                <w:shd w:val="clear" w:color="auto" w:fill="FFFFFF"/>
                <w:lang w:val="en-US"/>
              </w:rPr>
              <w:t>:</w:t>
            </w:r>
          </w:p>
          <w:p w14:paraId="4FCD1B73" w14:textId="77777777" w:rsidR="00124364" w:rsidRPr="00DF1AB5" w:rsidRDefault="00000000" w:rsidP="00DF1AB5">
            <w:pPr>
              <w:pStyle w:val="ti-art"/>
              <w:numPr>
                <w:ilvl w:val="0"/>
                <w:numId w:val="188"/>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cantitatea</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combustibil</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w:t>
            </w:r>
          </w:p>
          <w:p w14:paraId="0AA2D8A2" w14:textId="77777777" w:rsidR="00124364" w:rsidRPr="00DF1AB5" w:rsidRDefault="00000000" w:rsidP="00DF1AB5">
            <w:pPr>
              <w:pStyle w:val="ti-art"/>
              <w:numPr>
                <w:ilvl w:val="0"/>
                <w:numId w:val="188"/>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factorii</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emisie</w:t>
            </w:r>
            <w:proofErr w:type="spellEnd"/>
            <w:r w:rsidRPr="00DF1AB5">
              <w:rPr>
                <w:rFonts w:eastAsia="Arial Unicode MS"/>
                <w:color w:val="000000" w:themeColor="text1"/>
                <w:sz w:val="20"/>
                <w:szCs w:val="20"/>
                <w:shd w:val="clear" w:color="auto" w:fill="FFFFFF"/>
              </w:rPr>
              <w:t>;</w:t>
            </w:r>
          </w:p>
          <w:p w14:paraId="245D67C4" w14:textId="77777777" w:rsidR="00124364" w:rsidRPr="00DF1AB5" w:rsidRDefault="00000000" w:rsidP="00DF1AB5">
            <w:pPr>
              <w:pStyle w:val="ti-art"/>
              <w:numPr>
                <w:ilvl w:val="0"/>
                <w:numId w:val="188"/>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emisiile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totale</w:t>
            </w:r>
            <w:proofErr w:type="spellEnd"/>
            <w:r w:rsidRPr="00DF1AB5">
              <w:rPr>
                <w:rFonts w:eastAsia="Arial Unicode MS"/>
                <w:color w:val="000000" w:themeColor="text1"/>
                <w:sz w:val="20"/>
                <w:szCs w:val="20"/>
                <w:shd w:val="clear" w:color="auto" w:fill="FFFFFF"/>
              </w:rPr>
              <w:t>;</w:t>
            </w:r>
          </w:p>
          <w:p w14:paraId="2E62846C" w14:textId="77777777" w:rsidR="00124364" w:rsidRPr="00DF1AB5" w:rsidRDefault="00000000" w:rsidP="00DF1AB5">
            <w:pPr>
              <w:pStyle w:val="ti-art"/>
              <w:numPr>
                <w:ilvl w:val="0"/>
                <w:numId w:val="188"/>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t>utilizarea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utilizările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finală</w:t>
            </w:r>
            <w:proofErr w:type="spellEnd"/>
            <w:r w:rsidRPr="00DF1AB5">
              <w:rPr>
                <w:rFonts w:eastAsia="Arial Unicode MS"/>
                <w:color w:val="000000" w:themeColor="text1"/>
                <w:sz w:val="20"/>
                <w:szCs w:val="20"/>
                <w:shd w:val="clear" w:color="auto" w:fill="FFFFFF"/>
                <w:lang w:val="en-US"/>
              </w:rPr>
              <w:t xml:space="preserve"> (finale) a (ale) </w:t>
            </w:r>
            <w:proofErr w:type="spellStart"/>
            <w:r w:rsidRPr="00DF1AB5">
              <w:rPr>
                <w:rFonts w:eastAsia="Arial Unicode MS"/>
                <w:color w:val="000000" w:themeColor="text1"/>
                <w:sz w:val="20"/>
                <w:szCs w:val="20"/>
                <w:shd w:val="clear" w:color="auto" w:fill="FFFFFF"/>
                <w:lang w:val="en-US"/>
              </w:rPr>
              <w:t>combustibilului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eliberat</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consum</w:t>
            </w:r>
            <w:proofErr w:type="spellEnd"/>
            <w:r w:rsidRPr="00DF1AB5">
              <w:rPr>
                <w:rFonts w:eastAsia="Arial Unicode MS"/>
                <w:color w:val="000000" w:themeColor="text1"/>
                <w:sz w:val="20"/>
                <w:szCs w:val="20"/>
                <w:shd w:val="clear" w:color="auto" w:fill="FFFFFF"/>
                <w:lang w:val="en-US"/>
              </w:rPr>
              <w:t>; și</w:t>
            </w:r>
          </w:p>
          <w:p w14:paraId="147F023F" w14:textId="77777777" w:rsidR="00124364" w:rsidRPr="00DF1AB5" w:rsidRDefault="00000000" w:rsidP="00DF1AB5">
            <w:pPr>
              <w:pStyle w:val="ti-art"/>
              <w:numPr>
                <w:ilvl w:val="0"/>
                <w:numId w:val="188"/>
              </w:numPr>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rPr>
              <w:t>gradul</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de</w:t>
            </w:r>
            <w:proofErr w:type="spellEnd"/>
            <w:r w:rsidRPr="00DF1AB5">
              <w:rPr>
                <w:rFonts w:eastAsia="Arial Unicode MS"/>
                <w:color w:val="000000" w:themeColor="text1"/>
                <w:sz w:val="20"/>
                <w:szCs w:val="20"/>
                <w:shd w:val="clear" w:color="auto" w:fill="FFFFFF"/>
              </w:rPr>
              <w:t xml:space="preserve"> </w:t>
            </w:r>
            <w:proofErr w:type="spellStart"/>
            <w:r w:rsidRPr="00DF1AB5">
              <w:rPr>
                <w:rFonts w:eastAsia="Arial Unicode MS"/>
                <w:color w:val="000000" w:themeColor="text1"/>
                <w:sz w:val="20"/>
                <w:szCs w:val="20"/>
                <w:shd w:val="clear" w:color="auto" w:fill="FFFFFF"/>
              </w:rPr>
              <w:t>incertitudine</w:t>
            </w:r>
            <w:proofErr w:type="spellEnd"/>
            <w:r w:rsidRPr="00DF1AB5">
              <w:rPr>
                <w:rFonts w:eastAsia="Arial Unicode MS"/>
                <w:color w:val="000000" w:themeColor="text1"/>
                <w:sz w:val="20"/>
                <w:szCs w:val="20"/>
                <w:shd w:val="clear" w:color="auto" w:fill="FFFFFF"/>
              </w:rPr>
              <w:t>.</w:t>
            </w:r>
          </w:p>
          <w:p w14:paraId="6785EAA6" w14:textId="77777777" w:rsidR="00124364" w:rsidRPr="00DF1AB5" w:rsidRDefault="00000000" w:rsidP="00DF1AB5">
            <w:pPr>
              <w:pStyle w:val="ti-art"/>
              <w:shd w:val="clear" w:color="auto" w:fill="FFFFFF"/>
              <w:tabs>
                <w:tab w:val="left" w:pos="2012"/>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DF1AB5">
              <w:rPr>
                <w:rFonts w:eastAsia="Arial Unicode MS"/>
                <w:color w:val="000000" w:themeColor="text1"/>
                <w:sz w:val="20"/>
                <w:szCs w:val="20"/>
                <w:shd w:val="clear" w:color="auto" w:fill="FFFFFF"/>
                <w:lang w:val="en-US"/>
              </w:rPr>
              <w:lastRenderedPageBreak/>
              <w:t>Statele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membre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iau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măsuri</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coordonarea</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cerințelor</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raportare</w:t>
            </w:r>
            <w:proofErr w:type="spellEnd"/>
            <w:r w:rsidRPr="00DF1AB5">
              <w:rPr>
                <w:rFonts w:eastAsia="Arial Unicode MS"/>
                <w:color w:val="000000" w:themeColor="text1"/>
                <w:sz w:val="20"/>
                <w:szCs w:val="20"/>
                <w:shd w:val="clear" w:color="auto" w:fill="FFFFFF"/>
                <w:lang w:val="en-US"/>
              </w:rPr>
              <w:t xml:space="preserve"> cu </w:t>
            </w:r>
            <w:proofErr w:type="spellStart"/>
            <w:r w:rsidRPr="00DF1AB5">
              <w:rPr>
                <w:rFonts w:eastAsia="Arial Unicode MS"/>
                <w:color w:val="000000" w:themeColor="text1"/>
                <w:sz w:val="20"/>
                <w:szCs w:val="20"/>
                <w:shd w:val="clear" w:color="auto" w:fill="FFFFFF"/>
                <w:lang w:val="en-US"/>
              </w:rPr>
              <w:t>orice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alte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cerințe</w:t>
            </w:r>
            <w:proofErr w:type="spellEnd"/>
            <w:r w:rsidRPr="00DF1AB5">
              <w:rPr>
                <w:rFonts w:eastAsia="Arial Unicode MS"/>
                <w:color w:val="000000" w:themeColor="text1"/>
                <w:sz w:val="20"/>
                <w:szCs w:val="20"/>
                <w:shd w:val="clear" w:color="auto" w:fill="FFFFFF"/>
                <w:lang w:val="en-US"/>
              </w:rPr>
              <w:t xml:space="preserve"> de </w:t>
            </w:r>
            <w:proofErr w:type="spellStart"/>
            <w:r w:rsidRPr="00DF1AB5">
              <w:rPr>
                <w:rFonts w:eastAsia="Arial Unicode MS"/>
                <w:color w:val="000000" w:themeColor="text1"/>
                <w:sz w:val="20"/>
                <w:szCs w:val="20"/>
                <w:shd w:val="clear" w:color="auto" w:fill="FFFFFF"/>
                <w:lang w:val="en-US"/>
              </w:rPr>
              <w:t>raportare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existente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pentru</w:t>
            </w:r>
            <w:proofErr w:type="spellEnd"/>
            <w:r w:rsidRPr="00DF1AB5">
              <w:rPr>
                <w:rFonts w:eastAsia="Arial Unicode MS"/>
                <w:color w:val="000000" w:themeColor="text1"/>
                <w:sz w:val="20"/>
                <w:szCs w:val="20"/>
                <w:shd w:val="clear" w:color="auto" w:fill="FFFFFF"/>
                <w:lang w:val="en-US"/>
              </w:rPr>
              <w:t xml:space="preserve"> a reduce la minimum </w:t>
            </w:r>
            <w:proofErr w:type="spellStart"/>
            <w:r w:rsidRPr="00DF1AB5">
              <w:rPr>
                <w:rFonts w:eastAsia="Arial Unicode MS"/>
                <w:color w:val="000000" w:themeColor="text1"/>
                <w:sz w:val="20"/>
                <w:szCs w:val="20"/>
                <w:shd w:val="clear" w:color="auto" w:fill="FFFFFF"/>
                <w:lang w:val="en-US"/>
              </w:rPr>
              <w:t>sarcinile</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societăților</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privind</w:t>
            </w:r>
            <w:proofErr w:type="spellEnd"/>
            <w:r w:rsidRPr="00DF1AB5">
              <w:rPr>
                <w:rFonts w:eastAsia="Arial Unicode MS"/>
                <w:color w:val="000000" w:themeColor="text1"/>
                <w:sz w:val="20"/>
                <w:szCs w:val="20"/>
                <w:shd w:val="clear" w:color="auto" w:fill="FFFFFF"/>
                <w:lang w:val="en-US"/>
              </w:rPr>
              <w:t xml:space="preserve"> </w:t>
            </w:r>
            <w:proofErr w:type="spellStart"/>
            <w:r w:rsidRPr="00DF1AB5">
              <w:rPr>
                <w:rFonts w:eastAsia="Arial Unicode MS"/>
                <w:color w:val="000000" w:themeColor="text1"/>
                <w:sz w:val="20"/>
                <w:szCs w:val="20"/>
                <w:shd w:val="clear" w:color="auto" w:fill="FFFFFF"/>
                <w:lang w:val="en-US"/>
              </w:rPr>
              <w:t>raportarea</w:t>
            </w:r>
            <w:proofErr w:type="spellEnd"/>
            <w:r w:rsidRPr="00DF1AB5">
              <w:rPr>
                <w:rFonts w:eastAsia="Arial Unicode MS"/>
                <w:color w:val="000000" w:themeColor="text1"/>
                <w:sz w:val="20"/>
                <w:szCs w:val="20"/>
                <w:shd w:val="clear" w:color="auto" w:fill="FFFFFF"/>
                <w:lang w:val="en-US"/>
              </w:rPr>
              <w:t>.</w:t>
            </w:r>
          </w:p>
          <w:p w14:paraId="1787D240" w14:textId="77777777" w:rsidR="00124364" w:rsidRDefault="00000000">
            <w:pPr>
              <w:pStyle w:val="ti-art"/>
              <w:shd w:val="clear" w:color="auto" w:fill="FFFFFF"/>
              <w:tabs>
                <w:tab w:val="left" w:pos="2012"/>
              </w:tabs>
              <w:spacing w:before="0" w:beforeAutospacing="0" w:after="0" w:afterAutospacing="0"/>
              <w:rPr>
                <w:rFonts w:eastAsia="Arial Unicode MS"/>
                <w:color w:val="4472C4" w:themeColor="accent1"/>
                <w:sz w:val="20"/>
                <w:szCs w:val="20"/>
                <w:shd w:val="clear" w:color="auto" w:fill="FFFFFF"/>
                <w:lang w:val="en-US"/>
              </w:rPr>
            </w:pPr>
            <w:hyperlink r:id="rId401" w:tooltip="32003L0087" w:history="1">
              <w:r>
                <w:rPr>
                  <w:rStyle w:val="af3"/>
                  <w:rFonts w:eastAsia="Arial Unicode MS"/>
                  <w:b/>
                  <w:bCs/>
                  <w:color w:val="4472C4" w:themeColor="accent1"/>
                  <w:sz w:val="20"/>
                  <w:szCs w:val="20"/>
                </w:rPr>
                <w:t>▼B</w:t>
              </w:r>
            </w:hyperlink>
          </w:p>
        </w:tc>
        <w:tc>
          <w:tcPr>
            <w:tcW w:w="4394" w:type="dxa"/>
            <w:shd w:val="clear" w:color="auto" w:fill="auto"/>
          </w:tcPr>
          <w:p w14:paraId="33FA7B36" w14:textId="77777777" w:rsidR="00406CAF" w:rsidRPr="00406CAF" w:rsidRDefault="00406CAF" w:rsidP="00406CAF">
            <w:pPr>
              <w:spacing w:after="0" w:line="240" w:lineRule="auto"/>
              <w:jc w:val="right"/>
              <w:rPr>
                <w:rFonts w:ascii="Times New Roman" w:eastAsia="Calibri" w:hAnsi="Times New Roman"/>
                <w:bCs/>
                <w:sz w:val="20"/>
                <w:szCs w:val="20"/>
                <w:shd w:val="clear" w:color="auto" w:fill="FFFFFF"/>
                <w:lang w:val="en-US"/>
              </w:rPr>
            </w:pPr>
            <w:r w:rsidRPr="00406CAF">
              <w:rPr>
                <w:rFonts w:ascii="Times New Roman" w:eastAsia="Calibri" w:hAnsi="Times New Roman"/>
                <w:bCs/>
                <w:sz w:val="20"/>
                <w:szCs w:val="20"/>
                <w:shd w:val="clear" w:color="auto" w:fill="FFFFFF"/>
                <w:lang w:val="ro-RO"/>
              </w:rPr>
              <w:lastRenderedPageBreak/>
              <w:t xml:space="preserve">Anexa nr. </w:t>
            </w:r>
            <w:r w:rsidRPr="00406CAF">
              <w:rPr>
                <w:rFonts w:ascii="Times New Roman" w:eastAsia="Calibri" w:hAnsi="Times New Roman"/>
                <w:bCs/>
                <w:sz w:val="20"/>
                <w:szCs w:val="20"/>
                <w:shd w:val="clear" w:color="auto" w:fill="FFFFFF"/>
                <w:lang w:val="en-US"/>
              </w:rPr>
              <w:t>2</w:t>
            </w:r>
          </w:p>
          <w:p w14:paraId="2B5596A4" w14:textId="77777777" w:rsidR="00406CAF" w:rsidRPr="00406CAF" w:rsidRDefault="00406CAF" w:rsidP="00406CAF">
            <w:pPr>
              <w:spacing w:after="0" w:line="240" w:lineRule="auto"/>
              <w:rPr>
                <w:rFonts w:ascii="Times New Roman" w:eastAsia="Arial Unicode MS" w:hAnsi="Times New Roman"/>
                <w:b/>
                <w:bCs/>
                <w:color w:val="333333"/>
                <w:sz w:val="20"/>
                <w:szCs w:val="20"/>
                <w:shd w:val="clear" w:color="auto" w:fill="FFFFFF"/>
                <w:lang w:val="ro-RO"/>
              </w:rPr>
            </w:pPr>
            <w:r w:rsidRPr="00406CAF">
              <w:rPr>
                <w:rFonts w:ascii="Times New Roman" w:eastAsia="Arial Unicode MS" w:hAnsi="Times New Roman"/>
                <w:b/>
                <w:bCs/>
                <w:color w:val="333333"/>
                <w:sz w:val="20"/>
                <w:szCs w:val="20"/>
                <w:shd w:val="clear" w:color="auto" w:fill="FFFFFF"/>
                <w:lang w:val="en-US"/>
              </w:rPr>
              <w:t>PRINCIPIILE DE MONITORIZARE ȘI RAPORTARE PREVĂZUTE LA ART.</w:t>
            </w:r>
            <w:r w:rsidRPr="00406CAF">
              <w:rPr>
                <w:rFonts w:ascii="Times New Roman" w:eastAsia="Arial Unicode MS" w:hAnsi="Times New Roman"/>
                <w:b/>
                <w:bCs/>
                <w:color w:val="333333"/>
                <w:sz w:val="20"/>
                <w:szCs w:val="20"/>
                <w:shd w:val="clear" w:color="auto" w:fill="FFFFFF"/>
                <w:lang w:val="ro-RO"/>
              </w:rPr>
              <w:t>52</w:t>
            </w:r>
          </w:p>
          <w:p w14:paraId="0D80EB1F" w14:textId="77777777" w:rsidR="00406CAF" w:rsidRPr="00406CAF" w:rsidRDefault="00406CAF" w:rsidP="00406CAF">
            <w:pPr>
              <w:numPr>
                <w:ilvl w:val="0"/>
                <w:numId w:val="216"/>
              </w:numPr>
              <w:suppressAutoHyphens w:val="0"/>
              <w:autoSpaceDN/>
              <w:spacing w:after="0" w:line="240" w:lineRule="auto"/>
              <w:ind w:left="0" w:firstLine="0"/>
              <w:textAlignment w:val="auto"/>
              <w:rPr>
                <w:rFonts w:ascii="Times New Roman" w:eastAsia="Calibri" w:hAnsi="Times New Roman"/>
                <w:b/>
                <w:bCs/>
                <w:sz w:val="20"/>
                <w:szCs w:val="20"/>
                <w:lang w:val="ro-MD"/>
              </w:rPr>
            </w:pPr>
            <w:r w:rsidRPr="00406CAF">
              <w:rPr>
                <w:rFonts w:ascii="Times New Roman" w:eastAsia="Arial Unicode MS" w:hAnsi="Times New Roman"/>
                <w:b/>
                <w:bCs/>
                <w:color w:val="333333"/>
                <w:sz w:val="20"/>
                <w:szCs w:val="20"/>
                <w:shd w:val="clear" w:color="auto" w:fill="FFFFFF"/>
                <w:lang w:val="ro-MD"/>
              </w:rPr>
              <w:t>Monitorizarea și raportarea emisiilor de GES din instalațiile staționare</w:t>
            </w:r>
          </w:p>
          <w:p w14:paraId="25C8BA10" w14:textId="77777777" w:rsidR="00406CAF" w:rsidRPr="00406CAF" w:rsidRDefault="00406CAF" w:rsidP="00406CAF">
            <w:pPr>
              <w:numPr>
                <w:ilvl w:val="0"/>
                <w:numId w:val="217"/>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000000"/>
                <w:sz w:val="20"/>
                <w:szCs w:val="20"/>
                <w:shd w:val="clear" w:color="auto" w:fill="FFFFFF"/>
                <w:lang w:val="ro-MD"/>
              </w:rPr>
              <w:t>Monitorizarea emisiilor de dioxid de carbon</w:t>
            </w:r>
          </w:p>
          <w:p w14:paraId="2096BB53" w14:textId="77777777" w:rsidR="00406CAF" w:rsidRPr="00406CAF" w:rsidRDefault="00406CAF" w:rsidP="00406CAF">
            <w:pPr>
              <w:numPr>
                <w:ilvl w:val="0"/>
                <w:numId w:val="218"/>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Emisiile se monitorizează pe baza calculelor sau pe baza măsurătorilor.</w:t>
            </w:r>
          </w:p>
          <w:p w14:paraId="519D2BE1" w14:textId="77777777" w:rsidR="00406CAF" w:rsidRPr="00406CAF" w:rsidRDefault="00406CAF" w:rsidP="00406CAF">
            <w:pPr>
              <w:numPr>
                <w:ilvl w:val="0"/>
                <w:numId w:val="217"/>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000000"/>
                <w:sz w:val="20"/>
                <w:szCs w:val="20"/>
                <w:shd w:val="clear" w:color="auto" w:fill="FFFFFF"/>
                <w:lang w:val="ro-MD"/>
              </w:rPr>
              <w:t>Calculul</w:t>
            </w:r>
          </w:p>
          <w:p w14:paraId="15A93095" w14:textId="77777777" w:rsidR="00406CAF" w:rsidRPr="00406CAF" w:rsidRDefault="00406CAF" w:rsidP="00406CAF">
            <w:pPr>
              <w:numPr>
                <w:ilvl w:val="0"/>
                <w:numId w:val="218"/>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Calcularea emisiilor se realizează după formula:</w:t>
            </w:r>
          </w:p>
          <w:p w14:paraId="16B96F71" w14:textId="77777777" w:rsidR="00406CAF" w:rsidRPr="00406CAF" w:rsidRDefault="00406CAF" w:rsidP="00406CAF">
            <w:pPr>
              <w:numPr>
                <w:ilvl w:val="0"/>
                <w:numId w:val="219"/>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date privind activitatea × factor de emisie × factor de oxidare</w:t>
            </w:r>
          </w:p>
          <w:p w14:paraId="62F4F513" w14:textId="77777777" w:rsidR="00406CAF" w:rsidRPr="00406CAF" w:rsidRDefault="00406CAF" w:rsidP="00406CAF">
            <w:pPr>
              <w:numPr>
                <w:ilvl w:val="0"/>
                <w:numId w:val="218"/>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Datele privind activitatea (combustibil utilizat, rata de producție etc.) se monitorizează pe baza datelor privind aprovizionarea sau pe bază de măsurători.</w:t>
            </w:r>
          </w:p>
          <w:p w14:paraId="6A6ACE7D" w14:textId="77777777" w:rsidR="00406CAF" w:rsidRPr="00406CAF" w:rsidRDefault="00406CAF" w:rsidP="00406CAF">
            <w:pPr>
              <w:numPr>
                <w:ilvl w:val="0"/>
                <w:numId w:val="218"/>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 xml:space="preserve">Se utilizează factorii de emisie acceptați. Pentru toți combustibilii se acceptă factori de emisie specifici activității. Se acceptă factori impliciți pentru toți combustibilii, cu excepția celor necomerciali (combustibili din deșeuri precum anvelope și gaze din procese industriale). Pentru produsele de rafinărie sunt acceptate valorile implicite </w:t>
            </w:r>
            <w:r w:rsidRPr="00406CAF">
              <w:rPr>
                <w:rFonts w:ascii="Times New Roman" w:hAnsi="Times New Roman"/>
                <w:color w:val="000000"/>
                <w:sz w:val="20"/>
                <w:szCs w:val="20"/>
                <w:lang w:val="ro-MD" w:eastAsia="ro-RO" w:bidi="or-IN"/>
              </w:rPr>
              <w:t xml:space="preserve">de către </w:t>
            </w:r>
            <w:r w:rsidRPr="00406CAF">
              <w:rPr>
                <w:rFonts w:ascii="Times New Roman" w:eastAsia="Arial Unicode MS" w:hAnsi="Times New Roman"/>
                <w:color w:val="000000"/>
                <w:sz w:val="20"/>
                <w:szCs w:val="20"/>
                <w:shd w:val="clear" w:color="auto" w:fill="FFFFFF"/>
                <w:lang w:val="ro-MD"/>
              </w:rPr>
              <w:t xml:space="preserve">IPCC. Factorul de emisie pentru biomasă care respectă criteriile de durabilitate și criteriile de reducere a emisiilor de GES pentru utilizarea biomasei după cum sunt stabilite de </w:t>
            </w:r>
            <w:r w:rsidRPr="00406CAF">
              <w:rPr>
                <w:rFonts w:ascii="Times New Roman" w:hAnsi="Times New Roman"/>
                <w:color w:val="000000"/>
                <w:sz w:val="20"/>
                <w:szCs w:val="20"/>
                <w:lang w:val="ro-MD"/>
              </w:rPr>
              <w:t>Legea nr. 10/2016 privind promovarea utilizării energiei din surse regenerabile</w:t>
            </w:r>
            <w:r w:rsidRPr="00406CAF">
              <w:rPr>
                <w:rFonts w:ascii="Times New Roman" w:eastAsia="Arial Unicode MS" w:hAnsi="Times New Roman"/>
                <w:color w:val="000000"/>
                <w:sz w:val="20"/>
                <w:szCs w:val="20"/>
                <w:shd w:val="clear" w:color="auto" w:fill="FFFFFF"/>
                <w:lang w:val="ro-MD"/>
              </w:rPr>
              <w:t xml:space="preserve">, cu orice ajustări necesare pentru aplicarea în temeiul acestei legi, astfel cum se </w:t>
            </w:r>
            <w:r w:rsidRPr="00406CAF">
              <w:rPr>
                <w:rFonts w:ascii="Times New Roman" w:eastAsia="Arial Unicode MS" w:hAnsi="Times New Roman"/>
                <w:color w:val="000000"/>
                <w:sz w:val="20"/>
                <w:szCs w:val="20"/>
                <w:shd w:val="clear" w:color="auto" w:fill="FFFFFF"/>
                <w:lang w:val="ro-MD"/>
              </w:rPr>
              <w:t>prevede în Regulamentul menționat la art.52 alin.(5), este zero.</w:t>
            </w:r>
          </w:p>
          <w:p w14:paraId="1E808387" w14:textId="77777777" w:rsidR="00406CAF" w:rsidRPr="00406CAF" w:rsidRDefault="00406CAF" w:rsidP="00406CAF">
            <w:pPr>
              <w:numPr>
                <w:ilvl w:val="0"/>
                <w:numId w:val="218"/>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În cazul în care la evaluarea factorul de emisie nu se ține cont de faptul că o parte din carbon nu este oxidat, se utilizează un factor suplimentar de oxidare. În cazul în care s-au calculat factori de emisie specifici activităților la care se ține cont de oxidarea, nu este necesară utilizarea unui factor suplimentar de oxidare.</w:t>
            </w:r>
          </w:p>
          <w:p w14:paraId="43429E05" w14:textId="77777777" w:rsidR="00406CAF" w:rsidRPr="00406CAF" w:rsidRDefault="00406CAF" w:rsidP="00406CAF">
            <w:pPr>
              <w:numPr>
                <w:ilvl w:val="0"/>
                <w:numId w:val="218"/>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Se folosesc factorii impliciți de oxidare elaborați în temeiul Legii nr.227/2022 privind emisiile industriale, cu excepția cazurilor în care operatorul poate demonstra că factorii specifici activității sunt mai exacți.</w:t>
            </w:r>
          </w:p>
          <w:p w14:paraId="6DB506B2" w14:textId="77777777" w:rsidR="00406CAF" w:rsidRPr="00406CAF" w:rsidRDefault="00406CAF" w:rsidP="00406CAF">
            <w:pPr>
              <w:numPr>
                <w:ilvl w:val="0"/>
                <w:numId w:val="218"/>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Se efectuează calcule separate pentru fiecare activitate, instalație și pentru fiecare combustibil.</w:t>
            </w:r>
          </w:p>
          <w:p w14:paraId="54CED58C" w14:textId="77777777" w:rsidR="00406CAF" w:rsidRPr="00406CAF" w:rsidRDefault="00406CAF" w:rsidP="00406CAF">
            <w:pPr>
              <w:numPr>
                <w:ilvl w:val="0"/>
                <w:numId w:val="217"/>
              </w:numPr>
              <w:suppressAutoHyphens w:val="0"/>
              <w:autoSpaceDN/>
              <w:spacing w:after="0" w:line="240" w:lineRule="auto"/>
              <w:ind w:left="0" w:firstLine="0"/>
              <w:jc w:val="both"/>
              <w:textAlignment w:val="auto"/>
              <w:rPr>
                <w:rFonts w:ascii="Times New Roman" w:eastAsia="Calibri" w:hAnsi="Times New Roman"/>
                <w:b/>
                <w:bCs/>
                <w:sz w:val="20"/>
                <w:szCs w:val="20"/>
                <w:lang w:val="ro-MD"/>
              </w:rPr>
            </w:pPr>
            <w:r w:rsidRPr="00406CAF">
              <w:rPr>
                <w:rFonts w:ascii="Times New Roman" w:eastAsia="Arial Unicode MS" w:hAnsi="Times New Roman"/>
                <w:b/>
                <w:bCs/>
                <w:color w:val="333333"/>
                <w:sz w:val="20"/>
                <w:szCs w:val="20"/>
                <w:shd w:val="clear" w:color="auto" w:fill="FFFFFF"/>
                <w:lang w:val="ro-MD"/>
              </w:rPr>
              <w:t>Măsurări</w:t>
            </w:r>
          </w:p>
          <w:p w14:paraId="1DE33181" w14:textId="77777777" w:rsidR="00406CAF" w:rsidRPr="00406CAF" w:rsidRDefault="00406CAF" w:rsidP="00406CAF">
            <w:pPr>
              <w:numPr>
                <w:ilvl w:val="0"/>
                <w:numId w:val="220"/>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Măsurarea emisiilor se realizează prin metode standardizate sau acceptate și se coroborează cu un calcul ajutător al emisiilor.</w:t>
            </w:r>
          </w:p>
          <w:p w14:paraId="2FEEECF1" w14:textId="77777777" w:rsidR="00406CAF" w:rsidRPr="00406CAF" w:rsidRDefault="00406CAF" w:rsidP="00406CAF">
            <w:pPr>
              <w:numPr>
                <w:ilvl w:val="0"/>
                <w:numId w:val="217"/>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000000"/>
                <w:sz w:val="20"/>
                <w:szCs w:val="20"/>
                <w:shd w:val="clear" w:color="auto" w:fill="FFFFFF"/>
                <w:lang w:val="ro-MD"/>
              </w:rPr>
              <w:t>Monitorizarea emisiilor de alte gaze cu efect de seră</w:t>
            </w:r>
          </w:p>
          <w:p w14:paraId="7C04B389" w14:textId="77777777" w:rsidR="00406CAF" w:rsidRPr="00406CAF" w:rsidRDefault="00406CAF" w:rsidP="00406CAF">
            <w:pPr>
              <w:numPr>
                <w:ilvl w:val="0"/>
                <w:numId w:val="221"/>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lang w:val="ro-MD"/>
              </w:rPr>
              <w:t>Se folosesc metode standardizate sau acceptate la nivel național, elaborate de către</w:t>
            </w:r>
            <w:r w:rsidRPr="00406CAF">
              <w:rPr>
                <w:rFonts w:ascii="Times New Roman" w:hAnsi="Times New Roman"/>
                <w:color w:val="000000"/>
                <w:sz w:val="20"/>
                <w:szCs w:val="20"/>
                <w:shd w:val="clear" w:color="auto" w:fill="FFFFFF"/>
                <w:lang w:val="ro-MD"/>
              </w:rPr>
              <w:t xml:space="preserve"> Comunitatea Energetică sau din cadrul Uniunii Europene.</w:t>
            </w:r>
          </w:p>
          <w:p w14:paraId="5B6894BD" w14:textId="77777777" w:rsidR="00406CAF" w:rsidRPr="00406CAF" w:rsidRDefault="00406CAF" w:rsidP="00406CAF">
            <w:pPr>
              <w:numPr>
                <w:ilvl w:val="0"/>
                <w:numId w:val="217"/>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333333"/>
                <w:sz w:val="20"/>
                <w:szCs w:val="20"/>
                <w:shd w:val="clear" w:color="auto" w:fill="FFFFFF"/>
                <w:lang w:val="ro-MD"/>
              </w:rPr>
              <w:t>Raportarea emisiilor</w:t>
            </w:r>
          </w:p>
          <w:p w14:paraId="561F0E2B" w14:textId="77777777" w:rsidR="00406CAF" w:rsidRPr="00406CAF" w:rsidRDefault="00406CAF" w:rsidP="00406CAF">
            <w:pPr>
              <w:numPr>
                <w:ilvl w:val="0"/>
                <w:numId w:val="22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Fiecare operator include următoarele informații în raportul privind o instalație:</w:t>
            </w:r>
          </w:p>
          <w:p w14:paraId="006F7CF7" w14:textId="77777777" w:rsidR="00406CAF" w:rsidRPr="00406CAF" w:rsidRDefault="00406CAF" w:rsidP="00406CAF">
            <w:pPr>
              <w:numPr>
                <w:ilvl w:val="0"/>
                <w:numId w:val="223"/>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date de identificare a instalației, inclusiv:</w:t>
            </w:r>
          </w:p>
          <w:p w14:paraId="5019AE13"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hAnsi="Times New Roman"/>
                <w:color w:val="000000"/>
                <w:sz w:val="20"/>
                <w:szCs w:val="20"/>
                <w:shd w:val="clear" w:color="auto" w:fill="FFFFFF"/>
                <w:lang w:val="ro-MD"/>
              </w:rPr>
              <w:t>denumirea</w:t>
            </w:r>
            <w:r w:rsidRPr="00406CAF">
              <w:rPr>
                <w:rFonts w:ascii="Times New Roman" w:eastAsia="Arial Unicode MS" w:hAnsi="Times New Roman"/>
                <w:color w:val="000000"/>
                <w:sz w:val="20"/>
                <w:szCs w:val="20"/>
                <w:shd w:val="clear" w:color="auto" w:fill="FFFFFF"/>
                <w:lang w:val="ro-MD"/>
              </w:rPr>
              <w:t xml:space="preserve"> instalației;</w:t>
            </w:r>
          </w:p>
          <w:p w14:paraId="0437FE67"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adresa acesteia, inclusiv codul poștal și țara;</w:t>
            </w:r>
          </w:p>
          <w:p w14:paraId="732758C8"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tipul și numărul de activități prevăzute în Anexa nr.1 desfășurate în instalație;</w:t>
            </w:r>
          </w:p>
          <w:p w14:paraId="4785E6AB"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adresa, numărul de telefon, de fax și adresa de poștă electronică ale persoane de contact și;</w:t>
            </w:r>
          </w:p>
          <w:p w14:paraId="76EF0B41"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numele proprietarului instalației și al societății fondatoare.</w:t>
            </w:r>
          </w:p>
          <w:p w14:paraId="4B8FB459" w14:textId="77777777" w:rsidR="00406CAF" w:rsidRPr="00406CAF" w:rsidRDefault="00406CAF" w:rsidP="00406CAF">
            <w:pPr>
              <w:numPr>
                <w:ilvl w:val="0"/>
                <w:numId w:val="223"/>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pentru fiecare activitate prevăzută în Anexa nr.1 desfășurată în locul pentru care se calculează emisiile:</w:t>
            </w:r>
          </w:p>
          <w:p w14:paraId="63069E36"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date privind activitatea;</w:t>
            </w:r>
          </w:p>
          <w:p w14:paraId="0FF05C54"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factori de emisie;</w:t>
            </w:r>
          </w:p>
          <w:p w14:paraId="1312CCC6"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factori de oxidare;</w:t>
            </w:r>
          </w:p>
          <w:p w14:paraId="53467BA1"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emisii totale și</w:t>
            </w:r>
          </w:p>
          <w:p w14:paraId="5201B610" w14:textId="77777777" w:rsidR="00406CAF" w:rsidRPr="00406CAF" w:rsidRDefault="00406CAF" w:rsidP="00406CAF">
            <w:pPr>
              <w:numPr>
                <w:ilvl w:val="0"/>
                <w:numId w:val="202"/>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gradul de incertitudine.</w:t>
            </w:r>
          </w:p>
          <w:p w14:paraId="26B27734" w14:textId="77777777" w:rsidR="00406CAF" w:rsidRPr="00406CAF" w:rsidRDefault="00406CAF" w:rsidP="00406CAF">
            <w:pPr>
              <w:numPr>
                <w:ilvl w:val="0"/>
                <w:numId w:val="223"/>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lastRenderedPageBreak/>
              <w:t>Pentru fiecare activitate din Anexa nr.1 desfășurată în locul pentru care se măsoară emisiile:</w:t>
            </w:r>
          </w:p>
          <w:p w14:paraId="2793D53E" w14:textId="77777777" w:rsidR="00406CAF" w:rsidRPr="00406CAF" w:rsidRDefault="00406CAF" w:rsidP="00406CAF">
            <w:pPr>
              <w:spacing w:after="0" w:line="240" w:lineRule="auto"/>
              <w:jc w:val="both"/>
              <w:rPr>
                <w:rFonts w:ascii="Times New Roman" w:eastAsia="Arial Unicode MS" w:hAnsi="Times New Roman"/>
                <w:color w:val="000000"/>
                <w:sz w:val="20"/>
                <w:szCs w:val="20"/>
                <w:shd w:val="clear" w:color="auto" w:fill="FFFFFF"/>
                <w:lang w:val="ro-MD"/>
              </w:rPr>
            </w:pPr>
            <w:r w:rsidRPr="00406CAF">
              <w:rPr>
                <w:rFonts w:ascii="Times New Roman" w:eastAsia="Arial Unicode MS" w:hAnsi="Times New Roman"/>
                <w:color w:val="000000"/>
                <w:sz w:val="20"/>
                <w:szCs w:val="20"/>
                <w:shd w:val="clear" w:color="auto" w:fill="FFFFFF"/>
                <w:lang w:val="ro-MD"/>
              </w:rPr>
              <w:t>- emisii totale;</w:t>
            </w:r>
          </w:p>
          <w:p w14:paraId="6D686CB5" w14:textId="77777777" w:rsidR="00406CAF" w:rsidRPr="00406CAF" w:rsidRDefault="00406CAF" w:rsidP="00406CAF">
            <w:pPr>
              <w:spacing w:after="0" w:line="240" w:lineRule="auto"/>
              <w:jc w:val="both"/>
              <w:rPr>
                <w:rFonts w:ascii="Times New Roman" w:eastAsia="Arial Unicode MS" w:hAnsi="Times New Roman"/>
                <w:color w:val="000000"/>
                <w:sz w:val="20"/>
                <w:szCs w:val="20"/>
                <w:shd w:val="clear" w:color="auto" w:fill="FFFFFF"/>
                <w:lang w:val="ro-MD"/>
              </w:rPr>
            </w:pPr>
            <w:r w:rsidRPr="00406CAF">
              <w:rPr>
                <w:rFonts w:ascii="Times New Roman" w:eastAsia="Arial Unicode MS" w:hAnsi="Times New Roman"/>
                <w:color w:val="000000"/>
                <w:sz w:val="20"/>
                <w:szCs w:val="20"/>
                <w:shd w:val="clear" w:color="auto" w:fill="FFFFFF"/>
                <w:lang w:val="ro-MD"/>
              </w:rPr>
              <w:t>- informații privind fiabilitatea metodelor de măsurare și</w:t>
            </w:r>
          </w:p>
          <w:p w14:paraId="5A1F5D01" w14:textId="77777777" w:rsidR="00406CAF" w:rsidRPr="00406CAF" w:rsidRDefault="00406CAF" w:rsidP="00406CAF">
            <w:pPr>
              <w:spacing w:after="0" w:line="240" w:lineRule="auto"/>
              <w:jc w:val="both"/>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 gradul de incertitudine.</w:t>
            </w:r>
          </w:p>
          <w:p w14:paraId="003FD5F2" w14:textId="77777777" w:rsidR="00406CAF" w:rsidRPr="00406CAF" w:rsidRDefault="00406CAF" w:rsidP="00406CAF">
            <w:pPr>
              <w:numPr>
                <w:ilvl w:val="0"/>
                <w:numId w:val="223"/>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Pentru emisiile din arderi, raportul include, de asemenea, factorul de oxidare, cu excepția cazurilor în care oxidarea a fost luată în considerare la elaborarea unui factor de emisie specific activității.</w:t>
            </w:r>
          </w:p>
          <w:p w14:paraId="2BFF4B94" w14:textId="77777777" w:rsidR="00406CAF" w:rsidRPr="00406CAF" w:rsidRDefault="00406CAF" w:rsidP="00406CAF">
            <w:pPr>
              <w:numPr>
                <w:ilvl w:val="0"/>
                <w:numId w:val="216"/>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000000"/>
                <w:sz w:val="20"/>
                <w:szCs w:val="20"/>
                <w:shd w:val="clear" w:color="auto" w:fill="FFFFFF"/>
                <w:lang w:val="ro-MD"/>
              </w:rPr>
              <w:t>Monitorizarea și raportarea emisiilor provenite din activități de aviație</w:t>
            </w:r>
          </w:p>
          <w:p w14:paraId="7C033C1D" w14:textId="77777777" w:rsidR="00406CAF" w:rsidRPr="00406CAF" w:rsidRDefault="00406CAF" w:rsidP="00406CAF">
            <w:pPr>
              <w:numPr>
                <w:ilvl w:val="0"/>
                <w:numId w:val="224"/>
              </w:numPr>
              <w:suppressAutoHyphens w:val="0"/>
              <w:autoSpaceDN/>
              <w:spacing w:after="0" w:line="240" w:lineRule="auto"/>
              <w:ind w:left="0" w:firstLine="0"/>
              <w:textAlignment w:val="auto"/>
              <w:rPr>
                <w:rFonts w:ascii="Times New Roman" w:eastAsia="Calibri" w:hAnsi="Times New Roman"/>
                <w:b/>
                <w:bCs/>
                <w:sz w:val="20"/>
                <w:szCs w:val="20"/>
                <w:lang w:val="ro-MD"/>
              </w:rPr>
            </w:pPr>
            <w:r w:rsidRPr="00406CAF">
              <w:rPr>
                <w:rFonts w:ascii="Times New Roman" w:eastAsia="Arial Unicode MS" w:hAnsi="Times New Roman"/>
                <w:b/>
                <w:bCs/>
                <w:color w:val="333333"/>
                <w:sz w:val="20"/>
                <w:szCs w:val="20"/>
                <w:shd w:val="clear" w:color="auto" w:fill="FFFFFF"/>
                <w:lang w:val="ro-MD"/>
              </w:rPr>
              <w:t>Monitorizarea emisiilor de dioxid de carbon</w:t>
            </w:r>
          </w:p>
          <w:p w14:paraId="23261A79" w14:textId="77777777" w:rsidR="00406CAF" w:rsidRPr="00406CAF" w:rsidRDefault="00406CAF" w:rsidP="00406CAF">
            <w:pPr>
              <w:numPr>
                <w:ilvl w:val="0"/>
                <w:numId w:val="225"/>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Emisiile sunt monitorizate prin calcul. Calcularea emisiilor se realizează după formula:</w:t>
            </w:r>
          </w:p>
          <w:p w14:paraId="07D26A0E" w14:textId="77777777" w:rsidR="00406CAF" w:rsidRPr="00406CAF" w:rsidRDefault="00406CAF" w:rsidP="00406CAF">
            <w:pPr>
              <w:numPr>
                <w:ilvl w:val="0"/>
                <w:numId w:val="226"/>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333333"/>
                <w:sz w:val="20"/>
                <w:szCs w:val="20"/>
                <w:shd w:val="clear" w:color="auto" w:fill="FFFFFF"/>
                <w:lang w:val="ro-MD"/>
              </w:rPr>
              <w:t>consum de combustibil × factor de emisie</w:t>
            </w:r>
          </w:p>
          <w:p w14:paraId="2E3B4340" w14:textId="77777777" w:rsidR="00406CAF" w:rsidRPr="00406CAF" w:rsidRDefault="00406CAF" w:rsidP="00406CAF">
            <w:pPr>
              <w:numPr>
                <w:ilvl w:val="0"/>
                <w:numId w:val="225"/>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Consumul de combustibil include combustibilul consumat de unitatea auxiliară de putere. Consumul real de combustibil pentru fiecare zbor este folosit ori de câte ori este posibil și se calculează după formula:</w:t>
            </w:r>
          </w:p>
          <w:p w14:paraId="328FAF84" w14:textId="77777777" w:rsidR="00406CAF" w:rsidRPr="00406CAF" w:rsidRDefault="00406CAF" w:rsidP="00406CAF">
            <w:pPr>
              <w:numPr>
                <w:ilvl w:val="0"/>
                <w:numId w:val="226"/>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cantitatea de combustibil din rezervoarele aeronavei după terminarea alimentării cu combustibil pentru zborul respectiv – cantitatea de combustibil din rezervoarele aeronavei după alimentarea pentru zborul următor + cantitatea de combustibil alimentat pentru zborul următor.</w:t>
            </w:r>
          </w:p>
          <w:p w14:paraId="4D4D1672" w14:textId="77777777" w:rsidR="00406CAF" w:rsidRPr="00406CAF" w:rsidRDefault="00406CAF" w:rsidP="00406CAF">
            <w:pPr>
              <w:numPr>
                <w:ilvl w:val="0"/>
                <w:numId w:val="225"/>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În caz în care datele reale privind consumul de combustibil nu sunt disponibile, se folosește o metodă standard, pe niveluri, pentru a estima consumul de combustibil pe baza celor mai fiabile informații disponibile.</w:t>
            </w:r>
          </w:p>
          <w:p w14:paraId="2162F5CC" w14:textId="77777777" w:rsidR="00406CAF" w:rsidRPr="00406CAF" w:rsidRDefault="00406CAF" w:rsidP="00406CAF">
            <w:pPr>
              <w:numPr>
                <w:ilvl w:val="0"/>
                <w:numId w:val="225"/>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 xml:space="preserve">Se folosesc factorii standard de emisie din liniile directoare IPCC pentru inventariere din 2006 sau actualizările ulterioare ale respectivelor linii directoare, cu excepția cazului în care factorii de emisie specifici activității, identificați de laboratoare acreditate independente care folosesc metode analitice acceptate la nivel național, sunt mai exacți. Factorul de emisie pentru biomasă care respectă criteriile de durabilitate și criteriile de reducere a emisiilor de GES pentru utilizarea biomasei stabilite prin </w:t>
            </w:r>
            <w:r w:rsidRPr="00406CAF">
              <w:rPr>
                <w:rFonts w:ascii="Times New Roman" w:hAnsi="Times New Roman"/>
                <w:color w:val="000000"/>
                <w:sz w:val="20"/>
                <w:szCs w:val="20"/>
                <w:lang w:val="ro-MD"/>
              </w:rPr>
              <w:t>Legea nr. 10/2016 privind promovarea utilizării energiei din surse regenerabile</w:t>
            </w:r>
            <w:r w:rsidRPr="00406CAF">
              <w:rPr>
                <w:rFonts w:ascii="Times New Roman" w:eastAsia="Arial Unicode MS" w:hAnsi="Times New Roman"/>
                <w:color w:val="000000"/>
                <w:sz w:val="20"/>
                <w:szCs w:val="20"/>
                <w:shd w:val="clear" w:color="auto" w:fill="FFFFFF"/>
                <w:lang w:val="ro-MD"/>
              </w:rPr>
              <w:t xml:space="preserve">, cu orice ajustări necesare pentru aplicarea în temeiul acestei legi, cu orice ajustări necesare pentru aplicarea în temeiul </w:t>
            </w:r>
            <w:r w:rsidRPr="00406CAF">
              <w:rPr>
                <w:rFonts w:ascii="Times New Roman" w:eastAsia="Arial Unicode MS" w:hAnsi="Times New Roman"/>
                <w:color w:val="000000"/>
                <w:sz w:val="20"/>
                <w:szCs w:val="20"/>
                <w:shd w:val="clear" w:color="auto" w:fill="FFFFFF"/>
                <w:lang w:val="ro-MD"/>
              </w:rPr>
              <w:lastRenderedPageBreak/>
              <w:t>acestei legi, astfel cum se prevede în Regulamentul menționat la art.52 alin.(5), este zero. Factorul de emisie aferent kerosenului de aviație (Jet A1 sau Jet A) este de 3,16 (t CO</w:t>
            </w:r>
            <w:r w:rsidRPr="00406CAF">
              <w:rPr>
                <w:rFonts w:ascii="Times New Roman" w:eastAsia="Arial Unicode MS" w:hAnsi="Times New Roman"/>
                <w:color w:val="000000"/>
                <w:sz w:val="20"/>
                <w:szCs w:val="20"/>
                <w:shd w:val="clear" w:color="auto" w:fill="FFFFFF"/>
                <w:vertAlign w:val="subscript"/>
                <w:lang w:val="ro-MD"/>
              </w:rPr>
              <w:t>2</w:t>
            </w:r>
            <w:r w:rsidRPr="00406CAF">
              <w:rPr>
                <w:rFonts w:ascii="Times New Roman" w:eastAsia="Arial Unicode MS" w:hAnsi="Times New Roman"/>
                <w:color w:val="000000"/>
                <w:sz w:val="20"/>
                <w:szCs w:val="20"/>
                <w:shd w:val="clear" w:color="auto" w:fill="FFFFFF"/>
                <w:lang w:val="ro-MD"/>
              </w:rPr>
              <w:t>/t combustibil).</w:t>
            </w:r>
          </w:p>
          <w:p w14:paraId="6C7C598A" w14:textId="77777777" w:rsidR="00406CAF" w:rsidRPr="00406CAF" w:rsidRDefault="00406CAF" w:rsidP="00406CAF">
            <w:pPr>
              <w:numPr>
                <w:ilvl w:val="0"/>
                <w:numId w:val="225"/>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Până la intrarea în vigoare a Regulamentului menționat la art.52 alin.(5), emisiile generate de combustibilii din surse regenerabile de origine nebiologică, care utilizează hidrogen din surse regenerabile în conformitate cu art.</w:t>
            </w:r>
            <w:r w:rsidRPr="00406CAF">
              <w:rPr>
                <w:rFonts w:ascii="Times New Roman" w:eastAsia="Calibri" w:hAnsi="Times New Roman"/>
                <w:sz w:val="20"/>
                <w:szCs w:val="20"/>
                <w:lang w:val="ro-MD"/>
              </w:rPr>
              <w:t>26</w:t>
            </w:r>
            <w:r w:rsidRPr="00406CAF">
              <w:rPr>
                <w:rFonts w:ascii="Times New Roman" w:eastAsia="Calibri" w:hAnsi="Times New Roman"/>
                <w:sz w:val="20"/>
                <w:szCs w:val="20"/>
                <w:vertAlign w:val="superscript"/>
                <w:lang w:val="ro-MD"/>
              </w:rPr>
              <w:t>7</w:t>
            </w:r>
            <w:r w:rsidRPr="00406CAF">
              <w:rPr>
                <w:rFonts w:ascii="Times New Roman" w:eastAsia="Arial Unicode MS" w:hAnsi="Times New Roman"/>
                <w:color w:val="000000"/>
                <w:sz w:val="20"/>
                <w:szCs w:val="20"/>
                <w:shd w:val="clear" w:color="auto" w:fill="FFFFFF"/>
                <w:lang w:val="ro-MD"/>
              </w:rPr>
              <w:t xml:space="preserve">din </w:t>
            </w:r>
            <w:r w:rsidRPr="00406CAF">
              <w:rPr>
                <w:rFonts w:ascii="Times New Roman" w:hAnsi="Times New Roman"/>
                <w:color w:val="000000"/>
                <w:sz w:val="20"/>
                <w:szCs w:val="20"/>
                <w:lang w:val="ro-MD"/>
              </w:rPr>
              <w:t>Legea nr. 10/2016 privind promovarea utilizării energiei din surse regenerabile</w:t>
            </w:r>
            <w:r w:rsidRPr="00406CAF">
              <w:rPr>
                <w:rFonts w:ascii="Times New Roman" w:eastAsia="Arial Unicode MS" w:hAnsi="Times New Roman"/>
                <w:color w:val="000000"/>
                <w:sz w:val="20"/>
                <w:szCs w:val="20"/>
                <w:shd w:val="clear" w:color="auto" w:fill="FFFFFF"/>
                <w:lang w:val="ro-MD"/>
              </w:rPr>
              <w:t>, li se atribuie un nivel de emisii zero pentru operatorii de aeronave care le utilizează.</w:t>
            </w:r>
          </w:p>
          <w:p w14:paraId="7983F971" w14:textId="77777777" w:rsidR="00406CAF" w:rsidRPr="00406CAF" w:rsidRDefault="00406CAF" w:rsidP="00406CAF">
            <w:pPr>
              <w:numPr>
                <w:ilvl w:val="0"/>
                <w:numId w:val="225"/>
              </w:numPr>
              <w:suppressAutoHyphens w:val="0"/>
              <w:autoSpaceDN/>
              <w:spacing w:after="0" w:line="240" w:lineRule="auto"/>
              <w:ind w:left="0" w:firstLine="0"/>
              <w:jc w:val="both"/>
              <w:textAlignment w:val="auto"/>
              <w:rPr>
                <w:rFonts w:ascii="Times New Roman" w:eastAsia="Calibri" w:hAnsi="Times New Roman"/>
                <w:b/>
                <w:bCs/>
                <w:color w:val="000000"/>
                <w:sz w:val="20"/>
                <w:szCs w:val="20"/>
                <w:lang w:val="ro-MD"/>
              </w:rPr>
            </w:pPr>
            <w:r w:rsidRPr="00406CAF">
              <w:rPr>
                <w:rFonts w:ascii="Times New Roman" w:eastAsia="Arial Unicode MS" w:hAnsi="Times New Roman"/>
                <w:color w:val="000000"/>
                <w:sz w:val="20"/>
                <w:szCs w:val="20"/>
                <w:shd w:val="clear" w:color="auto" w:fill="FFFFFF"/>
                <w:lang w:val="ro-MD"/>
              </w:rPr>
              <w:t>Pentru fiecare zbor și combustibil în parte se efectuează un calcul separat.</w:t>
            </w:r>
          </w:p>
          <w:p w14:paraId="57055D0F" w14:textId="77777777" w:rsidR="00406CAF" w:rsidRPr="00406CAF" w:rsidRDefault="00406CAF" w:rsidP="00406CAF">
            <w:pPr>
              <w:numPr>
                <w:ilvl w:val="0"/>
                <w:numId w:val="224"/>
              </w:numPr>
              <w:suppressAutoHyphens w:val="0"/>
              <w:autoSpaceDN/>
              <w:spacing w:after="0" w:line="240" w:lineRule="auto"/>
              <w:ind w:left="0" w:firstLine="0"/>
              <w:textAlignment w:val="auto"/>
              <w:rPr>
                <w:rFonts w:ascii="Times New Roman" w:eastAsia="Calibri" w:hAnsi="Times New Roman"/>
                <w:b/>
                <w:bCs/>
                <w:color w:val="000000"/>
                <w:sz w:val="20"/>
                <w:szCs w:val="20"/>
                <w:lang w:val="ro-MD"/>
              </w:rPr>
            </w:pPr>
            <w:r w:rsidRPr="00406CAF">
              <w:rPr>
                <w:rFonts w:ascii="Times New Roman" w:eastAsia="Arial Unicode MS" w:hAnsi="Times New Roman"/>
                <w:b/>
                <w:bCs/>
                <w:color w:val="000000"/>
                <w:sz w:val="20"/>
                <w:szCs w:val="20"/>
                <w:shd w:val="clear" w:color="auto" w:fill="FFFFFF"/>
                <w:lang w:val="ro-MD"/>
              </w:rPr>
              <w:t>Raportarea emisiilor</w:t>
            </w:r>
          </w:p>
          <w:p w14:paraId="03CFEFC8" w14:textId="77777777" w:rsidR="00406CAF" w:rsidRPr="00406CAF" w:rsidRDefault="00406CAF" w:rsidP="00406CAF">
            <w:pPr>
              <w:numPr>
                <w:ilvl w:val="0"/>
                <w:numId w:val="227"/>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Fiecare operator de aeronave include în raportul prezentat în conformitate cu dispozițiile art.54 alin. (5) următoarele informații:</w:t>
            </w:r>
          </w:p>
          <w:p w14:paraId="5B2E6B46" w14:textId="77777777" w:rsidR="00406CAF" w:rsidRPr="00406CAF" w:rsidRDefault="00406CAF" w:rsidP="00406CAF">
            <w:pPr>
              <w:numPr>
                <w:ilvl w:val="0"/>
                <w:numId w:val="228"/>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informații de identificare a operatorului de aeronave, inclusiv:</w:t>
            </w:r>
          </w:p>
          <w:p w14:paraId="1ED64F4C" w14:textId="77777777" w:rsidR="00406CAF" w:rsidRPr="00406CAF" w:rsidRDefault="00406CAF" w:rsidP="00406CAF">
            <w:pPr>
              <w:numPr>
                <w:ilvl w:val="0"/>
                <w:numId w:val="229"/>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denumirea operatorului de aeronave;</w:t>
            </w:r>
          </w:p>
          <w:p w14:paraId="1EACDB8C" w14:textId="77777777" w:rsidR="00406CAF" w:rsidRPr="00406CAF" w:rsidRDefault="00406CAF" w:rsidP="00406CAF">
            <w:pPr>
              <w:numPr>
                <w:ilvl w:val="0"/>
                <w:numId w:val="229"/>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hAnsi="Times New Roman"/>
                <w:color w:val="000000"/>
                <w:sz w:val="20"/>
                <w:szCs w:val="20"/>
                <w:shd w:val="clear" w:color="auto" w:fill="FFFFFF"/>
                <w:lang w:val="ro-MD"/>
              </w:rPr>
              <w:t>statul operatorului aerian;</w:t>
            </w:r>
          </w:p>
          <w:p w14:paraId="686F4187" w14:textId="77777777" w:rsidR="00406CAF" w:rsidRPr="00406CAF" w:rsidRDefault="00406CAF" w:rsidP="00406CAF">
            <w:pPr>
              <w:numPr>
                <w:ilvl w:val="0"/>
                <w:numId w:val="229"/>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adresa, inclusiv codul poștal și țara, în cazul în care este diferită, adresa de contact a statului operatorului aerian;</w:t>
            </w:r>
          </w:p>
          <w:p w14:paraId="0F31D6AD" w14:textId="77777777" w:rsidR="00406CAF" w:rsidRPr="00406CAF" w:rsidRDefault="00406CAF" w:rsidP="00406CAF">
            <w:pPr>
              <w:numPr>
                <w:ilvl w:val="0"/>
                <w:numId w:val="229"/>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numerele de înregistrare ale aeronavelor și tipurile de aeronave utilizate, în perioada vizată de raport, pentru a desfășurarea activităților de aviație specificate la Anexa nr. 1, pentru care entitatea este operatorul aeronavei;</w:t>
            </w:r>
          </w:p>
          <w:p w14:paraId="06055D47" w14:textId="77777777" w:rsidR="00406CAF" w:rsidRPr="00406CAF" w:rsidRDefault="00406CAF" w:rsidP="00406CAF">
            <w:pPr>
              <w:numPr>
                <w:ilvl w:val="0"/>
                <w:numId w:val="229"/>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hAnsi="Times New Roman"/>
                <w:color w:val="000000"/>
                <w:sz w:val="20"/>
                <w:szCs w:val="20"/>
                <w:lang w:val="ro-MD"/>
              </w:rPr>
              <w:t>numărul și autoritatea emitentă a certificatului de operator aerian, precum și licența de operare pe baza căreia se efectuează activitățile de aviație specificate în Anexa nr. 1, pentru care entitatea este operatorul aeronavei.</w:t>
            </w:r>
          </w:p>
          <w:p w14:paraId="16D829A3" w14:textId="77777777" w:rsidR="00406CAF" w:rsidRPr="00406CAF" w:rsidRDefault="00406CAF" w:rsidP="00406CAF">
            <w:pPr>
              <w:numPr>
                <w:ilvl w:val="0"/>
                <w:numId w:val="229"/>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adresa, numărul de telefon, numărul de fax și adresa electronică ale unei persoane de contact; precum și</w:t>
            </w:r>
          </w:p>
          <w:p w14:paraId="7DC21892" w14:textId="77777777" w:rsidR="00406CAF" w:rsidRPr="00406CAF" w:rsidRDefault="00406CAF" w:rsidP="00406CAF">
            <w:pPr>
              <w:numPr>
                <w:ilvl w:val="0"/>
                <w:numId w:val="229"/>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denumirea proprietarului aeronavei.</w:t>
            </w:r>
          </w:p>
          <w:p w14:paraId="1A358863" w14:textId="77777777" w:rsidR="00406CAF" w:rsidRPr="00406CAF" w:rsidRDefault="00406CAF" w:rsidP="00406CAF">
            <w:pPr>
              <w:numPr>
                <w:ilvl w:val="0"/>
                <w:numId w:val="228"/>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Pentru fiecare tip de combustibil pentru care se calculează emisiile:</w:t>
            </w:r>
          </w:p>
          <w:p w14:paraId="12BDEE4C" w14:textId="77777777" w:rsidR="00406CAF" w:rsidRPr="00406CAF" w:rsidRDefault="00406CAF" w:rsidP="00406CAF">
            <w:pPr>
              <w:numPr>
                <w:ilvl w:val="0"/>
                <w:numId w:val="230"/>
              </w:numPr>
              <w:suppressAutoHyphens w:val="0"/>
              <w:autoSpaceDN/>
              <w:spacing w:after="0" w:line="240" w:lineRule="auto"/>
              <w:ind w:left="0" w:firstLine="0"/>
              <w:textAlignment w:val="auto"/>
              <w:rPr>
                <w:rFonts w:ascii="Times New Roman" w:eastAsia="Arial Unicode MS" w:hAnsi="Times New Roman"/>
                <w:color w:val="000000"/>
                <w:sz w:val="20"/>
                <w:szCs w:val="20"/>
                <w:shd w:val="clear" w:color="auto" w:fill="FFFFFF"/>
                <w:lang w:val="ro-MD"/>
              </w:rPr>
            </w:pPr>
            <w:r w:rsidRPr="00406CAF">
              <w:rPr>
                <w:rFonts w:ascii="Times New Roman" w:eastAsia="Arial Unicode MS" w:hAnsi="Times New Roman"/>
                <w:color w:val="000000"/>
                <w:sz w:val="20"/>
                <w:szCs w:val="20"/>
                <w:shd w:val="clear" w:color="auto" w:fill="FFFFFF"/>
                <w:lang w:val="ro-MD"/>
              </w:rPr>
              <w:t>consumul de combustibil;</w:t>
            </w:r>
          </w:p>
          <w:p w14:paraId="1B6B9328" w14:textId="77777777" w:rsidR="00406CAF" w:rsidRPr="00406CAF" w:rsidRDefault="00406CAF" w:rsidP="00406CAF">
            <w:pPr>
              <w:numPr>
                <w:ilvl w:val="0"/>
                <w:numId w:val="230"/>
              </w:numPr>
              <w:suppressAutoHyphens w:val="0"/>
              <w:autoSpaceDN/>
              <w:spacing w:after="0" w:line="240" w:lineRule="auto"/>
              <w:ind w:left="0" w:firstLine="0"/>
              <w:textAlignment w:val="auto"/>
              <w:rPr>
                <w:rFonts w:ascii="Times New Roman" w:eastAsia="Arial Unicode MS" w:hAnsi="Times New Roman"/>
                <w:color w:val="000000"/>
                <w:sz w:val="20"/>
                <w:szCs w:val="20"/>
                <w:shd w:val="clear" w:color="auto" w:fill="FFFFFF"/>
                <w:lang w:val="ro-MD"/>
              </w:rPr>
            </w:pPr>
            <w:r w:rsidRPr="00406CAF">
              <w:rPr>
                <w:rFonts w:ascii="Times New Roman" w:eastAsia="Arial Unicode MS" w:hAnsi="Times New Roman"/>
                <w:color w:val="000000"/>
                <w:sz w:val="20"/>
                <w:szCs w:val="20"/>
                <w:shd w:val="clear" w:color="auto" w:fill="FFFFFF"/>
                <w:lang w:val="ro-MD"/>
              </w:rPr>
              <w:t>factorul de emisie;</w:t>
            </w:r>
          </w:p>
          <w:p w14:paraId="08F92C31" w14:textId="77777777" w:rsidR="00406CAF" w:rsidRPr="00406CAF" w:rsidRDefault="00406CAF" w:rsidP="00406CAF">
            <w:pPr>
              <w:numPr>
                <w:ilvl w:val="0"/>
                <w:numId w:val="230"/>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 xml:space="preserve">emisiile cumulate totale, provenite de la toate zborurile efectuate în perioada care face obiectul raportului, ce se încadrează în categoria </w:t>
            </w:r>
            <w:r w:rsidRPr="00406CAF">
              <w:rPr>
                <w:rFonts w:ascii="Times New Roman" w:eastAsia="Arial Unicode MS" w:hAnsi="Times New Roman"/>
                <w:color w:val="000000"/>
                <w:sz w:val="20"/>
                <w:szCs w:val="20"/>
                <w:shd w:val="clear" w:color="auto" w:fill="FFFFFF"/>
                <w:lang w:val="ro-MD"/>
              </w:rPr>
              <w:lastRenderedPageBreak/>
              <w:t>activităților de aviație enumerate în Anexa nr. 1, pentru care este operatorul aeronavei;</w:t>
            </w:r>
          </w:p>
          <w:p w14:paraId="5A21124A" w14:textId="77777777" w:rsidR="00406CAF" w:rsidRPr="00406CAF" w:rsidRDefault="00406CAF" w:rsidP="00406CAF">
            <w:pPr>
              <w:numPr>
                <w:ilvl w:val="0"/>
                <w:numId w:val="230"/>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emisii cumulate provenite de la:</w:t>
            </w:r>
          </w:p>
          <w:p w14:paraId="41C78D74" w14:textId="77777777" w:rsidR="00406CAF" w:rsidRPr="00406CAF" w:rsidRDefault="00406CAF" w:rsidP="00406CAF">
            <w:pPr>
              <w:spacing w:after="0" w:line="240" w:lineRule="auto"/>
              <w:jc w:val="both"/>
              <w:rPr>
                <w:rFonts w:ascii="Times New Roman" w:eastAsia="Arial Unicode MS" w:hAnsi="Times New Roman"/>
                <w:color w:val="000000"/>
                <w:sz w:val="20"/>
                <w:szCs w:val="20"/>
                <w:shd w:val="clear" w:color="auto" w:fill="FFFFFF"/>
                <w:lang w:val="ro-MD"/>
              </w:rPr>
            </w:pPr>
            <w:r w:rsidRPr="00406CAF">
              <w:rPr>
                <w:rFonts w:ascii="Times New Roman" w:eastAsia="Calibri" w:hAnsi="Times New Roman"/>
                <w:color w:val="000000"/>
                <w:sz w:val="20"/>
                <w:szCs w:val="20"/>
                <w:lang w:val="ro-MD"/>
              </w:rPr>
              <w:t xml:space="preserve">- </w:t>
            </w:r>
            <w:r w:rsidRPr="00406CAF">
              <w:rPr>
                <w:rFonts w:ascii="Times New Roman" w:eastAsia="Arial Unicode MS" w:hAnsi="Times New Roman"/>
                <w:color w:val="000000"/>
                <w:sz w:val="20"/>
                <w:szCs w:val="20"/>
                <w:shd w:val="clear" w:color="auto" w:fill="FFFFFF"/>
                <w:lang w:val="ro-MD"/>
              </w:rPr>
              <w:t>toate zborurile efectuate în perioada care face obiectul raportului, care se încadrează în categoria activităților de aviație enumerate în Anexa nr.1, pentru care este operatorul aeronavei, care au avut ca punct de plecare un aerodrom situat pe teritoriul unui stat membru, iar ca punct de sosire un aerodrom situat pe teritoriul aceluiași stat membru;</w:t>
            </w:r>
          </w:p>
          <w:p w14:paraId="1F8A7C8D" w14:textId="77777777" w:rsidR="00406CAF" w:rsidRPr="00406CAF" w:rsidRDefault="00406CAF" w:rsidP="00406CAF">
            <w:pPr>
              <w:spacing w:after="0" w:line="240" w:lineRule="auto"/>
              <w:jc w:val="both"/>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-toate celelalte zboruri efectuate în perioada care face obiectul raportului, ce se încadrează în categoria activităților de aviație enumerate în Anexa nr. 1, pentru care este operatorul aeronavei;</w:t>
            </w:r>
          </w:p>
          <w:p w14:paraId="1ED8E5CC" w14:textId="77777777" w:rsidR="00406CAF" w:rsidRPr="00406CAF" w:rsidRDefault="00406CAF" w:rsidP="00406CAF">
            <w:pPr>
              <w:numPr>
                <w:ilvl w:val="0"/>
                <w:numId w:val="230"/>
              </w:numPr>
              <w:suppressAutoHyphens w:val="0"/>
              <w:autoSpaceDN/>
              <w:spacing w:after="0" w:line="240" w:lineRule="auto"/>
              <w:ind w:left="0" w:firstLine="0"/>
              <w:jc w:val="both"/>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emisiile cumulate provenite de la toate zborurile efectuate în perioada care face obiectul raportului, ce se încadrează în categoria activităților de aviație enumerate în Anexa nr.1, pentru care este operatorul aeronavei și care:</w:t>
            </w:r>
          </w:p>
          <w:p w14:paraId="01F47BE9" w14:textId="77777777" w:rsidR="00406CAF" w:rsidRPr="00406CAF" w:rsidRDefault="00406CAF" w:rsidP="00406CAF">
            <w:pPr>
              <w:spacing w:after="0" w:line="240" w:lineRule="auto"/>
              <w:jc w:val="both"/>
              <w:rPr>
                <w:rFonts w:ascii="Times New Roman" w:eastAsia="Arial Unicode MS" w:hAnsi="Times New Roman"/>
                <w:color w:val="000000"/>
                <w:sz w:val="20"/>
                <w:szCs w:val="20"/>
                <w:shd w:val="clear" w:color="auto" w:fill="FFFFFF"/>
                <w:lang w:val="ro-MD"/>
              </w:rPr>
            </w:pPr>
            <w:r w:rsidRPr="00406CAF">
              <w:rPr>
                <w:rFonts w:ascii="Times New Roman" w:eastAsia="Arial Unicode MS" w:hAnsi="Times New Roman"/>
                <w:color w:val="000000"/>
                <w:sz w:val="20"/>
                <w:szCs w:val="20"/>
                <w:shd w:val="clear" w:color="auto" w:fill="FFFFFF"/>
                <w:lang w:val="ro-MD"/>
              </w:rPr>
              <w:t>- au avut ca punct de plecare fiecare stat membru; și</w:t>
            </w:r>
          </w:p>
          <w:p w14:paraId="1B4240FC" w14:textId="77777777" w:rsidR="00406CAF" w:rsidRPr="00406CAF" w:rsidRDefault="00406CAF" w:rsidP="00406CAF">
            <w:pPr>
              <w:spacing w:after="0" w:line="240" w:lineRule="auto"/>
              <w:jc w:val="both"/>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-au sosit în fiecare stat membru dintr-o țară terță;</w:t>
            </w:r>
          </w:p>
          <w:p w14:paraId="57C3C4E3" w14:textId="77777777" w:rsidR="00406CAF" w:rsidRPr="00406CAF" w:rsidRDefault="00406CAF" w:rsidP="00406CAF">
            <w:pPr>
              <w:numPr>
                <w:ilvl w:val="0"/>
                <w:numId w:val="230"/>
              </w:numPr>
              <w:suppressAutoHyphens w:val="0"/>
              <w:autoSpaceDN/>
              <w:spacing w:after="0" w:line="240" w:lineRule="auto"/>
              <w:ind w:left="0" w:firstLine="0"/>
              <w:textAlignment w:val="auto"/>
              <w:rPr>
                <w:rFonts w:ascii="Times New Roman" w:eastAsia="Calibri" w:hAnsi="Times New Roman"/>
                <w:color w:val="000000"/>
                <w:sz w:val="20"/>
                <w:szCs w:val="20"/>
                <w:lang w:val="ro-MD"/>
              </w:rPr>
            </w:pPr>
            <w:r w:rsidRPr="00406CAF">
              <w:rPr>
                <w:rFonts w:ascii="Times New Roman" w:eastAsia="Arial Unicode MS" w:hAnsi="Times New Roman"/>
                <w:color w:val="000000"/>
                <w:sz w:val="20"/>
                <w:szCs w:val="20"/>
                <w:shd w:val="clear" w:color="auto" w:fill="FFFFFF"/>
                <w:lang w:val="ro-MD"/>
              </w:rPr>
              <w:t>gradul de incertitudine.</w:t>
            </w:r>
          </w:p>
          <w:p w14:paraId="5099A2F6"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10D9CAC" w14:textId="09FA33F3" w:rsidR="00124364" w:rsidRDefault="00406CAF">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Parțial c</w:t>
            </w:r>
            <w:r w:rsidR="00000000">
              <w:rPr>
                <w:rFonts w:ascii="Times New Roman" w:hAnsi="Times New Roman"/>
                <w:bCs/>
                <w:sz w:val="20"/>
                <w:szCs w:val="20"/>
                <w:lang w:val="ro-RO"/>
              </w:rPr>
              <w:t xml:space="preserve">ompatibil </w:t>
            </w:r>
          </w:p>
          <w:p w14:paraId="72403C23"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54FF9C3"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ACFFA2F" w14:textId="77777777" w:rsidR="00406CAF" w:rsidRPr="00DF1AB5" w:rsidRDefault="00406CAF" w:rsidP="00406CAF">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082D68AA" w14:textId="17BDE752" w:rsidR="00124364" w:rsidRDefault="00406CAF" w:rsidP="00406CAF">
            <w:pPr>
              <w:autoSpaceDE w:val="0"/>
              <w:spacing w:after="0" w:line="240" w:lineRule="auto"/>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5114E56C" w14:textId="77777777" w:rsidR="00124364" w:rsidRDefault="00000000">
            <w:pPr>
              <w:autoSpaceDE w:val="0"/>
              <w:spacing w:after="0" w:line="240" w:lineRule="auto"/>
              <w:rPr>
                <w:rFonts w:ascii="Times New Roman" w:hAnsi="Times New Roman"/>
                <w:color w:val="000000" w:themeColor="text1"/>
                <w:sz w:val="20"/>
                <w:szCs w:val="20"/>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7F7F6B0B" w14:textId="77777777" w:rsidR="00406CAF" w:rsidRDefault="00406CAF">
            <w:pPr>
              <w:autoSpaceDE w:val="0"/>
              <w:spacing w:after="0" w:line="240" w:lineRule="auto"/>
              <w:rPr>
                <w:rFonts w:ascii="Times New Roman" w:hAnsi="Times New Roman"/>
                <w:color w:val="000000" w:themeColor="text1"/>
                <w:sz w:val="20"/>
                <w:szCs w:val="20"/>
              </w:rPr>
            </w:pPr>
          </w:p>
          <w:p w14:paraId="200BD092" w14:textId="31223269" w:rsidR="00406CAF" w:rsidRDefault="00406CAF">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color w:val="000000" w:themeColor="text1"/>
                <w:sz w:val="20"/>
                <w:szCs w:val="20"/>
              </w:rPr>
              <w:t>Agenția</w:t>
            </w:r>
            <w:proofErr w:type="spellEnd"/>
            <w:r>
              <w:rPr>
                <w:rFonts w:ascii="Times New Roman" w:hAnsi="Times New Roman"/>
                <w:color w:val="000000" w:themeColor="text1"/>
                <w:sz w:val="20"/>
                <w:szCs w:val="20"/>
              </w:rPr>
              <w:t xml:space="preserve"> de </w:t>
            </w:r>
            <w:proofErr w:type="spellStart"/>
            <w:r>
              <w:rPr>
                <w:rFonts w:ascii="Times New Roman" w:hAnsi="Times New Roman"/>
                <w:color w:val="000000" w:themeColor="text1"/>
                <w:sz w:val="20"/>
                <w:szCs w:val="20"/>
              </w:rPr>
              <w:t>Mediu</w:t>
            </w:r>
            <w:proofErr w:type="spellEnd"/>
          </w:p>
          <w:p w14:paraId="29B24BC2" w14:textId="77777777" w:rsidR="00124364" w:rsidRDefault="00124364">
            <w:pPr>
              <w:autoSpaceDE w:val="0"/>
              <w:spacing w:after="0" w:line="240" w:lineRule="auto"/>
              <w:rPr>
                <w:rFonts w:ascii="Times New Roman" w:hAnsi="Times New Roman"/>
                <w:sz w:val="20"/>
                <w:szCs w:val="20"/>
                <w:lang w:val="fr-FR"/>
              </w:rPr>
            </w:pPr>
          </w:p>
        </w:tc>
      </w:tr>
      <w:tr w:rsidR="00124364" w14:paraId="3217380E" w14:textId="77777777">
        <w:trPr>
          <w:trHeight w:val="558"/>
        </w:trPr>
        <w:tc>
          <w:tcPr>
            <w:tcW w:w="4957" w:type="dxa"/>
            <w:shd w:val="clear" w:color="auto" w:fill="auto"/>
          </w:tcPr>
          <w:p w14:paraId="03BACAFE" w14:textId="77777777" w:rsidR="00124364" w:rsidRPr="00A303C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A303C4">
              <w:rPr>
                <w:rFonts w:eastAsia="Arial Unicode MS"/>
                <w:i/>
                <w:iCs/>
                <w:color w:val="000000" w:themeColor="text1"/>
                <w:sz w:val="20"/>
                <w:szCs w:val="20"/>
                <w:shd w:val="clear" w:color="auto" w:fill="FFFFFF"/>
                <w:lang w:val="en-US"/>
              </w:rPr>
              <w:lastRenderedPageBreak/>
              <w:t>ANEXA V</w:t>
            </w:r>
          </w:p>
          <w:p w14:paraId="300A25D3" w14:textId="77777777" w:rsidR="00124364" w:rsidRPr="00A303C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A303C4">
              <w:rPr>
                <w:rFonts w:eastAsia="Arial Unicode MS"/>
                <w:b/>
                <w:bCs/>
                <w:color w:val="000000" w:themeColor="text1"/>
                <w:sz w:val="20"/>
                <w:szCs w:val="20"/>
                <w:shd w:val="clear" w:color="auto" w:fill="FFFFFF"/>
                <w:lang w:val="en-US"/>
              </w:rPr>
              <w:t>CRITERIILE PENTRU VERIFICARE PREVĂZUTE LA ARTICOLUL 15</w:t>
            </w:r>
          </w:p>
          <w:p w14:paraId="1059E84C"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402" w:tooltip="32008L0101: INSERTED" w:history="1">
              <w:r w:rsidRPr="00E34C2B">
                <w:rPr>
                  <w:rStyle w:val="af3"/>
                  <w:rFonts w:eastAsia="Arial Unicode MS"/>
                  <w:b/>
                  <w:bCs/>
                  <w:color w:val="4472C4" w:themeColor="accent1"/>
                  <w:sz w:val="20"/>
                  <w:szCs w:val="20"/>
                  <w:lang w:val="en-US"/>
                </w:rPr>
                <w:t>▼M2</w:t>
              </w:r>
            </w:hyperlink>
          </w:p>
          <w:p w14:paraId="64315A83" w14:textId="2945934D" w:rsidR="00124364" w:rsidRDefault="00000000">
            <w:pPr>
              <w:pStyle w:val="ti-art"/>
              <w:shd w:val="clear" w:color="auto" w:fill="FFFFFF"/>
              <w:spacing w:before="0" w:beforeAutospacing="0" w:after="0" w:afterAutospacing="0"/>
              <w:rPr>
                <w:rStyle w:val="boldface"/>
                <w:rFonts w:eastAsia="Arial Unicode MS"/>
                <w:b/>
                <w:bCs/>
                <w:color w:val="333333"/>
                <w:sz w:val="20"/>
                <w:szCs w:val="20"/>
                <w:lang w:val="en-US"/>
              </w:rPr>
            </w:pPr>
            <w:r>
              <w:rPr>
                <w:rFonts w:eastAsia="Arial Unicode MS"/>
                <w:b/>
                <w:bCs/>
                <w:color w:val="333333"/>
                <w:sz w:val="20"/>
                <w:szCs w:val="20"/>
                <w:shd w:val="clear" w:color="auto" w:fill="FFFFFF"/>
                <w:lang w:val="en-US"/>
              </w:rPr>
              <w:t>PARTEA A –</w:t>
            </w:r>
            <w:proofErr w:type="spellStart"/>
            <w:r>
              <w:rPr>
                <w:rStyle w:val="boldface"/>
                <w:rFonts w:eastAsia="Arial Unicode MS"/>
                <w:b/>
                <w:bCs/>
                <w:color w:val="333333"/>
                <w:sz w:val="20"/>
                <w:szCs w:val="20"/>
                <w:lang w:val="en-US"/>
              </w:rPr>
              <w:t>Verificarea</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emisiilor</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provenite</w:t>
            </w:r>
            <w:proofErr w:type="spellEnd"/>
            <w:r>
              <w:rPr>
                <w:rStyle w:val="boldface"/>
                <w:rFonts w:eastAsia="Arial Unicode MS"/>
                <w:b/>
                <w:bCs/>
                <w:color w:val="333333"/>
                <w:sz w:val="20"/>
                <w:szCs w:val="20"/>
                <w:lang w:val="en-US"/>
              </w:rPr>
              <w:t xml:space="preserve"> din </w:t>
            </w:r>
            <w:proofErr w:type="spellStart"/>
            <w:r>
              <w:rPr>
                <w:rStyle w:val="boldface"/>
                <w:rFonts w:eastAsia="Arial Unicode MS"/>
                <w:b/>
                <w:bCs/>
                <w:color w:val="333333"/>
                <w:sz w:val="20"/>
                <w:szCs w:val="20"/>
                <w:lang w:val="en-US"/>
              </w:rPr>
              <w:t>instalațiile</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staționare</w:t>
            </w:r>
            <w:proofErr w:type="spellEnd"/>
          </w:p>
          <w:p w14:paraId="546A488D" w14:textId="77777777" w:rsidR="00124364" w:rsidRDefault="00000000">
            <w:pPr>
              <w:pStyle w:val="ti-art"/>
              <w:shd w:val="clear" w:color="auto" w:fill="FFFFFF"/>
              <w:spacing w:before="0" w:beforeAutospacing="0" w:after="0" w:afterAutospacing="0"/>
              <w:rPr>
                <w:color w:val="4472C4" w:themeColor="accent1"/>
                <w:sz w:val="20"/>
                <w:szCs w:val="20"/>
              </w:rPr>
            </w:pPr>
            <w:hyperlink r:id="rId403" w:tooltip="32003L0087" w:history="1">
              <w:r>
                <w:rPr>
                  <w:rStyle w:val="af3"/>
                  <w:rFonts w:eastAsia="Arial Unicode MS"/>
                  <w:b/>
                  <w:bCs/>
                  <w:color w:val="4472C4" w:themeColor="accent1"/>
                  <w:sz w:val="20"/>
                  <w:szCs w:val="20"/>
                </w:rPr>
                <w:t>▼B</w:t>
              </w:r>
            </w:hyperlink>
          </w:p>
          <w:p w14:paraId="0C6E37D2" w14:textId="77777777" w:rsidR="00124364" w:rsidRPr="00A303C4" w:rsidRDefault="00000000" w:rsidP="00A303C4">
            <w:pPr>
              <w:pStyle w:val="ti-art"/>
              <w:shd w:val="clear" w:color="auto" w:fill="FFFFFF"/>
              <w:spacing w:before="0" w:beforeAutospacing="0" w:after="0" w:afterAutospacing="0"/>
              <w:jc w:val="both"/>
              <w:rPr>
                <w:rFonts w:eastAsia="Arial Unicode MS"/>
                <w:i/>
                <w:iCs/>
                <w:color w:val="000000" w:themeColor="text1"/>
                <w:sz w:val="20"/>
                <w:szCs w:val="20"/>
                <w:shd w:val="clear" w:color="auto" w:fill="FFFFFF"/>
              </w:rPr>
            </w:pPr>
            <w:proofErr w:type="spellStart"/>
            <w:r w:rsidRPr="00A303C4">
              <w:rPr>
                <w:rFonts w:eastAsia="Arial Unicode MS"/>
                <w:i/>
                <w:iCs/>
                <w:color w:val="000000" w:themeColor="text1"/>
                <w:sz w:val="20"/>
                <w:szCs w:val="20"/>
                <w:shd w:val="clear" w:color="auto" w:fill="FFFFFF"/>
              </w:rPr>
              <w:t>Principii</w:t>
            </w:r>
            <w:proofErr w:type="spellEnd"/>
            <w:r w:rsidRPr="00A303C4">
              <w:rPr>
                <w:rFonts w:eastAsia="Arial Unicode MS"/>
                <w:i/>
                <w:iCs/>
                <w:color w:val="000000" w:themeColor="text1"/>
                <w:sz w:val="20"/>
                <w:szCs w:val="20"/>
                <w:shd w:val="clear" w:color="auto" w:fill="FFFFFF"/>
              </w:rPr>
              <w:t xml:space="preserve"> </w:t>
            </w:r>
            <w:proofErr w:type="spellStart"/>
            <w:r w:rsidRPr="00A303C4">
              <w:rPr>
                <w:rFonts w:eastAsia="Arial Unicode MS"/>
                <w:i/>
                <w:iCs/>
                <w:color w:val="000000" w:themeColor="text1"/>
                <w:sz w:val="20"/>
                <w:szCs w:val="20"/>
                <w:shd w:val="clear" w:color="auto" w:fill="FFFFFF"/>
              </w:rPr>
              <w:t>generale</w:t>
            </w:r>
            <w:proofErr w:type="spellEnd"/>
          </w:p>
          <w:p w14:paraId="7B602AA8" w14:textId="77777777" w:rsidR="00124364" w:rsidRPr="00A303C4" w:rsidRDefault="00000000" w:rsidP="00A303C4">
            <w:pPr>
              <w:pStyle w:val="ti-art"/>
              <w:numPr>
                <w:ilvl w:val="0"/>
                <w:numId w:val="18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Sunt </w:t>
            </w:r>
            <w:proofErr w:type="spellStart"/>
            <w:r w:rsidRPr="00A303C4">
              <w:rPr>
                <w:rFonts w:eastAsia="Arial Unicode MS"/>
                <w:color w:val="000000" w:themeColor="text1"/>
                <w:sz w:val="20"/>
                <w:szCs w:val="20"/>
                <w:shd w:val="clear" w:color="auto" w:fill="FFFFFF"/>
                <w:lang w:val="en-US"/>
              </w:rPr>
              <w:t>verificate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rezultate</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fiecare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dintre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enumerate în </w:t>
            </w:r>
            <w:proofErr w:type="spellStart"/>
            <w:r w:rsidRPr="00A303C4">
              <w:rPr>
                <w:rFonts w:eastAsia="Arial Unicode MS"/>
                <w:color w:val="000000" w:themeColor="text1"/>
                <w:sz w:val="20"/>
                <w:szCs w:val="20"/>
                <w:shd w:val="clear" w:color="auto" w:fill="FFFFFF"/>
                <w:lang w:val="en-US"/>
              </w:rPr>
              <w:t>anexa</w:t>
            </w:r>
            <w:proofErr w:type="spellEnd"/>
            <w:r w:rsidRPr="00A303C4">
              <w:rPr>
                <w:rFonts w:eastAsia="Arial Unicode MS"/>
                <w:color w:val="000000" w:themeColor="text1"/>
                <w:sz w:val="20"/>
                <w:szCs w:val="20"/>
                <w:shd w:val="clear" w:color="auto" w:fill="FFFFFF"/>
                <w:lang w:val="en-US"/>
              </w:rPr>
              <w:t xml:space="preserve"> I.</w:t>
            </w:r>
          </w:p>
          <w:p w14:paraId="33517827" w14:textId="77777777" w:rsidR="00124364" w:rsidRPr="00A303C4" w:rsidRDefault="00000000" w:rsidP="00A303C4">
            <w:pPr>
              <w:pStyle w:val="ti-art"/>
              <w:numPr>
                <w:ilvl w:val="0"/>
                <w:numId w:val="18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Procesul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verificare</w:t>
            </w:r>
            <w:proofErr w:type="spellEnd"/>
            <w:r w:rsidRPr="00A303C4">
              <w:rPr>
                <w:rFonts w:eastAsia="Arial Unicode MS"/>
                <w:color w:val="000000" w:themeColor="text1"/>
                <w:sz w:val="20"/>
                <w:szCs w:val="20"/>
                <w:shd w:val="clear" w:color="auto" w:fill="FFFFFF"/>
                <w:lang w:val="en-US"/>
              </w:rPr>
              <w:t xml:space="preserve"> include </w:t>
            </w:r>
            <w:proofErr w:type="spellStart"/>
            <w:r w:rsidRPr="00A303C4">
              <w:rPr>
                <w:rFonts w:eastAsia="Arial Unicode MS"/>
                <w:color w:val="000000" w:themeColor="text1"/>
                <w:sz w:val="20"/>
                <w:szCs w:val="20"/>
                <w:shd w:val="clear" w:color="auto" w:fill="FFFFFF"/>
                <w:lang w:val="en-US"/>
              </w:rPr>
              <w:t>evaluarea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raportului</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temeiul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articolului</w:t>
            </w:r>
            <w:proofErr w:type="spellEnd"/>
            <w:r w:rsidRPr="00A303C4">
              <w:rPr>
                <w:rFonts w:eastAsia="Arial Unicode MS"/>
                <w:color w:val="000000" w:themeColor="text1"/>
                <w:sz w:val="20"/>
                <w:szCs w:val="20"/>
                <w:shd w:val="clear" w:color="auto" w:fill="FFFFFF"/>
                <w:lang w:val="en-US"/>
              </w:rPr>
              <w:t xml:space="preserve"> 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și a </w:t>
            </w:r>
            <w:proofErr w:type="spellStart"/>
            <w:r w:rsidRPr="00A303C4">
              <w:rPr>
                <w:rFonts w:eastAsia="Arial Unicode MS"/>
                <w:color w:val="000000" w:themeColor="text1"/>
                <w:sz w:val="20"/>
                <w:szCs w:val="20"/>
                <w:shd w:val="clear" w:color="auto" w:fill="FFFFFF"/>
                <w:lang w:val="en-US"/>
              </w:rPr>
              <w:t>monitorizării</w:t>
            </w:r>
            <w:proofErr w:type="spellEnd"/>
            <w:r w:rsidRPr="00A303C4">
              <w:rPr>
                <w:rFonts w:eastAsia="Arial Unicode MS"/>
                <w:color w:val="000000" w:themeColor="text1"/>
                <w:sz w:val="20"/>
                <w:szCs w:val="20"/>
                <w:shd w:val="clear" w:color="auto" w:fill="FFFFFF"/>
                <w:lang w:val="en-US"/>
              </w:rPr>
              <w:t xml:space="preserve"> de pe </w:t>
            </w:r>
            <w:proofErr w:type="spellStart"/>
            <w:r w:rsidRPr="00A303C4">
              <w:rPr>
                <w:rFonts w:eastAsia="Arial Unicode MS"/>
                <w:color w:val="000000" w:themeColor="text1"/>
                <w:sz w:val="20"/>
                <w:szCs w:val="20"/>
                <w:shd w:val="clear" w:color="auto" w:fill="FFFFFF"/>
                <w:lang w:val="en-US"/>
              </w:rPr>
              <w:t>parcursul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anului</w:t>
            </w:r>
            <w:proofErr w:type="spellEnd"/>
            <w:r w:rsidRPr="00A303C4">
              <w:rPr>
                <w:rFonts w:eastAsia="Arial Unicode MS"/>
                <w:color w:val="000000" w:themeColor="text1"/>
                <w:sz w:val="20"/>
                <w:szCs w:val="20"/>
                <w:shd w:val="clear" w:color="auto" w:fill="FFFFFF"/>
                <w:lang w:val="en-US"/>
              </w:rPr>
              <w:t xml:space="preserve"> anterior. </w:t>
            </w:r>
            <w:proofErr w:type="spellStart"/>
            <w:r w:rsidRPr="00A303C4">
              <w:rPr>
                <w:rFonts w:eastAsia="Arial Unicode MS"/>
                <w:color w:val="000000" w:themeColor="text1"/>
                <w:sz w:val="20"/>
                <w:szCs w:val="20"/>
                <w:shd w:val="clear" w:color="auto" w:fill="FFFFFF"/>
                <w:lang w:val="en-US"/>
              </w:rPr>
              <w:t>Verificarea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abordează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fiabilitatea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credibilitatea</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acuratețea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sistemelor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monitorizare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informațiile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privire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emisii</w:t>
            </w:r>
            <w:proofErr w:type="spellEnd"/>
            <w:r w:rsidRPr="00A303C4">
              <w:rPr>
                <w:rFonts w:eastAsia="Arial Unicode MS"/>
                <w:color w:val="000000" w:themeColor="text1"/>
                <w:sz w:val="20"/>
                <w:szCs w:val="20"/>
                <w:shd w:val="clear" w:color="auto" w:fill="FFFFFF"/>
                <w:lang w:val="en-US"/>
              </w:rPr>
              <w:t>, în special:</w:t>
            </w:r>
          </w:p>
          <w:p w14:paraId="577B3314" w14:textId="77777777" w:rsidR="00124364" w:rsidRPr="00A303C4" w:rsidRDefault="00000000" w:rsidP="00A303C4">
            <w:pPr>
              <w:pStyle w:val="ti-art"/>
              <w:numPr>
                <w:ilvl w:val="0"/>
                <w:numId w:val="1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care au </w:t>
            </w:r>
            <w:proofErr w:type="spellStart"/>
            <w:r w:rsidRPr="00A303C4">
              <w:rPr>
                <w:rFonts w:eastAsia="Arial Unicode MS"/>
                <w:color w:val="000000" w:themeColor="text1"/>
                <w:sz w:val="20"/>
                <w:szCs w:val="20"/>
                <w:shd w:val="clear" w:color="auto" w:fill="FFFFFF"/>
                <w:lang w:val="en-US"/>
              </w:rPr>
              <w:t>fost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incluse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raport</w:t>
            </w:r>
            <w:proofErr w:type="spellEnd"/>
            <w:r w:rsidRPr="00A303C4">
              <w:rPr>
                <w:rFonts w:eastAsia="Arial Unicode MS"/>
                <w:color w:val="000000" w:themeColor="text1"/>
                <w:sz w:val="20"/>
                <w:szCs w:val="20"/>
                <w:shd w:val="clear" w:color="auto" w:fill="FFFFFF"/>
                <w:lang w:val="en-US"/>
              </w:rPr>
              <w:t xml:space="preserve">, precum și </w:t>
            </w:r>
            <w:proofErr w:type="spellStart"/>
            <w:r w:rsidRPr="00A303C4">
              <w:rPr>
                <w:rFonts w:eastAsia="Arial Unicode MS"/>
                <w:color w:val="000000" w:themeColor="text1"/>
                <w:sz w:val="20"/>
                <w:szCs w:val="20"/>
                <w:shd w:val="clear" w:color="auto" w:fill="FFFFFF"/>
                <w:lang w:val="en-US"/>
              </w:rPr>
              <w:t>măsurările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calculele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conexe</w:t>
            </w:r>
            <w:proofErr w:type="spellEnd"/>
            <w:r w:rsidRPr="00A303C4">
              <w:rPr>
                <w:rFonts w:eastAsia="Arial Unicode MS"/>
                <w:color w:val="000000" w:themeColor="text1"/>
                <w:sz w:val="20"/>
                <w:szCs w:val="20"/>
                <w:shd w:val="clear" w:color="auto" w:fill="FFFFFF"/>
                <w:lang w:val="en-US"/>
              </w:rPr>
              <w:t>;</w:t>
            </w:r>
          </w:p>
          <w:p w14:paraId="2C6367F9" w14:textId="77777777" w:rsidR="00124364" w:rsidRPr="00A303C4" w:rsidRDefault="00000000" w:rsidP="00A303C4">
            <w:pPr>
              <w:pStyle w:val="ti-art"/>
              <w:numPr>
                <w:ilvl w:val="0"/>
                <w:numId w:val="1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selectarea</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utilizarea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factorilor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emisie</w:t>
            </w:r>
            <w:proofErr w:type="spellEnd"/>
            <w:r w:rsidRPr="00A303C4">
              <w:rPr>
                <w:rFonts w:eastAsia="Arial Unicode MS"/>
                <w:color w:val="000000" w:themeColor="text1"/>
                <w:sz w:val="20"/>
                <w:szCs w:val="20"/>
                <w:shd w:val="clear" w:color="auto" w:fill="FFFFFF"/>
                <w:lang w:val="en-US"/>
              </w:rPr>
              <w:t>;</w:t>
            </w:r>
          </w:p>
          <w:p w14:paraId="7C988FE6" w14:textId="77777777" w:rsidR="00124364" w:rsidRPr="00A303C4" w:rsidRDefault="00000000" w:rsidP="00A303C4">
            <w:pPr>
              <w:pStyle w:val="ti-art"/>
              <w:numPr>
                <w:ilvl w:val="0"/>
                <w:numId w:val="1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calculele</w:t>
            </w:r>
            <w:proofErr w:type="spellEnd"/>
            <w:r w:rsidRPr="00A303C4">
              <w:rPr>
                <w:rFonts w:eastAsia="Arial Unicode MS"/>
                <w:color w:val="000000" w:themeColor="text1"/>
                <w:sz w:val="20"/>
                <w:szCs w:val="20"/>
                <w:shd w:val="clear" w:color="auto" w:fill="FFFFFF"/>
                <w:lang w:val="en-US"/>
              </w:rPr>
              <w:t xml:space="preserve"> care au </w:t>
            </w:r>
            <w:proofErr w:type="spellStart"/>
            <w:r w:rsidRPr="00A303C4">
              <w:rPr>
                <w:rFonts w:eastAsia="Arial Unicode MS"/>
                <w:color w:val="000000" w:themeColor="text1"/>
                <w:sz w:val="20"/>
                <w:szCs w:val="20"/>
                <w:shd w:val="clear" w:color="auto" w:fill="FFFFFF"/>
                <w:lang w:val="en-US"/>
              </w:rPr>
              <w:t>condus</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determinarea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și</w:t>
            </w:r>
          </w:p>
          <w:p w14:paraId="03D55F99" w14:textId="77777777" w:rsidR="00124364" w:rsidRPr="00A303C4" w:rsidRDefault="00000000" w:rsidP="00A303C4">
            <w:pPr>
              <w:pStyle w:val="ti-art"/>
              <w:numPr>
                <w:ilvl w:val="0"/>
                <w:numId w:val="19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în </w:t>
            </w:r>
            <w:proofErr w:type="spellStart"/>
            <w:r w:rsidRPr="00A303C4">
              <w:rPr>
                <w:rFonts w:eastAsia="Arial Unicode MS"/>
                <w:color w:val="000000" w:themeColor="text1"/>
                <w:sz w:val="20"/>
                <w:szCs w:val="20"/>
                <w:shd w:val="clear" w:color="auto" w:fill="FFFFFF"/>
                <w:lang w:val="en-US"/>
              </w:rPr>
              <w:t>cazul</w:t>
            </w:r>
            <w:proofErr w:type="spellEnd"/>
            <w:r w:rsidRPr="00A303C4">
              <w:rPr>
                <w:rFonts w:eastAsia="Arial Unicode MS"/>
                <w:color w:val="000000" w:themeColor="text1"/>
                <w:sz w:val="20"/>
                <w:szCs w:val="20"/>
                <w:shd w:val="clear" w:color="auto" w:fill="FFFFFF"/>
                <w:lang w:val="en-US"/>
              </w:rPr>
              <w:t xml:space="preserve"> în care se </w:t>
            </w:r>
            <w:proofErr w:type="spellStart"/>
            <w:r w:rsidRPr="00A303C4">
              <w:rPr>
                <w:rFonts w:eastAsia="Arial Unicode MS"/>
                <w:color w:val="000000" w:themeColor="text1"/>
                <w:sz w:val="20"/>
                <w:szCs w:val="20"/>
                <w:shd w:val="clear" w:color="auto" w:fill="FFFFFF"/>
                <w:lang w:val="en-US"/>
              </w:rPr>
              <w:t>folosesc</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măsurări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cât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adecvate</w:t>
            </w:r>
            <w:proofErr w:type="spellEnd"/>
            <w:r w:rsidRPr="00A303C4">
              <w:rPr>
                <w:rFonts w:eastAsia="Arial Unicode MS"/>
                <w:color w:val="000000" w:themeColor="text1"/>
                <w:sz w:val="20"/>
                <w:szCs w:val="20"/>
                <w:shd w:val="clear" w:color="auto" w:fill="FFFFFF"/>
                <w:lang w:val="en-US"/>
              </w:rPr>
              <w:t xml:space="preserve"> sunt </w:t>
            </w:r>
            <w:proofErr w:type="spellStart"/>
            <w:r w:rsidRPr="00A303C4">
              <w:rPr>
                <w:rFonts w:eastAsia="Arial Unicode MS"/>
                <w:color w:val="000000" w:themeColor="text1"/>
                <w:sz w:val="20"/>
                <w:szCs w:val="20"/>
                <w:shd w:val="clear" w:color="auto" w:fill="FFFFFF"/>
                <w:lang w:val="en-US"/>
              </w:rPr>
              <w:t>alegerea</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modul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utilizare</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metodelor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măsurare</w:t>
            </w:r>
            <w:proofErr w:type="spellEnd"/>
            <w:r w:rsidRPr="00A303C4">
              <w:rPr>
                <w:rFonts w:eastAsia="Arial Unicode MS"/>
                <w:color w:val="000000" w:themeColor="text1"/>
                <w:sz w:val="20"/>
                <w:szCs w:val="20"/>
                <w:shd w:val="clear" w:color="auto" w:fill="FFFFFF"/>
                <w:lang w:val="en-US"/>
              </w:rPr>
              <w:t>.</w:t>
            </w:r>
          </w:p>
          <w:p w14:paraId="2BC1196B"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 xml:space="preserve"> pot fi validate </w:t>
            </w:r>
            <w:proofErr w:type="spellStart"/>
            <w:r w:rsidRPr="00A303C4">
              <w:rPr>
                <w:rFonts w:eastAsia="Arial Unicode MS"/>
                <w:color w:val="000000" w:themeColor="text1"/>
                <w:sz w:val="20"/>
                <w:szCs w:val="20"/>
                <w:shd w:val="clear" w:color="auto" w:fill="FFFFFF"/>
                <w:lang w:val="en-US"/>
              </w:rPr>
              <w:t>numai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dacă</w:t>
            </w:r>
            <w:proofErr w:type="spellEnd"/>
            <w:r w:rsidRPr="00A303C4">
              <w:rPr>
                <w:rFonts w:eastAsia="Arial Unicode MS"/>
                <w:color w:val="000000" w:themeColor="text1"/>
                <w:sz w:val="20"/>
                <w:szCs w:val="20"/>
                <w:shd w:val="clear" w:color="auto" w:fill="FFFFFF"/>
                <w:lang w:val="en-US"/>
              </w:rPr>
              <w:t xml:space="preserve"> există date și </w:t>
            </w:r>
            <w:proofErr w:type="spellStart"/>
            <w:r w:rsidRPr="00A303C4">
              <w:rPr>
                <w:rFonts w:eastAsia="Arial Unicode MS"/>
                <w:color w:val="000000" w:themeColor="text1"/>
                <w:sz w:val="20"/>
                <w:szCs w:val="20"/>
                <w:shd w:val="clear" w:color="auto" w:fill="FFFFFF"/>
                <w:lang w:val="en-US"/>
              </w:rPr>
              <w:t>informații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fiabile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credibile</w:t>
            </w:r>
            <w:proofErr w:type="spellEnd"/>
            <w:r w:rsidRPr="00A303C4">
              <w:rPr>
                <w:rFonts w:eastAsia="Arial Unicode MS"/>
                <w:color w:val="000000" w:themeColor="text1"/>
                <w:sz w:val="20"/>
                <w:szCs w:val="20"/>
                <w:shd w:val="clear" w:color="auto" w:fill="FFFFFF"/>
                <w:lang w:val="en-US"/>
              </w:rPr>
              <w:t xml:space="preserve"> care permit </w:t>
            </w:r>
            <w:proofErr w:type="spellStart"/>
            <w:r w:rsidRPr="00A303C4">
              <w:rPr>
                <w:rFonts w:eastAsia="Arial Unicode MS"/>
                <w:color w:val="000000" w:themeColor="text1"/>
                <w:sz w:val="20"/>
                <w:szCs w:val="20"/>
                <w:shd w:val="clear" w:color="auto" w:fill="FFFFFF"/>
                <w:lang w:val="en-US"/>
              </w:rPr>
              <w:t>determinarea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cu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siguranță</w:t>
            </w:r>
            <w:proofErr w:type="spellEnd"/>
            <w:r w:rsidRPr="00A303C4">
              <w:rPr>
                <w:rFonts w:eastAsia="Arial Unicode MS"/>
                <w:color w:val="000000" w:themeColor="text1"/>
                <w:sz w:val="20"/>
                <w:szCs w:val="20"/>
                <w:shd w:val="clear" w:color="auto" w:fill="FFFFFF"/>
                <w:lang w:val="en-US"/>
              </w:rPr>
              <w:t xml:space="preserve">.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certitudine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presupune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demonstrarea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către</w:t>
            </w:r>
            <w:proofErr w:type="spellEnd"/>
            <w:r w:rsidRPr="00A303C4">
              <w:rPr>
                <w:rFonts w:eastAsia="Arial Unicode MS"/>
                <w:color w:val="000000" w:themeColor="text1"/>
                <w:sz w:val="20"/>
                <w:szCs w:val="20"/>
                <w:shd w:val="clear" w:color="auto" w:fill="FFFFFF"/>
                <w:lang w:val="en-US"/>
              </w:rPr>
              <w:t xml:space="preserve"> operator a </w:t>
            </w:r>
            <w:proofErr w:type="spellStart"/>
            <w:r w:rsidRPr="00A303C4">
              <w:rPr>
                <w:rFonts w:eastAsia="Arial Unicode MS"/>
                <w:color w:val="000000" w:themeColor="text1"/>
                <w:sz w:val="20"/>
                <w:szCs w:val="20"/>
                <w:shd w:val="clear" w:color="auto" w:fill="FFFFFF"/>
                <w:lang w:val="en-US"/>
              </w:rPr>
              <w:t>următoarelor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aspecte</w:t>
            </w:r>
            <w:proofErr w:type="spellEnd"/>
            <w:r w:rsidRPr="00A303C4">
              <w:rPr>
                <w:rFonts w:eastAsia="Arial Unicode MS"/>
                <w:color w:val="000000" w:themeColor="text1"/>
                <w:sz w:val="20"/>
                <w:szCs w:val="20"/>
                <w:shd w:val="clear" w:color="auto" w:fill="FFFFFF"/>
                <w:lang w:val="en-US"/>
              </w:rPr>
              <w:t>:</w:t>
            </w:r>
          </w:p>
          <w:p w14:paraId="29F8F77D" w14:textId="77777777" w:rsidR="00124364" w:rsidRPr="00A303C4" w:rsidRDefault="00000000" w:rsidP="00A303C4">
            <w:pPr>
              <w:pStyle w:val="ti-art"/>
              <w:numPr>
                <w:ilvl w:val="0"/>
                <w:numId w:val="1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conțin</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neconcordanțe</w:t>
            </w:r>
            <w:proofErr w:type="spellEnd"/>
            <w:r w:rsidRPr="00A303C4">
              <w:rPr>
                <w:rFonts w:eastAsia="Arial Unicode MS"/>
                <w:color w:val="000000" w:themeColor="text1"/>
                <w:sz w:val="20"/>
                <w:szCs w:val="20"/>
                <w:shd w:val="clear" w:color="auto" w:fill="FFFFFF"/>
                <w:lang w:val="en-US"/>
              </w:rPr>
              <w:t>;</w:t>
            </w:r>
          </w:p>
          <w:p w14:paraId="4F3B332D" w14:textId="77777777" w:rsidR="00124364" w:rsidRPr="00A303C4" w:rsidRDefault="00000000" w:rsidP="00A303C4">
            <w:pPr>
              <w:pStyle w:val="ti-art"/>
              <w:numPr>
                <w:ilvl w:val="0"/>
                <w:numId w:val="1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au </w:t>
            </w:r>
            <w:proofErr w:type="spellStart"/>
            <w:r w:rsidRPr="00A303C4">
              <w:rPr>
                <w:rFonts w:eastAsia="Arial Unicode MS"/>
                <w:color w:val="000000" w:themeColor="text1"/>
                <w:sz w:val="20"/>
                <w:szCs w:val="20"/>
                <w:shd w:val="clear" w:color="auto" w:fill="FFFFFF"/>
                <w:lang w:val="en-US"/>
              </w:rPr>
              <w:t>fost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colectate</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standardele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științifice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aplicabile</w:t>
            </w:r>
            <w:proofErr w:type="spellEnd"/>
            <w:r w:rsidRPr="00A303C4">
              <w:rPr>
                <w:rFonts w:eastAsia="Arial Unicode MS"/>
                <w:color w:val="000000" w:themeColor="text1"/>
                <w:sz w:val="20"/>
                <w:szCs w:val="20"/>
                <w:shd w:val="clear" w:color="auto" w:fill="FFFFFF"/>
                <w:lang w:val="en-US"/>
              </w:rPr>
              <w:t xml:space="preserve"> și</w:t>
            </w:r>
          </w:p>
          <w:p w14:paraId="2D272B1A" w14:textId="77777777" w:rsidR="00124364" w:rsidRPr="00A303C4" w:rsidRDefault="00000000" w:rsidP="00A303C4">
            <w:pPr>
              <w:pStyle w:val="ti-art"/>
              <w:numPr>
                <w:ilvl w:val="0"/>
                <w:numId w:val="19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înregistrările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instalația</w:t>
            </w:r>
            <w:proofErr w:type="spellEnd"/>
            <w:r w:rsidRPr="00A303C4">
              <w:rPr>
                <w:rFonts w:eastAsia="Arial Unicode MS"/>
                <w:color w:val="000000" w:themeColor="text1"/>
                <w:sz w:val="20"/>
                <w:szCs w:val="20"/>
                <w:shd w:val="clear" w:color="auto" w:fill="FFFFFF"/>
                <w:lang w:val="en-US"/>
              </w:rPr>
              <w:t xml:space="preserve"> sunt complete și </w:t>
            </w:r>
            <w:proofErr w:type="spellStart"/>
            <w:r w:rsidRPr="00A303C4">
              <w:rPr>
                <w:rFonts w:eastAsia="Arial Unicode MS"/>
                <w:color w:val="000000" w:themeColor="text1"/>
                <w:sz w:val="20"/>
                <w:szCs w:val="20"/>
                <w:shd w:val="clear" w:color="auto" w:fill="FFFFFF"/>
                <w:lang w:val="en-US"/>
              </w:rPr>
              <w:t>coerente</w:t>
            </w:r>
            <w:proofErr w:type="spellEnd"/>
            <w:r w:rsidRPr="00A303C4">
              <w:rPr>
                <w:rFonts w:eastAsia="Arial Unicode MS"/>
                <w:color w:val="000000" w:themeColor="text1"/>
                <w:sz w:val="20"/>
                <w:szCs w:val="20"/>
                <w:shd w:val="clear" w:color="auto" w:fill="FFFFFF"/>
                <w:lang w:val="en-US"/>
              </w:rPr>
              <w:t>.</w:t>
            </w:r>
          </w:p>
          <w:p w14:paraId="52AD518C"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are </w:t>
            </w:r>
            <w:proofErr w:type="spellStart"/>
            <w:r w:rsidRPr="00A303C4">
              <w:rPr>
                <w:rFonts w:eastAsia="Arial Unicode MS"/>
                <w:color w:val="000000" w:themeColor="text1"/>
                <w:sz w:val="20"/>
                <w:szCs w:val="20"/>
                <w:shd w:val="clear" w:color="auto" w:fill="FFFFFF"/>
                <w:lang w:val="en-US"/>
              </w:rPr>
              <w:t>drept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acces</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zonele</w:t>
            </w:r>
            <w:proofErr w:type="spellEnd"/>
            <w:r w:rsidRPr="00A303C4">
              <w:rPr>
                <w:rFonts w:eastAsia="Arial Unicode MS"/>
                <w:color w:val="000000" w:themeColor="text1"/>
                <w:sz w:val="20"/>
                <w:szCs w:val="20"/>
                <w:shd w:val="clear" w:color="auto" w:fill="FFFFFF"/>
                <w:lang w:val="en-US"/>
              </w:rPr>
              <w:t xml:space="preserve"> și la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înregistrările</w:t>
            </w:r>
            <w:proofErr w:type="spellEnd"/>
            <w:r w:rsidRPr="00A303C4">
              <w:rPr>
                <w:rFonts w:eastAsia="Arial Unicode MS"/>
                <w:color w:val="000000" w:themeColor="text1"/>
                <w:sz w:val="20"/>
                <w:szCs w:val="20"/>
                <w:shd w:val="clear" w:color="auto" w:fill="FFFFFF"/>
                <w:lang w:val="en-US"/>
              </w:rPr>
              <w:t xml:space="preserve"> legate de </w:t>
            </w:r>
            <w:proofErr w:type="spellStart"/>
            <w:r w:rsidRPr="00A303C4">
              <w:rPr>
                <w:rFonts w:eastAsia="Arial Unicode MS"/>
                <w:color w:val="000000" w:themeColor="text1"/>
                <w:sz w:val="20"/>
                <w:szCs w:val="20"/>
                <w:shd w:val="clear" w:color="auto" w:fill="FFFFFF"/>
                <w:lang w:val="en-US"/>
              </w:rPr>
              <w:t>subiectul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w:t>
            </w:r>
          </w:p>
          <w:p w14:paraId="5E1E3E2D"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ține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seama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faptul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instalația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sau</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înregistrată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Sistemului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comunitar</w:t>
            </w:r>
            <w:proofErr w:type="spellEnd"/>
            <w:r w:rsidRPr="00A303C4">
              <w:rPr>
                <w:rFonts w:eastAsia="Arial Unicode MS"/>
                <w:color w:val="000000" w:themeColor="text1"/>
                <w:sz w:val="20"/>
                <w:szCs w:val="20"/>
                <w:shd w:val="clear" w:color="auto" w:fill="FFFFFF"/>
                <w:lang w:val="en-US"/>
              </w:rPr>
              <w:t xml:space="preserve"> de management și audit ecologic (SGEA).</w:t>
            </w:r>
          </w:p>
          <w:p w14:paraId="494427C7" w14:textId="77777777" w:rsidR="00124364" w:rsidRPr="00A303C4" w:rsidRDefault="00000000" w:rsidP="00A303C4">
            <w:pPr>
              <w:pStyle w:val="ti-art"/>
              <w:shd w:val="clear" w:color="auto" w:fill="FFFFFF"/>
              <w:spacing w:before="0" w:beforeAutospacing="0" w:after="0" w:afterAutospacing="0"/>
              <w:ind w:left="720"/>
              <w:jc w:val="both"/>
              <w:rPr>
                <w:rFonts w:eastAsia="Arial Unicode MS"/>
                <w:i/>
                <w:iCs/>
                <w:color w:val="000000" w:themeColor="text1"/>
                <w:sz w:val="20"/>
                <w:szCs w:val="20"/>
                <w:shd w:val="clear" w:color="auto" w:fill="FFFFFF"/>
              </w:rPr>
            </w:pPr>
            <w:proofErr w:type="spellStart"/>
            <w:r w:rsidRPr="00A303C4">
              <w:rPr>
                <w:rFonts w:eastAsia="Arial Unicode MS"/>
                <w:i/>
                <w:iCs/>
                <w:color w:val="000000" w:themeColor="text1"/>
                <w:sz w:val="20"/>
                <w:szCs w:val="20"/>
                <w:shd w:val="clear" w:color="auto" w:fill="FFFFFF"/>
              </w:rPr>
              <w:lastRenderedPageBreak/>
              <w:t>Metodologie</w:t>
            </w:r>
            <w:proofErr w:type="spellEnd"/>
          </w:p>
          <w:p w14:paraId="56B6D88E"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b/>
                <w:bCs/>
                <w:color w:val="000000" w:themeColor="text1"/>
                <w:sz w:val="20"/>
                <w:szCs w:val="20"/>
                <w:shd w:val="clear" w:color="auto" w:fill="FFFFFF"/>
              </w:rPr>
              <w:t>Analiza</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strategică</w:t>
            </w:r>
            <w:proofErr w:type="spellEnd"/>
          </w:p>
          <w:p w14:paraId="3F9EA291"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Verificarea</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bazează</w:t>
            </w:r>
            <w:proofErr w:type="spellEnd"/>
            <w:r w:rsidRPr="00A303C4">
              <w:rPr>
                <w:rFonts w:eastAsia="Arial Unicode MS"/>
                <w:color w:val="000000" w:themeColor="text1"/>
                <w:sz w:val="20"/>
                <w:szCs w:val="20"/>
                <w:shd w:val="clear" w:color="auto" w:fill="FFFFFF"/>
                <w:lang w:val="en-US"/>
              </w:rPr>
              <w:t xml:space="preserve"> pe o </w:t>
            </w:r>
            <w:proofErr w:type="spellStart"/>
            <w:r w:rsidRPr="00A303C4">
              <w:rPr>
                <w:rFonts w:eastAsia="Arial Unicode MS"/>
                <w:color w:val="000000" w:themeColor="text1"/>
                <w:sz w:val="20"/>
                <w:szCs w:val="20"/>
                <w:shd w:val="clear" w:color="auto" w:fill="FFFFFF"/>
                <w:lang w:val="en-US"/>
              </w:rPr>
              <w:t>analiză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strategică</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tuturor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desfășurate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acest</w:t>
            </w:r>
            <w:proofErr w:type="spellEnd"/>
            <w:r w:rsidRPr="00A303C4">
              <w:rPr>
                <w:rFonts w:eastAsia="Arial Unicode MS"/>
                <w:color w:val="000000" w:themeColor="text1"/>
                <w:sz w:val="20"/>
                <w:szCs w:val="20"/>
                <w:shd w:val="clear" w:color="auto" w:fill="FFFFFF"/>
                <w:lang w:val="en-US"/>
              </w:rPr>
              <w:t xml:space="preserve"> scop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trebuie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aibă</w:t>
            </w:r>
            <w:proofErr w:type="spellEnd"/>
            <w:r w:rsidRPr="00A303C4">
              <w:rPr>
                <w:rFonts w:eastAsia="Arial Unicode MS"/>
                <w:color w:val="000000" w:themeColor="text1"/>
                <w:sz w:val="20"/>
                <w:szCs w:val="20"/>
                <w:shd w:val="clear" w:color="auto" w:fill="FFFFFF"/>
                <w:lang w:val="en-US"/>
              </w:rPr>
              <w:t xml:space="preserve"> o </w:t>
            </w:r>
            <w:proofErr w:type="spellStart"/>
            <w:r w:rsidRPr="00A303C4">
              <w:rPr>
                <w:rFonts w:eastAsia="Arial Unicode MS"/>
                <w:color w:val="000000" w:themeColor="text1"/>
                <w:sz w:val="20"/>
                <w:szCs w:val="20"/>
                <w:shd w:val="clear" w:color="auto" w:fill="FFFFFF"/>
                <w:lang w:val="en-US"/>
              </w:rPr>
              <w:t>vedere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ansamblu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asupra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tuturor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asupra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importanței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acestora</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ceea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privește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ascii="Arial Unicode MS" w:eastAsia="Arial Unicode MS" w:hAnsi="Arial Unicode MS" w:cs="Arial Unicode MS" w:hint="eastAsia"/>
                <w:color w:val="000000" w:themeColor="text1"/>
                <w:sz w:val="21"/>
                <w:szCs w:val="21"/>
                <w:shd w:val="clear" w:color="auto" w:fill="FFFFFF"/>
                <w:lang w:val="en-US"/>
              </w:rPr>
              <w:t>.</w:t>
            </w:r>
          </w:p>
          <w:p w14:paraId="43CF6C7E"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b/>
                <w:bCs/>
                <w:color w:val="000000" w:themeColor="text1"/>
                <w:sz w:val="20"/>
                <w:szCs w:val="20"/>
                <w:shd w:val="clear" w:color="auto" w:fill="FFFFFF"/>
              </w:rPr>
              <w:t>Analiza</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procesului</w:t>
            </w:r>
            <w:proofErr w:type="spellEnd"/>
          </w:p>
          <w:p w14:paraId="0781F31F"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informațiilor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prezentate</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realizează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după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caz</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locul</w:t>
            </w:r>
            <w:proofErr w:type="spellEnd"/>
            <w:r w:rsidRPr="00A303C4">
              <w:rPr>
                <w:rFonts w:eastAsia="Arial Unicode MS"/>
                <w:color w:val="000000" w:themeColor="text1"/>
                <w:sz w:val="20"/>
                <w:szCs w:val="20"/>
                <w:shd w:val="clear" w:color="auto" w:fill="FFFFFF"/>
                <w:lang w:val="en-US"/>
              </w:rPr>
              <w:t xml:space="preserve"> în care se </w:t>
            </w:r>
            <w:proofErr w:type="spellStart"/>
            <w:r w:rsidRPr="00A303C4">
              <w:rPr>
                <w:rFonts w:eastAsia="Arial Unicode MS"/>
                <w:color w:val="000000" w:themeColor="text1"/>
                <w:sz w:val="20"/>
                <w:szCs w:val="20"/>
                <w:shd w:val="clear" w:color="auto" w:fill="FFFFFF"/>
                <w:lang w:val="en-US"/>
              </w:rPr>
              <w:t>află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instalația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recurge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controale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prin</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sondaj</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determina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fiabilitatea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informațiilor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w:t>
            </w:r>
          </w:p>
          <w:p w14:paraId="1F589B78"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b/>
                <w:bCs/>
                <w:color w:val="000000" w:themeColor="text1"/>
                <w:sz w:val="20"/>
                <w:szCs w:val="20"/>
                <w:shd w:val="clear" w:color="auto" w:fill="FFFFFF"/>
              </w:rPr>
              <w:t>Analiza</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riscului</w:t>
            </w:r>
            <w:proofErr w:type="spellEnd"/>
          </w:p>
          <w:p w14:paraId="25510EB5"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supune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evaluării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sursele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emisii</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determina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fiabilitatea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fiecare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sursă</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contribuie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totalul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instalația</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cauză</w:t>
            </w:r>
            <w:proofErr w:type="spellEnd"/>
            <w:r w:rsidRPr="00A303C4">
              <w:rPr>
                <w:rFonts w:eastAsia="Arial Unicode MS"/>
                <w:color w:val="000000" w:themeColor="text1"/>
                <w:sz w:val="20"/>
                <w:szCs w:val="20"/>
                <w:shd w:val="clear" w:color="auto" w:fill="FFFFFF"/>
                <w:lang w:val="en-US"/>
              </w:rPr>
              <w:t>.</w:t>
            </w:r>
          </w:p>
          <w:p w14:paraId="31ADED80"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Pe </w:t>
            </w:r>
            <w:proofErr w:type="spellStart"/>
            <w:r w:rsidRPr="00A303C4">
              <w:rPr>
                <w:rFonts w:eastAsia="Arial Unicode MS"/>
                <w:color w:val="000000" w:themeColor="text1"/>
                <w:sz w:val="20"/>
                <w:szCs w:val="20"/>
                <w:shd w:val="clear" w:color="auto" w:fill="FFFFFF"/>
                <w:lang w:val="en-US"/>
              </w:rPr>
              <w:t>baza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analize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identifică</w:t>
            </w:r>
            <w:proofErr w:type="spellEnd"/>
            <w:r w:rsidRPr="00A303C4">
              <w:rPr>
                <w:rFonts w:eastAsia="Arial Unicode MS"/>
                <w:color w:val="000000" w:themeColor="text1"/>
                <w:sz w:val="20"/>
                <w:szCs w:val="20"/>
                <w:shd w:val="clear" w:color="auto" w:fill="FFFFFF"/>
                <w:lang w:val="en-US"/>
              </w:rPr>
              <w:t xml:space="preserve"> explicit </w:t>
            </w:r>
            <w:proofErr w:type="spellStart"/>
            <w:r w:rsidRPr="00A303C4">
              <w:rPr>
                <w:rFonts w:eastAsia="Arial Unicode MS"/>
                <w:color w:val="000000" w:themeColor="text1"/>
                <w:sz w:val="20"/>
                <w:szCs w:val="20"/>
                <w:shd w:val="clear" w:color="auto" w:fill="FFFFFF"/>
                <w:lang w:val="en-US"/>
              </w:rPr>
              <w:t>acele</w:t>
            </w:r>
            <w:proofErr w:type="spellEnd"/>
            <w:r w:rsidRPr="00A303C4">
              <w:rPr>
                <w:rFonts w:eastAsia="Arial Unicode MS"/>
                <w:color w:val="000000" w:themeColor="text1"/>
                <w:sz w:val="20"/>
                <w:szCs w:val="20"/>
                <w:shd w:val="clear" w:color="auto" w:fill="FFFFFF"/>
                <w:lang w:val="en-US"/>
              </w:rPr>
              <w:t xml:space="preserve"> surse care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risc</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eroare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alte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aspecte</w:t>
            </w:r>
            <w:proofErr w:type="spellEnd"/>
            <w:r w:rsidRPr="00A303C4">
              <w:rPr>
                <w:rFonts w:eastAsia="Arial Unicode MS"/>
                <w:color w:val="000000" w:themeColor="text1"/>
                <w:sz w:val="20"/>
                <w:szCs w:val="20"/>
                <w:shd w:val="clear" w:color="auto" w:fill="FFFFFF"/>
                <w:lang w:val="en-US"/>
              </w:rPr>
              <w:t xml:space="preserve"> ale </w:t>
            </w:r>
            <w:proofErr w:type="spellStart"/>
            <w:r w:rsidRPr="00A303C4">
              <w:rPr>
                <w:rFonts w:eastAsia="Arial Unicode MS"/>
                <w:color w:val="000000" w:themeColor="text1"/>
                <w:sz w:val="20"/>
                <w:szCs w:val="20"/>
                <w:shd w:val="clear" w:color="auto" w:fill="FFFFFF"/>
                <w:lang w:val="en-US"/>
              </w:rPr>
              <w:t>procedurii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monitorizare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raportare</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posibil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contribuie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apariția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unor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erori</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determinarea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Este </w:t>
            </w:r>
            <w:proofErr w:type="spellStart"/>
            <w:r w:rsidRPr="00A303C4">
              <w:rPr>
                <w:rFonts w:eastAsia="Arial Unicode MS"/>
                <w:color w:val="000000" w:themeColor="text1"/>
                <w:sz w:val="20"/>
                <w:szCs w:val="20"/>
                <w:shd w:val="clear" w:color="auto" w:fill="FFFFFF"/>
                <w:lang w:val="en-US"/>
              </w:rPr>
              <w:t>vorba</w:t>
            </w:r>
            <w:proofErr w:type="spellEnd"/>
            <w:r w:rsidRPr="00A303C4">
              <w:rPr>
                <w:rFonts w:eastAsia="Arial Unicode MS"/>
                <w:color w:val="000000" w:themeColor="text1"/>
                <w:sz w:val="20"/>
                <w:szCs w:val="20"/>
                <w:shd w:val="clear" w:color="auto" w:fill="FFFFFF"/>
                <w:lang w:val="en-US"/>
              </w:rPr>
              <w:t xml:space="preserve"> în special de </w:t>
            </w:r>
            <w:proofErr w:type="spellStart"/>
            <w:r w:rsidRPr="00A303C4">
              <w:rPr>
                <w:rFonts w:eastAsia="Arial Unicode MS"/>
                <w:color w:val="000000" w:themeColor="text1"/>
                <w:sz w:val="20"/>
                <w:szCs w:val="20"/>
                <w:shd w:val="clear" w:color="auto" w:fill="FFFFFF"/>
                <w:lang w:val="en-US"/>
              </w:rPr>
              <w:t>alegerea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factorilor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emisie</w:t>
            </w:r>
            <w:proofErr w:type="spellEnd"/>
            <w:r w:rsidRPr="00A303C4">
              <w:rPr>
                <w:rFonts w:eastAsia="Arial Unicode MS"/>
                <w:color w:val="000000" w:themeColor="text1"/>
                <w:sz w:val="20"/>
                <w:szCs w:val="20"/>
                <w:shd w:val="clear" w:color="auto" w:fill="FFFFFF"/>
                <w:lang w:val="en-US"/>
              </w:rPr>
              <w:t xml:space="preserve"> și de </w:t>
            </w:r>
            <w:proofErr w:type="spellStart"/>
            <w:r w:rsidRPr="00A303C4">
              <w:rPr>
                <w:rFonts w:eastAsia="Arial Unicode MS"/>
                <w:color w:val="000000" w:themeColor="text1"/>
                <w:sz w:val="20"/>
                <w:szCs w:val="20"/>
                <w:shd w:val="clear" w:color="auto" w:fill="FFFFFF"/>
                <w:lang w:val="en-US"/>
              </w:rPr>
              <w:t>calculele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necesare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determina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nivelul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din surse </w:t>
            </w:r>
            <w:proofErr w:type="spellStart"/>
            <w:r w:rsidRPr="00A303C4">
              <w:rPr>
                <w:rFonts w:eastAsia="Arial Unicode MS"/>
                <w:color w:val="000000" w:themeColor="text1"/>
                <w:sz w:val="20"/>
                <w:szCs w:val="20"/>
                <w:shd w:val="clear" w:color="auto" w:fill="FFFFFF"/>
                <w:lang w:val="en-US"/>
              </w:rPr>
              <w:t>individuale</w:t>
            </w:r>
            <w:proofErr w:type="spellEnd"/>
            <w:r w:rsidRPr="00A303C4">
              <w:rPr>
                <w:rFonts w:eastAsia="Arial Unicode MS"/>
                <w:color w:val="000000" w:themeColor="text1"/>
                <w:sz w:val="20"/>
                <w:szCs w:val="20"/>
                <w:shd w:val="clear" w:color="auto" w:fill="FFFFFF"/>
                <w:lang w:val="en-US"/>
              </w:rPr>
              <w:t xml:space="preserve">. Este </w:t>
            </w:r>
            <w:proofErr w:type="spellStart"/>
            <w:r w:rsidRPr="00A303C4">
              <w:rPr>
                <w:rFonts w:eastAsia="Arial Unicode MS"/>
                <w:color w:val="000000" w:themeColor="text1"/>
                <w:sz w:val="20"/>
                <w:szCs w:val="20"/>
                <w:shd w:val="clear" w:color="auto" w:fill="FFFFFF"/>
                <w:lang w:val="en-US"/>
              </w:rPr>
              <w:t>acordată</w:t>
            </w:r>
            <w:proofErr w:type="spellEnd"/>
            <w:r w:rsidRPr="00A303C4">
              <w:rPr>
                <w:rFonts w:eastAsia="Arial Unicode MS"/>
                <w:color w:val="000000" w:themeColor="text1"/>
                <w:sz w:val="20"/>
                <w:szCs w:val="20"/>
                <w:shd w:val="clear" w:color="auto" w:fill="FFFFFF"/>
                <w:lang w:val="en-US"/>
              </w:rPr>
              <w:t xml:space="preserve"> o </w:t>
            </w:r>
            <w:proofErr w:type="spellStart"/>
            <w:r w:rsidRPr="00A303C4">
              <w:rPr>
                <w:rFonts w:eastAsia="Arial Unicode MS"/>
                <w:color w:val="000000" w:themeColor="text1"/>
                <w:sz w:val="20"/>
                <w:szCs w:val="20"/>
                <w:shd w:val="clear" w:color="auto" w:fill="FFFFFF"/>
                <w:lang w:val="en-US"/>
              </w:rPr>
              <w:t>atenție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specială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surselor</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un </w:t>
            </w:r>
            <w:proofErr w:type="spellStart"/>
            <w:r w:rsidRPr="00A303C4">
              <w:rPr>
                <w:rFonts w:eastAsia="Arial Unicode MS"/>
                <w:color w:val="000000" w:themeColor="text1"/>
                <w:sz w:val="20"/>
                <w:szCs w:val="20"/>
                <w:shd w:val="clear" w:color="auto" w:fill="FFFFFF"/>
                <w:lang w:val="en-US"/>
              </w:rPr>
              <w:t>risc</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eroare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aspectelor</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procedurii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monitorizare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menționate</w:t>
            </w:r>
            <w:proofErr w:type="spellEnd"/>
            <w:r w:rsidRPr="00A303C4">
              <w:rPr>
                <w:rFonts w:eastAsia="Arial Unicode MS"/>
                <w:color w:val="000000" w:themeColor="text1"/>
                <w:sz w:val="20"/>
                <w:szCs w:val="20"/>
                <w:shd w:val="clear" w:color="auto" w:fill="FFFFFF"/>
                <w:lang w:val="en-US"/>
              </w:rPr>
              <w:t xml:space="preserve"> anterior.</w:t>
            </w:r>
          </w:p>
          <w:p w14:paraId="787D26BB"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ia</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considerare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orice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metode</w:t>
            </w:r>
            <w:proofErr w:type="spellEnd"/>
            <w:r w:rsidRPr="00A303C4">
              <w:rPr>
                <w:rFonts w:eastAsia="Arial Unicode MS"/>
                <w:color w:val="000000" w:themeColor="text1"/>
                <w:sz w:val="20"/>
                <w:szCs w:val="20"/>
                <w:shd w:val="clear" w:color="auto" w:fill="FFFFFF"/>
                <w:lang w:val="en-US"/>
              </w:rPr>
              <w:t xml:space="preserve"> eficiente de control al </w:t>
            </w:r>
            <w:proofErr w:type="spellStart"/>
            <w:r w:rsidRPr="00A303C4">
              <w:rPr>
                <w:rFonts w:eastAsia="Arial Unicode MS"/>
                <w:color w:val="000000" w:themeColor="text1"/>
                <w:sz w:val="20"/>
                <w:szCs w:val="20"/>
                <w:shd w:val="clear" w:color="auto" w:fill="FFFFFF"/>
                <w:lang w:val="en-US"/>
              </w:rPr>
              <w:t>riscului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aplicate</w:t>
            </w:r>
            <w:proofErr w:type="spellEnd"/>
            <w:r w:rsidRPr="00A303C4">
              <w:rPr>
                <w:rFonts w:eastAsia="Arial Unicode MS"/>
                <w:color w:val="000000" w:themeColor="text1"/>
                <w:sz w:val="20"/>
                <w:szCs w:val="20"/>
                <w:shd w:val="clear" w:color="auto" w:fill="FFFFFF"/>
                <w:lang w:val="en-US"/>
              </w:rPr>
              <w:t xml:space="preserve"> de operator în </w:t>
            </w:r>
            <w:proofErr w:type="spellStart"/>
            <w:r w:rsidRPr="00A303C4">
              <w:rPr>
                <w:rFonts w:eastAsia="Arial Unicode MS"/>
                <w:color w:val="000000" w:themeColor="text1"/>
                <w:sz w:val="20"/>
                <w:szCs w:val="20"/>
                <w:shd w:val="clear" w:color="auto" w:fill="FFFFFF"/>
                <w:lang w:val="en-US"/>
              </w:rPr>
              <w:t>vederea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reducerii</w:t>
            </w:r>
            <w:proofErr w:type="spellEnd"/>
            <w:r w:rsidRPr="00A303C4">
              <w:rPr>
                <w:rFonts w:eastAsia="Arial Unicode MS"/>
                <w:color w:val="000000" w:themeColor="text1"/>
                <w:sz w:val="20"/>
                <w:szCs w:val="20"/>
                <w:shd w:val="clear" w:color="auto" w:fill="FFFFFF"/>
                <w:lang w:val="en-US"/>
              </w:rPr>
              <w:t xml:space="preserve"> la minimum a </w:t>
            </w:r>
            <w:proofErr w:type="spellStart"/>
            <w:r w:rsidRPr="00A303C4">
              <w:rPr>
                <w:rFonts w:eastAsia="Arial Unicode MS"/>
                <w:color w:val="000000" w:themeColor="text1"/>
                <w:sz w:val="20"/>
                <w:szCs w:val="20"/>
                <w:shd w:val="clear" w:color="auto" w:fill="FFFFFF"/>
                <w:lang w:val="en-US"/>
              </w:rPr>
              <w:t>gradului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incertitudine</w:t>
            </w:r>
            <w:proofErr w:type="spellEnd"/>
            <w:r w:rsidRPr="00A303C4">
              <w:rPr>
                <w:rFonts w:eastAsia="Arial Unicode MS"/>
                <w:color w:val="000000" w:themeColor="text1"/>
                <w:sz w:val="20"/>
                <w:szCs w:val="20"/>
                <w:shd w:val="clear" w:color="auto" w:fill="FFFFFF"/>
                <w:lang w:val="en-US"/>
              </w:rPr>
              <w:t>.</w:t>
            </w:r>
          </w:p>
          <w:p w14:paraId="7443CEF7"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b/>
                <w:bCs/>
                <w:color w:val="333333"/>
                <w:sz w:val="20"/>
                <w:szCs w:val="20"/>
                <w:shd w:val="clear" w:color="auto" w:fill="FFFFFF"/>
              </w:rPr>
              <w:t>Raportul</w:t>
            </w:r>
            <w:proofErr w:type="spellEnd"/>
          </w:p>
          <w:p w14:paraId="6867BD4F"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pregătește</w:t>
            </w:r>
            <w:proofErr w:type="spellEnd"/>
            <w:r w:rsidRPr="00A303C4">
              <w:rPr>
                <w:rFonts w:eastAsia="Arial Unicode MS"/>
                <w:color w:val="000000" w:themeColor="text1"/>
                <w:sz w:val="20"/>
                <w:szCs w:val="20"/>
                <w:shd w:val="clear" w:color="auto" w:fill="FFFFFF"/>
                <w:lang w:val="en-US"/>
              </w:rPr>
              <w:t xml:space="preserve"> un </w:t>
            </w:r>
            <w:proofErr w:type="spellStart"/>
            <w:r w:rsidRPr="00A303C4">
              <w:rPr>
                <w:rFonts w:eastAsia="Arial Unicode MS"/>
                <w:color w:val="000000" w:themeColor="text1"/>
                <w:sz w:val="20"/>
                <w:szCs w:val="20"/>
                <w:shd w:val="clear" w:color="auto" w:fill="FFFFFF"/>
                <w:lang w:val="en-US"/>
              </w:rPr>
              <w:t>raport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procesul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validare</w:t>
            </w:r>
            <w:proofErr w:type="spellEnd"/>
            <w:r w:rsidRPr="00A303C4">
              <w:rPr>
                <w:rFonts w:eastAsia="Arial Unicode MS"/>
                <w:color w:val="000000" w:themeColor="text1"/>
                <w:sz w:val="20"/>
                <w:szCs w:val="20"/>
                <w:shd w:val="clear" w:color="auto" w:fill="FFFFFF"/>
                <w:lang w:val="en-US"/>
              </w:rPr>
              <w:t xml:space="preserve"> în care </w:t>
            </w:r>
            <w:proofErr w:type="spellStart"/>
            <w:r w:rsidRPr="00A303C4">
              <w:rPr>
                <w:rFonts w:eastAsia="Arial Unicode MS"/>
                <w:color w:val="000000" w:themeColor="text1"/>
                <w:sz w:val="20"/>
                <w:szCs w:val="20"/>
                <w:shd w:val="clear" w:color="auto" w:fill="FFFFFF"/>
                <w:lang w:val="en-US"/>
              </w:rPr>
              <w:t>menționează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Pr="00A303C4">
              <w:rPr>
                <w:rFonts w:eastAsia="Arial Unicode MS"/>
                <w:color w:val="000000" w:themeColor="text1"/>
                <w:sz w:val="20"/>
                <w:szCs w:val="20"/>
                <w:shd w:val="clear" w:color="auto" w:fill="FFFFFF"/>
                <w:lang w:val="en-US"/>
              </w:rPr>
              <w:t xml:space="preserve"> 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satisfăcător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specifică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aspectele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desfășurată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declara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Pr="00A303C4">
              <w:rPr>
                <w:rFonts w:eastAsia="Arial Unicode MS"/>
                <w:color w:val="000000" w:themeColor="text1"/>
                <w:sz w:val="20"/>
                <w:szCs w:val="20"/>
                <w:shd w:val="clear" w:color="auto" w:fill="FFFFFF"/>
                <w:lang w:val="en-US"/>
              </w:rPr>
              <w:t xml:space="preserve"> 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satisfăcător</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cazul</w:t>
            </w:r>
            <w:proofErr w:type="spellEnd"/>
            <w:r w:rsidRPr="00A303C4">
              <w:rPr>
                <w:rFonts w:eastAsia="Arial Unicode MS"/>
                <w:color w:val="000000" w:themeColor="text1"/>
                <w:sz w:val="20"/>
                <w:szCs w:val="20"/>
                <w:shd w:val="clear" w:color="auto" w:fill="FFFFFF"/>
                <w:lang w:val="en-US"/>
              </w:rPr>
              <w:t xml:space="preserve"> în care, în </w:t>
            </w:r>
            <w:proofErr w:type="spellStart"/>
            <w:r w:rsidRPr="00A303C4">
              <w:rPr>
                <w:rFonts w:eastAsia="Arial Unicode MS"/>
                <w:color w:val="000000" w:themeColor="text1"/>
                <w:sz w:val="20"/>
                <w:szCs w:val="20"/>
                <w:shd w:val="clear" w:color="auto" w:fill="FFFFFF"/>
                <w:lang w:val="en-US"/>
              </w:rPr>
              <w:t>opinia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declarațiile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privire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totale</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erori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semnificative</w:t>
            </w:r>
            <w:proofErr w:type="spellEnd"/>
            <w:r w:rsidRPr="00A303C4">
              <w:rPr>
                <w:rFonts w:eastAsia="Arial Unicode MS"/>
                <w:color w:val="000000" w:themeColor="text1"/>
                <w:sz w:val="20"/>
                <w:szCs w:val="20"/>
                <w:shd w:val="clear" w:color="auto" w:fill="FFFFFF"/>
                <w:lang w:val="en-US"/>
              </w:rPr>
              <w:t>.</w:t>
            </w:r>
          </w:p>
          <w:p w14:paraId="6ED668F9"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b/>
                <w:bCs/>
                <w:color w:val="000000" w:themeColor="text1"/>
                <w:sz w:val="20"/>
                <w:szCs w:val="20"/>
                <w:shd w:val="clear" w:color="auto" w:fill="FFFFFF"/>
              </w:rPr>
              <w:t>Cerințele</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minime</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privind</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competența</w:t>
            </w:r>
            <w:proofErr w:type="spellEnd"/>
            <w:r w:rsidRPr="00A303C4">
              <w:rPr>
                <w:rFonts w:eastAsia="Arial Unicode MS"/>
                <w:b/>
                <w:bCs/>
                <w:color w:val="000000" w:themeColor="text1"/>
                <w:sz w:val="20"/>
                <w:szCs w:val="20"/>
                <w:shd w:val="clear" w:color="auto" w:fill="FFFFFF"/>
              </w:rPr>
              <w:t xml:space="preserve"> </w:t>
            </w:r>
            <w:proofErr w:type="spellStart"/>
            <w:r w:rsidRPr="00A303C4">
              <w:rPr>
                <w:rFonts w:eastAsia="Arial Unicode MS"/>
                <w:b/>
                <w:bCs/>
                <w:color w:val="000000" w:themeColor="text1"/>
                <w:sz w:val="20"/>
                <w:szCs w:val="20"/>
                <w:shd w:val="clear" w:color="auto" w:fill="FFFFFF"/>
              </w:rPr>
              <w:t>verificatorului</w:t>
            </w:r>
            <w:proofErr w:type="spellEnd"/>
          </w:p>
          <w:p w14:paraId="3285FA2A" w14:textId="77777777" w:rsidR="00124364" w:rsidRPr="00A303C4" w:rsidRDefault="00000000" w:rsidP="00A303C4">
            <w:pPr>
              <w:pStyle w:val="ti-art"/>
              <w:numPr>
                <w:ilvl w:val="0"/>
                <w:numId w:val="19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independent de operator, </w:t>
            </w:r>
            <w:proofErr w:type="spellStart"/>
            <w:r w:rsidRPr="00A303C4">
              <w:rPr>
                <w:rFonts w:eastAsia="Arial Unicode MS"/>
                <w:color w:val="000000" w:themeColor="text1"/>
                <w:sz w:val="20"/>
                <w:szCs w:val="20"/>
                <w:shd w:val="clear" w:color="auto" w:fill="FFFFFF"/>
                <w:lang w:val="en-US"/>
              </w:rPr>
              <w:t>își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desfășoară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profesionalism</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obiectivitate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înțelege</w:t>
            </w:r>
            <w:proofErr w:type="spellEnd"/>
            <w:r w:rsidRPr="00A303C4">
              <w:rPr>
                <w:rFonts w:eastAsia="Arial Unicode MS"/>
                <w:color w:val="000000" w:themeColor="text1"/>
                <w:sz w:val="20"/>
                <w:szCs w:val="20"/>
                <w:shd w:val="clear" w:color="auto" w:fill="FFFFFF"/>
                <w:lang w:val="en-US"/>
              </w:rPr>
              <w:t>:</w:t>
            </w:r>
          </w:p>
          <w:p w14:paraId="58DAF1B3" w14:textId="77777777" w:rsidR="00124364" w:rsidRPr="00A303C4" w:rsidRDefault="00000000" w:rsidP="00A303C4">
            <w:pPr>
              <w:pStyle w:val="ti-art"/>
              <w:numPr>
                <w:ilvl w:val="0"/>
                <w:numId w:val="1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lastRenderedPageBreak/>
              <w:t>dispozițiile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prezentei</w:t>
            </w:r>
            <w:proofErr w:type="spellEnd"/>
            <w:r w:rsidRPr="00A303C4">
              <w:rPr>
                <w:rFonts w:eastAsia="Arial Unicode MS"/>
                <w:color w:val="000000" w:themeColor="text1"/>
                <w:sz w:val="20"/>
                <w:szCs w:val="20"/>
                <w:shd w:val="clear" w:color="auto" w:fill="FFFFFF"/>
                <w:lang w:val="en-US"/>
              </w:rPr>
              <w:t xml:space="preserve"> directive, precum și </w:t>
            </w:r>
            <w:proofErr w:type="spellStart"/>
            <w:r w:rsidRPr="00A303C4">
              <w:rPr>
                <w:rFonts w:eastAsia="Arial Unicode MS"/>
                <w:color w:val="000000" w:themeColor="text1"/>
                <w:sz w:val="20"/>
                <w:szCs w:val="20"/>
                <w:shd w:val="clear" w:color="auto" w:fill="FFFFFF"/>
                <w:lang w:val="en-US"/>
              </w:rPr>
              <w:t>standardele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indicațiile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adoptate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Comisie</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Pr="00A303C4">
              <w:rPr>
                <w:rFonts w:eastAsia="Arial Unicode MS"/>
                <w:color w:val="000000" w:themeColor="text1"/>
                <w:sz w:val="20"/>
                <w:szCs w:val="20"/>
                <w:shd w:val="clear" w:color="auto" w:fill="FFFFFF"/>
                <w:lang w:val="en-US"/>
              </w:rPr>
              <w:t xml:space="preserve"> 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(1);</w:t>
            </w:r>
          </w:p>
          <w:p w14:paraId="62775510" w14:textId="77777777" w:rsidR="00124364" w:rsidRPr="00A303C4" w:rsidRDefault="00000000" w:rsidP="00A303C4">
            <w:pPr>
              <w:pStyle w:val="ti-art"/>
              <w:numPr>
                <w:ilvl w:val="0"/>
                <w:numId w:val="1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actele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putere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lege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actele</w:t>
            </w:r>
            <w:proofErr w:type="spellEnd"/>
            <w:r w:rsidRPr="00A303C4">
              <w:rPr>
                <w:rFonts w:eastAsia="Arial Unicode MS"/>
                <w:color w:val="000000" w:themeColor="text1"/>
                <w:sz w:val="20"/>
                <w:szCs w:val="20"/>
                <w:shd w:val="clear" w:color="auto" w:fill="FFFFFF"/>
                <w:lang w:val="en-US"/>
              </w:rPr>
              <w:t xml:space="preserve"> administrative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care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 xml:space="preserve"> și</w:t>
            </w:r>
          </w:p>
          <w:p w14:paraId="17073C61" w14:textId="77777777" w:rsidR="00124364" w:rsidRPr="00A303C4" w:rsidRDefault="00000000" w:rsidP="00A303C4">
            <w:pPr>
              <w:pStyle w:val="ti-art"/>
              <w:numPr>
                <w:ilvl w:val="0"/>
                <w:numId w:val="19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generarea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tuturor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informațiilor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fiecare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sursă</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emisie</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în special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colectarea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măsurarea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calcularea</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raportarea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w:t>
            </w:r>
          </w:p>
          <w:p w14:paraId="0BA4087E" w14:textId="77777777" w:rsidR="00124364" w:rsidRPr="00E34C2B" w:rsidRDefault="00000000">
            <w:pPr>
              <w:pStyle w:val="ti-art"/>
              <w:shd w:val="clear" w:color="auto" w:fill="FFFFFF"/>
              <w:spacing w:before="0" w:beforeAutospacing="0" w:after="0" w:afterAutospacing="0"/>
              <w:rPr>
                <w:color w:val="4472C4" w:themeColor="accent1"/>
                <w:sz w:val="20"/>
                <w:szCs w:val="20"/>
                <w:lang w:val="en-US"/>
              </w:rPr>
            </w:pPr>
            <w:hyperlink r:id="rId404" w:tooltip="32008L0101: INSERTED" w:history="1">
              <w:r w:rsidRPr="00E34C2B">
                <w:rPr>
                  <w:rStyle w:val="af3"/>
                  <w:rFonts w:eastAsia="Arial Unicode MS"/>
                  <w:b/>
                  <w:bCs/>
                  <w:color w:val="4472C4" w:themeColor="accent1"/>
                  <w:sz w:val="20"/>
                  <w:szCs w:val="20"/>
                  <w:lang w:val="en-US"/>
                </w:rPr>
                <w:t>▼M2</w:t>
              </w:r>
            </w:hyperlink>
          </w:p>
          <w:p w14:paraId="2EE6868B" w14:textId="7F3F84B4" w:rsidR="00124364" w:rsidRDefault="00000000">
            <w:pPr>
              <w:pStyle w:val="ti-art"/>
              <w:shd w:val="clear" w:color="auto" w:fill="FFFFFF"/>
              <w:spacing w:before="0" w:beforeAutospacing="0" w:after="0" w:afterAutospacing="0"/>
              <w:rPr>
                <w:rStyle w:val="boldface"/>
                <w:rFonts w:eastAsia="Arial Unicode MS"/>
                <w:b/>
                <w:bCs/>
                <w:color w:val="333333"/>
                <w:sz w:val="20"/>
                <w:szCs w:val="20"/>
                <w:lang w:val="en-US"/>
              </w:rPr>
            </w:pPr>
            <w:r>
              <w:rPr>
                <w:rFonts w:eastAsia="Arial Unicode MS"/>
                <w:b/>
                <w:bCs/>
                <w:color w:val="333333"/>
                <w:sz w:val="20"/>
                <w:szCs w:val="20"/>
                <w:shd w:val="clear" w:color="auto" w:fill="FFFFFF"/>
                <w:lang w:val="en-US"/>
              </w:rPr>
              <w:t>PARTEA B –</w:t>
            </w:r>
            <w:proofErr w:type="spellStart"/>
            <w:r>
              <w:rPr>
                <w:rStyle w:val="boldface"/>
                <w:rFonts w:eastAsia="Arial Unicode MS"/>
                <w:b/>
                <w:bCs/>
                <w:color w:val="333333"/>
                <w:sz w:val="20"/>
                <w:szCs w:val="20"/>
                <w:lang w:val="en-US"/>
              </w:rPr>
              <w:t>Verificarea</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emisiilor</w:t>
            </w:r>
            <w:proofErr w:type="spellEnd"/>
            <w:r>
              <w:rPr>
                <w:rStyle w:val="boldface"/>
                <w:rFonts w:eastAsia="Arial Unicode MS"/>
                <w:b/>
                <w:bCs/>
                <w:color w:val="333333"/>
                <w:sz w:val="20"/>
                <w:szCs w:val="20"/>
                <w:lang w:val="en-US"/>
              </w:rPr>
              <w:t xml:space="preserve"> </w:t>
            </w:r>
            <w:proofErr w:type="spellStart"/>
            <w:r>
              <w:rPr>
                <w:rStyle w:val="boldface"/>
                <w:rFonts w:eastAsia="Arial Unicode MS"/>
                <w:b/>
                <w:bCs/>
                <w:color w:val="333333"/>
                <w:sz w:val="20"/>
                <w:szCs w:val="20"/>
                <w:lang w:val="en-US"/>
              </w:rPr>
              <w:t>provenite</w:t>
            </w:r>
            <w:proofErr w:type="spellEnd"/>
            <w:r>
              <w:rPr>
                <w:rStyle w:val="boldface"/>
                <w:rFonts w:eastAsia="Arial Unicode MS"/>
                <w:b/>
                <w:bCs/>
                <w:color w:val="333333"/>
                <w:sz w:val="20"/>
                <w:szCs w:val="20"/>
                <w:lang w:val="en-US"/>
              </w:rPr>
              <w:t xml:space="preserve"> din </w:t>
            </w:r>
            <w:proofErr w:type="spellStart"/>
            <w:r>
              <w:rPr>
                <w:rStyle w:val="boldface"/>
                <w:rFonts w:eastAsia="Arial Unicode MS"/>
                <w:b/>
                <w:bCs/>
                <w:color w:val="333333"/>
                <w:sz w:val="20"/>
                <w:szCs w:val="20"/>
                <w:lang w:val="en-US"/>
              </w:rPr>
              <w:t>activități</w:t>
            </w:r>
            <w:proofErr w:type="spellEnd"/>
            <w:r>
              <w:rPr>
                <w:rStyle w:val="boldface"/>
                <w:rFonts w:eastAsia="Arial Unicode MS"/>
                <w:b/>
                <w:bCs/>
                <w:color w:val="333333"/>
                <w:sz w:val="20"/>
                <w:szCs w:val="20"/>
                <w:lang w:val="en-US"/>
              </w:rPr>
              <w:t xml:space="preserve"> de </w:t>
            </w:r>
            <w:proofErr w:type="spellStart"/>
            <w:r>
              <w:rPr>
                <w:rStyle w:val="boldface"/>
                <w:rFonts w:eastAsia="Arial Unicode MS"/>
                <w:b/>
                <w:bCs/>
                <w:color w:val="333333"/>
                <w:sz w:val="20"/>
                <w:szCs w:val="20"/>
                <w:lang w:val="en-US"/>
              </w:rPr>
              <w:t>aviație</w:t>
            </w:r>
            <w:proofErr w:type="spellEnd"/>
          </w:p>
          <w:p w14:paraId="5CC441E2" w14:textId="77777777" w:rsidR="00124364" w:rsidRPr="00A303C4" w:rsidRDefault="00000000" w:rsidP="00A303C4">
            <w:pPr>
              <w:pStyle w:val="ti-art"/>
              <w:numPr>
                <w:ilvl w:val="0"/>
                <w:numId w:val="19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Principiile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metodologia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stabilite</w:t>
            </w:r>
            <w:proofErr w:type="spellEnd"/>
            <w:r w:rsidRPr="00A303C4">
              <w:rPr>
                <w:rFonts w:eastAsia="Arial Unicode MS"/>
                <w:color w:val="000000" w:themeColor="text1"/>
                <w:sz w:val="20"/>
                <w:szCs w:val="20"/>
                <w:shd w:val="clear" w:color="auto" w:fill="FFFFFF"/>
                <w:lang w:val="en-US"/>
              </w:rPr>
              <w:t xml:space="preserve"> în prezenta </w:t>
            </w:r>
            <w:proofErr w:type="spellStart"/>
            <w:r w:rsidRPr="00A303C4">
              <w:rPr>
                <w:rFonts w:eastAsia="Arial Unicode MS"/>
                <w:color w:val="000000" w:themeColor="text1"/>
                <w:sz w:val="20"/>
                <w:szCs w:val="20"/>
                <w:shd w:val="clear" w:color="auto" w:fill="FFFFFF"/>
                <w:lang w:val="en-US"/>
              </w:rPr>
              <w:t>anexă</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aplică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rapoartelor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provenite</w:t>
            </w:r>
            <w:proofErr w:type="spellEnd"/>
            <w:r w:rsidRPr="00A303C4">
              <w:rPr>
                <w:rFonts w:eastAsia="Arial Unicode MS"/>
                <w:color w:val="000000" w:themeColor="text1"/>
                <w:sz w:val="20"/>
                <w:szCs w:val="20"/>
                <w:shd w:val="clear" w:color="auto" w:fill="FFFFFF"/>
                <w:lang w:val="en-US"/>
              </w:rPr>
              <w:t xml:space="preserve"> de la </w:t>
            </w:r>
            <w:proofErr w:type="spellStart"/>
            <w:r w:rsidRPr="00A303C4">
              <w:rPr>
                <w:rFonts w:eastAsia="Arial Unicode MS"/>
                <w:color w:val="000000" w:themeColor="text1"/>
                <w:sz w:val="20"/>
                <w:szCs w:val="20"/>
                <w:shd w:val="clear" w:color="auto" w:fill="FFFFFF"/>
                <w:lang w:val="en-US"/>
              </w:rPr>
              <w:t>zborurile</w:t>
            </w:r>
            <w:proofErr w:type="spellEnd"/>
            <w:r w:rsidRPr="00A303C4">
              <w:rPr>
                <w:rFonts w:eastAsia="Arial Unicode MS"/>
                <w:color w:val="000000" w:themeColor="text1"/>
                <w:sz w:val="20"/>
                <w:szCs w:val="20"/>
                <w:shd w:val="clear" w:color="auto" w:fill="FFFFFF"/>
                <w:lang w:val="en-US"/>
              </w:rPr>
              <w:t xml:space="preserve"> care se </w:t>
            </w:r>
            <w:proofErr w:type="spellStart"/>
            <w:r w:rsidRPr="00A303C4">
              <w:rPr>
                <w:rFonts w:eastAsia="Arial Unicode MS"/>
                <w:color w:val="000000" w:themeColor="text1"/>
                <w:sz w:val="20"/>
                <w:szCs w:val="20"/>
                <w:shd w:val="clear" w:color="auto" w:fill="FFFFFF"/>
                <w:lang w:val="en-US"/>
              </w:rPr>
              <w:t>încadrează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categoria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enumerate în </w:t>
            </w:r>
            <w:proofErr w:type="spellStart"/>
            <w:r w:rsidRPr="00A303C4">
              <w:rPr>
                <w:rFonts w:eastAsia="Arial Unicode MS"/>
                <w:color w:val="000000" w:themeColor="text1"/>
                <w:sz w:val="20"/>
                <w:szCs w:val="20"/>
                <w:shd w:val="clear" w:color="auto" w:fill="FFFFFF"/>
                <w:lang w:val="en-US"/>
              </w:rPr>
              <w:t>anexa</w:t>
            </w:r>
            <w:proofErr w:type="spellEnd"/>
            <w:r w:rsidRPr="00A303C4">
              <w:rPr>
                <w:rFonts w:eastAsia="Arial Unicode MS"/>
                <w:color w:val="000000" w:themeColor="text1"/>
                <w:sz w:val="20"/>
                <w:szCs w:val="20"/>
                <w:shd w:val="clear" w:color="auto" w:fill="FFFFFF"/>
                <w:lang w:val="en-US"/>
              </w:rPr>
              <w:t xml:space="preserve"> I.</w:t>
            </w:r>
          </w:p>
          <w:p w14:paraId="70206E90"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rPr>
            </w:pPr>
            <w:r w:rsidRPr="00A303C4">
              <w:rPr>
                <w:rFonts w:eastAsia="Arial Unicode MS"/>
                <w:color w:val="000000" w:themeColor="text1"/>
                <w:sz w:val="20"/>
                <w:szCs w:val="20"/>
                <w:shd w:val="clear" w:color="auto" w:fill="FFFFFF"/>
              </w:rPr>
              <w:t xml:space="preserve">În </w:t>
            </w:r>
            <w:proofErr w:type="spellStart"/>
            <w:r w:rsidRPr="00A303C4">
              <w:rPr>
                <w:rFonts w:eastAsia="Arial Unicode MS"/>
                <w:color w:val="000000" w:themeColor="text1"/>
                <w:sz w:val="20"/>
                <w:szCs w:val="20"/>
                <w:shd w:val="clear" w:color="auto" w:fill="FFFFFF"/>
              </w:rPr>
              <w:t>acest</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sens</w:t>
            </w:r>
            <w:proofErr w:type="spellEnd"/>
            <w:r w:rsidRPr="00A303C4">
              <w:rPr>
                <w:rFonts w:eastAsia="Arial Unicode MS"/>
                <w:color w:val="000000" w:themeColor="text1"/>
                <w:sz w:val="20"/>
                <w:szCs w:val="20"/>
                <w:shd w:val="clear" w:color="auto" w:fill="FFFFFF"/>
              </w:rPr>
              <w:t>:</w:t>
            </w:r>
          </w:p>
          <w:p w14:paraId="273E86FF"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trimiterea</w:t>
            </w:r>
            <w:proofErr w:type="spellEnd"/>
            <w:r w:rsidRPr="00A303C4">
              <w:rPr>
                <w:rFonts w:eastAsia="Arial Unicode MS"/>
                <w:color w:val="000000" w:themeColor="text1"/>
                <w:sz w:val="20"/>
                <w:szCs w:val="20"/>
                <w:shd w:val="clear" w:color="auto" w:fill="FFFFFF"/>
                <w:lang w:val="en-US"/>
              </w:rPr>
              <w:t xml:space="preserve"> la operator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trimitere</w:t>
            </w:r>
            <w:proofErr w:type="spellEnd"/>
            <w:r w:rsidRPr="00A303C4">
              <w:rPr>
                <w:rFonts w:eastAsia="Arial Unicode MS"/>
                <w:color w:val="000000" w:themeColor="text1"/>
                <w:sz w:val="20"/>
                <w:szCs w:val="20"/>
                <w:shd w:val="clear" w:color="auto" w:fill="FFFFFF"/>
                <w:lang w:val="en-US"/>
              </w:rPr>
              <w:t xml:space="preserve"> la un operator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iar</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litera</w:t>
            </w:r>
            <w:proofErr w:type="spellEnd"/>
            <w:r w:rsidRPr="00A303C4">
              <w:rPr>
                <w:rFonts w:eastAsia="Arial Unicode MS"/>
                <w:color w:val="000000" w:themeColor="text1"/>
                <w:sz w:val="20"/>
                <w:szCs w:val="20"/>
                <w:shd w:val="clear" w:color="auto" w:fill="FFFFFF"/>
                <w:lang w:val="en-US"/>
              </w:rPr>
              <w:t xml:space="preserve"> (c) a </w:t>
            </w:r>
            <w:proofErr w:type="spellStart"/>
            <w:r w:rsidRPr="00A303C4">
              <w:rPr>
                <w:rFonts w:eastAsia="Arial Unicode MS"/>
                <w:color w:val="000000" w:themeColor="text1"/>
                <w:sz w:val="20"/>
                <w:szCs w:val="20"/>
                <w:shd w:val="clear" w:color="auto" w:fill="FFFFFF"/>
                <w:lang w:val="en-US"/>
              </w:rPr>
              <w:t>respectivului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punct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trimiterea</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aeronava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utilizată</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efectuarea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care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raportului</w:t>
            </w:r>
            <w:proofErr w:type="spellEnd"/>
            <w:r w:rsidRPr="00A303C4">
              <w:rPr>
                <w:rFonts w:eastAsia="Arial Unicode MS"/>
                <w:color w:val="000000" w:themeColor="text1"/>
                <w:sz w:val="20"/>
                <w:szCs w:val="20"/>
                <w:shd w:val="clear" w:color="auto" w:fill="FFFFFF"/>
                <w:lang w:val="en-US"/>
              </w:rPr>
              <w:t>;</w:t>
            </w:r>
          </w:p>
          <w:p w14:paraId="24CDA1B5"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punctul</w:t>
            </w:r>
            <w:proofErr w:type="spellEnd"/>
            <w:r w:rsidRPr="00A303C4">
              <w:rPr>
                <w:rFonts w:eastAsia="Arial Unicode MS"/>
                <w:color w:val="000000" w:themeColor="text1"/>
                <w:sz w:val="20"/>
                <w:szCs w:val="20"/>
                <w:shd w:val="clear" w:color="auto" w:fill="FFFFFF"/>
                <w:lang w:val="en-US"/>
              </w:rPr>
              <w:t xml:space="preserve"> 5, </w:t>
            </w:r>
            <w:proofErr w:type="spellStart"/>
            <w:r w:rsidRPr="00A303C4">
              <w:rPr>
                <w:rFonts w:eastAsia="Arial Unicode MS"/>
                <w:color w:val="000000" w:themeColor="text1"/>
                <w:sz w:val="20"/>
                <w:szCs w:val="20"/>
                <w:shd w:val="clear" w:color="auto" w:fill="FFFFFF"/>
                <w:lang w:val="en-US"/>
              </w:rPr>
              <w:t>trimiterea</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w:t>
            </w:r>
          </w:p>
          <w:p w14:paraId="7FC151A6"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punctul</w:t>
            </w:r>
            <w:proofErr w:type="spellEnd"/>
            <w:r w:rsidRPr="00A303C4">
              <w:rPr>
                <w:rFonts w:eastAsia="Arial Unicode MS"/>
                <w:color w:val="000000" w:themeColor="text1"/>
                <w:sz w:val="20"/>
                <w:szCs w:val="20"/>
                <w:shd w:val="clear" w:color="auto" w:fill="FFFFFF"/>
                <w:lang w:val="en-US"/>
              </w:rPr>
              <w:t xml:space="preserve"> 6, </w:t>
            </w:r>
            <w:proofErr w:type="spellStart"/>
            <w:r w:rsidRPr="00A303C4">
              <w:rPr>
                <w:rFonts w:eastAsia="Arial Unicode MS"/>
                <w:color w:val="000000" w:themeColor="text1"/>
                <w:sz w:val="20"/>
                <w:szCs w:val="20"/>
                <w:shd w:val="clear" w:color="auto" w:fill="FFFFFF"/>
                <w:lang w:val="en-US"/>
              </w:rPr>
              <w:t>trimiterea</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desfășurate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care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întreprinse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w:t>
            </w:r>
          </w:p>
          <w:p w14:paraId="366656A6"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punctul</w:t>
            </w:r>
            <w:proofErr w:type="spellEnd"/>
            <w:r w:rsidRPr="00A303C4">
              <w:rPr>
                <w:rFonts w:eastAsia="Arial Unicode MS"/>
                <w:color w:val="000000" w:themeColor="text1"/>
                <w:sz w:val="20"/>
                <w:szCs w:val="20"/>
                <w:shd w:val="clear" w:color="auto" w:fill="FFFFFF"/>
                <w:lang w:val="en-US"/>
              </w:rPr>
              <w:t xml:space="preserve"> 7, </w:t>
            </w:r>
            <w:proofErr w:type="spellStart"/>
            <w:r w:rsidRPr="00A303C4">
              <w:rPr>
                <w:rFonts w:eastAsia="Arial Unicode MS"/>
                <w:color w:val="000000" w:themeColor="text1"/>
                <w:sz w:val="20"/>
                <w:szCs w:val="20"/>
                <w:shd w:val="clear" w:color="auto" w:fill="FFFFFF"/>
                <w:lang w:val="en-US"/>
              </w:rPr>
              <w:t>trimiterea</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locul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instalației</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trimitere</w:t>
            </w:r>
            <w:proofErr w:type="spellEnd"/>
            <w:r w:rsidRPr="00A303C4">
              <w:rPr>
                <w:rFonts w:eastAsia="Arial Unicode MS"/>
                <w:color w:val="000000" w:themeColor="text1"/>
                <w:sz w:val="20"/>
                <w:szCs w:val="20"/>
                <w:shd w:val="clear" w:color="auto" w:fill="FFFFFF"/>
                <w:lang w:val="en-US"/>
              </w:rPr>
              <w:t xml:space="preserve"> la locurile </w:t>
            </w:r>
            <w:proofErr w:type="spellStart"/>
            <w:r w:rsidRPr="00A303C4">
              <w:rPr>
                <w:rFonts w:eastAsia="Arial Unicode MS"/>
                <w:color w:val="000000" w:themeColor="text1"/>
                <w:sz w:val="20"/>
                <w:szCs w:val="20"/>
                <w:shd w:val="clear" w:color="auto" w:fill="FFFFFF"/>
                <w:lang w:val="en-US"/>
              </w:rPr>
              <w:t>folosite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întreprinde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care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raportului</w:t>
            </w:r>
            <w:proofErr w:type="spellEnd"/>
            <w:r w:rsidRPr="00A303C4">
              <w:rPr>
                <w:rFonts w:eastAsia="Arial Unicode MS"/>
                <w:color w:val="000000" w:themeColor="text1"/>
                <w:sz w:val="20"/>
                <w:szCs w:val="20"/>
                <w:shd w:val="clear" w:color="auto" w:fill="FFFFFF"/>
                <w:lang w:val="en-US"/>
              </w:rPr>
              <w:t>;</w:t>
            </w:r>
          </w:p>
          <w:p w14:paraId="0F16F633"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punctele</w:t>
            </w:r>
            <w:proofErr w:type="spellEnd"/>
            <w:r w:rsidRPr="00A303C4">
              <w:rPr>
                <w:rFonts w:eastAsia="Arial Unicode MS"/>
                <w:color w:val="000000" w:themeColor="text1"/>
                <w:sz w:val="20"/>
                <w:szCs w:val="20"/>
                <w:shd w:val="clear" w:color="auto" w:fill="FFFFFF"/>
                <w:lang w:val="en-US"/>
              </w:rPr>
              <w:t xml:space="preserve"> 8 și 9, </w:t>
            </w:r>
            <w:proofErr w:type="spellStart"/>
            <w:r w:rsidRPr="00A303C4">
              <w:rPr>
                <w:rFonts w:eastAsia="Arial Unicode MS"/>
                <w:color w:val="000000" w:themeColor="text1"/>
                <w:sz w:val="20"/>
                <w:szCs w:val="20"/>
                <w:shd w:val="clear" w:color="auto" w:fill="FFFFFF"/>
                <w:lang w:val="en-US"/>
              </w:rPr>
              <w:t>trimiterile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sursele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emisii</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instalație</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trimiteri</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aeronava</w:t>
            </w:r>
            <w:proofErr w:type="spellEnd"/>
            <w:r w:rsidRPr="00A303C4">
              <w:rPr>
                <w:rFonts w:eastAsia="Arial Unicode MS"/>
                <w:color w:val="000000" w:themeColor="text1"/>
                <w:sz w:val="20"/>
                <w:szCs w:val="20"/>
                <w:shd w:val="clear" w:color="auto" w:fill="FFFFFF"/>
                <w:lang w:val="en-US"/>
              </w:rPr>
              <w:t xml:space="preserve"> de care </w:t>
            </w:r>
            <w:proofErr w:type="spellStart"/>
            <w:r w:rsidRPr="00A303C4">
              <w:rPr>
                <w:rFonts w:eastAsia="Arial Unicode MS"/>
                <w:color w:val="000000" w:themeColor="text1"/>
                <w:sz w:val="20"/>
                <w:szCs w:val="20"/>
                <w:shd w:val="clear" w:color="auto" w:fill="FFFFFF"/>
                <w:lang w:val="en-US"/>
              </w:rPr>
              <w:t>răspunde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precum și</w:t>
            </w:r>
          </w:p>
          <w:p w14:paraId="7EEFB879" w14:textId="77777777" w:rsidR="00124364" w:rsidRPr="00A303C4" w:rsidRDefault="00000000" w:rsidP="00A303C4">
            <w:pPr>
              <w:pStyle w:val="ti-art"/>
              <w:numPr>
                <w:ilvl w:val="0"/>
                <w:numId w:val="19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la </w:t>
            </w:r>
            <w:proofErr w:type="spellStart"/>
            <w:r w:rsidRPr="00A303C4">
              <w:rPr>
                <w:rFonts w:eastAsia="Arial Unicode MS"/>
                <w:color w:val="000000" w:themeColor="text1"/>
                <w:sz w:val="20"/>
                <w:szCs w:val="20"/>
                <w:shd w:val="clear" w:color="auto" w:fill="FFFFFF"/>
                <w:lang w:val="en-US"/>
              </w:rPr>
              <w:t>punctele</w:t>
            </w:r>
            <w:proofErr w:type="spellEnd"/>
            <w:r w:rsidRPr="00A303C4">
              <w:rPr>
                <w:rFonts w:eastAsia="Arial Unicode MS"/>
                <w:color w:val="000000" w:themeColor="text1"/>
                <w:sz w:val="20"/>
                <w:szCs w:val="20"/>
                <w:shd w:val="clear" w:color="auto" w:fill="FFFFFF"/>
                <w:lang w:val="en-US"/>
              </w:rPr>
              <w:t xml:space="preserve"> 10 și 12, </w:t>
            </w:r>
            <w:proofErr w:type="spellStart"/>
            <w:r w:rsidRPr="00A303C4">
              <w:rPr>
                <w:rFonts w:eastAsia="Arial Unicode MS"/>
                <w:color w:val="000000" w:themeColor="text1"/>
                <w:sz w:val="20"/>
                <w:szCs w:val="20"/>
                <w:shd w:val="clear" w:color="auto" w:fill="FFFFFF"/>
                <w:lang w:val="en-US"/>
              </w:rPr>
              <w:t>trimiterile</w:t>
            </w:r>
            <w:proofErr w:type="spellEnd"/>
            <w:r w:rsidRPr="00A303C4">
              <w:rPr>
                <w:rFonts w:eastAsia="Arial Unicode MS"/>
                <w:color w:val="000000" w:themeColor="text1"/>
                <w:sz w:val="20"/>
                <w:szCs w:val="20"/>
                <w:shd w:val="clear" w:color="auto" w:fill="FFFFFF"/>
                <w:lang w:val="en-US"/>
              </w:rPr>
              <w:t xml:space="preserve"> la operator se </w:t>
            </w:r>
            <w:proofErr w:type="spellStart"/>
            <w:r w:rsidRPr="00A303C4">
              <w:rPr>
                <w:rFonts w:eastAsia="Arial Unicode MS"/>
                <w:color w:val="000000" w:themeColor="text1"/>
                <w:sz w:val="20"/>
                <w:szCs w:val="20"/>
                <w:shd w:val="clear" w:color="auto" w:fill="FFFFFF"/>
                <w:lang w:val="en-US"/>
              </w:rPr>
              <w:t>interpretează</w:t>
            </w:r>
            <w:proofErr w:type="spellEnd"/>
            <w:r w:rsidRPr="00A303C4">
              <w:rPr>
                <w:rFonts w:eastAsia="Arial Unicode MS"/>
                <w:color w:val="000000" w:themeColor="text1"/>
                <w:sz w:val="20"/>
                <w:szCs w:val="20"/>
                <w:shd w:val="clear" w:color="auto" w:fill="FFFFFF"/>
                <w:lang w:val="en-US"/>
              </w:rPr>
              <w:t xml:space="preserve"> ca </w:t>
            </w:r>
            <w:proofErr w:type="spellStart"/>
            <w:r w:rsidRPr="00A303C4">
              <w:rPr>
                <w:rFonts w:eastAsia="Arial Unicode MS"/>
                <w:color w:val="000000" w:themeColor="text1"/>
                <w:sz w:val="20"/>
                <w:szCs w:val="20"/>
                <w:shd w:val="clear" w:color="auto" w:fill="FFFFFF"/>
                <w:lang w:val="en-US"/>
              </w:rPr>
              <w:t>trimiteri</w:t>
            </w:r>
            <w:proofErr w:type="spellEnd"/>
            <w:r w:rsidRPr="00A303C4">
              <w:rPr>
                <w:rFonts w:eastAsia="Arial Unicode MS"/>
                <w:color w:val="000000" w:themeColor="text1"/>
                <w:sz w:val="20"/>
                <w:szCs w:val="20"/>
                <w:shd w:val="clear" w:color="auto" w:fill="FFFFFF"/>
                <w:lang w:val="en-US"/>
              </w:rPr>
              <w:t xml:space="preserve"> la un operator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w:t>
            </w:r>
          </w:p>
          <w:p w14:paraId="4D84F1C4" w14:textId="77777777" w:rsidR="00124364" w:rsidRPr="00A303C4" w:rsidRDefault="00000000" w:rsidP="00A303C4">
            <w:pPr>
              <w:pStyle w:val="ti-art"/>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proofErr w:type="spellStart"/>
            <w:r w:rsidRPr="00A303C4">
              <w:rPr>
                <w:rFonts w:eastAsia="Arial Unicode MS"/>
                <w:i/>
                <w:iCs/>
                <w:color w:val="000000" w:themeColor="text1"/>
                <w:sz w:val="20"/>
                <w:szCs w:val="20"/>
                <w:shd w:val="clear" w:color="auto" w:fill="FFFFFF"/>
                <w:lang w:val="en-US"/>
              </w:rPr>
              <w:t>Dispoziții</w:t>
            </w:r>
            <w:proofErr w:type="spellEnd"/>
            <w:r w:rsidRPr="00A303C4">
              <w:rPr>
                <w:rFonts w:eastAsia="Arial Unicode MS"/>
                <w:i/>
                <w:iCs/>
                <w:color w:val="000000" w:themeColor="text1"/>
                <w:sz w:val="20"/>
                <w:szCs w:val="20"/>
                <w:shd w:val="clear" w:color="auto" w:fill="FFFFFF"/>
                <w:lang w:val="en-US"/>
              </w:rPr>
              <w:t xml:space="preserve"> </w:t>
            </w:r>
            <w:proofErr w:type="spellStart"/>
            <w:r w:rsidRPr="00A303C4">
              <w:rPr>
                <w:rFonts w:eastAsia="Arial Unicode MS"/>
                <w:i/>
                <w:iCs/>
                <w:color w:val="000000" w:themeColor="text1"/>
                <w:sz w:val="20"/>
                <w:szCs w:val="20"/>
                <w:shd w:val="clear" w:color="auto" w:fill="FFFFFF"/>
                <w:lang w:val="en-US"/>
              </w:rPr>
              <w:t>suplimentare</w:t>
            </w:r>
            <w:proofErr w:type="spellEnd"/>
            <w:r w:rsidRPr="00A303C4">
              <w:rPr>
                <w:rFonts w:eastAsia="Arial Unicode MS"/>
                <w:i/>
                <w:iCs/>
                <w:color w:val="000000" w:themeColor="text1"/>
                <w:sz w:val="20"/>
                <w:szCs w:val="20"/>
                <w:shd w:val="clear" w:color="auto" w:fill="FFFFFF"/>
                <w:lang w:val="en-US"/>
              </w:rPr>
              <w:t xml:space="preserve"> </w:t>
            </w:r>
            <w:proofErr w:type="spellStart"/>
            <w:r w:rsidRPr="00A303C4">
              <w:rPr>
                <w:rFonts w:eastAsia="Arial Unicode MS"/>
                <w:i/>
                <w:iCs/>
                <w:color w:val="000000" w:themeColor="text1"/>
                <w:sz w:val="20"/>
                <w:szCs w:val="20"/>
                <w:shd w:val="clear" w:color="auto" w:fill="FFFFFF"/>
                <w:lang w:val="en-US"/>
              </w:rPr>
              <w:t>privind</w:t>
            </w:r>
            <w:proofErr w:type="spellEnd"/>
            <w:r w:rsidRPr="00A303C4">
              <w:rPr>
                <w:rFonts w:eastAsia="Arial Unicode MS"/>
                <w:i/>
                <w:iCs/>
                <w:color w:val="000000" w:themeColor="text1"/>
                <w:sz w:val="20"/>
                <w:szCs w:val="20"/>
                <w:shd w:val="clear" w:color="auto" w:fill="FFFFFF"/>
                <w:lang w:val="en-US"/>
              </w:rPr>
              <w:t xml:space="preserve"> </w:t>
            </w:r>
            <w:proofErr w:type="spellStart"/>
            <w:r w:rsidRPr="00A303C4">
              <w:rPr>
                <w:rFonts w:eastAsia="Arial Unicode MS"/>
                <w:i/>
                <w:iCs/>
                <w:color w:val="000000" w:themeColor="text1"/>
                <w:sz w:val="20"/>
                <w:szCs w:val="20"/>
                <w:shd w:val="clear" w:color="auto" w:fill="FFFFFF"/>
                <w:lang w:val="en-US"/>
              </w:rPr>
              <w:t>verificarea</w:t>
            </w:r>
            <w:proofErr w:type="spellEnd"/>
            <w:r w:rsidRPr="00A303C4">
              <w:rPr>
                <w:rFonts w:eastAsia="Arial Unicode MS"/>
                <w:i/>
                <w:iCs/>
                <w:color w:val="000000" w:themeColor="text1"/>
                <w:sz w:val="20"/>
                <w:szCs w:val="20"/>
                <w:shd w:val="clear" w:color="auto" w:fill="FFFFFF"/>
                <w:lang w:val="en-US"/>
              </w:rPr>
              <w:t xml:space="preserve"> </w:t>
            </w:r>
            <w:proofErr w:type="spellStart"/>
            <w:r w:rsidRPr="00A303C4">
              <w:rPr>
                <w:rFonts w:eastAsia="Arial Unicode MS"/>
                <w:i/>
                <w:iCs/>
                <w:color w:val="000000" w:themeColor="text1"/>
                <w:sz w:val="20"/>
                <w:szCs w:val="20"/>
                <w:shd w:val="clear" w:color="auto" w:fill="FFFFFF"/>
                <w:lang w:val="en-US"/>
              </w:rPr>
              <w:t>rapoartelor</w:t>
            </w:r>
            <w:proofErr w:type="spellEnd"/>
            <w:r w:rsidRPr="00A303C4">
              <w:rPr>
                <w:rFonts w:eastAsia="Arial Unicode MS"/>
                <w:i/>
                <w:iCs/>
                <w:color w:val="000000" w:themeColor="text1"/>
                <w:sz w:val="20"/>
                <w:szCs w:val="20"/>
                <w:shd w:val="clear" w:color="auto" w:fill="FFFFFF"/>
                <w:lang w:val="en-US"/>
              </w:rPr>
              <w:t xml:space="preserve"> de </w:t>
            </w:r>
            <w:proofErr w:type="spellStart"/>
            <w:r w:rsidRPr="00A303C4">
              <w:rPr>
                <w:rFonts w:eastAsia="Arial Unicode MS"/>
                <w:i/>
                <w:iCs/>
                <w:color w:val="000000" w:themeColor="text1"/>
                <w:sz w:val="20"/>
                <w:szCs w:val="20"/>
                <w:shd w:val="clear" w:color="auto" w:fill="FFFFFF"/>
                <w:lang w:val="en-US"/>
              </w:rPr>
              <w:t>emisie</w:t>
            </w:r>
            <w:proofErr w:type="spellEnd"/>
            <w:r w:rsidRPr="00A303C4">
              <w:rPr>
                <w:rFonts w:eastAsia="Arial Unicode MS"/>
                <w:i/>
                <w:iCs/>
                <w:color w:val="000000" w:themeColor="text1"/>
                <w:sz w:val="20"/>
                <w:szCs w:val="20"/>
                <w:shd w:val="clear" w:color="auto" w:fill="FFFFFF"/>
                <w:lang w:val="en-US"/>
              </w:rPr>
              <w:t xml:space="preserve"> din </w:t>
            </w:r>
            <w:proofErr w:type="spellStart"/>
            <w:r w:rsidRPr="00A303C4">
              <w:rPr>
                <w:rFonts w:eastAsia="Arial Unicode MS"/>
                <w:i/>
                <w:iCs/>
                <w:color w:val="000000" w:themeColor="text1"/>
                <w:sz w:val="20"/>
                <w:szCs w:val="20"/>
                <w:shd w:val="clear" w:color="auto" w:fill="FFFFFF"/>
                <w:lang w:val="en-US"/>
              </w:rPr>
              <w:t>sectorul</w:t>
            </w:r>
            <w:proofErr w:type="spellEnd"/>
            <w:r w:rsidRPr="00A303C4">
              <w:rPr>
                <w:rFonts w:eastAsia="Arial Unicode MS"/>
                <w:i/>
                <w:iCs/>
                <w:color w:val="000000" w:themeColor="text1"/>
                <w:sz w:val="20"/>
                <w:szCs w:val="20"/>
                <w:shd w:val="clear" w:color="auto" w:fill="FFFFFF"/>
                <w:lang w:val="en-US"/>
              </w:rPr>
              <w:t xml:space="preserve"> </w:t>
            </w:r>
            <w:proofErr w:type="spellStart"/>
            <w:r w:rsidRPr="00A303C4">
              <w:rPr>
                <w:rFonts w:eastAsia="Arial Unicode MS"/>
                <w:i/>
                <w:iCs/>
                <w:color w:val="000000" w:themeColor="text1"/>
                <w:sz w:val="20"/>
                <w:szCs w:val="20"/>
                <w:shd w:val="clear" w:color="auto" w:fill="FFFFFF"/>
                <w:lang w:val="en-US"/>
              </w:rPr>
              <w:t>aviației</w:t>
            </w:r>
            <w:proofErr w:type="spellEnd"/>
          </w:p>
          <w:p w14:paraId="003BD721" w14:textId="77777777" w:rsidR="00124364" w:rsidRPr="00A303C4" w:rsidRDefault="00000000" w:rsidP="00A303C4">
            <w:pPr>
              <w:pStyle w:val="ti-art"/>
              <w:numPr>
                <w:ilvl w:val="0"/>
                <w:numId w:val="19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asigură</w:t>
            </w:r>
            <w:proofErr w:type="spellEnd"/>
            <w:r w:rsidRPr="00A303C4">
              <w:rPr>
                <w:rFonts w:eastAsia="Arial Unicode MS"/>
                <w:color w:val="000000" w:themeColor="text1"/>
                <w:sz w:val="20"/>
                <w:szCs w:val="20"/>
                <w:shd w:val="clear" w:color="auto" w:fill="FFFFFF"/>
                <w:lang w:val="en-US"/>
              </w:rPr>
              <w:t xml:space="preserve"> în special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w:t>
            </w:r>
          </w:p>
          <w:p w14:paraId="12B8C82F" w14:textId="77777777" w:rsidR="00124364" w:rsidRPr="00A303C4" w:rsidRDefault="00000000" w:rsidP="00A303C4">
            <w:pPr>
              <w:pStyle w:val="ti-art"/>
              <w:numPr>
                <w:ilvl w:val="0"/>
                <w:numId w:val="19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s-a </w:t>
            </w:r>
            <w:proofErr w:type="spellStart"/>
            <w:r w:rsidRPr="00A303C4">
              <w:rPr>
                <w:rFonts w:eastAsia="Arial Unicode MS"/>
                <w:color w:val="000000" w:themeColor="text1"/>
                <w:sz w:val="20"/>
                <w:szCs w:val="20"/>
                <w:shd w:val="clear" w:color="auto" w:fill="FFFFFF"/>
                <w:lang w:val="en-US"/>
              </w:rPr>
              <w:t>ținut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seama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zborurile</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intră</w:t>
            </w:r>
            <w:proofErr w:type="spellEnd"/>
            <w:r w:rsidRPr="00A303C4">
              <w:rPr>
                <w:rFonts w:eastAsia="Arial Unicode MS"/>
                <w:color w:val="000000" w:themeColor="text1"/>
                <w:sz w:val="20"/>
                <w:szCs w:val="20"/>
                <w:shd w:val="clear" w:color="auto" w:fill="FFFFFF"/>
                <w:lang w:val="en-US"/>
              </w:rPr>
              <w:t xml:space="preserve"> sub </w:t>
            </w:r>
            <w:proofErr w:type="spellStart"/>
            <w:r w:rsidRPr="00A303C4">
              <w:rPr>
                <w:rFonts w:eastAsia="Arial Unicode MS"/>
                <w:color w:val="000000" w:themeColor="text1"/>
                <w:sz w:val="20"/>
                <w:szCs w:val="20"/>
                <w:shd w:val="clear" w:color="auto" w:fill="FFFFFF"/>
                <w:lang w:val="en-US"/>
              </w:rPr>
              <w:t>incidența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unei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w:t>
            </w:r>
            <w:r w:rsidRPr="00A303C4">
              <w:rPr>
                <w:rFonts w:eastAsia="Arial Unicode MS"/>
                <w:color w:val="000000" w:themeColor="text1"/>
                <w:sz w:val="20"/>
                <w:szCs w:val="20"/>
                <w:shd w:val="clear" w:color="auto" w:fill="FFFFFF"/>
                <w:lang w:val="en-US"/>
              </w:rPr>
              <w:lastRenderedPageBreak/>
              <w:t xml:space="preserve">enumerate în </w:t>
            </w:r>
            <w:proofErr w:type="spellStart"/>
            <w:r w:rsidRPr="00A303C4">
              <w:rPr>
                <w:rFonts w:eastAsia="Arial Unicode MS"/>
                <w:color w:val="000000" w:themeColor="text1"/>
                <w:sz w:val="20"/>
                <w:szCs w:val="20"/>
                <w:shd w:val="clear" w:color="auto" w:fill="FFFFFF"/>
                <w:lang w:val="en-US"/>
              </w:rPr>
              <w:t>anexa</w:t>
            </w:r>
            <w:proofErr w:type="spellEnd"/>
            <w:r w:rsidRPr="00A303C4">
              <w:rPr>
                <w:rFonts w:eastAsia="Arial Unicode MS"/>
                <w:color w:val="000000" w:themeColor="text1"/>
                <w:sz w:val="20"/>
                <w:szCs w:val="20"/>
                <w:shd w:val="clear" w:color="auto" w:fill="FFFFFF"/>
                <w:lang w:val="en-US"/>
              </w:rPr>
              <w:t xml:space="preserve"> I. În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responsabilități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dispune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informații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orarul</w:t>
            </w:r>
            <w:proofErr w:type="spellEnd"/>
            <w:r w:rsidRPr="00A303C4">
              <w:rPr>
                <w:rFonts w:eastAsia="Arial Unicode MS"/>
                <w:color w:val="000000" w:themeColor="text1"/>
                <w:sz w:val="20"/>
                <w:szCs w:val="20"/>
                <w:shd w:val="clear" w:color="auto" w:fill="FFFFFF"/>
                <w:lang w:val="en-US"/>
              </w:rPr>
              <w:t xml:space="preserve"> și de </w:t>
            </w:r>
            <w:proofErr w:type="spellStart"/>
            <w:r w:rsidRPr="00A303C4">
              <w:rPr>
                <w:rFonts w:eastAsia="Arial Unicode MS"/>
                <w:color w:val="000000" w:themeColor="text1"/>
                <w:sz w:val="20"/>
                <w:szCs w:val="20"/>
                <w:shd w:val="clear" w:color="auto" w:fill="FFFFFF"/>
                <w:lang w:val="en-US"/>
              </w:rPr>
              <w:t>alte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informații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trafic</w:t>
            </w:r>
            <w:proofErr w:type="spellEnd"/>
            <w:r w:rsidRPr="00A303C4">
              <w:rPr>
                <w:rFonts w:eastAsia="Arial Unicode MS"/>
                <w:color w:val="000000" w:themeColor="text1"/>
                <w:sz w:val="20"/>
                <w:szCs w:val="20"/>
                <w:shd w:val="clear" w:color="auto" w:fill="FFFFFF"/>
                <w:lang w:val="en-US"/>
              </w:rPr>
              <w:t xml:space="preserve"> ale </w:t>
            </w:r>
            <w:proofErr w:type="spellStart"/>
            <w:r w:rsidRPr="00A303C4">
              <w:rPr>
                <w:rFonts w:eastAsia="Arial Unicode MS"/>
                <w:color w:val="000000" w:themeColor="text1"/>
                <w:sz w:val="20"/>
                <w:szCs w:val="20"/>
                <w:shd w:val="clear" w:color="auto" w:fill="FFFFFF"/>
                <w:lang w:val="en-US"/>
              </w:rPr>
              <w:t>operatorului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inclusiv</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informațiile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obținute</w:t>
            </w:r>
            <w:proofErr w:type="spellEnd"/>
            <w:r w:rsidRPr="00A303C4">
              <w:rPr>
                <w:rFonts w:eastAsia="Arial Unicode MS"/>
                <w:color w:val="000000" w:themeColor="text1"/>
                <w:sz w:val="20"/>
                <w:szCs w:val="20"/>
                <w:shd w:val="clear" w:color="auto" w:fill="FFFFFF"/>
                <w:lang w:val="en-US"/>
              </w:rPr>
              <w:t xml:space="preserve"> de la </w:t>
            </w:r>
            <w:proofErr w:type="spellStart"/>
            <w:r w:rsidRPr="00A303C4">
              <w:rPr>
                <w:rFonts w:eastAsia="Arial Unicode MS"/>
                <w:color w:val="000000" w:themeColor="text1"/>
                <w:sz w:val="20"/>
                <w:szCs w:val="20"/>
                <w:shd w:val="clear" w:color="auto" w:fill="FFFFFF"/>
                <w:lang w:val="en-US"/>
              </w:rPr>
              <w:t>Eurocontrol</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cererea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respectivului</w:t>
            </w:r>
            <w:proofErr w:type="spellEnd"/>
            <w:r w:rsidRPr="00A303C4">
              <w:rPr>
                <w:rFonts w:eastAsia="Arial Unicode MS"/>
                <w:color w:val="000000" w:themeColor="text1"/>
                <w:sz w:val="20"/>
                <w:szCs w:val="20"/>
                <w:shd w:val="clear" w:color="auto" w:fill="FFFFFF"/>
                <w:lang w:val="en-US"/>
              </w:rPr>
              <w:t xml:space="preserve"> operator;</w:t>
            </w:r>
          </w:p>
          <w:p w14:paraId="55E47995" w14:textId="77777777" w:rsidR="00124364" w:rsidRPr="00A303C4" w:rsidRDefault="00000000" w:rsidP="00A303C4">
            <w:pPr>
              <w:pStyle w:val="ti-art"/>
              <w:numPr>
                <w:ilvl w:val="0"/>
                <w:numId w:val="197"/>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A303C4">
              <w:rPr>
                <w:rFonts w:eastAsia="Arial Unicode MS"/>
                <w:color w:val="333333"/>
                <w:sz w:val="20"/>
                <w:szCs w:val="20"/>
                <w:shd w:val="clear" w:color="auto" w:fill="FFFFFF"/>
                <w:lang w:val="en-US"/>
              </w:rPr>
              <w:t xml:space="preserve">există o </w:t>
            </w:r>
            <w:proofErr w:type="spellStart"/>
            <w:r w:rsidRPr="00A303C4">
              <w:rPr>
                <w:rFonts w:eastAsia="Arial Unicode MS"/>
                <w:color w:val="333333"/>
                <w:sz w:val="20"/>
                <w:szCs w:val="20"/>
                <w:shd w:val="clear" w:color="auto" w:fill="FFFFFF"/>
                <w:lang w:val="en-US"/>
              </w:rPr>
              <w:t>coerență</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globală</w:t>
            </w:r>
            <w:proofErr w:type="spellEnd"/>
            <w:r w:rsidRPr="00A303C4">
              <w:rPr>
                <w:rFonts w:eastAsia="Arial Unicode MS"/>
                <w:color w:val="333333"/>
                <w:sz w:val="20"/>
                <w:szCs w:val="20"/>
                <w:shd w:val="clear" w:color="auto" w:fill="FFFFFF"/>
                <w:lang w:val="en-US"/>
              </w:rPr>
              <w:t xml:space="preserve"> a </w:t>
            </w:r>
            <w:proofErr w:type="spellStart"/>
            <w:r w:rsidRPr="00A303C4">
              <w:rPr>
                <w:rFonts w:eastAsia="Arial Unicode MS"/>
                <w:color w:val="333333"/>
                <w:sz w:val="20"/>
                <w:szCs w:val="20"/>
                <w:shd w:val="clear" w:color="auto" w:fill="FFFFFF"/>
                <w:lang w:val="en-US"/>
              </w:rPr>
              <w:t>datelor</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privind</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consumul</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cumulat</w:t>
            </w:r>
            <w:proofErr w:type="spellEnd"/>
            <w:r w:rsidRPr="00A303C4">
              <w:rPr>
                <w:rFonts w:eastAsia="Arial Unicode MS"/>
                <w:color w:val="333333"/>
                <w:sz w:val="20"/>
                <w:szCs w:val="20"/>
                <w:shd w:val="clear" w:color="auto" w:fill="FFFFFF"/>
                <w:lang w:val="en-US"/>
              </w:rPr>
              <w:t xml:space="preserve"> de </w:t>
            </w:r>
            <w:proofErr w:type="spellStart"/>
            <w:r w:rsidRPr="00A303C4">
              <w:rPr>
                <w:rFonts w:eastAsia="Arial Unicode MS"/>
                <w:color w:val="333333"/>
                <w:sz w:val="20"/>
                <w:szCs w:val="20"/>
                <w:shd w:val="clear" w:color="auto" w:fill="FFFFFF"/>
                <w:lang w:val="en-US"/>
              </w:rPr>
              <w:t>combustibil</w:t>
            </w:r>
            <w:proofErr w:type="spellEnd"/>
            <w:r w:rsidRPr="00A303C4">
              <w:rPr>
                <w:rFonts w:eastAsia="Arial Unicode MS"/>
                <w:color w:val="333333"/>
                <w:sz w:val="20"/>
                <w:szCs w:val="20"/>
                <w:shd w:val="clear" w:color="auto" w:fill="FFFFFF"/>
                <w:lang w:val="en-US"/>
              </w:rPr>
              <w:t xml:space="preserve"> și a </w:t>
            </w:r>
            <w:proofErr w:type="spellStart"/>
            <w:r w:rsidRPr="00A303C4">
              <w:rPr>
                <w:rFonts w:eastAsia="Arial Unicode MS"/>
                <w:color w:val="333333"/>
                <w:sz w:val="20"/>
                <w:szCs w:val="20"/>
                <w:shd w:val="clear" w:color="auto" w:fill="FFFFFF"/>
                <w:lang w:val="en-US"/>
              </w:rPr>
              <w:t>datelor</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privind</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combustibilul</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achiziționat</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sau</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furnizat</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prin</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altă</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metodă</w:t>
            </w:r>
            <w:proofErr w:type="spellEnd"/>
            <w:r w:rsidRPr="00A303C4">
              <w:rPr>
                <w:rFonts w:eastAsia="Arial Unicode MS"/>
                <w:color w:val="333333"/>
                <w:sz w:val="20"/>
                <w:szCs w:val="20"/>
                <w:shd w:val="clear" w:color="auto" w:fill="FFFFFF"/>
                <w:lang w:val="en-US"/>
              </w:rPr>
              <w:t xml:space="preserve"> </w:t>
            </w:r>
            <w:proofErr w:type="spellStart"/>
            <w:r w:rsidRPr="00A303C4">
              <w:rPr>
                <w:rFonts w:eastAsia="Arial Unicode MS"/>
                <w:color w:val="333333"/>
                <w:sz w:val="20"/>
                <w:szCs w:val="20"/>
                <w:shd w:val="clear" w:color="auto" w:fill="FFFFFF"/>
                <w:lang w:val="en-US"/>
              </w:rPr>
              <w:t>aeronavei</w:t>
            </w:r>
            <w:proofErr w:type="spellEnd"/>
            <w:r w:rsidRPr="00A303C4">
              <w:rPr>
                <w:rFonts w:eastAsia="Arial Unicode MS"/>
                <w:color w:val="333333"/>
                <w:sz w:val="20"/>
                <w:szCs w:val="20"/>
                <w:shd w:val="clear" w:color="auto" w:fill="FFFFFF"/>
                <w:lang w:val="en-US"/>
              </w:rPr>
              <w:t xml:space="preserve"> care efectuează </w:t>
            </w:r>
            <w:proofErr w:type="spellStart"/>
            <w:r w:rsidRPr="00A303C4">
              <w:rPr>
                <w:rFonts w:eastAsia="Arial Unicode MS"/>
                <w:color w:val="333333"/>
                <w:sz w:val="20"/>
                <w:szCs w:val="20"/>
                <w:shd w:val="clear" w:color="auto" w:fill="FFFFFF"/>
                <w:lang w:val="en-US"/>
              </w:rPr>
              <w:t>activitatea</w:t>
            </w:r>
            <w:proofErr w:type="spellEnd"/>
            <w:r w:rsidRPr="00A303C4">
              <w:rPr>
                <w:rFonts w:eastAsia="Arial Unicode MS"/>
                <w:color w:val="333333"/>
                <w:sz w:val="20"/>
                <w:szCs w:val="20"/>
                <w:shd w:val="clear" w:color="auto" w:fill="FFFFFF"/>
                <w:lang w:val="en-US"/>
              </w:rPr>
              <w:t xml:space="preserve"> de </w:t>
            </w:r>
            <w:proofErr w:type="spellStart"/>
            <w:r w:rsidRPr="00A303C4">
              <w:rPr>
                <w:rFonts w:eastAsia="Arial Unicode MS"/>
                <w:color w:val="333333"/>
                <w:sz w:val="20"/>
                <w:szCs w:val="20"/>
                <w:shd w:val="clear" w:color="auto" w:fill="FFFFFF"/>
                <w:lang w:val="en-US"/>
              </w:rPr>
              <w:t>aviație</w:t>
            </w:r>
            <w:proofErr w:type="spellEnd"/>
            <w:r w:rsidRPr="00A303C4">
              <w:rPr>
                <w:rFonts w:eastAsia="Arial Unicode MS"/>
                <w:color w:val="333333"/>
                <w:sz w:val="20"/>
                <w:szCs w:val="20"/>
                <w:shd w:val="clear" w:color="auto" w:fill="FFFFFF"/>
                <w:lang w:val="en-US"/>
              </w:rPr>
              <w:t>.</w:t>
            </w:r>
          </w:p>
          <w:p w14:paraId="39192E6A" w14:textId="77777777" w:rsidR="00124364" w:rsidRPr="00A303C4" w:rsidRDefault="00000000" w:rsidP="00A303C4">
            <w:pPr>
              <w:pStyle w:val="ti-art"/>
              <w:shd w:val="clear" w:color="auto" w:fill="FFFFFF"/>
              <w:spacing w:before="0" w:beforeAutospacing="0" w:after="0" w:afterAutospacing="0"/>
              <w:ind w:left="1080"/>
              <w:jc w:val="both"/>
              <w:rPr>
                <w:rFonts w:eastAsia="Arial Unicode MS"/>
                <w:color w:val="333333"/>
                <w:sz w:val="20"/>
                <w:szCs w:val="20"/>
                <w:shd w:val="clear" w:color="auto" w:fill="FFFFFF"/>
                <w:lang w:val="en-US"/>
              </w:rPr>
            </w:pPr>
            <w:proofErr w:type="spellStart"/>
            <w:r w:rsidRPr="00A303C4">
              <w:rPr>
                <w:rFonts w:eastAsia="Arial Unicode MS"/>
                <w:i/>
                <w:iCs/>
                <w:color w:val="333333"/>
                <w:sz w:val="20"/>
                <w:szCs w:val="20"/>
                <w:shd w:val="clear" w:color="auto" w:fill="FFFFFF"/>
                <w:lang w:val="en-US"/>
              </w:rPr>
              <w:t>Dispoziții</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suplimentare</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privind</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verificarea</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datelor</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tonă-kilometru</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prezentate</w:t>
            </w:r>
            <w:proofErr w:type="spellEnd"/>
            <w:r w:rsidRPr="00A303C4">
              <w:rPr>
                <w:rFonts w:eastAsia="Arial Unicode MS"/>
                <w:i/>
                <w:iCs/>
                <w:color w:val="333333"/>
                <w:sz w:val="20"/>
                <w:szCs w:val="20"/>
                <w:shd w:val="clear" w:color="auto" w:fill="FFFFFF"/>
                <w:lang w:val="en-US"/>
              </w:rPr>
              <w:t xml:space="preserve"> în </w:t>
            </w:r>
            <w:proofErr w:type="spellStart"/>
            <w:r w:rsidRPr="00A303C4">
              <w:rPr>
                <w:rFonts w:eastAsia="Arial Unicode MS"/>
                <w:i/>
                <w:iCs/>
                <w:color w:val="333333"/>
                <w:sz w:val="20"/>
                <w:szCs w:val="20"/>
                <w:shd w:val="clear" w:color="auto" w:fill="FFFFFF"/>
                <w:lang w:val="en-US"/>
              </w:rPr>
              <w:t>sensul</w:t>
            </w:r>
            <w:proofErr w:type="spellEnd"/>
            <w:r w:rsidRPr="00A303C4">
              <w:rPr>
                <w:rFonts w:eastAsia="Arial Unicode MS"/>
                <w:i/>
                <w:iCs/>
                <w:color w:val="333333"/>
                <w:sz w:val="20"/>
                <w:szCs w:val="20"/>
                <w:shd w:val="clear" w:color="auto" w:fill="FFFFFF"/>
                <w:lang w:val="en-US"/>
              </w:rPr>
              <w:t xml:space="preserve"> </w:t>
            </w:r>
            <w:proofErr w:type="spellStart"/>
            <w:r w:rsidRPr="00A303C4">
              <w:rPr>
                <w:rFonts w:eastAsia="Arial Unicode MS"/>
                <w:i/>
                <w:iCs/>
                <w:color w:val="333333"/>
                <w:sz w:val="20"/>
                <w:szCs w:val="20"/>
                <w:shd w:val="clear" w:color="auto" w:fill="FFFFFF"/>
                <w:lang w:val="en-US"/>
              </w:rPr>
              <w:t>articolelor</w:t>
            </w:r>
            <w:proofErr w:type="spellEnd"/>
            <w:r w:rsidRPr="00A303C4">
              <w:rPr>
                <w:rFonts w:eastAsia="Arial Unicode MS"/>
                <w:i/>
                <w:iCs/>
                <w:color w:val="333333"/>
                <w:sz w:val="20"/>
                <w:szCs w:val="20"/>
                <w:shd w:val="clear" w:color="auto" w:fill="FFFFFF"/>
                <w:lang w:val="en-US"/>
              </w:rPr>
              <w:t xml:space="preserve"> 3e și 3f</w:t>
            </w:r>
          </w:p>
          <w:p w14:paraId="16166A08" w14:textId="77777777" w:rsidR="00124364" w:rsidRPr="00A303C4" w:rsidRDefault="00000000" w:rsidP="00A303C4">
            <w:pPr>
              <w:pStyle w:val="ti-art"/>
              <w:numPr>
                <w:ilvl w:val="0"/>
                <w:numId w:val="19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Principiile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metodologia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verificare</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rapoartelor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temeiul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articolului</w:t>
            </w:r>
            <w:proofErr w:type="spellEnd"/>
            <w:r w:rsidRPr="00A303C4">
              <w:rPr>
                <w:rFonts w:eastAsia="Arial Unicode MS"/>
                <w:color w:val="000000" w:themeColor="text1"/>
                <w:sz w:val="20"/>
                <w:szCs w:val="20"/>
                <w:shd w:val="clear" w:color="auto" w:fill="FFFFFF"/>
                <w:lang w:val="en-US"/>
              </w:rPr>
              <w:t xml:space="preserve"> 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menționate</w:t>
            </w:r>
            <w:proofErr w:type="spellEnd"/>
            <w:r w:rsidRPr="00A303C4">
              <w:rPr>
                <w:rFonts w:eastAsia="Arial Unicode MS"/>
                <w:color w:val="000000" w:themeColor="text1"/>
                <w:sz w:val="20"/>
                <w:szCs w:val="20"/>
                <w:shd w:val="clear" w:color="auto" w:fill="FFFFFF"/>
                <w:lang w:val="en-US"/>
              </w:rPr>
              <w:t xml:space="preserve"> în prezenta </w:t>
            </w:r>
            <w:proofErr w:type="spellStart"/>
            <w:r w:rsidRPr="00A303C4">
              <w:rPr>
                <w:rFonts w:eastAsia="Arial Unicode MS"/>
                <w:color w:val="000000" w:themeColor="text1"/>
                <w:sz w:val="20"/>
                <w:szCs w:val="20"/>
                <w:shd w:val="clear" w:color="auto" w:fill="FFFFFF"/>
                <w:lang w:val="en-US"/>
              </w:rPr>
              <w:t>anexă</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aplică</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asemenea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după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caz</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verificarea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tonă-kilometru</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w:t>
            </w:r>
          </w:p>
          <w:p w14:paraId="74EE805B" w14:textId="77777777" w:rsidR="00124364" w:rsidRPr="00A303C4" w:rsidRDefault="00000000" w:rsidP="00A303C4">
            <w:pPr>
              <w:pStyle w:val="ti-art"/>
              <w:numPr>
                <w:ilvl w:val="0"/>
                <w:numId w:val="19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În special,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asigură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cererea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operatorului</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cauză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depusă</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Pr="00A303C4">
              <w:rPr>
                <w:rFonts w:eastAsia="Arial Unicode MS"/>
                <w:color w:val="000000" w:themeColor="text1"/>
                <w:sz w:val="20"/>
                <w:szCs w:val="20"/>
                <w:shd w:val="clear" w:color="auto" w:fill="FFFFFF"/>
                <w:lang w:val="en-US"/>
              </w:rPr>
              <w:t xml:space="preserve"> 3e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(1) și </w:t>
            </w:r>
            <w:proofErr w:type="spellStart"/>
            <w:r w:rsidRPr="00A303C4">
              <w:rPr>
                <w:rFonts w:eastAsia="Arial Unicode MS"/>
                <w:color w:val="000000" w:themeColor="text1"/>
                <w:sz w:val="20"/>
                <w:szCs w:val="20"/>
                <w:shd w:val="clear" w:color="auto" w:fill="FFFFFF"/>
                <w:lang w:val="en-US"/>
              </w:rPr>
              <w:t>articolul</w:t>
            </w:r>
            <w:proofErr w:type="spellEnd"/>
            <w:r w:rsidRPr="00A303C4">
              <w:rPr>
                <w:rFonts w:eastAsia="Arial Unicode MS"/>
                <w:color w:val="000000" w:themeColor="text1"/>
                <w:sz w:val="20"/>
                <w:szCs w:val="20"/>
                <w:shd w:val="clear" w:color="auto" w:fill="FFFFFF"/>
                <w:lang w:val="en-US"/>
              </w:rPr>
              <w:t xml:space="preserve"> 3f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(2), au </w:t>
            </w:r>
            <w:proofErr w:type="spellStart"/>
            <w:r w:rsidRPr="00A303C4">
              <w:rPr>
                <w:rFonts w:eastAsia="Arial Unicode MS"/>
                <w:color w:val="000000" w:themeColor="text1"/>
                <w:sz w:val="20"/>
                <w:szCs w:val="20"/>
                <w:shd w:val="clear" w:color="auto" w:fill="FFFFFF"/>
                <w:lang w:val="en-US"/>
              </w:rPr>
              <w:t>fost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luate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considerare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numai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zborurile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efectiv</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efectuate</w:t>
            </w:r>
            <w:proofErr w:type="spellEnd"/>
            <w:r w:rsidRPr="00A303C4">
              <w:rPr>
                <w:rFonts w:eastAsia="Arial Unicode MS"/>
                <w:color w:val="000000" w:themeColor="text1"/>
                <w:sz w:val="20"/>
                <w:szCs w:val="20"/>
                <w:shd w:val="clear" w:color="auto" w:fill="FFFFFF"/>
                <w:lang w:val="en-US"/>
              </w:rPr>
              <w:t xml:space="preserve"> și care se </w:t>
            </w:r>
            <w:proofErr w:type="spellStart"/>
            <w:r w:rsidRPr="00A303C4">
              <w:rPr>
                <w:rFonts w:eastAsia="Arial Unicode MS"/>
                <w:color w:val="000000" w:themeColor="text1"/>
                <w:sz w:val="20"/>
                <w:szCs w:val="20"/>
                <w:shd w:val="clear" w:color="auto" w:fill="FFFFFF"/>
                <w:lang w:val="en-US"/>
              </w:rPr>
              <w:t>încadrează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categoria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aviație</w:t>
            </w:r>
            <w:proofErr w:type="spellEnd"/>
            <w:r w:rsidRPr="00A303C4">
              <w:rPr>
                <w:rFonts w:eastAsia="Arial Unicode MS"/>
                <w:color w:val="000000" w:themeColor="text1"/>
                <w:sz w:val="20"/>
                <w:szCs w:val="20"/>
                <w:shd w:val="clear" w:color="auto" w:fill="FFFFFF"/>
                <w:lang w:val="en-US"/>
              </w:rPr>
              <w:t xml:space="preserve"> enumerate în </w:t>
            </w:r>
            <w:proofErr w:type="spellStart"/>
            <w:r w:rsidRPr="00A303C4">
              <w:rPr>
                <w:rFonts w:eastAsia="Arial Unicode MS"/>
                <w:color w:val="000000" w:themeColor="text1"/>
                <w:sz w:val="20"/>
                <w:szCs w:val="20"/>
                <w:shd w:val="clear" w:color="auto" w:fill="FFFFFF"/>
                <w:lang w:val="en-US"/>
              </w:rPr>
              <w:t>anexa</w:t>
            </w:r>
            <w:proofErr w:type="spellEnd"/>
            <w:r w:rsidRPr="00A303C4">
              <w:rPr>
                <w:rFonts w:eastAsia="Arial Unicode MS"/>
                <w:color w:val="000000" w:themeColor="text1"/>
                <w:sz w:val="20"/>
                <w:szCs w:val="20"/>
                <w:shd w:val="clear" w:color="auto" w:fill="FFFFFF"/>
                <w:lang w:val="en-US"/>
              </w:rPr>
              <w:t xml:space="preserve"> I de care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responsabil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responsabilități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dispune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informații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traficul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operatorului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inclusiv</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informațiile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obținute</w:t>
            </w:r>
            <w:proofErr w:type="spellEnd"/>
            <w:r w:rsidRPr="00A303C4">
              <w:rPr>
                <w:rFonts w:eastAsia="Arial Unicode MS"/>
                <w:color w:val="000000" w:themeColor="text1"/>
                <w:sz w:val="20"/>
                <w:szCs w:val="20"/>
                <w:shd w:val="clear" w:color="auto" w:fill="FFFFFF"/>
                <w:lang w:val="en-US"/>
              </w:rPr>
              <w:t xml:space="preserve"> de la </w:t>
            </w:r>
            <w:proofErr w:type="spellStart"/>
            <w:r w:rsidRPr="00A303C4">
              <w:rPr>
                <w:rFonts w:eastAsia="Arial Unicode MS"/>
                <w:color w:val="000000" w:themeColor="text1"/>
                <w:sz w:val="20"/>
                <w:szCs w:val="20"/>
                <w:shd w:val="clear" w:color="auto" w:fill="FFFFFF"/>
                <w:lang w:val="en-US"/>
              </w:rPr>
              <w:t>Eurocontrol</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cererea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respectivului</w:t>
            </w:r>
            <w:proofErr w:type="spellEnd"/>
            <w:r w:rsidRPr="00A303C4">
              <w:rPr>
                <w:rFonts w:eastAsia="Arial Unicode MS"/>
                <w:color w:val="000000" w:themeColor="text1"/>
                <w:sz w:val="20"/>
                <w:szCs w:val="20"/>
                <w:shd w:val="clear" w:color="auto" w:fill="FFFFFF"/>
                <w:lang w:val="en-US"/>
              </w:rPr>
              <w:t xml:space="preserve"> operator. De </w:t>
            </w:r>
            <w:proofErr w:type="spellStart"/>
            <w:r w:rsidRPr="00A303C4">
              <w:rPr>
                <w:rFonts w:eastAsia="Arial Unicode MS"/>
                <w:color w:val="000000" w:themeColor="text1"/>
                <w:sz w:val="20"/>
                <w:szCs w:val="20"/>
                <w:shd w:val="clear" w:color="auto" w:fill="FFFFFF"/>
                <w:lang w:val="en-US"/>
              </w:rPr>
              <w:t>asemenea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asigură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sarcina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utilă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declarată</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aeronave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corespunde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înregistrărilor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sarcinile</w:t>
            </w:r>
            <w:proofErr w:type="spellEnd"/>
            <w:r w:rsidRPr="00A303C4">
              <w:rPr>
                <w:rFonts w:eastAsia="Arial Unicode MS"/>
                <w:color w:val="000000" w:themeColor="text1"/>
                <w:sz w:val="20"/>
                <w:szCs w:val="20"/>
                <w:shd w:val="clear" w:color="auto" w:fill="FFFFFF"/>
                <w:lang w:val="en-US"/>
              </w:rPr>
              <w:t xml:space="preserve"> utile, </w:t>
            </w:r>
            <w:proofErr w:type="spellStart"/>
            <w:r w:rsidRPr="00A303C4">
              <w:rPr>
                <w:rFonts w:eastAsia="Arial Unicode MS"/>
                <w:color w:val="000000" w:themeColor="text1"/>
                <w:sz w:val="20"/>
                <w:szCs w:val="20"/>
                <w:shd w:val="clear" w:color="auto" w:fill="FFFFFF"/>
                <w:lang w:val="en-US"/>
              </w:rPr>
              <w:t>păstrate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operatorul</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cauză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scopul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asigurării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siguranței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zborului</w:t>
            </w:r>
            <w:proofErr w:type="spellEnd"/>
            <w:r w:rsidRPr="00A303C4">
              <w:rPr>
                <w:rFonts w:eastAsia="Arial Unicode MS"/>
                <w:color w:val="000000" w:themeColor="text1"/>
                <w:sz w:val="20"/>
                <w:szCs w:val="20"/>
                <w:shd w:val="clear" w:color="auto" w:fill="FFFFFF"/>
                <w:lang w:val="en-US"/>
              </w:rPr>
              <w:t>.</w:t>
            </w:r>
          </w:p>
          <w:p w14:paraId="7CBF1FE3" w14:textId="77777777" w:rsidR="0012436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405" w:tooltip="32023L0959: INSERTED" w:history="1">
              <w:r w:rsidRPr="00E34C2B">
                <w:rPr>
                  <w:rStyle w:val="af3"/>
                  <w:rFonts w:eastAsia="Arial Unicode MS"/>
                  <w:b/>
                  <w:bCs/>
                  <w:color w:val="800080"/>
                  <w:sz w:val="20"/>
                  <w:szCs w:val="20"/>
                  <w:lang w:val="en-US"/>
                </w:rPr>
                <w:t>▼M15</w:t>
              </w:r>
            </w:hyperlink>
          </w:p>
          <w:p w14:paraId="4B3738D5" w14:textId="77777777" w:rsidR="00124364" w:rsidRPr="00A303C4"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A303C4">
              <w:rPr>
                <w:rFonts w:eastAsia="Arial Unicode MS"/>
                <w:b/>
                <w:bCs/>
                <w:color w:val="000000" w:themeColor="text1"/>
                <w:sz w:val="20"/>
                <w:szCs w:val="20"/>
                <w:shd w:val="clear" w:color="auto" w:fill="FFFFFF"/>
                <w:lang w:val="en-US"/>
              </w:rPr>
              <w:t>PARTEA C</w:t>
            </w:r>
          </w:p>
          <w:p w14:paraId="208C167A" w14:textId="6ABEC2CB" w:rsidR="00124364" w:rsidRPr="00A303C4"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proofErr w:type="spellStart"/>
            <w:r w:rsidRPr="00A303C4">
              <w:rPr>
                <w:rFonts w:eastAsia="Arial Unicode MS"/>
                <w:b/>
                <w:bCs/>
                <w:color w:val="000000" w:themeColor="text1"/>
                <w:sz w:val="20"/>
                <w:szCs w:val="20"/>
                <w:shd w:val="clear" w:color="auto" w:fill="FFFFFF"/>
                <w:lang w:val="en-US"/>
              </w:rPr>
              <w:t>Verificarea</w:t>
            </w:r>
            <w:proofErr w:type="spellEnd"/>
            <w:r w:rsidRPr="00A303C4">
              <w:rPr>
                <w:rFonts w:eastAsia="Arial Unicode MS"/>
                <w:b/>
                <w:bCs/>
                <w:color w:val="000000" w:themeColor="text1"/>
                <w:sz w:val="20"/>
                <w:szCs w:val="20"/>
                <w:shd w:val="clear" w:color="auto" w:fill="FFFFFF"/>
                <w:lang w:val="en-US"/>
              </w:rPr>
              <w:t xml:space="preserve"> </w:t>
            </w:r>
            <w:proofErr w:type="spellStart"/>
            <w:r w:rsidRPr="00A303C4">
              <w:rPr>
                <w:rFonts w:eastAsia="Arial Unicode MS"/>
                <w:b/>
                <w:bCs/>
                <w:color w:val="000000" w:themeColor="text1"/>
                <w:sz w:val="20"/>
                <w:szCs w:val="20"/>
                <w:shd w:val="clear" w:color="auto" w:fill="FFFFFF"/>
                <w:lang w:val="en-US"/>
              </w:rPr>
              <w:t>emisiilor</w:t>
            </w:r>
            <w:proofErr w:type="spellEnd"/>
            <w:r w:rsidRPr="00A303C4">
              <w:rPr>
                <w:rFonts w:eastAsia="Arial Unicode MS"/>
                <w:b/>
                <w:bCs/>
                <w:color w:val="000000" w:themeColor="text1"/>
                <w:sz w:val="20"/>
                <w:szCs w:val="20"/>
                <w:shd w:val="clear" w:color="auto" w:fill="FFFFFF"/>
                <w:lang w:val="en-US"/>
              </w:rPr>
              <w:t xml:space="preserve"> </w:t>
            </w:r>
            <w:proofErr w:type="spellStart"/>
            <w:r w:rsidRPr="00A303C4">
              <w:rPr>
                <w:rFonts w:eastAsia="Arial Unicode MS"/>
                <w:b/>
                <w:bCs/>
                <w:color w:val="000000" w:themeColor="text1"/>
                <w:sz w:val="20"/>
                <w:szCs w:val="20"/>
                <w:shd w:val="clear" w:color="auto" w:fill="FFFFFF"/>
                <w:lang w:val="en-US"/>
              </w:rPr>
              <w:t>corespunzătoare</w:t>
            </w:r>
            <w:proofErr w:type="spellEnd"/>
            <w:r w:rsidRPr="00A303C4">
              <w:rPr>
                <w:rFonts w:eastAsia="Arial Unicode MS"/>
                <w:b/>
                <w:bCs/>
                <w:color w:val="000000" w:themeColor="text1"/>
                <w:sz w:val="20"/>
                <w:szCs w:val="20"/>
                <w:shd w:val="clear" w:color="auto" w:fill="FFFFFF"/>
                <w:lang w:val="en-US"/>
              </w:rPr>
              <w:t xml:space="preserve"> </w:t>
            </w:r>
            <w:proofErr w:type="spellStart"/>
            <w:r w:rsidRPr="00A303C4">
              <w:rPr>
                <w:rFonts w:eastAsia="Arial Unicode MS"/>
                <w:b/>
                <w:bCs/>
                <w:color w:val="000000" w:themeColor="text1"/>
                <w:sz w:val="20"/>
                <w:szCs w:val="20"/>
                <w:shd w:val="clear" w:color="auto" w:fill="FFFFFF"/>
                <w:lang w:val="en-US"/>
              </w:rPr>
              <w:t>activității</w:t>
            </w:r>
            <w:proofErr w:type="spellEnd"/>
            <w:r w:rsidRPr="00A303C4">
              <w:rPr>
                <w:rFonts w:eastAsia="Arial Unicode MS"/>
                <w:b/>
                <w:bCs/>
                <w:color w:val="000000" w:themeColor="text1"/>
                <w:sz w:val="20"/>
                <w:szCs w:val="20"/>
                <w:shd w:val="clear" w:color="auto" w:fill="FFFFFF"/>
                <w:lang w:val="en-US"/>
              </w:rPr>
              <w:t xml:space="preserve"> </w:t>
            </w:r>
            <w:proofErr w:type="spellStart"/>
            <w:r w:rsidRPr="00A303C4">
              <w:rPr>
                <w:rFonts w:eastAsia="Arial Unicode MS"/>
                <w:b/>
                <w:bCs/>
                <w:color w:val="000000" w:themeColor="text1"/>
                <w:sz w:val="20"/>
                <w:szCs w:val="20"/>
                <w:shd w:val="clear" w:color="auto" w:fill="FFFFFF"/>
                <w:lang w:val="en-US"/>
              </w:rPr>
              <w:t>menționate</w:t>
            </w:r>
            <w:proofErr w:type="spellEnd"/>
            <w:r w:rsidRPr="00A303C4">
              <w:rPr>
                <w:rFonts w:eastAsia="Arial Unicode MS"/>
                <w:b/>
                <w:bCs/>
                <w:color w:val="000000" w:themeColor="text1"/>
                <w:sz w:val="20"/>
                <w:szCs w:val="20"/>
                <w:shd w:val="clear" w:color="auto" w:fill="FFFFFF"/>
                <w:lang w:val="en-US"/>
              </w:rPr>
              <w:t xml:space="preserve"> în </w:t>
            </w:r>
            <w:proofErr w:type="spellStart"/>
            <w:r w:rsidRPr="00A303C4">
              <w:rPr>
                <w:rFonts w:eastAsia="Arial Unicode MS"/>
                <w:b/>
                <w:bCs/>
                <w:color w:val="000000" w:themeColor="text1"/>
                <w:sz w:val="20"/>
                <w:szCs w:val="20"/>
                <w:shd w:val="clear" w:color="auto" w:fill="FFFFFF"/>
                <w:lang w:val="en-US"/>
              </w:rPr>
              <w:t>anexa</w:t>
            </w:r>
            <w:proofErr w:type="spellEnd"/>
            <w:r w:rsidR="00A303C4">
              <w:rPr>
                <w:rFonts w:eastAsia="Arial Unicode MS"/>
                <w:b/>
                <w:bCs/>
                <w:color w:val="000000" w:themeColor="text1"/>
                <w:sz w:val="20"/>
                <w:szCs w:val="20"/>
                <w:shd w:val="clear" w:color="auto" w:fill="FFFFFF"/>
                <w:lang w:val="en-US"/>
              </w:rPr>
              <w:t xml:space="preserve"> </w:t>
            </w:r>
            <w:r w:rsidRPr="00A303C4">
              <w:rPr>
                <w:rFonts w:eastAsia="Arial Unicode MS"/>
                <w:b/>
                <w:bCs/>
                <w:color w:val="000000" w:themeColor="text1"/>
                <w:sz w:val="20"/>
                <w:szCs w:val="20"/>
                <w:shd w:val="clear" w:color="auto" w:fill="FFFFFF"/>
                <w:lang w:val="en-US"/>
              </w:rPr>
              <w:t>III</w:t>
            </w:r>
          </w:p>
          <w:p w14:paraId="39470AA8" w14:textId="77777777" w:rsidR="00124364" w:rsidRPr="00A303C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rPr>
            </w:pPr>
            <w:proofErr w:type="spellStart"/>
            <w:r w:rsidRPr="00A303C4">
              <w:rPr>
                <w:rFonts w:eastAsia="Arial Unicode MS"/>
                <w:color w:val="000000" w:themeColor="text1"/>
                <w:sz w:val="20"/>
                <w:szCs w:val="20"/>
                <w:shd w:val="clear" w:color="auto" w:fill="FFFFFF"/>
              </w:rPr>
              <w:t>Principii</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generale</w:t>
            </w:r>
            <w:proofErr w:type="spellEnd"/>
          </w:p>
          <w:p w14:paraId="75709BAE"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corespunzătoare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menționate</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anexa</w:t>
            </w:r>
            <w:proofErr w:type="spellEnd"/>
            <w:r w:rsidRPr="00A303C4">
              <w:rPr>
                <w:rFonts w:eastAsia="Arial Unicode MS"/>
                <w:color w:val="000000" w:themeColor="text1"/>
                <w:sz w:val="20"/>
                <w:szCs w:val="20"/>
                <w:shd w:val="clear" w:color="auto" w:fill="FFFFFF"/>
                <w:lang w:val="en-US"/>
              </w:rPr>
              <w:t xml:space="preserve"> III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w:t>
            </w:r>
          </w:p>
          <w:p w14:paraId="7C115B71" w14:textId="565761E2" w:rsidR="00124364" w:rsidRDefault="00000000" w:rsidP="00A303C4">
            <w:pPr>
              <w:pStyle w:val="ti-art"/>
              <w:numPr>
                <w:ilvl w:val="0"/>
                <w:numId w:val="198"/>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Procesul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verificare</w:t>
            </w:r>
            <w:proofErr w:type="spellEnd"/>
            <w:r>
              <w:rPr>
                <w:rFonts w:eastAsia="Arial Unicode MS"/>
                <w:color w:val="333333"/>
                <w:sz w:val="20"/>
                <w:szCs w:val="20"/>
                <w:shd w:val="clear" w:color="auto" w:fill="FFFFFF"/>
                <w:lang w:val="en-US"/>
              </w:rPr>
              <w:t xml:space="preserve"> include </w:t>
            </w:r>
            <w:proofErr w:type="spellStart"/>
            <w:r>
              <w:rPr>
                <w:rFonts w:eastAsia="Arial Unicode MS"/>
                <w:color w:val="333333"/>
                <w:sz w:val="20"/>
                <w:szCs w:val="20"/>
                <w:shd w:val="clear" w:color="auto" w:fill="FFFFFF"/>
                <w:lang w:val="en-US"/>
              </w:rPr>
              <w:t>evaluarea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raportului</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sidR="00A303C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14 </w:t>
            </w:r>
            <w:proofErr w:type="spellStart"/>
            <w:r>
              <w:rPr>
                <w:rFonts w:eastAsia="Arial Unicode MS"/>
                <w:color w:val="333333"/>
                <w:sz w:val="20"/>
                <w:szCs w:val="20"/>
                <w:shd w:val="clear" w:color="auto" w:fill="FFFFFF"/>
                <w:lang w:val="en-US"/>
              </w:rPr>
              <w:t>alineatul</w:t>
            </w:r>
            <w:proofErr w:type="spellEnd"/>
            <w:r w:rsidR="00A303C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(3) și a </w:t>
            </w:r>
            <w:proofErr w:type="spellStart"/>
            <w:r>
              <w:rPr>
                <w:rFonts w:eastAsia="Arial Unicode MS"/>
                <w:color w:val="333333"/>
                <w:sz w:val="20"/>
                <w:szCs w:val="20"/>
                <w:shd w:val="clear" w:color="auto" w:fill="FFFFFF"/>
                <w:lang w:val="en-US"/>
              </w:rPr>
              <w:t>monitorizării</w:t>
            </w:r>
            <w:proofErr w:type="spellEnd"/>
            <w:r>
              <w:rPr>
                <w:rFonts w:eastAsia="Arial Unicode MS"/>
                <w:color w:val="333333"/>
                <w:sz w:val="20"/>
                <w:szCs w:val="20"/>
                <w:shd w:val="clear" w:color="auto" w:fill="FFFFFF"/>
                <w:lang w:val="en-US"/>
              </w:rPr>
              <w:t xml:space="preserve"> de pe </w:t>
            </w:r>
            <w:proofErr w:type="spellStart"/>
            <w:r>
              <w:rPr>
                <w:rFonts w:eastAsia="Arial Unicode MS"/>
                <w:color w:val="333333"/>
                <w:sz w:val="20"/>
                <w:szCs w:val="20"/>
                <w:shd w:val="clear" w:color="auto" w:fill="FFFFFF"/>
                <w:lang w:val="en-US"/>
              </w:rPr>
              <w:t>parcursul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anului</w:t>
            </w:r>
            <w:proofErr w:type="spellEnd"/>
            <w:r>
              <w:rPr>
                <w:rFonts w:eastAsia="Arial Unicode MS"/>
                <w:color w:val="333333"/>
                <w:sz w:val="20"/>
                <w:szCs w:val="20"/>
                <w:shd w:val="clear" w:color="auto" w:fill="FFFFFF"/>
                <w:lang w:val="en-US"/>
              </w:rPr>
              <w:t xml:space="preserve"> anterior. </w:t>
            </w:r>
            <w:proofErr w:type="spellStart"/>
            <w:r>
              <w:rPr>
                <w:rFonts w:eastAsia="Arial Unicode MS"/>
                <w:color w:val="333333"/>
                <w:sz w:val="20"/>
                <w:szCs w:val="20"/>
                <w:shd w:val="clear" w:color="auto" w:fill="FFFFFF"/>
                <w:lang w:val="en-US"/>
              </w:rPr>
              <w:t>Verificarea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abordează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fiabilitatea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credibilitatea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acuratețea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sistemelor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datele</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informațiile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raportate</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privire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în special:</w:t>
            </w:r>
          </w:p>
          <w:p w14:paraId="40EDFA35" w14:textId="77777777" w:rsidR="00124364" w:rsidRDefault="00000000" w:rsidP="00A303C4">
            <w:pPr>
              <w:pStyle w:val="ti-art"/>
              <w:numPr>
                <w:ilvl w:val="0"/>
                <w:numId w:val="199"/>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lastRenderedPageBreak/>
              <w:t>combustibilii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eliberați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declarați</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calculele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aferente</w:t>
            </w:r>
            <w:proofErr w:type="spellEnd"/>
            <w:r>
              <w:rPr>
                <w:rFonts w:eastAsia="Arial Unicode MS"/>
                <w:color w:val="333333"/>
                <w:sz w:val="20"/>
                <w:szCs w:val="20"/>
                <w:shd w:val="clear" w:color="auto" w:fill="FFFFFF"/>
                <w:lang w:val="en-US"/>
              </w:rPr>
              <w:t>;</w:t>
            </w:r>
          </w:p>
          <w:p w14:paraId="04A49C59" w14:textId="77777777" w:rsidR="00124364" w:rsidRDefault="00000000" w:rsidP="00A303C4">
            <w:pPr>
              <w:pStyle w:val="ti-art"/>
              <w:numPr>
                <w:ilvl w:val="0"/>
                <w:numId w:val="199"/>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selectarea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utilizarea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factorilor</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emisie</w:t>
            </w:r>
            <w:proofErr w:type="spellEnd"/>
            <w:r>
              <w:rPr>
                <w:rFonts w:eastAsia="Arial Unicode MS"/>
                <w:color w:val="333333"/>
                <w:sz w:val="20"/>
                <w:szCs w:val="20"/>
                <w:shd w:val="clear" w:color="auto" w:fill="FFFFFF"/>
                <w:lang w:val="en-US"/>
              </w:rPr>
              <w:t>;</w:t>
            </w:r>
          </w:p>
          <w:p w14:paraId="3A0EB4AF" w14:textId="77777777" w:rsidR="00124364" w:rsidRPr="00A303C4" w:rsidRDefault="00000000" w:rsidP="00A303C4">
            <w:pPr>
              <w:pStyle w:val="ti-art"/>
              <w:numPr>
                <w:ilvl w:val="0"/>
                <w:numId w:val="19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calculele</w:t>
            </w:r>
            <w:proofErr w:type="spellEnd"/>
            <w:r>
              <w:rPr>
                <w:rFonts w:eastAsia="Arial Unicode MS"/>
                <w:color w:val="333333"/>
                <w:sz w:val="20"/>
                <w:szCs w:val="20"/>
                <w:shd w:val="clear" w:color="auto" w:fill="FFFFFF"/>
                <w:lang w:val="en-US"/>
              </w:rPr>
              <w:t xml:space="preserve"> care au </w:t>
            </w:r>
            <w:proofErr w:type="spellStart"/>
            <w:r>
              <w:rPr>
                <w:rFonts w:eastAsia="Arial Unicode MS"/>
                <w:color w:val="333333"/>
                <w:sz w:val="20"/>
                <w:szCs w:val="20"/>
                <w:shd w:val="clear" w:color="auto" w:fill="FFFFFF"/>
                <w:lang w:val="en-US"/>
              </w:rPr>
              <w:t>condus</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determinarea</w:t>
            </w:r>
            <w:proofErr w:type="spellEnd"/>
            <w:r>
              <w:rPr>
                <w:rFonts w:eastAsia="Arial Unicode MS"/>
                <w:color w:val="333333"/>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w:t>
            </w:r>
          </w:p>
          <w:p w14:paraId="613679CF"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 xml:space="preserve"> pot fi validate </w:t>
            </w:r>
            <w:proofErr w:type="spellStart"/>
            <w:r w:rsidRPr="00A303C4">
              <w:rPr>
                <w:rFonts w:eastAsia="Arial Unicode MS"/>
                <w:color w:val="000000" w:themeColor="text1"/>
                <w:sz w:val="20"/>
                <w:szCs w:val="20"/>
                <w:shd w:val="clear" w:color="auto" w:fill="FFFFFF"/>
                <w:lang w:val="en-US"/>
              </w:rPr>
              <w:t>numai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dacă</w:t>
            </w:r>
            <w:proofErr w:type="spellEnd"/>
            <w:r w:rsidRPr="00A303C4">
              <w:rPr>
                <w:rFonts w:eastAsia="Arial Unicode MS"/>
                <w:color w:val="000000" w:themeColor="text1"/>
                <w:sz w:val="20"/>
                <w:szCs w:val="20"/>
                <w:shd w:val="clear" w:color="auto" w:fill="FFFFFF"/>
                <w:lang w:val="en-US"/>
              </w:rPr>
              <w:t xml:space="preserve"> există date și </w:t>
            </w:r>
            <w:proofErr w:type="spellStart"/>
            <w:r w:rsidRPr="00A303C4">
              <w:rPr>
                <w:rFonts w:eastAsia="Arial Unicode MS"/>
                <w:color w:val="000000" w:themeColor="text1"/>
                <w:sz w:val="20"/>
                <w:szCs w:val="20"/>
                <w:shd w:val="clear" w:color="auto" w:fill="FFFFFF"/>
                <w:lang w:val="en-US"/>
              </w:rPr>
              <w:t>informații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fiabile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credibile</w:t>
            </w:r>
            <w:proofErr w:type="spellEnd"/>
            <w:r w:rsidRPr="00A303C4">
              <w:rPr>
                <w:rFonts w:eastAsia="Arial Unicode MS"/>
                <w:color w:val="000000" w:themeColor="text1"/>
                <w:sz w:val="20"/>
                <w:szCs w:val="20"/>
                <w:shd w:val="clear" w:color="auto" w:fill="FFFFFF"/>
                <w:lang w:val="en-US"/>
              </w:rPr>
              <w:t xml:space="preserve"> care permit </w:t>
            </w:r>
            <w:proofErr w:type="spellStart"/>
            <w:r w:rsidRPr="00A303C4">
              <w:rPr>
                <w:rFonts w:eastAsia="Arial Unicode MS"/>
                <w:color w:val="000000" w:themeColor="text1"/>
                <w:sz w:val="20"/>
                <w:szCs w:val="20"/>
                <w:shd w:val="clear" w:color="auto" w:fill="FFFFFF"/>
                <w:lang w:val="en-US"/>
              </w:rPr>
              <w:t>determinarea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cu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certitudine</w:t>
            </w:r>
            <w:proofErr w:type="spellEnd"/>
            <w:r w:rsidRPr="00A303C4">
              <w:rPr>
                <w:rFonts w:eastAsia="Arial Unicode MS"/>
                <w:color w:val="000000" w:themeColor="text1"/>
                <w:sz w:val="20"/>
                <w:szCs w:val="20"/>
                <w:shd w:val="clear" w:color="auto" w:fill="FFFFFF"/>
                <w:lang w:val="en-US"/>
              </w:rPr>
              <w:t xml:space="preserve">.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certitudine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presupune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demonstrarea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către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faptului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w:t>
            </w:r>
          </w:p>
          <w:p w14:paraId="01EBEB0C" w14:textId="77777777" w:rsidR="00124364" w:rsidRPr="00A303C4" w:rsidRDefault="00000000" w:rsidP="00A303C4">
            <w:pPr>
              <w:pStyle w:val="ti-art"/>
              <w:numPr>
                <w:ilvl w:val="0"/>
                <w:numId w:val="2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raportate</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conțin</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neconcordanțe</w:t>
            </w:r>
            <w:proofErr w:type="spellEnd"/>
            <w:r w:rsidRPr="00A303C4">
              <w:rPr>
                <w:rFonts w:eastAsia="Arial Unicode MS"/>
                <w:color w:val="000000" w:themeColor="text1"/>
                <w:sz w:val="20"/>
                <w:szCs w:val="20"/>
                <w:shd w:val="clear" w:color="auto" w:fill="FFFFFF"/>
                <w:lang w:val="en-US"/>
              </w:rPr>
              <w:t>;</w:t>
            </w:r>
          </w:p>
          <w:p w14:paraId="52A4CD9A" w14:textId="77777777" w:rsidR="00124364" w:rsidRPr="00A303C4" w:rsidRDefault="00000000" w:rsidP="00A303C4">
            <w:pPr>
              <w:pStyle w:val="ti-art"/>
              <w:numPr>
                <w:ilvl w:val="0"/>
                <w:numId w:val="2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datele</w:t>
            </w:r>
            <w:proofErr w:type="spellEnd"/>
            <w:r w:rsidRPr="00A303C4">
              <w:rPr>
                <w:rFonts w:eastAsia="Arial Unicode MS"/>
                <w:color w:val="000000" w:themeColor="text1"/>
                <w:sz w:val="20"/>
                <w:szCs w:val="20"/>
                <w:shd w:val="clear" w:color="auto" w:fill="FFFFFF"/>
                <w:lang w:val="en-US"/>
              </w:rPr>
              <w:t xml:space="preserve"> au </w:t>
            </w:r>
            <w:proofErr w:type="spellStart"/>
            <w:r w:rsidRPr="00A303C4">
              <w:rPr>
                <w:rFonts w:eastAsia="Arial Unicode MS"/>
                <w:color w:val="000000" w:themeColor="text1"/>
                <w:sz w:val="20"/>
                <w:szCs w:val="20"/>
                <w:shd w:val="clear" w:color="auto" w:fill="FFFFFF"/>
                <w:lang w:val="en-US"/>
              </w:rPr>
              <w:t>fost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colectate</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standardele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științifice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aplicabile</w:t>
            </w:r>
            <w:proofErr w:type="spellEnd"/>
            <w:r w:rsidRPr="00A303C4">
              <w:rPr>
                <w:rFonts w:eastAsia="Arial Unicode MS"/>
                <w:color w:val="000000" w:themeColor="text1"/>
                <w:sz w:val="20"/>
                <w:szCs w:val="20"/>
                <w:shd w:val="clear" w:color="auto" w:fill="FFFFFF"/>
                <w:lang w:val="en-US"/>
              </w:rPr>
              <w:t>; și</w:t>
            </w:r>
          </w:p>
          <w:p w14:paraId="1770672A" w14:textId="77777777" w:rsidR="00124364" w:rsidRPr="00A303C4" w:rsidRDefault="00000000" w:rsidP="00A303C4">
            <w:pPr>
              <w:pStyle w:val="ti-art"/>
              <w:numPr>
                <w:ilvl w:val="0"/>
                <w:numId w:val="20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înregistrările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sunt complete și </w:t>
            </w:r>
            <w:proofErr w:type="spellStart"/>
            <w:r w:rsidRPr="00A303C4">
              <w:rPr>
                <w:rFonts w:eastAsia="Arial Unicode MS"/>
                <w:color w:val="000000" w:themeColor="text1"/>
                <w:sz w:val="20"/>
                <w:szCs w:val="20"/>
                <w:shd w:val="clear" w:color="auto" w:fill="FFFFFF"/>
                <w:lang w:val="en-US"/>
              </w:rPr>
              <w:t>coerente</w:t>
            </w:r>
            <w:proofErr w:type="spellEnd"/>
            <w:r w:rsidRPr="00A303C4">
              <w:rPr>
                <w:rFonts w:eastAsia="Arial Unicode MS"/>
                <w:color w:val="000000" w:themeColor="text1"/>
                <w:sz w:val="20"/>
                <w:szCs w:val="20"/>
                <w:shd w:val="clear" w:color="auto" w:fill="FFFFFF"/>
                <w:lang w:val="en-US"/>
              </w:rPr>
              <w:t>.</w:t>
            </w:r>
          </w:p>
          <w:p w14:paraId="4E32750C"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are </w:t>
            </w:r>
            <w:proofErr w:type="spellStart"/>
            <w:r w:rsidRPr="00A303C4">
              <w:rPr>
                <w:rFonts w:eastAsia="Arial Unicode MS"/>
                <w:color w:val="000000" w:themeColor="text1"/>
                <w:sz w:val="20"/>
                <w:szCs w:val="20"/>
                <w:shd w:val="clear" w:color="auto" w:fill="FFFFFF"/>
                <w:lang w:val="en-US"/>
              </w:rPr>
              <w:t>drept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acces</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zonele</w:t>
            </w:r>
            <w:proofErr w:type="spellEnd"/>
            <w:r w:rsidRPr="00A303C4">
              <w:rPr>
                <w:rFonts w:eastAsia="Arial Unicode MS"/>
                <w:color w:val="000000" w:themeColor="text1"/>
                <w:sz w:val="20"/>
                <w:szCs w:val="20"/>
                <w:shd w:val="clear" w:color="auto" w:fill="FFFFFF"/>
                <w:lang w:val="en-US"/>
              </w:rPr>
              <w:t xml:space="preserve"> și la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înregistrările</w:t>
            </w:r>
            <w:proofErr w:type="spellEnd"/>
            <w:r w:rsidRPr="00A303C4">
              <w:rPr>
                <w:rFonts w:eastAsia="Arial Unicode MS"/>
                <w:color w:val="000000" w:themeColor="text1"/>
                <w:sz w:val="20"/>
                <w:szCs w:val="20"/>
                <w:shd w:val="clear" w:color="auto" w:fill="FFFFFF"/>
                <w:lang w:val="en-US"/>
              </w:rPr>
              <w:t xml:space="preserve"> legate de </w:t>
            </w:r>
            <w:proofErr w:type="spellStart"/>
            <w:r w:rsidRPr="00A303C4">
              <w:rPr>
                <w:rFonts w:eastAsia="Arial Unicode MS"/>
                <w:color w:val="000000" w:themeColor="text1"/>
                <w:sz w:val="20"/>
                <w:szCs w:val="20"/>
                <w:shd w:val="clear" w:color="auto" w:fill="FFFFFF"/>
                <w:lang w:val="en-US"/>
              </w:rPr>
              <w:t>subiectul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w:t>
            </w:r>
          </w:p>
          <w:p w14:paraId="00C12F72"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ține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seama</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faptul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sau</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înregistrată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sistemului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Uniunii</w:t>
            </w:r>
            <w:proofErr w:type="spellEnd"/>
            <w:r w:rsidRPr="00A303C4">
              <w:rPr>
                <w:rFonts w:eastAsia="Arial Unicode MS"/>
                <w:color w:val="000000" w:themeColor="text1"/>
                <w:sz w:val="20"/>
                <w:szCs w:val="20"/>
                <w:shd w:val="clear" w:color="auto" w:fill="FFFFFF"/>
                <w:lang w:val="en-US"/>
              </w:rPr>
              <w:t xml:space="preserve"> de management de </w:t>
            </w:r>
            <w:proofErr w:type="spellStart"/>
            <w:r w:rsidRPr="00A303C4">
              <w:rPr>
                <w:rFonts w:eastAsia="Arial Unicode MS"/>
                <w:color w:val="000000" w:themeColor="text1"/>
                <w:sz w:val="20"/>
                <w:szCs w:val="20"/>
                <w:shd w:val="clear" w:color="auto" w:fill="FFFFFF"/>
                <w:lang w:val="en-US"/>
              </w:rPr>
              <w:t>mediu</w:t>
            </w:r>
            <w:proofErr w:type="spellEnd"/>
            <w:r w:rsidRPr="00A303C4">
              <w:rPr>
                <w:rFonts w:eastAsia="Arial Unicode MS"/>
                <w:color w:val="000000" w:themeColor="text1"/>
                <w:sz w:val="20"/>
                <w:szCs w:val="20"/>
                <w:shd w:val="clear" w:color="auto" w:fill="FFFFFF"/>
                <w:lang w:val="en-US"/>
              </w:rPr>
              <w:t xml:space="preserve"> și audit (EMAS).</w:t>
            </w:r>
          </w:p>
          <w:p w14:paraId="0E45D2FA"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rPr>
            </w:pPr>
            <w:proofErr w:type="spellStart"/>
            <w:r w:rsidRPr="00A303C4">
              <w:rPr>
                <w:rFonts w:eastAsia="Arial Unicode MS"/>
                <w:color w:val="000000" w:themeColor="text1"/>
                <w:sz w:val="20"/>
                <w:szCs w:val="20"/>
                <w:shd w:val="clear" w:color="auto" w:fill="FFFFFF"/>
              </w:rPr>
              <w:t>Metodologie</w:t>
            </w:r>
            <w:proofErr w:type="spellEnd"/>
          </w:p>
          <w:p w14:paraId="27BB7AE5"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rPr>
              <w:t>Analiza</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strategică</w:t>
            </w:r>
            <w:proofErr w:type="spellEnd"/>
          </w:p>
          <w:p w14:paraId="5E665967"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Verificarea</w:t>
            </w:r>
            <w:proofErr w:type="spellEnd"/>
            <w:r w:rsidRPr="00A303C4">
              <w:rPr>
                <w:rFonts w:eastAsia="Arial Unicode MS"/>
                <w:color w:val="000000" w:themeColor="text1"/>
                <w:sz w:val="20"/>
                <w:szCs w:val="20"/>
                <w:shd w:val="clear" w:color="auto" w:fill="FFFFFF"/>
                <w:lang w:val="en-US"/>
              </w:rPr>
              <w:t xml:space="preserve"> se </w:t>
            </w:r>
            <w:proofErr w:type="spellStart"/>
            <w:r w:rsidRPr="00A303C4">
              <w:rPr>
                <w:rFonts w:eastAsia="Arial Unicode MS"/>
                <w:color w:val="000000" w:themeColor="text1"/>
                <w:sz w:val="20"/>
                <w:szCs w:val="20"/>
                <w:shd w:val="clear" w:color="auto" w:fill="FFFFFF"/>
                <w:lang w:val="en-US"/>
              </w:rPr>
              <w:t>bazează</w:t>
            </w:r>
            <w:proofErr w:type="spellEnd"/>
            <w:r w:rsidRPr="00A303C4">
              <w:rPr>
                <w:rFonts w:eastAsia="Arial Unicode MS"/>
                <w:color w:val="000000" w:themeColor="text1"/>
                <w:sz w:val="20"/>
                <w:szCs w:val="20"/>
                <w:shd w:val="clear" w:color="auto" w:fill="FFFFFF"/>
                <w:lang w:val="en-US"/>
              </w:rPr>
              <w:t xml:space="preserve"> pe o </w:t>
            </w:r>
            <w:proofErr w:type="spellStart"/>
            <w:r w:rsidRPr="00A303C4">
              <w:rPr>
                <w:rFonts w:eastAsia="Arial Unicode MS"/>
                <w:color w:val="000000" w:themeColor="text1"/>
                <w:sz w:val="20"/>
                <w:szCs w:val="20"/>
                <w:shd w:val="clear" w:color="auto" w:fill="FFFFFF"/>
                <w:lang w:val="en-US"/>
              </w:rPr>
              <w:t>analiză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strategică</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tuturor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cantităților</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combustibili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eliberate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consum</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către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acest</w:t>
            </w:r>
            <w:proofErr w:type="spellEnd"/>
            <w:r w:rsidRPr="00A303C4">
              <w:rPr>
                <w:rFonts w:eastAsia="Arial Unicode MS"/>
                <w:color w:val="000000" w:themeColor="text1"/>
                <w:sz w:val="20"/>
                <w:szCs w:val="20"/>
                <w:shd w:val="clear" w:color="auto" w:fill="FFFFFF"/>
                <w:lang w:val="en-US"/>
              </w:rPr>
              <w:t xml:space="preserve"> scop,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trebuie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aibă</w:t>
            </w:r>
            <w:proofErr w:type="spellEnd"/>
            <w:r w:rsidRPr="00A303C4">
              <w:rPr>
                <w:rFonts w:eastAsia="Arial Unicode MS"/>
                <w:color w:val="000000" w:themeColor="text1"/>
                <w:sz w:val="20"/>
                <w:szCs w:val="20"/>
                <w:shd w:val="clear" w:color="auto" w:fill="FFFFFF"/>
                <w:lang w:val="en-US"/>
              </w:rPr>
              <w:t xml:space="preserve"> o imagine de </w:t>
            </w:r>
            <w:proofErr w:type="spellStart"/>
            <w:r w:rsidRPr="00A303C4">
              <w:rPr>
                <w:rFonts w:eastAsia="Arial Unicode MS"/>
                <w:color w:val="000000" w:themeColor="text1"/>
                <w:sz w:val="20"/>
                <w:szCs w:val="20"/>
                <w:shd w:val="clear" w:color="auto" w:fill="FFFFFF"/>
                <w:lang w:val="en-US"/>
              </w:rPr>
              <w:t>ansamblu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asupra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tuturor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prin</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eliberează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combustibilii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consum</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asupra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importanței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acestora</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ceea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privește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w:t>
            </w:r>
          </w:p>
          <w:p w14:paraId="17809B13"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rPr>
              <w:t>Analiza</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procesului</w:t>
            </w:r>
            <w:proofErr w:type="spellEnd"/>
          </w:p>
          <w:p w14:paraId="3BC9F12F" w14:textId="77777777" w:rsidR="00124364" w:rsidRDefault="00000000" w:rsidP="00A303C4">
            <w:pPr>
              <w:pStyle w:val="ti-art"/>
              <w:numPr>
                <w:ilvl w:val="0"/>
                <w:numId w:val="198"/>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Verificarea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datelor</w:t>
            </w:r>
            <w:proofErr w:type="spellEnd"/>
            <w:r>
              <w:rPr>
                <w:rFonts w:eastAsia="Arial Unicode MS"/>
                <w:color w:val="333333"/>
                <w:sz w:val="20"/>
                <w:szCs w:val="20"/>
                <w:shd w:val="clear" w:color="auto" w:fill="FFFFFF"/>
                <w:lang w:val="en-US"/>
              </w:rPr>
              <w:t xml:space="preserve"> și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informațiilor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prezentate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realizează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locul</w:t>
            </w:r>
            <w:proofErr w:type="spellEnd"/>
            <w:r>
              <w:rPr>
                <w:rFonts w:eastAsia="Arial Unicode MS"/>
                <w:color w:val="333333"/>
                <w:sz w:val="20"/>
                <w:szCs w:val="20"/>
                <w:shd w:val="clear" w:color="auto" w:fill="FFFFFF"/>
                <w:lang w:val="en-US"/>
              </w:rPr>
              <w:t xml:space="preserve"> în care se </w:t>
            </w:r>
            <w:proofErr w:type="spellStart"/>
            <w:r>
              <w:rPr>
                <w:rFonts w:eastAsia="Arial Unicode MS"/>
                <w:color w:val="333333"/>
                <w:sz w:val="20"/>
                <w:szCs w:val="20"/>
                <w:shd w:val="clear" w:color="auto" w:fill="FFFFFF"/>
                <w:lang w:val="en-US"/>
              </w:rPr>
              <w:t>află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entitatea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reglementată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Verificatorul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recurge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controale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sondaj</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determina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fiabilitatea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datelor</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informațiilor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raportate</w:t>
            </w:r>
            <w:proofErr w:type="spellEnd"/>
            <w:r>
              <w:rPr>
                <w:rFonts w:eastAsia="Arial Unicode MS"/>
                <w:color w:val="333333"/>
                <w:sz w:val="20"/>
                <w:szCs w:val="20"/>
                <w:shd w:val="clear" w:color="auto" w:fill="FFFFFF"/>
                <w:lang w:val="en-US"/>
              </w:rPr>
              <w:t>.</w:t>
            </w:r>
          </w:p>
          <w:p w14:paraId="4D366447" w14:textId="77777777" w:rsidR="00124364" w:rsidRDefault="00000000" w:rsidP="00A303C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Analiza</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riscurilor</w:t>
            </w:r>
            <w:proofErr w:type="spellEnd"/>
          </w:p>
          <w:p w14:paraId="3AB1C738"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supune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mijloacele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prin</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combustibilii</w:t>
            </w:r>
            <w:proofErr w:type="spellEnd"/>
            <w:r w:rsidRPr="00A303C4">
              <w:rPr>
                <w:rFonts w:eastAsia="Arial Unicode MS"/>
                <w:color w:val="000000" w:themeColor="text1"/>
                <w:sz w:val="20"/>
                <w:szCs w:val="20"/>
                <w:shd w:val="clear" w:color="auto" w:fill="FFFFFF"/>
                <w:lang w:val="en-US"/>
              </w:rPr>
              <w:t xml:space="preserve"> sunt </w:t>
            </w:r>
            <w:proofErr w:type="spellStart"/>
            <w:r w:rsidRPr="00A303C4">
              <w:rPr>
                <w:rFonts w:eastAsia="Arial Unicode MS"/>
                <w:color w:val="000000" w:themeColor="text1"/>
                <w:sz w:val="20"/>
                <w:szCs w:val="20"/>
                <w:shd w:val="clear" w:color="auto" w:fill="FFFFFF"/>
                <w:lang w:val="en-US"/>
              </w:rPr>
              <w:t>eliberați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consum</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către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unei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evaluări</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privire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fiabilitatea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ale </w:t>
            </w:r>
            <w:proofErr w:type="spellStart"/>
            <w:r w:rsidRPr="00A303C4">
              <w:rPr>
                <w:rFonts w:eastAsia="Arial Unicode MS"/>
                <w:color w:val="000000" w:themeColor="text1"/>
                <w:sz w:val="20"/>
                <w:szCs w:val="20"/>
                <w:shd w:val="clear" w:color="auto" w:fill="FFFFFF"/>
                <w:lang w:val="en-US"/>
              </w:rPr>
              <w:t>entității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reglementate</w:t>
            </w:r>
            <w:proofErr w:type="spellEnd"/>
            <w:r w:rsidRPr="00A303C4">
              <w:rPr>
                <w:rFonts w:eastAsia="Arial Unicode MS"/>
                <w:color w:val="000000" w:themeColor="text1"/>
                <w:sz w:val="20"/>
                <w:szCs w:val="20"/>
                <w:shd w:val="clear" w:color="auto" w:fill="FFFFFF"/>
                <w:lang w:val="en-US"/>
              </w:rPr>
              <w:t>.</w:t>
            </w:r>
          </w:p>
          <w:p w14:paraId="51347780"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A303C4">
              <w:rPr>
                <w:rFonts w:eastAsia="Arial Unicode MS"/>
                <w:color w:val="000000" w:themeColor="text1"/>
                <w:sz w:val="20"/>
                <w:szCs w:val="20"/>
                <w:shd w:val="clear" w:color="auto" w:fill="FFFFFF"/>
                <w:lang w:val="en-US"/>
              </w:rPr>
              <w:t xml:space="preserve">Pe </w:t>
            </w:r>
            <w:proofErr w:type="spellStart"/>
            <w:r w:rsidRPr="00A303C4">
              <w:rPr>
                <w:rFonts w:eastAsia="Arial Unicode MS"/>
                <w:color w:val="000000" w:themeColor="text1"/>
                <w:sz w:val="20"/>
                <w:szCs w:val="20"/>
                <w:shd w:val="clear" w:color="auto" w:fill="FFFFFF"/>
                <w:lang w:val="en-US"/>
              </w:rPr>
              <w:t>baza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acestei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analize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identifică</w:t>
            </w:r>
            <w:proofErr w:type="spellEnd"/>
            <w:r w:rsidRPr="00A303C4">
              <w:rPr>
                <w:rFonts w:eastAsia="Arial Unicode MS"/>
                <w:color w:val="000000" w:themeColor="text1"/>
                <w:sz w:val="20"/>
                <w:szCs w:val="20"/>
                <w:shd w:val="clear" w:color="auto" w:fill="FFFFFF"/>
                <w:lang w:val="en-US"/>
              </w:rPr>
              <w:t xml:space="preserve"> explicit </w:t>
            </w:r>
            <w:proofErr w:type="spellStart"/>
            <w:r w:rsidRPr="00A303C4">
              <w:rPr>
                <w:rFonts w:eastAsia="Arial Unicode MS"/>
                <w:color w:val="000000" w:themeColor="text1"/>
                <w:sz w:val="20"/>
                <w:szCs w:val="20"/>
                <w:shd w:val="clear" w:color="auto" w:fill="FFFFFF"/>
                <w:lang w:val="en-US"/>
              </w:rPr>
              <w:t>elementele</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un grad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lastRenderedPageBreak/>
              <w:t>risc</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eroare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alte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aspecte</w:t>
            </w:r>
            <w:proofErr w:type="spellEnd"/>
            <w:r w:rsidRPr="00A303C4">
              <w:rPr>
                <w:rFonts w:eastAsia="Arial Unicode MS"/>
                <w:color w:val="000000" w:themeColor="text1"/>
                <w:sz w:val="20"/>
                <w:szCs w:val="20"/>
                <w:shd w:val="clear" w:color="auto" w:fill="FFFFFF"/>
                <w:lang w:val="en-US"/>
              </w:rPr>
              <w:t xml:space="preserve"> ale </w:t>
            </w:r>
            <w:proofErr w:type="spellStart"/>
            <w:r w:rsidRPr="00A303C4">
              <w:rPr>
                <w:rFonts w:eastAsia="Arial Unicode MS"/>
                <w:color w:val="000000" w:themeColor="text1"/>
                <w:sz w:val="20"/>
                <w:szCs w:val="20"/>
                <w:shd w:val="clear" w:color="auto" w:fill="FFFFFF"/>
                <w:lang w:val="en-US"/>
              </w:rPr>
              <w:t>procedurii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monitorizare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raportare</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posibil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contribuie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apariția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unor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erori</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determinarea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generale</w:t>
            </w:r>
            <w:proofErr w:type="spellEnd"/>
            <w:r w:rsidRPr="00A303C4">
              <w:rPr>
                <w:rFonts w:eastAsia="Arial Unicode MS"/>
                <w:color w:val="000000" w:themeColor="text1"/>
                <w:sz w:val="20"/>
                <w:szCs w:val="20"/>
                <w:shd w:val="clear" w:color="auto" w:fill="FFFFFF"/>
                <w:lang w:val="en-US"/>
              </w:rPr>
              <w:t xml:space="preserve">. Este </w:t>
            </w:r>
            <w:proofErr w:type="spellStart"/>
            <w:r w:rsidRPr="00A303C4">
              <w:rPr>
                <w:rFonts w:eastAsia="Arial Unicode MS"/>
                <w:color w:val="000000" w:themeColor="text1"/>
                <w:sz w:val="20"/>
                <w:szCs w:val="20"/>
                <w:shd w:val="clear" w:color="auto" w:fill="FFFFFF"/>
                <w:lang w:val="en-US"/>
              </w:rPr>
              <w:t>vorba</w:t>
            </w:r>
            <w:proofErr w:type="spellEnd"/>
            <w:r w:rsidRPr="00A303C4">
              <w:rPr>
                <w:rFonts w:eastAsia="Arial Unicode MS"/>
                <w:color w:val="000000" w:themeColor="text1"/>
                <w:sz w:val="20"/>
                <w:szCs w:val="20"/>
                <w:shd w:val="clear" w:color="auto" w:fill="FFFFFF"/>
                <w:lang w:val="en-US"/>
              </w:rPr>
              <w:t xml:space="preserve"> în special de </w:t>
            </w:r>
            <w:proofErr w:type="spellStart"/>
            <w:r w:rsidRPr="00A303C4">
              <w:rPr>
                <w:rFonts w:eastAsia="Arial Unicode MS"/>
                <w:color w:val="000000" w:themeColor="text1"/>
                <w:sz w:val="20"/>
                <w:szCs w:val="20"/>
                <w:shd w:val="clear" w:color="auto" w:fill="FFFFFF"/>
                <w:lang w:val="en-US"/>
              </w:rPr>
              <w:t>calculele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necesare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a </w:t>
            </w:r>
            <w:proofErr w:type="spellStart"/>
            <w:r w:rsidRPr="00A303C4">
              <w:rPr>
                <w:rFonts w:eastAsia="Arial Unicode MS"/>
                <w:color w:val="000000" w:themeColor="text1"/>
                <w:sz w:val="20"/>
                <w:szCs w:val="20"/>
                <w:shd w:val="clear" w:color="auto" w:fill="FFFFFF"/>
                <w:lang w:val="en-US"/>
              </w:rPr>
              <w:t>determina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nivelul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emisiilor</w:t>
            </w:r>
            <w:proofErr w:type="spellEnd"/>
            <w:r w:rsidRPr="00A303C4">
              <w:rPr>
                <w:rFonts w:eastAsia="Arial Unicode MS"/>
                <w:color w:val="000000" w:themeColor="text1"/>
                <w:sz w:val="20"/>
                <w:szCs w:val="20"/>
                <w:shd w:val="clear" w:color="auto" w:fill="FFFFFF"/>
                <w:lang w:val="en-US"/>
              </w:rPr>
              <w:t xml:space="preserve"> din surse </w:t>
            </w:r>
            <w:proofErr w:type="spellStart"/>
            <w:r w:rsidRPr="00A303C4">
              <w:rPr>
                <w:rFonts w:eastAsia="Arial Unicode MS"/>
                <w:color w:val="000000" w:themeColor="text1"/>
                <w:sz w:val="20"/>
                <w:szCs w:val="20"/>
                <w:shd w:val="clear" w:color="auto" w:fill="FFFFFF"/>
                <w:lang w:val="en-US"/>
              </w:rPr>
              <w:t>individuale</w:t>
            </w:r>
            <w:proofErr w:type="spellEnd"/>
            <w:r w:rsidRPr="00A303C4">
              <w:rPr>
                <w:rFonts w:eastAsia="Arial Unicode MS"/>
                <w:color w:val="000000" w:themeColor="text1"/>
                <w:sz w:val="20"/>
                <w:szCs w:val="20"/>
                <w:shd w:val="clear" w:color="auto" w:fill="FFFFFF"/>
                <w:lang w:val="en-US"/>
              </w:rPr>
              <w:t xml:space="preserve">. Este </w:t>
            </w:r>
            <w:proofErr w:type="spellStart"/>
            <w:r w:rsidRPr="00A303C4">
              <w:rPr>
                <w:rFonts w:eastAsia="Arial Unicode MS"/>
                <w:color w:val="000000" w:themeColor="text1"/>
                <w:sz w:val="20"/>
                <w:szCs w:val="20"/>
                <w:shd w:val="clear" w:color="auto" w:fill="FFFFFF"/>
                <w:lang w:val="en-US"/>
              </w:rPr>
              <w:t>acordată</w:t>
            </w:r>
            <w:proofErr w:type="spellEnd"/>
            <w:r w:rsidRPr="00A303C4">
              <w:rPr>
                <w:rFonts w:eastAsia="Arial Unicode MS"/>
                <w:color w:val="000000" w:themeColor="text1"/>
                <w:sz w:val="20"/>
                <w:szCs w:val="20"/>
                <w:shd w:val="clear" w:color="auto" w:fill="FFFFFF"/>
                <w:lang w:val="en-US"/>
              </w:rPr>
              <w:t xml:space="preserve"> o </w:t>
            </w:r>
            <w:proofErr w:type="spellStart"/>
            <w:r w:rsidRPr="00A303C4">
              <w:rPr>
                <w:rFonts w:eastAsia="Arial Unicode MS"/>
                <w:color w:val="000000" w:themeColor="text1"/>
                <w:sz w:val="20"/>
                <w:szCs w:val="20"/>
                <w:shd w:val="clear" w:color="auto" w:fill="FFFFFF"/>
                <w:lang w:val="en-US"/>
              </w:rPr>
              <w:t>atenție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specială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elementelor</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un </w:t>
            </w:r>
            <w:proofErr w:type="spellStart"/>
            <w:r w:rsidRPr="00A303C4">
              <w:rPr>
                <w:rFonts w:eastAsia="Arial Unicode MS"/>
                <w:color w:val="000000" w:themeColor="text1"/>
                <w:sz w:val="20"/>
                <w:szCs w:val="20"/>
                <w:shd w:val="clear" w:color="auto" w:fill="FFFFFF"/>
                <w:lang w:val="en-US"/>
              </w:rPr>
              <w:t>risc</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ridicat</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eroare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aspectelor</w:t>
            </w:r>
            <w:proofErr w:type="spellEnd"/>
            <w:r w:rsidRPr="00A303C4">
              <w:rPr>
                <w:rFonts w:eastAsia="Arial Unicode MS"/>
                <w:color w:val="000000" w:themeColor="text1"/>
                <w:sz w:val="20"/>
                <w:szCs w:val="20"/>
                <w:shd w:val="clear" w:color="auto" w:fill="FFFFFF"/>
                <w:lang w:val="en-US"/>
              </w:rPr>
              <w:t xml:space="preserve"> din </w:t>
            </w:r>
            <w:proofErr w:type="spellStart"/>
            <w:r w:rsidRPr="00A303C4">
              <w:rPr>
                <w:rFonts w:eastAsia="Arial Unicode MS"/>
                <w:color w:val="000000" w:themeColor="text1"/>
                <w:sz w:val="20"/>
                <w:szCs w:val="20"/>
                <w:shd w:val="clear" w:color="auto" w:fill="FFFFFF"/>
                <w:lang w:val="en-US"/>
              </w:rPr>
              <w:t>cadrul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procedurii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monitorizare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menționate</w:t>
            </w:r>
            <w:proofErr w:type="spellEnd"/>
            <w:r w:rsidRPr="00A303C4">
              <w:rPr>
                <w:rFonts w:eastAsia="Arial Unicode MS"/>
                <w:color w:val="000000" w:themeColor="text1"/>
                <w:sz w:val="20"/>
                <w:szCs w:val="20"/>
                <w:shd w:val="clear" w:color="auto" w:fill="FFFFFF"/>
                <w:lang w:val="en-US"/>
              </w:rPr>
              <w:t xml:space="preserve"> anterior</w:t>
            </w:r>
            <w:r w:rsidRPr="00A303C4">
              <w:rPr>
                <w:rFonts w:ascii="Arial Unicode MS" w:eastAsia="Arial Unicode MS" w:hAnsi="Arial Unicode MS" w:cs="Arial Unicode MS" w:hint="eastAsia"/>
                <w:color w:val="000000" w:themeColor="text1"/>
                <w:sz w:val="21"/>
                <w:szCs w:val="21"/>
                <w:shd w:val="clear" w:color="auto" w:fill="FFFFFF"/>
                <w:lang w:val="en-US"/>
              </w:rPr>
              <w:t>.</w:t>
            </w:r>
          </w:p>
          <w:p w14:paraId="64D94044"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ia</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considerare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orice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metode</w:t>
            </w:r>
            <w:proofErr w:type="spellEnd"/>
            <w:r w:rsidRPr="00A303C4">
              <w:rPr>
                <w:rFonts w:eastAsia="Arial Unicode MS"/>
                <w:color w:val="000000" w:themeColor="text1"/>
                <w:sz w:val="20"/>
                <w:szCs w:val="20"/>
                <w:shd w:val="clear" w:color="auto" w:fill="FFFFFF"/>
                <w:lang w:val="en-US"/>
              </w:rPr>
              <w:t xml:space="preserve"> eficiente de control al </w:t>
            </w:r>
            <w:proofErr w:type="spellStart"/>
            <w:r w:rsidRPr="00A303C4">
              <w:rPr>
                <w:rFonts w:eastAsia="Arial Unicode MS"/>
                <w:color w:val="000000" w:themeColor="text1"/>
                <w:sz w:val="20"/>
                <w:szCs w:val="20"/>
                <w:shd w:val="clear" w:color="auto" w:fill="FFFFFF"/>
                <w:lang w:val="en-US"/>
              </w:rPr>
              <w:t>riscului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aplicate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vederea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reducerii</w:t>
            </w:r>
            <w:proofErr w:type="spellEnd"/>
            <w:r w:rsidRPr="00A303C4">
              <w:rPr>
                <w:rFonts w:eastAsia="Arial Unicode MS"/>
                <w:color w:val="000000" w:themeColor="text1"/>
                <w:sz w:val="20"/>
                <w:szCs w:val="20"/>
                <w:shd w:val="clear" w:color="auto" w:fill="FFFFFF"/>
                <w:lang w:val="en-US"/>
              </w:rPr>
              <w:t xml:space="preserve"> la minimum a </w:t>
            </w:r>
            <w:proofErr w:type="spellStart"/>
            <w:r w:rsidRPr="00A303C4">
              <w:rPr>
                <w:rFonts w:eastAsia="Arial Unicode MS"/>
                <w:color w:val="000000" w:themeColor="text1"/>
                <w:sz w:val="20"/>
                <w:szCs w:val="20"/>
                <w:shd w:val="clear" w:color="auto" w:fill="FFFFFF"/>
                <w:lang w:val="en-US"/>
              </w:rPr>
              <w:t>gradului</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incertitudine</w:t>
            </w:r>
            <w:proofErr w:type="spellEnd"/>
            <w:r w:rsidRPr="00A303C4">
              <w:rPr>
                <w:rFonts w:eastAsia="Arial Unicode MS"/>
                <w:color w:val="000000" w:themeColor="text1"/>
                <w:sz w:val="20"/>
                <w:szCs w:val="20"/>
                <w:shd w:val="clear" w:color="auto" w:fill="FFFFFF"/>
                <w:lang w:val="en-US"/>
              </w:rPr>
              <w:t>.</w:t>
            </w:r>
          </w:p>
          <w:p w14:paraId="7D835794"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rPr>
              <w:t>Raport</w:t>
            </w:r>
            <w:proofErr w:type="spellEnd"/>
          </w:p>
          <w:p w14:paraId="32C3B1AB" w14:textId="3887BE75"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pregătește</w:t>
            </w:r>
            <w:proofErr w:type="spellEnd"/>
            <w:r w:rsidRPr="00A303C4">
              <w:rPr>
                <w:rFonts w:eastAsia="Arial Unicode MS"/>
                <w:color w:val="000000" w:themeColor="text1"/>
                <w:sz w:val="20"/>
                <w:szCs w:val="20"/>
                <w:shd w:val="clear" w:color="auto" w:fill="FFFFFF"/>
                <w:lang w:val="en-US"/>
              </w:rPr>
              <w:t xml:space="preserve"> un </w:t>
            </w:r>
            <w:proofErr w:type="spellStart"/>
            <w:r w:rsidRPr="00A303C4">
              <w:rPr>
                <w:rFonts w:eastAsia="Arial Unicode MS"/>
                <w:color w:val="000000" w:themeColor="text1"/>
                <w:sz w:val="20"/>
                <w:szCs w:val="20"/>
                <w:shd w:val="clear" w:color="auto" w:fill="FFFFFF"/>
                <w:lang w:val="en-US"/>
              </w:rPr>
              <w:t>raport</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privind</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procesul</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validare</w:t>
            </w:r>
            <w:proofErr w:type="spellEnd"/>
            <w:r w:rsidRPr="00A303C4">
              <w:rPr>
                <w:rFonts w:eastAsia="Arial Unicode MS"/>
                <w:color w:val="000000" w:themeColor="text1"/>
                <w:sz w:val="20"/>
                <w:szCs w:val="20"/>
                <w:shd w:val="clear" w:color="auto" w:fill="FFFFFF"/>
                <w:lang w:val="en-US"/>
              </w:rPr>
              <w:t xml:space="preserve"> în care </w:t>
            </w:r>
            <w:proofErr w:type="spellStart"/>
            <w:r w:rsidRPr="00A303C4">
              <w:rPr>
                <w:rFonts w:eastAsia="Arial Unicode MS"/>
                <w:color w:val="000000" w:themeColor="text1"/>
                <w:sz w:val="20"/>
                <w:szCs w:val="20"/>
                <w:shd w:val="clear" w:color="auto" w:fill="FFFFFF"/>
                <w:lang w:val="en-US"/>
              </w:rPr>
              <w:t>menționează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00A303C4" w:rsidRPr="00A303C4">
              <w:rPr>
                <w:rFonts w:eastAsia="Arial Unicode MS"/>
                <w:color w:val="000000" w:themeColor="text1"/>
                <w:sz w:val="20"/>
                <w:szCs w:val="20"/>
                <w:shd w:val="clear" w:color="auto" w:fill="FFFFFF"/>
                <w:lang w:val="en-US"/>
              </w:rPr>
              <w:t xml:space="preserve"> </w:t>
            </w:r>
            <w:r w:rsidRPr="00A303C4">
              <w:rPr>
                <w:rFonts w:eastAsia="Arial Unicode MS"/>
                <w:color w:val="000000" w:themeColor="text1"/>
                <w:sz w:val="20"/>
                <w:szCs w:val="20"/>
                <w:shd w:val="clear" w:color="auto" w:fill="FFFFFF"/>
                <w:lang w:val="en-US"/>
              </w:rPr>
              <w:t xml:space="preserve">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satisfăcător</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specifică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aspectele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desfășurată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declara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raportul</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00A303C4" w:rsidRPr="00A303C4">
              <w:rPr>
                <w:rFonts w:eastAsia="Arial Unicode MS"/>
                <w:color w:val="000000" w:themeColor="text1"/>
                <w:sz w:val="20"/>
                <w:szCs w:val="20"/>
                <w:shd w:val="clear" w:color="auto" w:fill="FFFFFF"/>
                <w:lang w:val="en-US"/>
              </w:rPr>
              <w:t xml:space="preserve"> </w:t>
            </w:r>
            <w:r w:rsidRPr="00A303C4">
              <w:rPr>
                <w:rFonts w:eastAsia="Arial Unicode MS"/>
                <w:color w:val="000000" w:themeColor="text1"/>
                <w:sz w:val="20"/>
                <w:szCs w:val="20"/>
                <w:shd w:val="clear" w:color="auto" w:fill="FFFFFF"/>
                <w:lang w:val="en-US"/>
              </w:rPr>
              <w:t xml:space="preserve">14 </w:t>
            </w:r>
            <w:proofErr w:type="spellStart"/>
            <w:r w:rsidRPr="00A303C4">
              <w:rPr>
                <w:rFonts w:eastAsia="Arial Unicode MS"/>
                <w:color w:val="000000" w:themeColor="text1"/>
                <w:sz w:val="20"/>
                <w:szCs w:val="20"/>
                <w:shd w:val="clear" w:color="auto" w:fill="FFFFFF"/>
                <w:lang w:val="en-US"/>
              </w:rPr>
              <w:t>alineatul</w:t>
            </w:r>
            <w:proofErr w:type="spellEnd"/>
            <w:r w:rsidRPr="00A303C4">
              <w:rPr>
                <w:rFonts w:eastAsia="Arial Unicode MS"/>
                <w:color w:val="000000" w:themeColor="text1"/>
                <w:sz w:val="20"/>
                <w:szCs w:val="20"/>
                <w:shd w:val="clear" w:color="auto" w:fill="FFFFFF"/>
                <w:lang w:val="en-US"/>
              </w:rPr>
              <w:t xml:space="preserve"> (3)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satisfăcător</w:t>
            </w:r>
            <w:proofErr w:type="spellEnd"/>
            <w:r w:rsidRPr="00A303C4">
              <w:rPr>
                <w:rFonts w:eastAsia="Arial Unicode MS"/>
                <w:color w:val="000000" w:themeColor="text1"/>
                <w:sz w:val="20"/>
                <w:szCs w:val="20"/>
                <w:shd w:val="clear" w:color="auto" w:fill="FFFFFF"/>
                <w:lang w:val="en-US"/>
              </w:rPr>
              <w:t xml:space="preserve"> în </w:t>
            </w:r>
            <w:proofErr w:type="spellStart"/>
            <w:r w:rsidRPr="00A303C4">
              <w:rPr>
                <w:rFonts w:eastAsia="Arial Unicode MS"/>
                <w:color w:val="000000" w:themeColor="text1"/>
                <w:sz w:val="20"/>
                <w:szCs w:val="20"/>
                <w:shd w:val="clear" w:color="auto" w:fill="FFFFFF"/>
                <w:lang w:val="en-US"/>
              </w:rPr>
              <w:t>cazul</w:t>
            </w:r>
            <w:proofErr w:type="spellEnd"/>
            <w:r w:rsidRPr="00A303C4">
              <w:rPr>
                <w:rFonts w:eastAsia="Arial Unicode MS"/>
                <w:color w:val="000000" w:themeColor="text1"/>
                <w:sz w:val="20"/>
                <w:szCs w:val="20"/>
                <w:shd w:val="clear" w:color="auto" w:fill="FFFFFF"/>
                <w:lang w:val="en-US"/>
              </w:rPr>
              <w:t xml:space="preserve"> în care, în </w:t>
            </w:r>
            <w:proofErr w:type="spellStart"/>
            <w:r w:rsidRPr="00A303C4">
              <w:rPr>
                <w:rFonts w:eastAsia="Arial Unicode MS"/>
                <w:color w:val="000000" w:themeColor="text1"/>
                <w:sz w:val="20"/>
                <w:szCs w:val="20"/>
                <w:shd w:val="clear" w:color="auto" w:fill="FFFFFF"/>
                <w:lang w:val="en-US"/>
              </w:rPr>
              <w:t>opinia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declarațiile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privire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emisiile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totale</w:t>
            </w:r>
            <w:proofErr w:type="spellEnd"/>
            <w:r w:rsidRPr="00A303C4">
              <w:rPr>
                <w:rFonts w:eastAsia="Arial Unicode MS"/>
                <w:color w:val="000000" w:themeColor="text1"/>
                <w:sz w:val="20"/>
                <w:szCs w:val="20"/>
                <w:shd w:val="clear" w:color="auto" w:fill="FFFFFF"/>
                <w:lang w:val="en-US"/>
              </w:rPr>
              <w:t xml:space="preserve"> nu </w:t>
            </w:r>
            <w:proofErr w:type="spellStart"/>
            <w:r w:rsidRPr="00A303C4">
              <w:rPr>
                <w:rFonts w:eastAsia="Arial Unicode MS"/>
                <w:color w:val="000000" w:themeColor="text1"/>
                <w:sz w:val="20"/>
                <w:szCs w:val="20"/>
                <w:shd w:val="clear" w:color="auto" w:fill="FFFFFF"/>
                <w:lang w:val="en-US"/>
              </w:rPr>
              <w:t>prezintă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erori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semnificative</w:t>
            </w:r>
            <w:proofErr w:type="spellEnd"/>
            <w:r w:rsidRPr="00A303C4">
              <w:rPr>
                <w:rFonts w:eastAsia="Arial Unicode MS"/>
                <w:color w:val="000000" w:themeColor="text1"/>
                <w:sz w:val="20"/>
                <w:szCs w:val="20"/>
                <w:shd w:val="clear" w:color="auto" w:fill="FFFFFF"/>
                <w:lang w:val="en-US"/>
              </w:rPr>
              <w:t>.</w:t>
            </w:r>
          </w:p>
          <w:p w14:paraId="1883ABFD" w14:textId="77777777" w:rsidR="00124364" w:rsidRPr="00A303C4" w:rsidRDefault="00000000" w:rsidP="00A303C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rPr>
              <w:t>Cerința</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minimă</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privind</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competența</w:t>
            </w:r>
            <w:proofErr w:type="spellEnd"/>
            <w:r w:rsidRPr="00A303C4">
              <w:rPr>
                <w:rFonts w:eastAsia="Arial Unicode MS"/>
                <w:color w:val="000000" w:themeColor="text1"/>
                <w:sz w:val="20"/>
                <w:szCs w:val="20"/>
                <w:shd w:val="clear" w:color="auto" w:fill="FFFFFF"/>
              </w:rPr>
              <w:t xml:space="preserve"> </w:t>
            </w:r>
            <w:proofErr w:type="spellStart"/>
            <w:r w:rsidRPr="00A303C4">
              <w:rPr>
                <w:rFonts w:eastAsia="Arial Unicode MS"/>
                <w:color w:val="000000" w:themeColor="text1"/>
                <w:sz w:val="20"/>
                <w:szCs w:val="20"/>
                <w:shd w:val="clear" w:color="auto" w:fill="FFFFFF"/>
              </w:rPr>
              <w:t>verificatorului</w:t>
            </w:r>
            <w:proofErr w:type="spellEnd"/>
          </w:p>
          <w:p w14:paraId="0E69CB9A" w14:textId="77777777" w:rsidR="00124364" w:rsidRPr="00A303C4" w:rsidRDefault="00000000" w:rsidP="00A303C4">
            <w:pPr>
              <w:pStyle w:val="ti-art"/>
              <w:numPr>
                <w:ilvl w:val="0"/>
                <w:numId w:val="19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Verificatorul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este</w:t>
            </w:r>
            <w:proofErr w:type="spellEnd"/>
            <w:r w:rsidRPr="00A303C4">
              <w:rPr>
                <w:rFonts w:eastAsia="Arial Unicode MS"/>
                <w:color w:val="000000" w:themeColor="text1"/>
                <w:sz w:val="20"/>
                <w:szCs w:val="20"/>
                <w:shd w:val="clear" w:color="auto" w:fill="FFFFFF"/>
                <w:lang w:val="en-US"/>
              </w:rPr>
              <w:t xml:space="preserve"> independent de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își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desfășoară</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profesionalism</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obiectivitate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înțelege</w:t>
            </w:r>
            <w:proofErr w:type="spellEnd"/>
            <w:r w:rsidRPr="00A303C4">
              <w:rPr>
                <w:rFonts w:eastAsia="Arial Unicode MS"/>
                <w:color w:val="000000" w:themeColor="text1"/>
                <w:sz w:val="20"/>
                <w:szCs w:val="20"/>
                <w:shd w:val="clear" w:color="auto" w:fill="FFFFFF"/>
                <w:lang w:val="en-US"/>
              </w:rPr>
              <w:t>:</w:t>
            </w:r>
          </w:p>
          <w:p w14:paraId="0BB47963" w14:textId="426821F0" w:rsidR="00124364" w:rsidRPr="00A303C4" w:rsidRDefault="00000000" w:rsidP="00A303C4">
            <w:pPr>
              <w:pStyle w:val="ti-art"/>
              <w:numPr>
                <w:ilvl w:val="0"/>
                <w:numId w:val="2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dispozițiile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prezentei</w:t>
            </w:r>
            <w:proofErr w:type="spellEnd"/>
            <w:r w:rsidRPr="00A303C4">
              <w:rPr>
                <w:rFonts w:eastAsia="Arial Unicode MS"/>
                <w:color w:val="000000" w:themeColor="text1"/>
                <w:sz w:val="20"/>
                <w:szCs w:val="20"/>
                <w:shd w:val="clear" w:color="auto" w:fill="FFFFFF"/>
                <w:lang w:val="en-US"/>
              </w:rPr>
              <w:t xml:space="preserve"> directive, precum și </w:t>
            </w:r>
            <w:proofErr w:type="spellStart"/>
            <w:r w:rsidRPr="00A303C4">
              <w:rPr>
                <w:rFonts w:eastAsia="Arial Unicode MS"/>
                <w:color w:val="000000" w:themeColor="text1"/>
                <w:sz w:val="20"/>
                <w:szCs w:val="20"/>
                <w:shd w:val="clear" w:color="auto" w:fill="FFFFFF"/>
                <w:lang w:val="en-US"/>
              </w:rPr>
              <w:t>standardele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indicațiile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adoptate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Comisie</w:t>
            </w:r>
            <w:proofErr w:type="spellEnd"/>
            <w:r w:rsidRPr="00A303C4">
              <w:rPr>
                <w:rFonts w:eastAsia="Arial Unicode MS"/>
                <w:color w:val="000000" w:themeColor="text1"/>
                <w:sz w:val="20"/>
                <w:szCs w:val="20"/>
                <w:shd w:val="clear" w:color="auto" w:fill="FFFFFF"/>
                <w:lang w:val="en-US"/>
              </w:rPr>
              <w:t xml:space="preserve"> în conformitate cu </w:t>
            </w:r>
            <w:proofErr w:type="spellStart"/>
            <w:r w:rsidRPr="00A303C4">
              <w:rPr>
                <w:rFonts w:eastAsia="Arial Unicode MS"/>
                <w:color w:val="000000" w:themeColor="text1"/>
                <w:sz w:val="20"/>
                <w:szCs w:val="20"/>
                <w:shd w:val="clear" w:color="auto" w:fill="FFFFFF"/>
                <w:lang w:val="en-US"/>
              </w:rPr>
              <w:t>articolul</w:t>
            </w:r>
            <w:proofErr w:type="spellEnd"/>
            <w:r w:rsidR="00A303C4" w:rsidRPr="00A303C4">
              <w:rPr>
                <w:rFonts w:eastAsia="Arial Unicode MS"/>
                <w:color w:val="000000" w:themeColor="text1"/>
                <w:sz w:val="20"/>
                <w:szCs w:val="20"/>
                <w:shd w:val="clear" w:color="auto" w:fill="FFFFFF"/>
                <w:lang w:val="en-US"/>
              </w:rPr>
              <w:t xml:space="preserve"> </w:t>
            </w:r>
            <w:r w:rsidRPr="00A303C4">
              <w:rPr>
                <w:rFonts w:eastAsia="Arial Unicode MS"/>
                <w:color w:val="000000" w:themeColor="text1"/>
                <w:sz w:val="20"/>
                <w:szCs w:val="20"/>
                <w:shd w:val="clear" w:color="auto" w:fill="FFFFFF"/>
                <w:lang w:val="en-US"/>
              </w:rPr>
              <w:t xml:space="preserve">14 </w:t>
            </w:r>
            <w:proofErr w:type="spellStart"/>
            <w:r w:rsidRPr="00A303C4">
              <w:rPr>
                <w:rFonts w:eastAsia="Arial Unicode MS"/>
                <w:color w:val="000000" w:themeColor="text1"/>
                <w:sz w:val="20"/>
                <w:szCs w:val="20"/>
                <w:shd w:val="clear" w:color="auto" w:fill="FFFFFF"/>
                <w:lang w:val="en-US"/>
              </w:rPr>
              <w:t>alineatul</w:t>
            </w:r>
            <w:proofErr w:type="spellEnd"/>
            <w:r w:rsidR="00A303C4" w:rsidRPr="00A303C4">
              <w:rPr>
                <w:rFonts w:eastAsia="Arial Unicode MS"/>
                <w:color w:val="000000" w:themeColor="text1"/>
                <w:sz w:val="20"/>
                <w:szCs w:val="20"/>
                <w:shd w:val="clear" w:color="auto" w:fill="FFFFFF"/>
                <w:lang w:val="en-US"/>
              </w:rPr>
              <w:t xml:space="preserve"> </w:t>
            </w:r>
            <w:r w:rsidRPr="00A303C4">
              <w:rPr>
                <w:rFonts w:eastAsia="Arial Unicode MS"/>
                <w:color w:val="000000" w:themeColor="text1"/>
                <w:sz w:val="20"/>
                <w:szCs w:val="20"/>
                <w:shd w:val="clear" w:color="auto" w:fill="FFFFFF"/>
                <w:lang w:val="en-US"/>
              </w:rPr>
              <w:t>(1);</w:t>
            </w:r>
          </w:p>
          <w:p w14:paraId="25A18569" w14:textId="77777777" w:rsidR="00124364" w:rsidRPr="00A303C4" w:rsidRDefault="00000000" w:rsidP="00A303C4">
            <w:pPr>
              <w:pStyle w:val="ti-art"/>
              <w:numPr>
                <w:ilvl w:val="0"/>
                <w:numId w:val="2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actele</w:t>
            </w:r>
            <w:proofErr w:type="spellEnd"/>
            <w:r w:rsidRPr="00A303C4">
              <w:rPr>
                <w:rFonts w:eastAsia="Arial Unicode MS"/>
                <w:color w:val="000000" w:themeColor="text1"/>
                <w:sz w:val="20"/>
                <w:szCs w:val="20"/>
                <w:shd w:val="clear" w:color="auto" w:fill="FFFFFF"/>
                <w:lang w:val="en-US"/>
              </w:rPr>
              <w:t xml:space="preserve"> cu </w:t>
            </w:r>
            <w:proofErr w:type="spellStart"/>
            <w:r w:rsidRPr="00A303C4">
              <w:rPr>
                <w:rFonts w:eastAsia="Arial Unicode MS"/>
                <w:color w:val="000000" w:themeColor="text1"/>
                <w:sz w:val="20"/>
                <w:szCs w:val="20"/>
                <w:shd w:val="clear" w:color="auto" w:fill="FFFFFF"/>
                <w:lang w:val="en-US"/>
              </w:rPr>
              <w:t>putere</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lege</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actele</w:t>
            </w:r>
            <w:proofErr w:type="spellEnd"/>
            <w:r w:rsidRPr="00A303C4">
              <w:rPr>
                <w:rFonts w:eastAsia="Arial Unicode MS"/>
                <w:color w:val="000000" w:themeColor="text1"/>
                <w:sz w:val="20"/>
                <w:szCs w:val="20"/>
                <w:shd w:val="clear" w:color="auto" w:fill="FFFFFF"/>
                <w:lang w:val="en-US"/>
              </w:rPr>
              <w:t xml:space="preserve"> administrative </w:t>
            </w:r>
            <w:proofErr w:type="spellStart"/>
            <w:r w:rsidRPr="00A303C4">
              <w:rPr>
                <w:rFonts w:eastAsia="Arial Unicode MS"/>
                <w:color w:val="000000" w:themeColor="text1"/>
                <w:sz w:val="20"/>
                <w:szCs w:val="20"/>
                <w:shd w:val="clear" w:color="auto" w:fill="FFFFFF"/>
                <w:lang w:val="en-US"/>
              </w:rPr>
              <w:t>relevante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activitățile</w:t>
            </w:r>
            <w:proofErr w:type="spellEnd"/>
            <w:r w:rsidRPr="00A303C4">
              <w:rPr>
                <w:rFonts w:eastAsia="Arial Unicode MS"/>
                <w:color w:val="000000" w:themeColor="text1"/>
                <w:sz w:val="20"/>
                <w:szCs w:val="20"/>
                <w:shd w:val="clear" w:color="auto" w:fill="FFFFFF"/>
                <w:lang w:val="en-US"/>
              </w:rPr>
              <w:t xml:space="preserve"> care fac </w:t>
            </w:r>
            <w:proofErr w:type="spellStart"/>
            <w:r w:rsidRPr="00A303C4">
              <w:rPr>
                <w:rFonts w:eastAsia="Arial Unicode MS"/>
                <w:color w:val="000000" w:themeColor="text1"/>
                <w:sz w:val="20"/>
                <w:szCs w:val="20"/>
                <w:shd w:val="clear" w:color="auto" w:fill="FFFFFF"/>
                <w:lang w:val="en-US"/>
              </w:rPr>
              <w:t>obiectul</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verificării</w:t>
            </w:r>
            <w:proofErr w:type="spellEnd"/>
            <w:r w:rsidRPr="00A303C4">
              <w:rPr>
                <w:rFonts w:eastAsia="Arial Unicode MS"/>
                <w:color w:val="000000" w:themeColor="text1"/>
                <w:sz w:val="20"/>
                <w:szCs w:val="20"/>
                <w:shd w:val="clear" w:color="auto" w:fill="FFFFFF"/>
                <w:lang w:val="en-US"/>
              </w:rPr>
              <w:t>; și</w:t>
            </w:r>
          </w:p>
          <w:p w14:paraId="4087DAB2" w14:textId="77777777" w:rsidR="00124364" w:rsidRPr="00A303C4" w:rsidRDefault="00000000" w:rsidP="00A303C4">
            <w:pPr>
              <w:pStyle w:val="ti-art"/>
              <w:numPr>
                <w:ilvl w:val="0"/>
                <w:numId w:val="2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A303C4">
              <w:rPr>
                <w:rFonts w:eastAsia="Arial Unicode MS"/>
                <w:color w:val="000000" w:themeColor="text1"/>
                <w:sz w:val="20"/>
                <w:szCs w:val="20"/>
                <w:shd w:val="clear" w:color="auto" w:fill="FFFFFF"/>
                <w:lang w:val="en-US"/>
              </w:rPr>
              <w:t>modul</w:t>
            </w:r>
            <w:proofErr w:type="spellEnd"/>
            <w:r w:rsidRPr="00A303C4">
              <w:rPr>
                <w:rFonts w:eastAsia="Arial Unicode MS"/>
                <w:color w:val="000000" w:themeColor="text1"/>
                <w:sz w:val="20"/>
                <w:szCs w:val="20"/>
                <w:shd w:val="clear" w:color="auto" w:fill="FFFFFF"/>
                <w:lang w:val="en-US"/>
              </w:rPr>
              <w:t xml:space="preserve"> în care sunt generate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informațiile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referitoare</w:t>
            </w:r>
            <w:proofErr w:type="spellEnd"/>
            <w:r w:rsidRPr="00A303C4">
              <w:rPr>
                <w:rFonts w:eastAsia="Arial Unicode MS"/>
                <w:color w:val="000000" w:themeColor="text1"/>
                <w:sz w:val="20"/>
                <w:szCs w:val="20"/>
                <w:shd w:val="clear" w:color="auto" w:fill="FFFFFF"/>
                <w:lang w:val="en-US"/>
              </w:rPr>
              <w:t xml:space="preserve"> la </w:t>
            </w:r>
            <w:proofErr w:type="spellStart"/>
            <w:r w:rsidRPr="00A303C4">
              <w:rPr>
                <w:rFonts w:eastAsia="Arial Unicode MS"/>
                <w:color w:val="000000" w:themeColor="text1"/>
                <w:sz w:val="20"/>
                <w:szCs w:val="20"/>
                <w:shd w:val="clear" w:color="auto" w:fill="FFFFFF"/>
                <w:lang w:val="en-US"/>
              </w:rPr>
              <w:t>toate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mijloacele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prin</w:t>
            </w:r>
            <w:proofErr w:type="spellEnd"/>
            <w:r w:rsidRPr="00A303C4">
              <w:rPr>
                <w:rFonts w:eastAsia="Arial Unicode MS"/>
                <w:color w:val="000000" w:themeColor="text1"/>
                <w:sz w:val="20"/>
                <w:szCs w:val="20"/>
                <w:shd w:val="clear" w:color="auto" w:fill="FFFFFF"/>
                <w:lang w:val="en-US"/>
              </w:rPr>
              <w:t xml:space="preserve"> care </w:t>
            </w:r>
            <w:proofErr w:type="spellStart"/>
            <w:r w:rsidRPr="00A303C4">
              <w:rPr>
                <w:rFonts w:eastAsia="Arial Unicode MS"/>
                <w:color w:val="000000" w:themeColor="text1"/>
                <w:sz w:val="20"/>
                <w:szCs w:val="20"/>
                <w:shd w:val="clear" w:color="auto" w:fill="FFFFFF"/>
                <w:lang w:val="en-US"/>
              </w:rPr>
              <w:t>combustibilii</w:t>
            </w:r>
            <w:proofErr w:type="spellEnd"/>
            <w:r w:rsidRPr="00A303C4">
              <w:rPr>
                <w:rFonts w:eastAsia="Arial Unicode MS"/>
                <w:color w:val="000000" w:themeColor="text1"/>
                <w:sz w:val="20"/>
                <w:szCs w:val="20"/>
                <w:shd w:val="clear" w:color="auto" w:fill="FFFFFF"/>
                <w:lang w:val="en-US"/>
              </w:rPr>
              <w:t xml:space="preserve"> sunt </w:t>
            </w:r>
            <w:proofErr w:type="spellStart"/>
            <w:r w:rsidRPr="00A303C4">
              <w:rPr>
                <w:rFonts w:eastAsia="Arial Unicode MS"/>
                <w:color w:val="000000" w:themeColor="text1"/>
                <w:sz w:val="20"/>
                <w:szCs w:val="20"/>
                <w:shd w:val="clear" w:color="auto" w:fill="FFFFFF"/>
                <w:lang w:val="en-US"/>
              </w:rPr>
              <w:t>eliberați</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pentru</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consum</w:t>
            </w:r>
            <w:proofErr w:type="spellEnd"/>
            <w:r w:rsidRPr="00A303C4">
              <w:rPr>
                <w:rFonts w:eastAsia="Arial Unicode MS"/>
                <w:color w:val="000000" w:themeColor="text1"/>
                <w:sz w:val="20"/>
                <w:szCs w:val="20"/>
                <w:shd w:val="clear" w:color="auto" w:fill="FFFFFF"/>
                <w:lang w:val="en-US"/>
              </w:rPr>
              <w:t xml:space="preserve"> de </w:t>
            </w:r>
            <w:proofErr w:type="spellStart"/>
            <w:r w:rsidRPr="00A303C4">
              <w:rPr>
                <w:rFonts w:eastAsia="Arial Unicode MS"/>
                <w:color w:val="000000" w:themeColor="text1"/>
                <w:sz w:val="20"/>
                <w:szCs w:val="20"/>
                <w:shd w:val="clear" w:color="auto" w:fill="FFFFFF"/>
                <w:lang w:val="en-US"/>
              </w:rPr>
              <w:t>către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entitatea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reglementată</w:t>
            </w:r>
            <w:proofErr w:type="spellEnd"/>
            <w:r w:rsidRPr="00A303C4">
              <w:rPr>
                <w:rFonts w:eastAsia="Arial Unicode MS"/>
                <w:color w:val="000000" w:themeColor="text1"/>
                <w:sz w:val="20"/>
                <w:szCs w:val="20"/>
                <w:shd w:val="clear" w:color="auto" w:fill="FFFFFF"/>
                <w:lang w:val="en-US"/>
              </w:rPr>
              <w:t xml:space="preserve">, în special în </w:t>
            </w:r>
            <w:proofErr w:type="spellStart"/>
            <w:r w:rsidRPr="00A303C4">
              <w:rPr>
                <w:rFonts w:eastAsia="Arial Unicode MS"/>
                <w:color w:val="000000" w:themeColor="text1"/>
                <w:sz w:val="20"/>
                <w:szCs w:val="20"/>
                <w:shd w:val="clear" w:color="auto" w:fill="FFFFFF"/>
                <w:lang w:val="en-US"/>
              </w:rPr>
              <w:t>ceea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privește</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colectarea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măsurarea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calcularea</w:t>
            </w:r>
            <w:proofErr w:type="spellEnd"/>
            <w:r w:rsidRPr="00A303C4">
              <w:rPr>
                <w:rFonts w:eastAsia="Arial Unicode MS"/>
                <w:color w:val="000000" w:themeColor="text1"/>
                <w:sz w:val="20"/>
                <w:szCs w:val="20"/>
                <w:shd w:val="clear" w:color="auto" w:fill="FFFFFF"/>
                <w:lang w:val="en-US"/>
              </w:rPr>
              <w:t xml:space="preserve"> și </w:t>
            </w:r>
            <w:proofErr w:type="spellStart"/>
            <w:r w:rsidRPr="00A303C4">
              <w:rPr>
                <w:rFonts w:eastAsia="Arial Unicode MS"/>
                <w:color w:val="000000" w:themeColor="text1"/>
                <w:sz w:val="20"/>
                <w:szCs w:val="20"/>
                <w:shd w:val="clear" w:color="auto" w:fill="FFFFFF"/>
                <w:lang w:val="en-US"/>
              </w:rPr>
              <w:t>raportarea</w:t>
            </w:r>
            <w:proofErr w:type="spellEnd"/>
            <w:r w:rsidRPr="00A303C4">
              <w:rPr>
                <w:rFonts w:eastAsia="Arial Unicode MS"/>
                <w:color w:val="000000" w:themeColor="text1"/>
                <w:sz w:val="20"/>
                <w:szCs w:val="20"/>
                <w:shd w:val="clear" w:color="auto" w:fill="FFFFFF"/>
                <w:lang w:val="en-US"/>
              </w:rPr>
              <w:t xml:space="preserve"> </w:t>
            </w:r>
            <w:proofErr w:type="spellStart"/>
            <w:r w:rsidRPr="00A303C4">
              <w:rPr>
                <w:rFonts w:eastAsia="Arial Unicode MS"/>
                <w:color w:val="000000" w:themeColor="text1"/>
                <w:sz w:val="20"/>
                <w:szCs w:val="20"/>
                <w:shd w:val="clear" w:color="auto" w:fill="FFFFFF"/>
                <w:lang w:val="en-US"/>
              </w:rPr>
              <w:t>datelor</w:t>
            </w:r>
            <w:proofErr w:type="spellEnd"/>
            <w:r w:rsidRPr="00A303C4">
              <w:rPr>
                <w:rFonts w:eastAsia="Arial Unicode MS"/>
                <w:color w:val="000000" w:themeColor="text1"/>
                <w:sz w:val="20"/>
                <w:szCs w:val="20"/>
                <w:shd w:val="clear" w:color="auto" w:fill="FFFFFF"/>
                <w:lang w:val="en-US"/>
              </w:rPr>
              <w:t>.</w:t>
            </w:r>
          </w:p>
          <w:p w14:paraId="36DDB86E" w14:textId="77777777" w:rsidR="00124364" w:rsidRDefault="00124364">
            <w:pPr>
              <w:pStyle w:val="ti-art"/>
              <w:shd w:val="clear" w:color="auto" w:fill="FFFFFF"/>
              <w:spacing w:before="0" w:beforeAutospacing="0" w:after="0" w:afterAutospacing="0"/>
              <w:ind w:left="360"/>
              <w:rPr>
                <w:rFonts w:eastAsia="Arial Unicode MS"/>
                <w:color w:val="333333"/>
                <w:sz w:val="20"/>
                <w:szCs w:val="20"/>
                <w:shd w:val="clear" w:color="auto" w:fill="FFFFFF"/>
                <w:lang w:val="en-US"/>
              </w:rPr>
            </w:pPr>
          </w:p>
        </w:tc>
        <w:tc>
          <w:tcPr>
            <w:tcW w:w="4394" w:type="dxa"/>
            <w:shd w:val="clear" w:color="auto" w:fill="auto"/>
          </w:tcPr>
          <w:p w14:paraId="7FB08433" w14:textId="77777777" w:rsidR="00A303C4" w:rsidRPr="00A303C4" w:rsidRDefault="00A303C4" w:rsidP="00A303C4">
            <w:pPr>
              <w:spacing w:after="0" w:line="240" w:lineRule="auto"/>
              <w:ind w:left="284"/>
              <w:jc w:val="right"/>
              <w:rPr>
                <w:rFonts w:ascii="Times New Roman" w:eastAsia="Calibri" w:hAnsi="Times New Roman"/>
                <w:bCs/>
                <w:sz w:val="20"/>
                <w:szCs w:val="20"/>
                <w:shd w:val="clear" w:color="auto" w:fill="FFFFFF"/>
                <w:lang w:val="ro-RO"/>
              </w:rPr>
            </w:pPr>
            <w:r w:rsidRPr="00A303C4">
              <w:rPr>
                <w:rFonts w:ascii="Times New Roman" w:eastAsia="Calibri" w:hAnsi="Times New Roman"/>
                <w:bCs/>
                <w:sz w:val="20"/>
                <w:szCs w:val="20"/>
                <w:shd w:val="clear" w:color="auto" w:fill="FFFFFF"/>
                <w:lang w:val="ro-RO"/>
              </w:rPr>
              <w:lastRenderedPageBreak/>
              <w:t>Anexa nr. 3</w:t>
            </w:r>
          </w:p>
          <w:p w14:paraId="31CC9249" w14:textId="77777777" w:rsidR="00A303C4" w:rsidRPr="00A303C4" w:rsidRDefault="00A303C4" w:rsidP="004E1007">
            <w:pPr>
              <w:spacing w:after="0" w:line="240" w:lineRule="auto"/>
              <w:rPr>
                <w:rFonts w:ascii="Times New Roman" w:eastAsia="Calibri" w:hAnsi="Times New Roman"/>
                <w:color w:val="000000"/>
                <w:sz w:val="20"/>
                <w:szCs w:val="20"/>
                <w:lang w:val="en-US"/>
              </w:rPr>
            </w:pPr>
            <w:r w:rsidRPr="00A303C4">
              <w:rPr>
                <w:rFonts w:ascii="Times New Roman" w:eastAsia="Arial Unicode MS" w:hAnsi="Times New Roman"/>
                <w:b/>
                <w:bCs/>
                <w:color w:val="333333"/>
                <w:sz w:val="20"/>
                <w:szCs w:val="20"/>
                <w:shd w:val="clear" w:color="auto" w:fill="FFFFFF"/>
                <w:lang w:val="en-US"/>
              </w:rPr>
              <w:t>CRITERIILE PENTRU VERIFICARE PREVĂZUTE LA ART. 53</w:t>
            </w:r>
          </w:p>
          <w:p w14:paraId="1014DACE" w14:textId="77777777" w:rsidR="00A303C4" w:rsidRPr="00A303C4" w:rsidRDefault="00A303C4" w:rsidP="00A303C4">
            <w:pPr>
              <w:numPr>
                <w:ilvl w:val="0"/>
                <w:numId w:val="203"/>
              </w:numPr>
              <w:suppressAutoHyphens w:val="0"/>
              <w:autoSpaceDN/>
              <w:spacing w:after="0" w:line="240" w:lineRule="auto"/>
              <w:ind w:left="284" w:firstLine="0"/>
              <w:textAlignment w:val="auto"/>
              <w:rPr>
                <w:rFonts w:ascii="Times New Roman" w:eastAsia="Calibri" w:hAnsi="Times New Roman"/>
                <w:b/>
                <w:bCs/>
                <w:sz w:val="20"/>
                <w:szCs w:val="20"/>
                <w:lang w:val="ro-MD"/>
              </w:rPr>
            </w:pPr>
            <w:r w:rsidRPr="00A303C4">
              <w:rPr>
                <w:rFonts w:ascii="Times New Roman" w:eastAsia="Arial Unicode MS" w:hAnsi="Times New Roman"/>
                <w:b/>
                <w:bCs/>
                <w:color w:val="333333"/>
                <w:sz w:val="20"/>
                <w:szCs w:val="20"/>
                <w:shd w:val="clear" w:color="auto" w:fill="FFFFFF"/>
                <w:lang w:val="ro-MD"/>
              </w:rPr>
              <w:t>Verificarea emisiilor de GES provenite din instalațiile staționare</w:t>
            </w:r>
          </w:p>
          <w:p w14:paraId="0B1AD3FA" w14:textId="77777777" w:rsidR="00A303C4" w:rsidRPr="00A303C4" w:rsidRDefault="00A303C4" w:rsidP="00A303C4">
            <w:pPr>
              <w:numPr>
                <w:ilvl w:val="0"/>
                <w:numId w:val="204"/>
              </w:numPr>
              <w:suppressAutoHyphens w:val="0"/>
              <w:autoSpaceDN/>
              <w:spacing w:after="0" w:line="240" w:lineRule="auto"/>
              <w:ind w:left="284" w:firstLine="0"/>
              <w:textAlignment w:val="auto"/>
              <w:rPr>
                <w:rFonts w:ascii="Times New Roman" w:eastAsia="Calibri" w:hAnsi="Times New Roman"/>
                <w:b/>
                <w:bCs/>
                <w:sz w:val="20"/>
                <w:szCs w:val="20"/>
                <w:lang w:val="ro-MD"/>
              </w:rPr>
            </w:pPr>
            <w:r w:rsidRPr="00A303C4">
              <w:rPr>
                <w:rFonts w:ascii="Times New Roman" w:eastAsia="Calibri" w:hAnsi="Times New Roman"/>
                <w:b/>
                <w:bCs/>
                <w:sz w:val="20"/>
                <w:szCs w:val="20"/>
                <w:lang w:val="ro-MD"/>
              </w:rPr>
              <w:t>Principii generale</w:t>
            </w:r>
          </w:p>
          <w:p w14:paraId="1F42C7B5" w14:textId="77777777" w:rsidR="00A303C4" w:rsidRPr="00A303C4" w:rsidRDefault="00A303C4" w:rsidP="00A303C4">
            <w:pPr>
              <w:numPr>
                <w:ilvl w:val="0"/>
                <w:numId w:val="212"/>
              </w:numPr>
              <w:suppressAutoHyphens w:val="0"/>
              <w:autoSpaceDN/>
              <w:spacing w:after="0" w:line="240" w:lineRule="auto"/>
              <w:ind w:left="284" w:firstLine="0"/>
              <w:jc w:val="both"/>
              <w:textAlignment w:val="auto"/>
              <w:rPr>
                <w:rFonts w:ascii="Times New Roman" w:eastAsia="Calibri" w:hAnsi="Times New Roman"/>
                <w:sz w:val="20"/>
                <w:szCs w:val="20"/>
                <w:lang w:val="ro-MD"/>
              </w:rPr>
            </w:pPr>
            <w:r w:rsidRPr="00A303C4">
              <w:rPr>
                <w:rFonts w:ascii="Times New Roman" w:eastAsia="Arial Unicode MS" w:hAnsi="Times New Roman"/>
                <w:color w:val="333333"/>
                <w:sz w:val="20"/>
                <w:szCs w:val="20"/>
                <w:shd w:val="clear" w:color="auto" w:fill="FFFFFF"/>
                <w:lang w:val="ro-MD"/>
              </w:rPr>
              <w:t>Se verifică emisiile de GES rezultate din fiecare dintre activitățile enumerate în Anexa nr.1.</w:t>
            </w:r>
          </w:p>
          <w:p w14:paraId="5FF432D5" w14:textId="77777777" w:rsidR="00A303C4" w:rsidRPr="00A303C4" w:rsidRDefault="00A303C4" w:rsidP="00A303C4">
            <w:pPr>
              <w:numPr>
                <w:ilvl w:val="0"/>
                <w:numId w:val="212"/>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Procesul de verificare include evaluarea raportului în temeiul art. 53 și a monitorizării de pe parcursul anului anterior. Verificarea abordează fiabilitatea, credibilitatea și acuratețea sistemelor de monitorizare și datele și informațiile raportate cu privire la emisii, în special:</w:t>
            </w:r>
          </w:p>
          <w:p w14:paraId="364F0B8B" w14:textId="77777777" w:rsidR="00A303C4" w:rsidRPr="00A303C4" w:rsidRDefault="00A303C4" w:rsidP="00A303C4">
            <w:pPr>
              <w:numPr>
                <w:ilvl w:val="0"/>
                <w:numId w:val="205"/>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datele privind activitățile care sunt prevăzute în raport, precum și măsurările și calculele conexe;</w:t>
            </w:r>
          </w:p>
          <w:p w14:paraId="117A9822" w14:textId="77777777" w:rsidR="00A303C4" w:rsidRPr="00A303C4" w:rsidRDefault="00A303C4" w:rsidP="00A303C4">
            <w:pPr>
              <w:numPr>
                <w:ilvl w:val="0"/>
                <w:numId w:val="205"/>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selectarea și utilizarea factorilor de emisie;</w:t>
            </w:r>
          </w:p>
          <w:p w14:paraId="272B1284" w14:textId="77777777" w:rsidR="00A303C4" w:rsidRPr="00A303C4" w:rsidRDefault="00A303C4" w:rsidP="00A303C4">
            <w:pPr>
              <w:numPr>
                <w:ilvl w:val="0"/>
                <w:numId w:val="205"/>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calculele care au condus la determinarea emisiilor generale și</w:t>
            </w:r>
          </w:p>
          <w:p w14:paraId="3A721457" w14:textId="77777777" w:rsidR="00A303C4" w:rsidRPr="00A303C4" w:rsidRDefault="00A303C4" w:rsidP="00A303C4">
            <w:pPr>
              <w:numPr>
                <w:ilvl w:val="0"/>
                <w:numId w:val="205"/>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în cazul în care se folosesc măsurări, cât de adecvate sunt alegerea și modul de utilizare a metodelor de măsurare.</w:t>
            </w:r>
          </w:p>
          <w:p w14:paraId="458324E6" w14:textId="77777777" w:rsidR="00A303C4" w:rsidRPr="00A303C4" w:rsidRDefault="00A303C4" w:rsidP="00A303C4">
            <w:pPr>
              <w:numPr>
                <w:ilvl w:val="0"/>
                <w:numId w:val="212"/>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Emisiile raportate pot fi validate în caz în care există date și informații fiabile și credibile care permit determinarea emisiilor cu un grad ridicat de siguranță. Un grad ridicat de certitudine presupune demonstrarea de către operator a următoarelor aspecte:</w:t>
            </w:r>
          </w:p>
          <w:p w14:paraId="532B567B" w14:textId="77777777" w:rsidR="00A303C4" w:rsidRPr="00A303C4" w:rsidRDefault="00A303C4" w:rsidP="00A303C4">
            <w:pPr>
              <w:numPr>
                <w:ilvl w:val="0"/>
                <w:numId w:val="206"/>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că datele raportate nu conțin neconcordanțe;</w:t>
            </w:r>
          </w:p>
          <w:p w14:paraId="40A19F19" w14:textId="77777777" w:rsidR="00A303C4" w:rsidRPr="00A303C4" w:rsidRDefault="00A303C4" w:rsidP="00A303C4">
            <w:pPr>
              <w:numPr>
                <w:ilvl w:val="0"/>
                <w:numId w:val="206"/>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că datele au fost colectate în conformitate cu standardele științifice aplicabile și</w:t>
            </w:r>
          </w:p>
          <w:p w14:paraId="136169F0" w14:textId="77777777" w:rsidR="00A303C4" w:rsidRPr="00A303C4" w:rsidRDefault="00A303C4" w:rsidP="00A303C4">
            <w:pPr>
              <w:numPr>
                <w:ilvl w:val="0"/>
                <w:numId w:val="206"/>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lang w:val="ro-MD"/>
              </w:rPr>
              <w:t>că înregistrările relevante privind instalația sunt complete și coerente.</w:t>
            </w:r>
          </w:p>
          <w:p w14:paraId="1B29C63A" w14:textId="77777777" w:rsidR="00A303C4" w:rsidRPr="00A303C4" w:rsidRDefault="00A303C4" w:rsidP="00A303C4">
            <w:pPr>
              <w:numPr>
                <w:ilvl w:val="0"/>
                <w:numId w:val="212"/>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Verificatorul are acces în toate zonele și la toate înregistrările referitoare la subiectul verificării.</w:t>
            </w:r>
          </w:p>
          <w:p w14:paraId="2CA64EBA" w14:textId="77777777" w:rsidR="00A303C4" w:rsidRPr="00A303C4" w:rsidRDefault="00A303C4" w:rsidP="00A303C4">
            <w:pPr>
              <w:numPr>
                <w:ilvl w:val="0"/>
                <w:numId w:val="212"/>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Verificatorul ține cont că instalația este sau nu înregistrată în cadrul Sistemului comunitar de management și audit ecologic (EMAS).</w:t>
            </w:r>
          </w:p>
          <w:p w14:paraId="0326FD22" w14:textId="77777777" w:rsidR="00A303C4" w:rsidRPr="00A303C4" w:rsidRDefault="00A303C4" w:rsidP="00A303C4">
            <w:pPr>
              <w:numPr>
                <w:ilvl w:val="0"/>
                <w:numId w:val="204"/>
              </w:numPr>
              <w:suppressAutoHyphens w:val="0"/>
              <w:autoSpaceDN/>
              <w:spacing w:after="0" w:line="240" w:lineRule="auto"/>
              <w:ind w:left="284" w:firstLine="0"/>
              <w:textAlignment w:val="auto"/>
              <w:rPr>
                <w:rFonts w:ascii="Times New Roman" w:eastAsia="Calibri" w:hAnsi="Times New Roman"/>
                <w:b/>
                <w:bCs/>
                <w:sz w:val="20"/>
                <w:szCs w:val="20"/>
                <w:lang w:val="ro-MD"/>
              </w:rPr>
            </w:pPr>
            <w:r w:rsidRPr="00A303C4">
              <w:rPr>
                <w:rFonts w:ascii="Times New Roman" w:eastAsia="Calibri" w:hAnsi="Times New Roman"/>
                <w:b/>
                <w:bCs/>
                <w:sz w:val="20"/>
                <w:szCs w:val="20"/>
                <w:lang w:val="ro-MD"/>
              </w:rPr>
              <w:lastRenderedPageBreak/>
              <w:t xml:space="preserve">Metodologie </w:t>
            </w:r>
          </w:p>
          <w:p w14:paraId="09C9A060" w14:textId="77777777" w:rsidR="00A303C4" w:rsidRPr="00A303C4" w:rsidRDefault="00A303C4" w:rsidP="00A303C4">
            <w:pPr>
              <w:numPr>
                <w:ilvl w:val="0"/>
                <w:numId w:val="207"/>
              </w:numPr>
              <w:suppressAutoHyphens w:val="0"/>
              <w:autoSpaceDN/>
              <w:spacing w:after="0" w:line="240" w:lineRule="auto"/>
              <w:ind w:left="284" w:firstLine="0"/>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Analiza strategică</w:t>
            </w:r>
          </w:p>
          <w:p w14:paraId="171A3E00" w14:textId="77777777" w:rsidR="00A303C4" w:rsidRPr="00A303C4" w:rsidRDefault="00A303C4" w:rsidP="00A303C4">
            <w:pPr>
              <w:numPr>
                <w:ilvl w:val="0"/>
                <w:numId w:val="208"/>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Verificarea se bazează pe o analiză strategică a tuturor activităților desfășurate în instalație. În acest scop verificatorul examinează în ansamblu asupra tuturor activităților și asupra importanței acestora în ceea ce privește emisiile.</w:t>
            </w:r>
          </w:p>
          <w:p w14:paraId="64C9362B" w14:textId="77777777" w:rsidR="00A303C4" w:rsidRPr="00A303C4" w:rsidRDefault="00A303C4" w:rsidP="00A303C4">
            <w:pPr>
              <w:numPr>
                <w:ilvl w:val="0"/>
                <w:numId w:val="207"/>
              </w:numPr>
              <w:suppressAutoHyphens w:val="0"/>
              <w:autoSpaceDN/>
              <w:spacing w:after="0" w:line="240" w:lineRule="auto"/>
              <w:ind w:left="284" w:firstLine="0"/>
              <w:textAlignment w:val="auto"/>
              <w:rPr>
                <w:rFonts w:ascii="Times New Roman" w:eastAsia="Calibri" w:hAnsi="Times New Roman"/>
                <w:sz w:val="20"/>
                <w:szCs w:val="20"/>
                <w:lang w:val="ro-MD"/>
              </w:rPr>
            </w:pPr>
            <w:r w:rsidRPr="00A303C4">
              <w:rPr>
                <w:rFonts w:ascii="Times New Roman" w:eastAsia="Calibri" w:hAnsi="Times New Roman"/>
                <w:sz w:val="20"/>
                <w:szCs w:val="20"/>
                <w:lang w:val="ro-MD"/>
              </w:rPr>
              <w:t>Analiza procesului</w:t>
            </w:r>
          </w:p>
          <w:p w14:paraId="162FF8B6" w14:textId="77777777" w:rsidR="00A303C4" w:rsidRPr="00A303C4" w:rsidRDefault="00A303C4" w:rsidP="00A303C4">
            <w:pPr>
              <w:numPr>
                <w:ilvl w:val="0"/>
                <w:numId w:val="209"/>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Verificarea informațiilor prezentate se realizează în locul în care se află instalația, după caz. Verificatorul recurge la controale prin sondaj pentru a determina fiabilitatea datelor și informațiilor raportate.</w:t>
            </w:r>
          </w:p>
          <w:p w14:paraId="49651B42" w14:textId="77777777" w:rsidR="00A303C4" w:rsidRPr="00A303C4" w:rsidRDefault="00A303C4" w:rsidP="00A303C4">
            <w:pPr>
              <w:numPr>
                <w:ilvl w:val="0"/>
                <w:numId w:val="207"/>
              </w:numPr>
              <w:suppressAutoHyphens w:val="0"/>
              <w:autoSpaceDN/>
              <w:spacing w:after="0" w:line="240" w:lineRule="auto"/>
              <w:ind w:left="284" w:firstLine="0"/>
              <w:textAlignment w:val="auto"/>
              <w:rPr>
                <w:rFonts w:ascii="Times New Roman" w:eastAsia="Calibri" w:hAnsi="Times New Roman"/>
                <w:sz w:val="20"/>
                <w:szCs w:val="20"/>
                <w:lang w:val="ro-MD"/>
              </w:rPr>
            </w:pPr>
            <w:r w:rsidRPr="00A303C4">
              <w:rPr>
                <w:rFonts w:ascii="Times New Roman" w:eastAsia="Calibri" w:hAnsi="Times New Roman"/>
                <w:sz w:val="20"/>
                <w:szCs w:val="20"/>
                <w:lang w:val="ro-MD"/>
              </w:rPr>
              <w:t>Analiza riscului</w:t>
            </w:r>
          </w:p>
          <w:p w14:paraId="46D39535" w14:textId="77777777" w:rsidR="00A303C4" w:rsidRPr="00A303C4" w:rsidRDefault="00A303C4" w:rsidP="00A303C4">
            <w:pPr>
              <w:numPr>
                <w:ilvl w:val="0"/>
                <w:numId w:val="210"/>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Verificatorul supune evaluării toate sursele de emisii de GES din instalație pentru a determina fiabilitatea datelor privind fiecare sursă care contribuie la totalul emisiilor din instalația respectivă.</w:t>
            </w:r>
          </w:p>
          <w:p w14:paraId="3E0FF11D" w14:textId="77777777" w:rsidR="00A303C4" w:rsidRPr="00A303C4" w:rsidRDefault="00A303C4" w:rsidP="00A303C4">
            <w:pPr>
              <w:numPr>
                <w:ilvl w:val="0"/>
                <w:numId w:val="210"/>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Pe baza acestei analize, verificatorul identifică explicit acele surse care prezintă un grad ridicat de risc de eroare și alte aspecte ale procedurii de monitorizare și raportare care este posibil să contribuie la apariția unor erori în determinarea emisiilor generale. Este vorba în special de alegerea factorilor de emisie de GES și de calculele necesare pentru a determina nivelul emisiilor din surse individuale. Este acordată o atenție specială surselor care prezintă un risc ridicat de eroare și aspectelor din cadrul procedurii de monitorizare efectuate.</w:t>
            </w:r>
          </w:p>
          <w:p w14:paraId="04A1BDBB" w14:textId="77777777" w:rsidR="00A303C4" w:rsidRPr="00A303C4" w:rsidRDefault="00A303C4" w:rsidP="00A303C4">
            <w:pPr>
              <w:numPr>
                <w:ilvl w:val="0"/>
                <w:numId w:val="210"/>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Verificatorul ia în considerare orice metode eficiente de control al riscului aplicate de operator în vederea reducerii la minimum a gradului de incertitudine.</w:t>
            </w:r>
          </w:p>
          <w:p w14:paraId="4BF85A64" w14:textId="77777777" w:rsidR="00A303C4" w:rsidRPr="00A303C4" w:rsidRDefault="00A303C4" w:rsidP="00A303C4">
            <w:pPr>
              <w:numPr>
                <w:ilvl w:val="0"/>
                <w:numId w:val="207"/>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Calibri" w:hAnsi="Times New Roman"/>
                <w:color w:val="000000"/>
                <w:sz w:val="20"/>
                <w:szCs w:val="20"/>
                <w:lang w:val="ro-MD"/>
              </w:rPr>
              <w:t>Raportul</w:t>
            </w:r>
          </w:p>
          <w:p w14:paraId="11B095A8" w14:textId="77777777" w:rsidR="00A303C4" w:rsidRPr="00A303C4" w:rsidRDefault="00A303C4" w:rsidP="00A303C4">
            <w:pPr>
              <w:numPr>
                <w:ilvl w:val="0"/>
                <w:numId w:val="211"/>
              </w:numPr>
              <w:suppressAutoHyphens w:val="0"/>
              <w:autoSpaceDN/>
              <w:spacing w:after="0" w:line="240" w:lineRule="auto"/>
              <w:ind w:left="284" w:firstLine="0"/>
              <w:jc w:val="both"/>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Verificatorul pregătește un raport privind procesul de validare în care menționează dacă raportul prevăzut în art.53 alin.(5) este satisfăcător. Raportul specifică toate aspectele relevante pentru activitatea desfășurată. Verificatorul declară că raportul prevăzut la art. 53 alin. (5) este satisfăcător în cazul în care declarațiile cu privire la emisiile totale nu prezintă erori semnificative.</w:t>
            </w:r>
          </w:p>
          <w:p w14:paraId="3E6A1404" w14:textId="77777777" w:rsidR="00A303C4" w:rsidRPr="00A303C4" w:rsidRDefault="00A303C4" w:rsidP="00A303C4">
            <w:pPr>
              <w:numPr>
                <w:ilvl w:val="0"/>
                <w:numId w:val="207"/>
              </w:numPr>
              <w:suppressAutoHyphens w:val="0"/>
              <w:autoSpaceDN/>
              <w:spacing w:after="0" w:line="240" w:lineRule="auto"/>
              <w:ind w:left="284" w:firstLine="0"/>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t>Cerințele minime privind competența verificatorului</w:t>
            </w:r>
          </w:p>
          <w:p w14:paraId="068EA9F5" w14:textId="77777777" w:rsidR="00A303C4" w:rsidRPr="00A303C4" w:rsidRDefault="00A303C4" w:rsidP="00A303C4">
            <w:pPr>
              <w:numPr>
                <w:ilvl w:val="0"/>
                <w:numId w:val="211"/>
              </w:numPr>
              <w:suppressAutoHyphens w:val="0"/>
              <w:autoSpaceDN/>
              <w:spacing w:after="0" w:line="240" w:lineRule="auto"/>
              <w:ind w:left="284" w:firstLine="0"/>
              <w:textAlignment w:val="auto"/>
              <w:rPr>
                <w:rFonts w:ascii="Times New Roman" w:eastAsia="Calibri" w:hAnsi="Times New Roman"/>
                <w:color w:val="000000"/>
                <w:sz w:val="20"/>
                <w:szCs w:val="20"/>
                <w:lang w:val="ro-MD"/>
              </w:rPr>
            </w:pPr>
            <w:r w:rsidRPr="00A303C4">
              <w:rPr>
                <w:rFonts w:ascii="Times New Roman" w:eastAsia="Arial Unicode MS" w:hAnsi="Times New Roman"/>
                <w:color w:val="000000"/>
                <w:sz w:val="20"/>
                <w:szCs w:val="20"/>
                <w:shd w:val="clear" w:color="auto" w:fill="FFFFFF"/>
                <w:lang w:val="ro-MD"/>
              </w:rPr>
              <w:lastRenderedPageBreak/>
              <w:t>Verificatorul este independent de operator, își desfășoară activitățile cu profesionalism și obiectivitate și înțelege:</w:t>
            </w:r>
          </w:p>
          <w:p w14:paraId="2A1AE0F1" w14:textId="77777777" w:rsidR="00A303C4" w:rsidRPr="00A303C4" w:rsidRDefault="00A303C4" w:rsidP="00A303C4">
            <w:pPr>
              <w:spacing w:after="0" w:line="240" w:lineRule="auto"/>
              <w:ind w:left="284"/>
              <w:rPr>
                <w:rFonts w:ascii="Times New Roman" w:eastAsia="Arial Unicode MS" w:hAnsi="Times New Roman"/>
                <w:color w:val="000000"/>
                <w:sz w:val="20"/>
                <w:szCs w:val="20"/>
                <w:shd w:val="clear" w:color="auto" w:fill="FFFFFF"/>
                <w:lang w:val="ro-MD"/>
              </w:rPr>
            </w:pPr>
            <w:r w:rsidRPr="00A303C4">
              <w:rPr>
                <w:rFonts w:ascii="Times New Roman" w:eastAsia="Arial Unicode MS" w:hAnsi="Times New Roman"/>
                <w:color w:val="000000"/>
                <w:sz w:val="20"/>
                <w:szCs w:val="20"/>
                <w:shd w:val="clear" w:color="auto" w:fill="FFFFFF"/>
                <w:lang w:val="ro-MD"/>
              </w:rPr>
              <w:t>-</w:t>
            </w:r>
            <w:r w:rsidRPr="00A303C4">
              <w:rPr>
                <w:rFonts w:ascii="Times New Roman" w:hAnsi="Times New Roman"/>
                <w:color w:val="000000"/>
                <w:sz w:val="20"/>
                <w:szCs w:val="20"/>
                <w:lang w:val="ro-MD"/>
              </w:rPr>
              <w:t xml:space="preserve"> </w:t>
            </w:r>
            <w:r w:rsidRPr="00A303C4">
              <w:rPr>
                <w:rFonts w:ascii="Times New Roman" w:eastAsia="Arial Unicode MS" w:hAnsi="Times New Roman"/>
                <w:color w:val="000000"/>
                <w:sz w:val="20"/>
                <w:szCs w:val="20"/>
                <w:shd w:val="clear" w:color="auto" w:fill="FFFFFF"/>
                <w:lang w:val="ro-MD"/>
              </w:rPr>
              <w:t>dispozițiile prevăzute de lege, precum și standardele și indicațiile relevante adoptate în conformitate cu art. 52 alin. (5);</w:t>
            </w:r>
          </w:p>
          <w:p w14:paraId="64343538" w14:textId="77777777" w:rsidR="00A303C4" w:rsidRPr="00A303C4" w:rsidRDefault="00A303C4" w:rsidP="00A303C4">
            <w:pPr>
              <w:spacing w:after="0" w:line="240" w:lineRule="auto"/>
              <w:ind w:left="284"/>
              <w:rPr>
                <w:rFonts w:ascii="Times New Roman" w:eastAsia="Arial Unicode MS" w:hAnsi="Times New Roman"/>
                <w:color w:val="000000"/>
                <w:sz w:val="20"/>
                <w:szCs w:val="20"/>
                <w:shd w:val="clear" w:color="auto" w:fill="FFFFFF"/>
                <w:lang w:val="ro-MD"/>
              </w:rPr>
            </w:pPr>
            <w:r w:rsidRPr="00A303C4">
              <w:rPr>
                <w:rFonts w:ascii="Times New Roman" w:eastAsia="Arial Unicode MS" w:hAnsi="Times New Roman"/>
                <w:color w:val="000000"/>
                <w:sz w:val="20"/>
                <w:szCs w:val="20"/>
                <w:shd w:val="clear" w:color="auto" w:fill="FFFFFF"/>
                <w:lang w:val="ro-MD"/>
              </w:rPr>
              <w:t>- dispozițiile actelor normative secundare și actele administrative relevante pentru activitățile care fac obiectul verificării și</w:t>
            </w:r>
          </w:p>
          <w:p w14:paraId="41EAA3F9" w14:textId="77777777" w:rsidR="00A303C4" w:rsidRPr="00A303C4" w:rsidRDefault="00A303C4" w:rsidP="00A303C4">
            <w:pPr>
              <w:spacing w:after="0" w:line="240" w:lineRule="auto"/>
              <w:ind w:left="284"/>
              <w:rPr>
                <w:rFonts w:ascii="Times New Roman" w:eastAsia="Arial Unicode MS" w:hAnsi="Times New Roman"/>
                <w:color w:val="000000"/>
                <w:sz w:val="20"/>
                <w:szCs w:val="20"/>
                <w:shd w:val="clear" w:color="auto" w:fill="FFFFFF"/>
                <w:lang w:val="ro-MD"/>
              </w:rPr>
            </w:pPr>
            <w:r w:rsidRPr="00A303C4">
              <w:rPr>
                <w:rFonts w:ascii="Times New Roman" w:eastAsia="Arial Unicode MS" w:hAnsi="Times New Roman"/>
                <w:color w:val="000000"/>
                <w:sz w:val="20"/>
                <w:szCs w:val="20"/>
                <w:shd w:val="clear" w:color="auto" w:fill="FFFFFF"/>
                <w:lang w:val="ro-MD"/>
              </w:rPr>
              <w:t>-generarea tuturor informațiilor privind fiecare sursă de emisie din instalație, în special privind colectarea, măsurarea, calcularea și raportarea datelor.</w:t>
            </w:r>
          </w:p>
          <w:p w14:paraId="61A1603F" w14:textId="77777777" w:rsidR="00A303C4" w:rsidRPr="00A303C4" w:rsidRDefault="00A303C4" w:rsidP="00A303C4">
            <w:pPr>
              <w:numPr>
                <w:ilvl w:val="0"/>
                <w:numId w:val="203"/>
              </w:numPr>
              <w:suppressAutoHyphens w:val="0"/>
              <w:autoSpaceDN/>
              <w:spacing w:after="0" w:line="240" w:lineRule="auto"/>
              <w:ind w:left="284" w:firstLine="0"/>
              <w:textAlignment w:val="auto"/>
              <w:rPr>
                <w:rFonts w:ascii="Times New Roman" w:eastAsia="Calibri" w:hAnsi="Times New Roman"/>
                <w:b/>
                <w:bCs/>
                <w:sz w:val="20"/>
                <w:szCs w:val="20"/>
                <w:lang w:val="ro-MD"/>
              </w:rPr>
            </w:pPr>
            <w:r w:rsidRPr="00A303C4">
              <w:rPr>
                <w:rFonts w:ascii="Times New Roman" w:eastAsia="Arial Unicode MS" w:hAnsi="Times New Roman"/>
                <w:b/>
                <w:bCs/>
                <w:color w:val="333333"/>
                <w:sz w:val="20"/>
                <w:szCs w:val="20"/>
                <w:shd w:val="clear" w:color="auto" w:fill="FFFFFF"/>
                <w:lang w:val="ro-MD"/>
              </w:rPr>
              <w:t>Verificarea emisiilor de GES provenite din activități de aviație</w:t>
            </w:r>
          </w:p>
          <w:p w14:paraId="06F63418" w14:textId="77777777" w:rsidR="00A303C4" w:rsidRPr="00A303C4" w:rsidRDefault="00A303C4" w:rsidP="00A303C4">
            <w:pPr>
              <w:pStyle w:val="norm"/>
              <w:numPr>
                <w:ilvl w:val="0"/>
                <w:numId w:val="213"/>
              </w:numPr>
              <w:shd w:val="clear" w:color="auto" w:fill="FFFFFF"/>
              <w:spacing w:before="0" w:beforeAutospacing="0" w:after="0" w:afterAutospacing="0"/>
              <w:ind w:left="284" w:firstLine="0"/>
              <w:jc w:val="both"/>
              <w:rPr>
                <w:rFonts w:eastAsia="Arial Unicode MS"/>
                <w:color w:val="000000"/>
                <w:sz w:val="20"/>
                <w:szCs w:val="20"/>
                <w:lang w:val="ro-MD"/>
              </w:rPr>
            </w:pPr>
            <w:r w:rsidRPr="00A303C4">
              <w:rPr>
                <w:rFonts w:eastAsia="Arial Unicode MS"/>
                <w:color w:val="000000"/>
                <w:sz w:val="20"/>
                <w:szCs w:val="20"/>
                <w:lang w:val="ro-MD"/>
              </w:rPr>
              <w:t>Principiile generale și metodologia stabilite în prezenta Anexă se aplică verificării rapoartelor de emisii provenite de la zborurile care se încadrează în categoria activităților de aviație enumerate în Anexa nr.1.</w:t>
            </w:r>
          </w:p>
          <w:p w14:paraId="2E394314" w14:textId="77777777" w:rsidR="00A303C4" w:rsidRPr="00A303C4" w:rsidRDefault="00A303C4" w:rsidP="00A303C4">
            <w:pPr>
              <w:spacing w:after="0" w:line="240" w:lineRule="auto"/>
              <w:ind w:left="284"/>
              <w:rPr>
                <w:rFonts w:ascii="Times New Roman" w:eastAsia="Arial Unicode MS" w:hAnsi="Times New Roman"/>
                <w:color w:val="333333"/>
                <w:sz w:val="20"/>
                <w:szCs w:val="20"/>
                <w:shd w:val="clear" w:color="auto" w:fill="FFFFFF"/>
              </w:rPr>
            </w:pPr>
            <w:r w:rsidRPr="00A303C4">
              <w:rPr>
                <w:rFonts w:ascii="Times New Roman" w:eastAsia="Arial Unicode MS" w:hAnsi="Times New Roman"/>
                <w:color w:val="333333"/>
                <w:sz w:val="20"/>
                <w:szCs w:val="20"/>
                <w:shd w:val="clear" w:color="auto" w:fill="FFFFFF"/>
                <w:lang w:val="ro-MD"/>
              </w:rPr>
              <w:t>În acest sens:</w:t>
            </w:r>
          </w:p>
          <w:p w14:paraId="65CF1F3E" w14:textId="77777777" w:rsidR="00A303C4" w:rsidRPr="00A303C4" w:rsidRDefault="00A303C4" w:rsidP="00A303C4">
            <w:pPr>
              <w:numPr>
                <w:ilvl w:val="0"/>
                <w:numId w:val="202"/>
              </w:numPr>
              <w:suppressAutoHyphens w:val="0"/>
              <w:autoSpaceDN/>
              <w:spacing w:after="0" w:line="240" w:lineRule="auto"/>
              <w:ind w:left="284" w:firstLine="0"/>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la pct. 1.lit.c), se face </w:t>
            </w:r>
            <w:proofErr w:type="spellStart"/>
            <w:r w:rsidRPr="00A303C4">
              <w:rPr>
                <w:rFonts w:ascii="Times New Roman" w:eastAsia="Arial Unicode MS" w:hAnsi="Times New Roman"/>
                <w:color w:val="000000"/>
                <w:sz w:val="20"/>
                <w:szCs w:val="20"/>
                <w:shd w:val="clear" w:color="auto" w:fill="FFFFFF"/>
                <w:lang w:val="en-US"/>
              </w:rPr>
              <w:t>trimiterea</w:t>
            </w:r>
            <w:proofErr w:type="spellEnd"/>
            <w:r w:rsidRPr="00A303C4">
              <w:rPr>
                <w:rFonts w:ascii="Times New Roman" w:eastAsia="Arial Unicode MS" w:hAnsi="Times New Roman"/>
                <w:color w:val="000000"/>
                <w:sz w:val="20"/>
                <w:szCs w:val="20"/>
                <w:shd w:val="clear" w:color="auto" w:fill="FFFFFF"/>
                <w:lang w:val="en-US"/>
              </w:rPr>
              <w:t xml:space="preserve"> la operator,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trimitere</w:t>
            </w:r>
            <w:proofErr w:type="spellEnd"/>
            <w:r w:rsidRPr="00A303C4">
              <w:rPr>
                <w:rFonts w:ascii="Times New Roman" w:eastAsia="Arial Unicode MS" w:hAnsi="Times New Roman"/>
                <w:color w:val="000000"/>
                <w:sz w:val="20"/>
                <w:szCs w:val="20"/>
                <w:shd w:val="clear" w:color="auto" w:fill="FFFFFF"/>
                <w:lang w:val="en-US"/>
              </w:rPr>
              <w:t xml:space="preserve"> la un operator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iar</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 xml:space="preserve">. (iii) a </w:t>
            </w:r>
            <w:proofErr w:type="spellStart"/>
            <w:r w:rsidRPr="00A303C4">
              <w:rPr>
                <w:rFonts w:ascii="Times New Roman" w:eastAsia="Arial Unicode MS" w:hAnsi="Times New Roman"/>
                <w:color w:val="000000"/>
                <w:sz w:val="20"/>
                <w:szCs w:val="20"/>
                <w:shd w:val="clear" w:color="auto" w:fill="FFFFFF"/>
                <w:lang w:val="en-US"/>
              </w:rPr>
              <w:t>respectivului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punct</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trimiterea</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instalație</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trimitere</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aeronava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utilizată</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efectuarea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activităților</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 xml:space="preserve"> care fac </w:t>
            </w:r>
            <w:proofErr w:type="spellStart"/>
            <w:r w:rsidRPr="00A303C4">
              <w:rPr>
                <w:rFonts w:ascii="Times New Roman" w:eastAsia="Arial Unicode MS" w:hAnsi="Times New Roman"/>
                <w:color w:val="000000"/>
                <w:sz w:val="20"/>
                <w:szCs w:val="20"/>
                <w:shd w:val="clear" w:color="auto" w:fill="FFFFFF"/>
                <w:lang w:val="en-US"/>
              </w:rPr>
              <w:t>obiectul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raportului</w:t>
            </w:r>
            <w:proofErr w:type="spellEnd"/>
            <w:r w:rsidRPr="00A303C4">
              <w:rPr>
                <w:rFonts w:ascii="Times New Roman" w:eastAsia="Arial Unicode MS" w:hAnsi="Times New Roman"/>
                <w:color w:val="000000"/>
                <w:sz w:val="20"/>
                <w:szCs w:val="20"/>
                <w:shd w:val="clear" w:color="auto" w:fill="FFFFFF"/>
                <w:lang w:val="en-US"/>
              </w:rPr>
              <w:t>;</w:t>
            </w:r>
          </w:p>
          <w:p w14:paraId="55EE8A94" w14:textId="77777777" w:rsidR="00A303C4" w:rsidRPr="00A303C4" w:rsidRDefault="00A303C4" w:rsidP="00A303C4">
            <w:pPr>
              <w:numPr>
                <w:ilvl w:val="0"/>
                <w:numId w:val="202"/>
              </w:numPr>
              <w:suppressAutoHyphens w:val="0"/>
              <w:autoSpaceDN/>
              <w:spacing w:after="0" w:line="240" w:lineRule="auto"/>
              <w:ind w:left="284" w:firstLine="0"/>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la pct.1.lit.e), se face </w:t>
            </w:r>
            <w:proofErr w:type="spellStart"/>
            <w:r w:rsidRPr="00A303C4">
              <w:rPr>
                <w:rFonts w:ascii="Times New Roman" w:eastAsia="Arial Unicode MS" w:hAnsi="Times New Roman"/>
                <w:color w:val="000000"/>
                <w:sz w:val="20"/>
                <w:szCs w:val="20"/>
                <w:shd w:val="clear" w:color="auto" w:fill="FFFFFF"/>
                <w:lang w:val="en-US"/>
              </w:rPr>
              <w:t>trimiterea</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instalație</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trimitere</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w:t>
            </w:r>
          </w:p>
          <w:p w14:paraId="3B472FAD"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 la pct.2 </w:t>
            </w:r>
            <w:proofErr w:type="spellStart"/>
            <w:proofErr w:type="gramStart"/>
            <w:r w:rsidRPr="00A303C4">
              <w:rPr>
                <w:rFonts w:ascii="Times New Roman" w:eastAsia="Arial Unicode MS" w:hAnsi="Times New Roman"/>
                <w:color w:val="000000"/>
                <w:sz w:val="20"/>
                <w:szCs w:val="20"/>
                <w:shd w:val="clear" w:color="auto" w:fill="FFFFFF"/>
                <w:lang w:val="en-US"/>
              </w:rPr>
              <w:t>lit.e</w:t>
            </w:r>
            <w:proofErr w:type="spellEnd"/>
            <w:proofErr w:type="gram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w:t>
            </w:r>
            <w:proofErr w:type="spellStart"/>
            <w:r w:rsidRPr="00A303C4">
              <w:rPr>
                <w:rFonts w:ascii="Times New Roman" w:eastAsia="Arial Unicode MS" w:hAnsi="Times New Roman"/>
                <w:color w:val="000000"/>
                <w:sz w:val="20"/>
                <w:szCs w:val="20"/>
                <w:shd w:val="clear" w:color="auto" w:fill="FFFFFF"/>
                <w:lang w:val="en-US"/>
              </w:rPr>
              <w:t>i</w:t>
            </w:r>
            <w:proofErr w:type="spellEnd"/>
            <w:r w:rsidRPr="00A303C4">
              <w:rPr>
                <w:rFonts w:ascii="Times New Roman" w:eastAsia="Arial Unicode MS" w:hAnsi="Times New Roman"/>
                <w:color w:val="000000"/>
                <w:sz w:val="20"/>
                <w:szCs w:val="20"/>
                <w:shd w:val="clear" w:color="auto" w:fill="FFFFFF"/>
                <w:lang w:val="en-US"/>
              </w:rPr>
              <w:t xml:space="preserve">), se face </w:t>
            </w:r>
            <w:proofErr w:type="spellStart"/>
            <w:r w:rsidRPr="00A303C4">
              <w:rPr>
                <w:rFonts w:ascii="Times New Roman" w:eastAsia="Arial Unicode MS" w:hAnsi="Times New Roman"/>
                <w:color w:val="000000"/>
                <w:sz w:val="20"/>
                <w:szCs w:val="20"/>
                <w:shd w:val="clear" w:color="auto" w:fill="FFFFFF"/>
                <w:lang w:val="en-US"/>
              </w:rPr>
              <w:t>trimiterea</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activitățile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desfășurate</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instalație</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trimitere</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activitățile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 xml:space="preserve"> care fac </w:t>
            </w:r>
            <w:proofErr w:type="spellStart"/>
            <w:r w:rsidRPr="00A303C4">
              <w:rPr>
                <w:rFonts w:ascii="Times New Roman" w:eastAsia="Arial Unicode MS" w:hAnsi="Times New Roman"/>
                <w:color w:val="000000"/>
                <w:sz w:val="20"/>
                <w:szCs w:val="20"/>
                <w:shd w:val="clear" w:color="auto" w:fill="FFFFFF"/>
                <w:lang w:val="en-US"/>
              </w:rPr>
              <w:t>obiectul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raportului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întreprinse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w:t>
            </w:r>
          </w:p>
          <w:p w14:paraId="34FCC682"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la pct.2 </w:t>
            </w:r>
            <w:proofErr w:type="spellStart"/>
            <w:proofErr w:type="gramStart"/>
            <w:r w:rsidRPr="00A303C4">
              <w:rPr>
                <w:rFonts w:ascii="Times New Roman" w:eastAsia="Arial Unicode MS" w:hAnsi="Times New Roman"/>
                <w:color w:val="000000"/>
                <w:sz w:val="20"/>
                <w:szCs w:val="20"/>
                <w:shd w:val="clear" w:color="auto" w:fill="FFFFFF"/>
                <w:lang w:val="en-US"/>
              </w:rPr>
              <w:t>lit.b</w:t>
            </w:r>
            <w:proofErr w:type="spellEnd"/>
            <w:proofErr w:type="gram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w:t>
            </w:r>
            <w:proofErr w:type="spellStart"/>
            <w:r w:rsidRPr="00A303C4">
              <w:rPr>
                <w:rFonts w:ascii="Times New Roman" w:eastAsia="Arial Unicode MS" w:hAnsi="Times New Roman"/>
                <w:color w:val="000000"/>
                <w:sz w:val="20"/>
                <w:szCs w:val="20"/>
                <w:shd w:val="clear" w:color="auto" w:fill="FFFFFF"/>
                <w:lang w:val="en-US"/>
              </w:rPr>
              <w:t>i</w:t>
            </w:r>
            <w:proofErr w:type="spellEnd"/>
            <w:r w:rsidRPr="00A303C4">
              <w:rPr>
                <w:rFonts w:ascii="Times New Roman" w:eastAsia="Arial Unicode MS" w:hAnsi="Times New Roman"/>
                <w:color w:val="000000"/>
                <w:sz w:val="20"/>
                <w:szCs w:val="20"/>
                <w:shd w:val="clear" w:color="auto" w:fill="FFFFFF"/>
                <w:lang w:val="en-US"/>
              </w:rPr>
              <w:t xml:space="preserve">), se face </w:t>
            </w:r>
            <w:proofErr w:type="spellStart"/>
            <w:r w:rsidRPr="00A303C4">
              <w:rPr>
                <w:rFonts w:ascii="Times New Roman" w:eastAsia="Arial Unicode MS" w:hAnsi="Times New Roman"/>
                <w:color w:val="000000"/>
                <w:sz w:val="20"/>
                <w:szCs w:val="20"/>
                <w:shd w:val="clear" w:color="auto" w:fill="FFFFFF"/>
                <w:lang w:val="en-US"/>
              </w:rPr>
              <w:t>trimiterea</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locul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instalației</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trimitere</w:t>
            </w:r>
            <w:proofErr w:type="spellEnd"/>
            <w:r w:rsidRPr="00A303C4">
              <w:rPr>
                <w:rFonts w:ascii="Times New Roman" w:eastAsia="Arial Unicode MS" w:hAnsi="Times New Roman"/>
                <w:color w:val="000000"/>
                <w:sz w:val="20"/>
                <w:szCs w:val="20"/>
                <w:shd w:val="clear" w:color="auto" w:fill="FFFFFF"/>
                <w:lang w:val="en-US"/>
              </w:rPr>
              <w:t xml:space="preserve"> la locurile </w:t>
            </w:r>
            <w:proofErr w:type="spellStart"/>
            <w:r w:rsidRPr="00A303C4">
              <w:rPr>
                <w:rFonts w:ascii="Times New Roman" w:eastAsia="Arial Unicode MS" w:hAnsi="Times New Roman"/>
                <w:color w:val="000000"/>
                <w:sz w:val="20"/>
                <w:szCs w:val="20"/>
                <w:shd w:val="clear" w:color="auto" w:fill="FFFFFF"/>
                <w:lang w:val="en-US"/>
              </w:rPr>
              <w:t>folosite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pentru</w:t>
            </w:r>
            <w:proofErr w:type="spellEnd"/>
            <w:r w:rsidRPr="00A303C4">
              <w:rPr>
                <w:rFonts w:ascii="Times New Roman" w:eastAsia="Arial Unicode MS" w:hAnsi="Times New Roman"/>
                <w:color w:val="000000"/>
                <w:sz w:val="20"/>
                <w:szCs w:val="20"/>
                <w:shd w:val="clear" w:color="auto" w:fill="FFFFFF"/>
                <w:lang w:val="en-US"/>
              </w:rPr>
              <w:t xml:space="preserve"> a </w:t>
            </w:r>
            <w:proofErr w:type="spellStart"/>
            <w:r w:rsidRPr="00A303C4">
              <w:rPr>
                <w:rFonts w:ascii="Times New Roman" w:eastAsia="Arial Unicode MS" w:hAnsi="Times New Roman"/>
                <w:color w:val="000000"/>
                <w:sz w:val="20"/>
                <w:szCs w:val="20"/>
                <w:shd w:val="clear" w:color="auto" w:fill="FFFFFF"/>
                <w:lang w:val="en-US"/>
              </w:rPr>
              <w:t>întreprinde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activitățile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 xml:space="preserve"> care fac </w:t>
            </w:r>
            <w:proofErr w:type="spellStart"/>
            <w:r w:rsidRPr="00A303C4">
              <w:rPr>
                <w:rFonts w:ascii="Times New Roman" w:eastAsia="Arial Unicode MS" w:hAnsi="Times New Roman"/>
                <w:color w:val="000000"/>
                <w:sz w:val="20"/>
                <w:szCs w:val="20"/>
                <w:shd w:val="clear" w:color="auto" w:fill="FFFFFF"/>
                <w:lang w:val="en-US"/>
              </w:rPr>
              <w:t>obiectul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raportului</w:t>
            </w:r>
            <w:proofErr w:type="spellEnd"/>
            <w:r w:rsidRPr="00A303C4">
              <w:rPr>
                <w:rFonts w:ascii="Times New Roman" w:eastAsia="Arial Unicode MS" w:hAnsi="Times New Roman"/>
                <w:color w:val="000000"/>
                <w:sz w:val="20"/>
                <w:szCs w:val="20"/>
                <w:shd w:val="clear" w:color="auto" w:fill="FFFFFF"/>
                <w:lang w:val="en-US"/>
              </w:rPr>
              <w:t>;</w:t>
            </w:r>
          </w:p>
          <w:p w14:paraId="605827B7"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la pct.2 </w:t>
            </w:r>
            <w:proofErr w:type="spellStart"/>
            <w:r w:rsidRPr="00A303C4">
              <w:rPr>
                <w:rFonts w:ascii="Times New Roman" w:eastAsia="Arial Unicode MS" w:hAnsi="Times New Roman"/>
                <w:color w:val="000000"/>
                <w:sz w:val="20"/>
                <w:szCs w:val="20"/>
                <w:shd w:val="clear" w:color="auto" w:fill="FFFFFF"/>
                <w:lang w:val="en-US"/>
              </w:rPr>
              <w:t>lit.c</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proofErr w:type="gram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w:t>
            </w:r>
            <w:proofErr w:type="spellStart"/>
            <w:proofErr w:type="gramEnd"/>
            <w:r w:rsidRPr="00A303C4">
              <w:rPr>
                <w:rFonts w:ascii="Times New Roman" w:eastAsia="Arial Unicode MS" w:hAnsi="Times New Roman"/>
                <w:color w:val="000000"/>
                <w:sz w:val="20"/>
                <w:szCs w:val="20"/>
                <w:shd w:val="clear" w:color="auto" w:fill="FFFFFF"/>
                <w:lang w:val="en-US"/>
              </w:rPr>
              <w:t>i</w:t>
            </w:r>
            <w:proofErr w:type="spellEnd"/>
            <w:r w:rsidRPr="00A303C4">
              <w:rPr>
                <w:rFonts w:ascii="Times New Roman" w:eastAsia="Arial Unicode MS" w:hAnsi="Times New Roman"/>
                <w:color w:val="000000"/>
                <w:sz w:val="20"/>
                <w:szCs w:val="20"/>
                <w:shd w:val="clear" w:color="auto" w:fill="FFFFFF"/>
                <w:lang w:val="en-US"/>
              </w:rPr>
              <w:t xml:space="preserve">) și </w:t>
            </w:r>
            <w:proofErr w:type="spell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 xml:space="preserve">.(ii), se fac </w:t>
            </w:r>
            <w:proofErr w:type="spellStart"/>
            <w:r w:rsidRPr="00A303C4">
              <w:rPr>
                <w:rFonts w:ascii="Times New Roman" w:eastAsia="Arial Unicode MS" w:hAnsi="Times New Roman"/>
                <w:color w:val="000000"/>
                <w:sz w:val="20"/>
                <w:szCs w:val="20"/>
                <w:shd w:val="clear" w:color="auto" w:fill="FFFFFF"/>
                <w:lang w:val="en-US"/>
              </w:rPr>
              <w:t>trimiteri</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sursele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emisii</w:t>
            </w:r>
            <w:proofErr w:type="spellEnd"/>
            <w:r w:rsidRPr="00A303C4">
              <w:rPr>
                <w:rFonts w:ascii="Times New Roman" w:eastAsia="Arial Unicode MS" w:hAnsi="Times New Roman"/>
                <w:color w:val="000000"/>
                <w:sz w:val="20"/>
                <w:szCs w:val="20"/>
                <w:shd w:val="clear" w:color="auto" w:fill="FFFFFF"/>
                <w:lang w:val="en-US"/>
              </w:rPr>
              <w:t xml:space="preserve"> din </w:t>
            </w:r>
            <w:proofErr w:type="spellStart"/>
            <w:r w:rsidRPr="00A303C4">
              <w:rPr>
                <w:rFonts w:ascii="Times New Roman" w:eastAsia="Arial Unicode MS" w:hAnsi="Times New Roman"/>
                <w:color w:val="000000"/>
                <w:sz w:val="20"/>
                <w:szCs w:val="20"/>
                <w:shd w:val="clear" w:color="auto" w:fill="FFFFFF"/>
                <w:lang w:val="en-US"/>
              </w:rPr>
              <w:t>instalație</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trimiteri</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aeronava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pentru</w:t>
            </w:r>
            <w:proofErr w:type="spellEnd"/>
            <w:r w:rsidRPr="00A303C4">
              <w:rPr>
                <w:rFonts w:ascii="Times New Roman" w:eastAsia="Arial Unicode MS" w:hAnsi="Times New Roman"/>
                <w:color w:val="000000"/>
                <w:sz w:val="20"/>
                <w:szCs w:val="20"/>
                <w:shd w:val="clear" w:color="auto" w:fill="FFFFFF"/>
                <w:lang w:val="en-US"/>
              </w:rPr>
              <w:t xml:space="preserve"> care </w:t>
            </w:r>
            <w:proofErr w:type="spellStart"/>
            <w:r w:rsidRPr="00A303C4">
              <w:rPr>
                <w:rFonts w:ascii="Times New Roman" w:eastAsia="Arial Unicode MS" w:hAnsi="Times New Roman"/>
                <w:color w:val="000000"/>
                <w:sz w:val="20"/>
                <w:szCs w:val="20"/>
                <w:shd w:val="clear" w:color="auto" w:fill="FFFFFF"/>
                <w:lang w:val="en-US"/>
              </w:rPr>
              <w:t>răspunde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precum și</w:t>
            </w:r>
          </w:p>
          <w:p w14:paraId="30F8840E"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la pct.2 </w:t>
            </w:r>
            <w:proofErr w:type="spellStart"/>
            <w:r w:rsidRPr="00A303C4">
              <w:rPr>
                <w:rFonts w:ascii="Times New Roman" w:eastAsia="Arial Unicode MS" w:hAnsi="Times New Roman"/>
                <w:color w:val="000000"/>
                <w:sz w:val="20"/>
                <w:szCs w:val="20"/>
                <w:shd w:val="clear" w:color="auto" w:fill="FFFFFF"/>
                <w:lang w:val="en-US"/>
              </w:rPr>
              <w:t>lit.c</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proofErr w:type="gramStart"/>
            <w:r w:rsidRPr="00A303C4">
              <w:rPr>
                <w:rFonts w:ascii="Times New Roman" w:eastAsia="Arial Unicode MS" w:hAnsi="Times New Roman"/>
                <w:color w:val="000000"/>
                <w:sz w:val="20"/>
                <w:szCs w:val="20"/>
                <w:shd w:val="clear" w:color="auto" w:fill="FFFFFF"/>
                <w:lang w:val="en-US"/>
              </w:rPr>
              <w:t>spb</w:t>
            </w:r>
            <w:proofErr w:type="spellEnd"/>
            <w:r w:rsidRPr="00A303C4">
              <w:rPr>
                <w:rFonts w:ascii="Times New Roman" w:eastAsia="Arial Unicode MS" w:hAnsi="Times New Roman"/>
                <w:color w:val="000000"/>
                <w:sz w:val="20"/>
                <w:szCs w:val="20"/>
                <w:shd w:val="clear" w:color="auto" w:fill="FFFFFF"/>
                <w:lang w:val="en-US"/>
              </w:rPr>
              <w:t>.(</w:t>
            </w:r>
            <w:proofErr w:type="gramEnd"/>
            <w:r w:rsidRPr="00A303C4">
              <w:rPr>
                <w:rFonts w:ascii="Times New Roman" w:eastAsia="Arial Unicode MS" w:hAnsi="Times New Roman"/>
                <w:color w:val="000000"/>
                <w:sz w:val="20"/>
                <w:szCs w:val="20"/>
                <w:shd w:val="clear" w:color="auto" w:fill="FFFFFF"/>
                <w:lang w:val="en-US"/>
              </w:rPr>
              <w:t xml:space="preserve">iii) și </w:t>
            </w:r>
            <w:proofErr w:type="spellStart"/>
            <w:r w:rsidRPr="00A303C4">
              <w:rPr>
                <w:rFonts w:ascii="Times New Roman" w:eastAsia="Arial Unicode MS" w:hAnsi="Times New Roman"/>
                <w:color w:val="000000"/>
                <w:sz w:val="20"/>
                <w:szCs w:val="20"/>
                <w:shd w:val="clear" w:color="auto" w:fill="FFFFFF"/>
                <w:lang w:val="en-US"/>
              </w:rPr>
              <w:t>lit.e</w:t>
            </w:r>
            <w:proofErr w:type="spellEnd"/>
            <w:r w:rsidRPr="00A303C4">
              <w:rPr>
                <w:rFonts w:ascii="Times New Roman" w:eastAsia="Arial Unicode MS" w:hAnsi="Times New Roman"/>
                <w:color w:val="000000"/>
                <w:sz w:val="20"/>
                <w:szCs w:val="20"/>
                <w:shd w:val="clear" w:color="auto" w:fill="FFFFFF"/>
                <w:lang w:val="en-US"/>
              </w:rPr>
              <w:t xml:space="preserve">), se fac </w:t>
            </w:r>
            <w:proofErr w:type="spellStart"/>
            <w:r w:rsidRPr="00A303C4">
              <w:rPr>
                <w:rFonts w:ascii="Times New Roman" w:eastAsia="Arial Unicode MS" w:hAnsi="Times New Roman"/>
                <w:color w:val="000000"/>
                <w:sz w:val="20"/>
                <w:szCs w:val="20"/>
                <w:shd w:val="clear" w:color="auto" w:fill="FFFFFF"/>
                <w:lang w:val="en-US"/>
              </w:rPr>
              <w:t>trimiteri</w:t>
            </w:r>
            <w:proofErr w:type="spellEnd"/>
            <w:r w:rsidRPr="00A303C4">
              <w:rPr>
                <w:rFonts w:ascii="Times New Roman" w:eastAsia="Arial Unicode MS" w:hAnsi="Times New Roman"/>
                <w:color w:val="000000"/>
                <w:sz w:val="20"/>
                <w:szCs w:val="20"/>
                <w:shd w:val="clear" w:color="auto" w:fill="FFFFFF"/>
                <w:lang w:val="en-US"/>
              </w:rPr>
              <w:t xml:space="preserve"> la operator, se </w:t>
            </w:r>
            <w:proofErr w:type="spellStart"/>
            <w:r w:rsidRPr="00A303C4">
              <w:rPr>
                <w:rFonts w:ascii="Times New Roman" w:eastAsia="Arial Unicode MS" w:hAnsi="Times New Roman"/>
                <w:color w:val="000000"/>
                <w:sz w:val="20"/>
                <w:szCs w:val="20"/>
                <w:shd w:val="clear" w:color="auto" w:fill="FFFFFF"/>
                <w:lang w:val="en-US"/>
              </w:rPr>
              <w:t>interpretează</w:t>
            </w:r>
            <w:proofErr w:type="spellEnd"/>
            <w:r w:rsidRPr="00A303C4">
              <w:rPr>
                <w:rFonts w:ascii="Times New Roman" w:eastAsia="Arial Unicode MS" w:hAnsi="Times New Roman"/>
                <w:color w:val="000000"/>
                <w:sz w:val="20"/>
                <w:szCs w:val="20"/>
                <w:shd w:val="clear" w:color="auto" w:fill="FFFFFF"/>
                <w:lang w:val="en-US"/>
              </w:rPr>
              <w:t xml:space="preserve"> ca </w:t>
            </w:r>
            <w:proofErr w:type="spellStart"/>
            <w:r w:rsidRPr="00A303C4">
              <w:rPr>
                <w:rFonts w:ascii="Times New Roman" w:eastAsia="Arial Unicode MS" w:hAnsi="Times New Roman"/>
                <w:color w:val="000000"/>
                <w:sz w:val="20"/>
                <w:szCs w:val="20"/>
                <w:shd w:val="clear" w:color="auto" w:fill="FFFFFF"/>
                <w:lang w:val="en-US"/>
              </w:rPr>
              <w:t>trimiteri</w:t>
            </w:r>
            <w:proofErr w:type="spellEnd"/>
            <w:r w:rsidRPr="00A303C4">
              <w:rPr>
                <w:rFonts w:ascii="Times New Roman" w:eastAsia="Arial Unicode MS" w:hAnsi="Times New Roman"/>
                <w:color w:val="000000"/>
                <w:sz w:val="20"/>
                <w:szCs w:val="20"/>
                <w:shd w:val="clear" w:color="auto" w:fill="FFFFFF"/>
                <w:lang w:val="en-US"/>
              </w:rPr>
              <w:t xml:space="preserve"> la un operator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w:t>
            </w:r>
          </w:p>
          <w:p w14:paraId="48EEC821" w14:textId="77777777" w:rsidR="00A303C4" w:rsidRPr="00A303C4" w:rsidRDefault="00A303C4" w:rsidP="00A303C4">
            <w:pPr>
              <w:numPr>
                <w:ilvl w:val="0"/>
                <w:numId w:val="213"/>
              </w:numPr>
              <w:suppressAutoHyphens w:val="0"/>
              <w:autoSpaceDN/>
              <w:spacing w:after="0" w:line="240" w:lineRule="auto"/>
              <w:ind w:left="284" w:firstLine="0"/>
              <w:jc w:val="both"/>
              <w:textAlignment w:val="auto"/>
              <w:rPr>
                <w:rFonts w:ascii="Times New Roman" w:hAnsi="Times New Roman"/>
                <w:color w:val="000000"/>
                <w:sz w:val="20"/>
                <w:szCs w:val="20"/>
                <w:lang w:val="en-US"/>
              </w:rPr>
            </w:pPr>
            <w:proofErr w:type="spellStart"/>
            <w:r w:rsidRPr="00A303C4">
              <w:rPr>
                <w:rFonts w:ascii="Times New Roman" w:eastAsia="Arial Unicode MS" w:hAnsi="Times New Roman"/>
                <w:color w:val="000000"/>
                <w:sz w:val="20"/>
                <w:szCs w:val="20"/>
                <w:shd w:val="clear" w:color="auto" w:fill="FFFFFF"/>
                <w:lang w:val="en-US"/>
              </w:rPr>
              <w:lastRenderedPageBreak/>
              <w:t>Dispoziții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suplimentare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verificarea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rapoartelor</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emisie</w:t>
            </w:r>
            <w:proofErr w:type="spellEnd"/>
            <w:r w:rsidRPr="00A303C4">
              <w:rPr>
                <w:rFonts w:ascii="Times New Roman" w:eastAsia="Arial Unicode MS" w:hAnsi="Times New Roman"/>
                <w:color w:val="000000"/>
                <w:sz w:val="20"/>
                <w:szCs w:val="20"/>
                <w:shd w:val="clear" w:color="auto" w:fill="FFFFFF"/>
                <w:lang w:val="en-US"/>
              </w:rPr>
              <w:t xml:space="preserve"> din </w:t>
            </w:r>
            <w:proofErr w:type="spellStart"/>
            <w:r w:rsidRPr="00A303C4">
              <w:rPr>
                <w:rFonts w:ascii="Times New Roman" w:eastAsia="Arial Unicode MS" w:hAnsi="Times New Roman"/>
                <w:color w:val="000000"/>
                <w:sz w:val="20"/>
                <w:szCs w:val="20"/>
                <w:shd w:val="clear" w:color="auto" w:fill="FFFFFF"/>
                <w:lang w:val="en-US"/>
              </w:rPr>
              <w:t>sectorul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aviației</w:t>
            </w:r>
            <w:proofErr w:type="spellEnd"/>
          </w:p>
          <w:p w14:paraId="0B8078ED" w14:textId="77777777" w:rsidR="00A303C4" w:rsidRPr="00A303C4" w:rsidRDefault="00A303C4" w:rsidP="00A303C4">
            <w:pPr>
              <w:numPr>
                <w:ilvl w:val="0"/>
                <w:numId w:val="214"/>
              </w:numPr>
              <w:suppressAutoHyphens w:val="0"/>
              <w:autoSpaceDN/>
              <w:spacing w:after="0" w:line="240" w:lineRule="auto"/>
              <w:ind w:left="284" w:firstLine="0"/>
              <w:jc w:val="both"/>
              <w:textAlignment w:val="auto"/>
              <w:rPr>
                <w:rFonts w:ascii="Times New Roman" w:hAnsi="Times New Roman"/>
                <w:color w:val="000000"/>
                <w:sz w:val="20"/>
                <w:szCs w:val="20"/>
                <w:lang w:val="en-US"/>
              </w:rPr>
            </w:pPr>
            <w:proofErr w:type="spellStart"/>
            <w:r w:rsidRPr="00A303C4">
              <w:rPr>
                <w:rFonts w:ascii="Times New Roman" w:eastAsia="Arial Unicode MS" w:hAnsi="Times New Roman"/>
                <w:color w:val="000000"/>
                <w:sz w:val="20"/>
                <w:szCs w:val="20"/>
                <w:shd w:val="clear" w:color="auto" w:fill="FFFFFF"/>
                <w:lang w:val="en-US"/>
              </w:rPr>
              <w:t>Verificatorul</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asigură</w:t>
            </w:r>
            <w:proofErr w:type="spellEnd"/>
            <w:r w:rsidRPr="00A303C4">
              <w:rPr>
                <w:rFonts w:ascii="Times New Roman" w:eastAsia="Arial Unicode MS" w:hAnsi="Times New Roman"/>
                <w:color w:val="000000"/>
                <w:sz w:val="20"/>
                <w:szCs w:val="20"/>
                <w:shd w:val="clear" w:color="auto" w:fill="FFFFFF"/>
                <w:lang w:val="en-US"/>
              </w:rPr>
              <w:t xml:space="preserve"> în special </w:t>
            </w:r>
            <w:proofErr w:type="spellStart"/>
            <w:r w:rsidRPr="00A303C4">
              <w:rPr>
                <w:rFonts w:ascii="Times New Roman" w:eastAsia="Arial Unicode MS" w:hAnsi="Times New Roman"/>
                <w:color w:val="000000"/>
                <w:sz w:val="20"/>
                <w:szCs w:val="20"/>
                <w:shd w:val="clear" w:color="auto" w:fill="FFFFFF"/>
                <w:lang w:val="en-US"/>
              </w:rPr>
              <w:t>că</w:t>
            </w:r>
            <w:proofErr w:type="spellEnd"/>
            <w:r w:rsidRPr="00A303C4">
              <w:rPr>
                <w:rFonts w:ascii="Times New Roman" w:eastAsia="Arial Unicode MS" w:hAnsi="Times New Roman"/>
                <w:color w:val="000000"/>
                <w:sz w:val="20"/>
                <w:szCs w:val="20"/>
                <w:shd w:val="clear" w:color="auto" w:fill="FFFFFF"/>
                <w:lang w:val="en-US"/>
              </w:rPr>
              <w:t>:</w:t>
            </w:r>
          </w:p>
          <w:p w14:paraId="5AABD4E4"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s-a </w:t>
            </w:r>
            <w:proofErr w:type="spellStart"/>
            <w:r w:rsidRPr="00A303C4">
              <w:rPr>
                <w:rFonts w:ascii="Times New Roman" w:eastAsia="Arial Unicode MS" w:hAnsi="Times New Roman"/>
                <w:color w:val="000000"/>
                <w:sz w:val="20"/>
                <w:szCs w:val="20"/>
                <w:shd w:val="clear" w:color="auto" w:fill="FFFFFF"/>
                <w:lang w:val="en-US"/>
              </w:rPr>
              <w:t>ținut</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seama</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toate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zborurile</w:t>
            </w:r>
            <w:proofErr w:type="spellEnd"/>
            <w:r w:rsidRPr="00A303C4">
              <w:rPr>
                <w:rFonts w:ascii="Times New Roman" w:eastAsia="Arial Unicode MS" w:hAnsi="Times New Roman"/>
                <w:color w:val="000000"/>
                <w:sz w:val="20"/>
                <w:szCs w:val="20"/>
                <w:shd w:val="clear" w:color="auto" w:fill="FFFFFF"/>
                <w:lang w:val="en-US"/>
              </w:rPr>
              <w:t xml:space="preserve"> care </w:t>
            </w:r>
            <w:proofErr w:type="spellStart"/>
            <w:r w:rsidRPr="00A303C4">
              <w:rPr>
                <w:rFonts w:ascii="Times New Roman" w:eastAsia="Arial Unicode MS" w:hAnsi="Times New Roman"/>
                <w:color w:val="000000"/>
                <w:sz w:val="20"/>
                <w:szCs w:val="20"/>
                <w:shd w:val="clear" w:color="auto" w:fill="FFFFFF"/>
                <w:lang w:val="en-US"/>
              </w:rPr>
              <w:t>intră</w:t>
            </w:r>
            <w:proofErr w:type="spellEnd"/>
            <w:r w:rsidRPr="00A303C4">
              <w:rPr>
                <w:rFonts w:ascii="Times New Roman" w:eastAsia="Arial Unicode MS" w:hAnsi="Times New Roman"/>
                <w:color w:val="000000"/>
                <w:sz w:val="20"/>
                <w:szCs w:val="20"/>
                <w:shd w:val="clear" w:color="auto" w:fill="FFFFFF"/>
                <w:lang w:val="en-US"/>
              </w:rPr>
              <w:t xml:space="preserve"> sub </w:t>
            </w:r>
            <w:proofErr w:type="spellStart"/>
            <w:r w:rsidRPr="00A303C4">
              <w:rPr>
                <w:rFonts w:ascii="Times New Roman" w:eastAsia="Arial Unicode MS" w:hAnsi="Times New Roman"/>
                <w:color w:val="000000"/>
                <w:sz w:val="20"/>
                <w:szCs w:val="20"/>
                <w:shd w:val="clear" w:color="auto" w:fill="FFFFFF"/>
                <w:lang w:val="en-US"/>
              </w:rPr>
              <w:t>incidența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unei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activități</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 xml:space="preserve"> enumerate în </w:t>
            </w:r>
            <w:proofErr w:type="spellStart"/>
            <w:r w:rsidRPr="00A303C4">
              <w:rPr>
                <w:rFonts w:ascii="Times New Roman" w:eastAsia="Arial Unicode MS" w:hAnsi="Times New Roman"/>
                <w:color w:val="000000"/>
                <w:sz w:val="20"/>
                <w:szCs w:val="20"/>
                <w:shd w:val="clear" w:color="auto" w:fill="FFFFFF"/>
                <w:lang w:val="en-US"/>
              </w:rPr>
              <w:t>Anexa</w:t>
            </w:r>
            <w:proofErr w:type="spellEnd"/>
            <w:r w:rsidRPr="00A303C4">
              <w:rPr>
                <w:rFonts w:ascii="Times New Roman" w:eastAsia="Arial Unicode MS" w:hAnsi="Times New Roman"/>
                <w:color w:val="000000"/>
                <w:sz w:val="20"/>
                <w:szCs w:val="20"/>
                <w:shd w:val="clear" w:color="auto" w:fill="FFFFFF"/>
                <w:lang w:val="en-US"/>
              </w:rPr>
              <w:t xml:space="preserve"> nr.1. În </w:t>
            </w:r>
            <w:proofErr w:type="spellStart"/>
            <w:r w:rsidRPr="00A303C4">
              <w:rPr>
                <w:rFonts w:ascii="Times New Roman" w:eastAsia="Arial Unicode MS" w:hAnsi="Times New Roman"/>
                <w:color w:val="000000"/>
                <w:sz w:val="20"/>
                <w:szCs w:val="20"/>
                <w:shd w:val="clear" w:color="auto" w:fill="FFFFFF"/>
                <w:lang w:val="en-US"/>
              </w:rPr>
              <w:t>cadrul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acestei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responsabilități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verificatorul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dispune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informații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orarul</w:t>
            </w:r>
            <w:proofErr w:type="spellEnd"/>
            <w:r w:rsidRPr="00A303C4">
              <w:rPr>
                <w:rFonts w:ascii="Times New Roman" w:eastAsia="Arial Unicode MS" w:hAnsi="Times New Roman"/>
                <w:color w:val="000000"/>
                <w:sz w:val="20"/>
                <w:szCs w:val="20"/>
                <w:shd w:val="clear" w:color="auto" w:fill="FFFFFF"/>
                <w:lang w:val="en-US"/>
              </w:rPr>
              <w:t xml:space="preserve"> și de </w:t>
            </w:r>
            <w:proofErr w:type="spellStart"/>
            <w:r w:rsidRPr="00A303C4">
              <w:rPr>
                <w:rFonts w:ascii="Times New Roman" w:eastAsia="Arial Unicode MS" w:hAnsi="Times New Roman"/>
                <w:color w:val="000000"/>
                <w:sz w:val="20"/>
                <w:szCs w:val="20"/>
                <w:shd w:val="clear" w:color="auto" w:fill="FFFFFF"/>
                <w:lang w:val="en-US"/>
              </w:rPr>
              <w:t>alte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informații</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trafic</w:t>
            </w:r>
            <w:proofErr w:type="spellEnd"/>
            <w:r w:rsidRPr="00A303C4">
              <w:rPr>
                <w:rFonts w:ascii="Times New Roman" w:eastAsia="Arial Unicode MS" w:hAnsi="Times New Roman"/>
                <w:color w:val="000000"/>
                <w:sz w:val="20"/>
                <w:szCs w:val="20"/>
                <w:shd w:val="clear" w:color="auto" w:fill="FFFFFF"/>
                <w:lang w:val="en-US"/>
              </w:rPr>
              <w:t xml:space="preserve"> ale </w:t>
            </w:r>
            <w:proofErr w:type="spellStart"/>
            <w:r w:rsidRPr="00A303C4">
              <w:rPr>
                <w:rFonts w:ascii="Times New Roman" w:eastAsia="Arial Unicode MS" w:hAnsi="Times New Roman"/>
                <w:color w:val="000000"/>
                <w:sz w:val="20"/>
                <w:szCs w:val="20"/>
                <w:shd w:val="clear" w:color="auto" w:fill="FFFFFF"/>
                <w:lang w:val="en-US"/>
              </w:rPr>
              <w:t>operatorului</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inclusiv</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informațiile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obținute</w:t>
            </w:r>
            <w:proofErr w:type="spellEnd"/>
            <w:r w:rsidRPr="00A303C4">
              <w:rPr>
                <w:rFonts w:ascii="Times New Roman" w:eastAsia="Arial Unicode MS" w:hAnsi="Times New Roman"/>
                <w:color w:val="000000"/>
                <w:sz w:val="20"/>
                <w:szCs w:val="20"/>
                <w:shd w:val="clear" w:color="auto" w:fill="FFFFFF"/>
                <w:lang w:val="en-US"/>
              </w:rPr>
              <w:t xml:space="preserve"> de la </w:t>
            </w:r>
            <w:proofErr w:type="spellStart"/>
            <w:r w:rsidRPr="00A303C4">
              <w:rPr>
                <w:rFonts w:ascii="Times New Roman" w:eastAsia="Arial Unicode MS" w:hAnsi="Times New Roman"/>
                <w:color w:val="000000"/>
                <w:sz w:val="20"/>
                <w:szCs w:val="20"/>
                <w:shd w:val="clear" w:color="auto" w:fill="FFFFFF"/>
                <w:lang w:val="en-US"/>
              </w:rPr>
              <w:t>Eurocontrol</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cererea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respectivului</w:t>
            </w:r>
            <w:proofErr w:type="spellEnd"/>
            <w:r w:rsidRPr="00A303C4">
              <w:rPr>
                <w:rFonts w:ascii="Times New Roman" w:eastAsia="Arial Unicode MS" w:hAnsi="Times New Roman"/>
                <w:color w:val="000000"/>
                <w:sz w:val="20"/>
                <w:szCs w:val="20"/>
                <w:shd w:val="clear" w:color="auto" w:fill="FFFFFF"/>
                <w:lang w:val="en-US"/>
              </w:rPr>
              <w:t xml:space="preserve"> operator;</w:t>
            </w:r>
          </w:p>
          <w:p w14:paraId="0D1322E5" w14:textId="77777777" w:rsidR="00A303C4" w:rsidRPr="00A303C4" w:rsidRDefault="00A303C4" w:rsidP="00A303C4">
            <w:pPr>
              <w:numPr>
                <w:ilvl w:val="0"/>
                <w:numId w:val="202"/>
              </w:numPr>
              <w:suppressAutoHyphens w:val="0"/>
              <w:autoSpaceDN/>
              <w:spacing w:after="0" w:line="240" w:lineRule="auto"/>
              <w:ind w:left="284" w:firstLine="0"/>
              <w:jc w:val="both"/>
              <w:textAlignment w:val="auto"/>
              <w:rPr>
                <w:rFonts w:ascii="Times New Roman" w:hAnsi="Times New Roman"/>
                <w:color w:val="000000"/>
                <w:sz w:val="20"/>
                <w:szCs w:val="20"/>
                <w:lang w:val="en-US"/>
              </w:rPr>
            </w:pPr>
            <w:r w:rsidRPr="00A303C4">
              <w:rPr>
                <w:rFonts w:ascii="Times New Roman" w:eastAsia="Arial Unicode MS" w:hAnsi="Times New Roman"/>
                <w:color w:val="000000"/>
                <w:sz w:val="20"/>
                <w:szCs w:val="20"/>
                <w:shd w:val="clear" w:color="auto" w:fill="FFFFFF"/>
                <w:lang w:val="en-US"/>
              </w:rPr>
              <w:t xml:space="preserve">există o </w:t>
            </w:r>
            <w:proofErr w:type="spellStart"/>
            <w:r w:rsidRPr="00A303C4">
              <w:rPr>
                <w:rFonts w:ascii="Times New Roman" w:eastAsia="Arial Unicode MS" w:hAnsi="Times New Roman"/>
                <w:color w:val="000000"/>
                <w:sz w:val="20"/>
                <w:szCs w:val="20"/>
                <w:shd w:val="clear" w:color="auto" w:fill="FFFFFF"/>
                <w:lang w:val="en-US"/>
              </w:rPr>
              <w:t>coerență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globală</w:t>
            </w:r>
            <w:proofErr w:type="spellEnd"/>
            <w:r w:rsidRPr="00A303C4">
              <w:rPr>
                <w:rFonts w:ascii="Times New Roman" w:eastAsia="Arial Unicode MS" w:hAnsi="Times New Roman"/>
                <w:color w:val="000000"/>
                <w:sz w:val="20"/>
                <w:szCs w:val="20"/>
                <w:shd w:val="clear" w:color="auto" w:fill="FFFFFF"/>
                <w:lang w:val="en-US"/>
              </w:rPr>
              <w:t xml:space="preserve"> a </w:t>
            </w:r>
            <w:proofErr w:type="spellStart"/>
            <w:r w:rsidRPr="00A303C4">
              <w:rPr>
                <w:rFonts w:ascii="Times New Roman" w:eastAsia="Arial Unicode MS" w:hAnsi="Times New Roman"/>
                <w:color w:val="000000"/>
                <w:sz w:val="20"/>
                <w:szCs w:val="20"/>
                <w:shd w:val="clear" w:color="auto" w:fill="FFFFFF"/>
                <w:lang w:val="en-US"/>
              </w:rPr>
              <w:t>datelor</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consumul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cumulat</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combustibil</w:t>
            </w:r>
            <w:proofErr w:type="spellEnd"/>
            <w:r w:rsidRPr="00A303C4">
              <w:rPr>
                <w:rFonts w:ascii="Times New Roman" w:eastAsia="Arial Unicode MS" w:hAnsi="Times New Roman"/>
                <w:color w:val="000000"/>
                <w:sz w:val="20"/>
                <w:szCs w:val="20"/>
                <w:shd w:val="clear" w:color="auto" w:fill="FFFFFF"/>
                <w:lang w:val="en-US"/>
              </w:rPr>
              <w:t xml:space="preserve"> și a </w:t>
            </w:r>
            <w:proofErr w:type="spellStart"/>
            <w:r w:rsidRPr="00A303C4">
              <w:rPr>
                <w:rFonts w:ascii="Times New Roman" w:eastAsia="Arial Unicode MS" w:hAnsi="Times New Roman"/>
                <w:color w:val="000000"/>
                <w:sz w:val="20"/>
                <w:szCs w:val="20"/>
                <w:shd w:val="clear" w:color="auto" w:fill="FFFFFF"/>
                <w:lang w:val="en-US"/>
              </w:rPr>
              <w:t>datelor</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combustibilul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achiziționat</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sau</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furnizat</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prin</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altă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metodă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aeronavei</w:t>
            </w:r>
            <w:proofErr w:type="spellEnd"/>
            <w:r w:rsidRPr="00A303C4">
              <w:rPr>
                <w:rFonts w:ascii="Times New Roman" w:eastAsia="Arial Unicode MS" w:hAnsi="Times New Roman"/>
                <w:color w:val="000000"/>
                <w:sz w:val="20"/>
                <w:szCs w:val="20"/>
                <w:shd w:val="clear" w:color="auto" w:fill="FFFFFF"/>
                <w:lang w:val="en-US"/>
              </w:rPr>
              <w:t xml:space="preserve"> care efectuează </w:t>
            </w:r>
            <w:proofErr w:type="spellStart"/>
            <w:r w:rsidRPr="00A303C4">
              <w:rPr>
                <w:rFonts w:ascii="Times New Roman" w:eastAsia="Arial Unicode MS" w:hAnsi="Times New Roman"/>
                <w:color w:val="000000"/>
                <w:sz w:val="20"/>
                <w:szCs w:val="20"/>
                <w:shd w:val="clear" w:color="auto" w:fill="FFFFFF"/>
                <w:lang w:val="en-US"/>
              </w:rPr>
              <w:t>activitatea</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w:t>
            </w:r>
          </w:p>
          <w:p w14:paraId="322E6C88" w14:textId="77777777" w:rsidR="00A303C4" w:rsidRPr="00A303C4" w:rsidRDefault="00A303C4" w:rsidP="00A303C4">
            <w:pPr>
              <w:numPr>
                <w:ilvl w:val="0"/>
                <w:numId w:val="213"/>
              </w:numPr>
              <w:suppressAutoHyphens w:val="0"/>
              <w:autoSpaceDN/>
              <w:spacing w:after="0" w:line="240" w:lineRule="auto"/>
              <w:ind w:left="284" w:firstLine="0"/>
              <w:jc w:val="both"/>
              <w:textAlignment w:val="auto"/>
              <w:rPr>
                <w:rFonts w:ascii="Times New Roman" w:hAnsi="Times New Roman"/>
                <w:color w:val="000000"/>
                <w:sz w:val="20"/>
                <w:szCs w:val="20"/>
                <w:lang w:val="en-US"/>
              </w:rPr>
            </w:pPr>
            <w:proofErr w:type="spellStart"/>
            <w:r w:rsidRPr="00A303C4">
              <w:rPr>
                <w:rFonts w:ascii="Times New Roman" w:eastAsia="Arial Unicode MS" w:hAnsi="Times New Roman"/>
                <w:color w:val="000000"/>
                <w:sz w:val="20"/>
                <w:szCs w:val="20"/>
                <w:shd w:val="clear" w:color="auto" w:fill="FFFFFF"/>
                <w:lang w:val="en-US"/>
              </w:rPr>
              <w:t>Dispoziții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suplimentare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verificarea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datelor</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tonă-kilometru</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prezentate</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sensul</w:t>
            </w:r>
            <w:proofErr w:type="spellEnd"/>
            <w:r w:rsidRPr="00A303C4">
              <w:rPr>
                <w:rFonts w:ascii="Times New Roman" w:eastAsia="Arial Unicode MS" w:hAnsi="Times New Roman"/>
                <w:color w:val="000000"/>
                <w:sz w:val="20"/>
                <w:szCs w:val="20"/>
                <w:shd w:val="clear" w:color="auto" w:fill="FFFFFF"/>
                <w:lang w:val="en-US"/>
              </w:rPr>
              <w:t xml:space="preserve"> art. 53 </w:t>
            </w:r>
            <w:proofErr w:type="spellStart"/>
            <w:proofErr w:type="gramStart"/>
            <w:r w:rsidRPr="00A303C4">
              <w:rPr>
                <w:rFonts w:ascii="Times New Roman" w:eastAsia="Arial Unicode MS" w:hAnsi="Times New Roman"/>
                <w:color w:val="000000"/>
                <w:sz w:val="20"/>
                <w:szCs w:val="20"/>
                <w:shd w:val="clear" w:color="auto" w:fill="FFFFFF"/>
                <w:lang w:val="en-US"/>
              </w:rPr>
              <w:t>alin</w:t>
            </w:r>
            <w:proofErr w:type="spellEnd"/>
            <w:r w:rsidRPr="00A303C4">
              <w:rPr>
                <w:rFonts w:ascii="Times New Roman" w:eastAsia="Arial Unicode MS" w:hAnsi="Times New Roman"/>
                <w:color w:val="000000"/>
                <w:sz w:val="20"/>
                <w:szCs w:val="20"/>
                <w:shd w:val="clear" w:color="auto" w:fill="FFFFFF"/>
                <w:lang w:val="en-US"/>
              </w:rPr>
              <w:t>.(</w:t>
            </w:r>
            <w:proofErr w:type="gramEnd"/>
            <w:r w:rsidRPr="00A303C4">
              <w:rPr>
                <w:rFonts w:ascii="Times New Roman" w:eastAsia="Arial Unicode MS" w:hAnsi="Times New Roman"/>
                <w:color w:val="000000"/>
                <w:sz w:val="20"/>
                <w:szCs w:val="20"/>
                <w:shd w:val="clear" w:color="auto" w:fill="FFFFFF"/>
                <w:lang w:val="en-US"/>
              </w:rPr>
              <w:t>6)</w:t>
            </w:r>
          </w:p>
          <w:p w14:paraId="3A065FDE" w14:textId="77777777" w:rsidR="00A303C4" w:rsidRPr="00A303C4" w:rsidRDefault="00A303C4" w:rsidP="00A303C4">
            <w:pPr>
              <w:pStyle w:val="norm"/>
              <w:numPr>
                <w:ilvl w:val="0"/>
                <w:numId w:val="215"/>
              </w:numPr>
              <w:shd w:val="clear" w:color="auto" w:fill="FFFFFF"/>
              <w:spacing w:before="0" w:beforeAutospacing="0" w:after="0" w:afterAutospacing="0"/>
              <w:ind w:left="284" w:firstLine="0"/>
              <w:jc w:val="both"/>
              <w:rPr>
                <w:rFonts w:eastAsia="Arial Unicode MS"/>
                <w:color w:val="000000"/>
                <w:sz w:val="20"/>
                <w:szCs w:val="20"/>
                <w:lang w:val="en-US"/>
              </w:rPr>
            </w:pPr>
            <w:proofErr w:type="spellStart"/>
            <w:r w:rsidRPr="00A303C4">
              <w:rPr>
                <w:rFonts w:eastAsia="Arial Unicode MS"/>
                <w:color w:val="000000"/>
                <w:sz w:val="20"/>
                <w:szCs w:val="20"/>
                <w:lang w:val="en-US"/>
              </w:rPr>
              <w:t>Principiile</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generale</w:t>
            </w:r>
            <w:proofErr w:type="spellEnd"/>
            <w:r w:rsidRPr="00A303C4">
              <w:rPr>
                <w:rFonts w:eastAsia="Arial Unicode MS"/>
                <w:color w:val="000000"/>
                <w:sz w:val="20"/>
                <w:szCs w:val="20"/>
                <w:lang w:val="en-US"/>
              </w:rPr>
              <w:t xml:space="preserve"> și </w:t>
            </w:r>
            <w:proofErr w:type="spellStart"/>
            <w:r w:rsidRPr="00A303C4">
              <w:rPr>
                <w:rFonts w:eastAsia="Arial Unicode MS"/>
                <w:color w:val="000000"/>
                <w:sz w:val="20"/>
                <w:szCs w:val="20"/>
                <w:lang w:val="en-US"/>
              </w:rPr>
              <w:t>metodologia</w:t>
            </w:r>
            <w:proofErr w:type="spellEnd"/>
            <w:r w:rsidRPr="00A303C4">
              <w:rPr>
                <w:rFonts w:eastAsia="Arial Unicode MS"/>
                <w:color w:val="000000"/>
                <w:sz w:val="20"/>
                <w:szCs w:val="20"/>
                <w:lang w:val="en-US"/>
              </w:rPr>
              <w:t xml:space="preserve"> de </w:t>
            </w:r>
            <w:proofErr w:type="spellStart"/>
            <w:r w:rsidRPr="00A303C4">
              <w:rPr>
                <w:rFonts w:eastAsia="Arial Unicode MS"/>
                <w:color w:val="000000"/>
                <w:sz w:val="20"/>
                <w:szCs w:val="20"/>
                <w:lang w:val="en-US"/>
              </w:rPr>
              <w:t>verificare</w:t>
            </w:r>
            <w:proofErr w:type="spellEnd"/>
            <w:r w:rsidRPr="00A303C4">
              <w:rPr>
                <w:rFonts w:eastAsia="Arial Unicode MS"/>
                <w:color w:val="000000"/>
                <w:sz w:val="20"/>
                <w:szCs w:val="20"/>
                <w:lang w:val="en-US"/>
              </w:rPr>
              <w:t xml:space="preserve"> a </w:t>
            </w:r>
            <w:proofErr w:type="spellStart"/>
            <w:r w:rsidRPr="00A303C4">
              <w:rPr>
                <w:rFonts w:eastAsia="Arial Unicode MS"/>
                <w:color w:val="000000"/>
                <w:sz w:val="20"/>
                <w:szCs w:val="20"/>
                <w:lang w:val="en-US"/>
              </w:rPr>
              <w:t>rapoartelor</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privind</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emisiile</w:t>
            </w:r>
            <w:proofErr w:type="spellEnd"/>
            <w:r w:rsidRPr="00A303C4">
              <w:rPr>
                <w:rFonts w:eastAsia="Arial Unicode MS"/>
                <w:color w:val="000000"/>
                <w:sz w:val="20"/>
                <w:szCs w:val="20"/>
                <w:lang w:val="en-US"/>
              </w:rPr>
              <w:t xml:space="preserve"> în </w:t>
            </w:r>
            <w:proofErr w:type="spellStart"/>
            <w:r w:rsidRPr="00A303C4">
              <w:rPr>
                <w:rFonts w:eastAsia="Arial Unicode MS"/>
                <w:color w:val="000000"/>
                <w:sz w:val="20"/>
                <w:szCs w:val="20"/>
                <w:lang w:val="en-US"/>
              </w:rPr>
              <w:t>temeiul</w:t>
            </w:r>
            <w:proofErr w:type="spellEnd"/>
            <w:r w:rsidRPr="00A303C4">
              <w:rPr>
                <w:rFonts w:eastAsia="Arial Unicode MS"/>
                <w:color w:val="000000"/>
                <w:sz w:val="20"/>
                <w:szCs w:val="20"/>
                <w:lang w:val="en-US"/>
              </w:rPr>
              <w:t xml:space="preserve"> art.  </w:t>
            </w:r>
            <w:proofErr w:type="spellStart"/>
            <w:r w:rsidRPr="00A303C4">
              <w:rPr>
                <w:rFonts w:eastAsia="Arial Unicode MS"/>
                <w:color w:val="000000"/>
                <w:sz w:val="20"/>
                <w:szCs w:val="20"/>
                <w:lang w:val="en-US"/>
              </w:rPr>
              <w:t>alineatul</w:t>
            </w:r>
            <w:proofErr w:type="spellEnd"/>
            <w:r w:rsidRPr="00A303C4">
              <w:rPr>
                <w:rFonts w:eastAsia="Arial Unicode MS"/>
                <w:color w:val="000000"/>
                <w:sz w:val="20"/>
                <w:szCs w:val="20"/>
                <w:lang w:val="en-US"/>
              </w:rPr>
              <w:t xml:space="preserve"> (3) </w:t>
            </w:r>
            <w:proofErr w:type="spellStart"/>
            <w:r w:rsidRPr="00A303C4">
              <w:rPr>
                <w:rFonts w:eastAsia="Arial Unicode MS"/>
                <w:color w:val="000000"/>
                <w:sz w:val="20"/>
                <w:szCs w:val="20"/>
                <w:lang w:val="en-US"/>
              </w:rPr>
              <w:t>menționate</w:t>
            </w:r>
            <w:proofErr w:type="spellEnd"/>
            <w:r w:rsidRPr="00A303C4">
              <w:rPr>
                <w:rFonts w:eastAsia="Arial Unicode MS"/>
                <w:color w:val="000000"/>
                <w:sz w:val="20"/>
                <w:szCs w:val="20"/>
                <w:lang w:val="en-US"/>
              </w:rPr>
              <w:t xml:space="preserve"> în prezenta </w:t>
            </w:r>
            <w:proofErr w:type="spellStart"/>
            <w:r w:rsidRPr="00A303C4">
              <w:rPr>
                <w:rFonts w:eastAsia="Arial Unicode MS"/>
                <w:color w:val="000000"/>
                <w:sz w:val="20"/>
                <w:szCs w:val="20"/>
                <w:lang w:val="en-US"/>
              </w:rPr>
              <w:t>anexă</w:t>
            </w:r>
            <w:proofErr w:type="spellEnd"/>
            <w:r w:rsidRPr="00A303C4">
              <w:rPr>
                <w:rFonts w:eastAsia="Arial Unicode MS"/>
                <w:color w:val="000000"/>
                <w:sz w:val="20"/>
                <w:szCs w:val="20"/>
                <w:lang w:val="en-US"/>
              </w:rPr>
              <w:t xml:space="preserve"> se </w:t>
            </w:r>
            <w:proofErr w:type="spellStart"/>
            <w:r w:rsidRPr="00A303C4">
              <w:rPr>
                <w:rFonts w:eastAsia="Arial Unicode MS"/>
                <w:color w:val="000000"/>
                <w:sz w:val="20"/>
                <w:szCs w:val="20"/>
                <w:lang w:val="en-US"/>
              </w:rPr>
              <w:t>aplică</w:t>
            </w:r>
            <w:proofErr w:type="spellEnd"/>
            <w:r w:rsidRPr="00A303C4">
              <w:rPr>
                <w:rFonts w:eastAsia="Arial Unicode MS"/>
                <w:color w:val="000000"/>
                <w:sz w:val="20"/>
                <w:szCs w:val="20"/>
                <w:lang w:val="en-US"/>
              </w:rPr>
              <w:t xml:space="preserve">, de </w:t>
            </w:r>
            <w:proofErr w:type="spellStart"/>
            <w:r w:rsidRPr="00A303C4">
              <w:rPr>
                <w:rFonts w:eastAsia="Arial Unicode MS"/>
                <w:color w:val="000000"/>
                <w:sz w:val="20"/>
                <w:szCs w:val="20"/>
                <w:lang w:val="en-US"/>
              </w:rPr>
              <w:t>asemenea</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după</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caz</w:t>
            </w:r>
            <w:proofErr w:type="spellEnd"/>
            <w:r w:rsidRPr="00A303C4">
              <w:rPr>
                <w:rFonts w:eastAsia="Arial Unicode MS"/>
                <w:color w:val="000000"/>
                <w:sz w:val="20"/>
                <w:szCs w:val="20"/>
                <w:lang w:val="en-US"/>
              </w:rPr>
              <w:t xml:space="preserve">, la </w:t>
            </w:r>
            <w:proofErr w:type="spellStart"/>
            <w:r w:rsidRPr="00A303C4">
              <w:rPr>
                <w:rFonts w:eastAsia="Arial Unicode MS"/>
                <w:color w:val="000000"/>
                <w:sz w:val="20"/>
                <w:szCs w:val="20"/>
                <w:lang w:val="en-US"/>
              </w:rPr>
              <w:t>verificarea</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datelor</w:t>
            </w:r>
            <w:proofErr w:type="spellEnd"/>
            <w:r w:rsidRPr="00A303C4">
              <w:rPr>
                <w:rFonts w:eastAsia="Arial Unicode MS"/>
                <w:color w:val="000000"/>
                <w:sz w:val="20"/>
                <w:szCs w:val="20"/>
                <w:lang w:val="en-US"/>
              </w:rPr>
              <w:t xml:space="preserve"> </w:t>
            </w:r>
            <w:proofErr w:type="spellStart"/>
            <w:r w:rsidRPr="00A303C4">
              <w:rPr>
                <w:rFonts w:eastAsia="Arial Unicode MS"/>
                <w:color w:val="000000"/>
                <w:sz w:val="20"/>
                <w:szCs w:val="20"/>
                <w:lang w:val="en-US"/>
              </w:rPr>
              <w:t>tonă-kilometru</w:t>
            </w:r>
            <w:proofErr w:type="spellEnd"/>
            <w:r w:rsidRPr="00A303C4">
              <w:rPr>
                <w:rFonts w:eastAsia="Arial Unicode MS"/>
                <w:color w:val="000000"/>
                <w:sz w:val="20"/>
                <w:szCs w:val="20"/>
                <w:lang w:val="en-US"/>
              </w:rPr>
              <w:t xml:space="preserve"> din </w:t>
            </w:r>
            <w:proofErr w:type="spellStart"/>
            <w:r w:rsidRPr="00A303C4">
              <w:rPr>
                <w:rFonts w:eastAsia="Arial Unicode MS"/>
                <w:color w:val="000000"/>
                <w:sz w:val="20"/>
                <w:szCs w:val="20"/>
                <w:lang w:val="en-US"/>
              </w:rPr>
              <w:t>aviație</w:t>
            </w:r>
            <w:proofErr w:type="spellEnd"/>
            <w:r w:rsidRPr="00A303C4">
              <w:rPr>
                <w:rFonts w:eastAsia="Arial Unicode MS"/>
                <w:color w:val="000000"/>
                <w:sz w:val="20"/>
                <w:szCs w:val="20"/>
                <w:lang w:val="en-US"/>
              </w:rPr>
              <w:t>.</w:t>
            </w:r>
          </w:p>
          <w:p w14:paraId="2198A5E9" w14:textId="77777777" w:rsidR="00A303C4" w:rsidRPr="00A303C4" w:rsidRDefault="00A303C4" w:rsidP="00A303C4">
            <w:pPr>
              <w:numPr>
                <w:ilvl w:val="0"/>
                <w:numId w:val="215"/>
              </w:numPr>
              <w:shd w:val="clear" w:color="auto" w:fill="FFFFFF"/>
              <w:suppressAutoHyphens w:val="0"/>
              <w:autoSpaceDN/>
              <w:spacing w:after="0" w:line="240" w:lineRule="auto"/>
              <w:ind w:left="284" w:firstLine="0"/>
              <w:jc w:val="both"/>
              <w:textAlignment w:val="auto"/>
              <w:rPr>
                <w:rFonts w:ascii="Times New Roman" w:eastAsia="Arial Unicode MS" w:hAnsi="Times New Roman"/>
                <w:color w:val="000000"/>
                <w:sz w:val="20"/>
                <w:szCs w:val="20"/>
                <w:lang w:val="en-US"/>
              </w:rPr>
            </w:pPr>
            <w:proofErr w:type="spellStart"/>
            <w:r w:rsidRPr="00A303C4">
              <w:rPr>
                <w:rFonts w:ascii="Times New Roman" w:eastAsia="Arial Unicode MS" w:hAnsi="Times New Roman"/>
                <w:color w:val="000000"/>
                <w:sz w:val="20"/>
                <w:szCs w:val="20"/>
                <w:shd w:val="clear" w:color="auto" w:fill="FFFFFF"/>
                <w:lang w:val="en-US"/>
              </w:rPr>
              <w:t>Verificatorul</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asigură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că</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cererea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operatorului</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cauză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depusă</w:t>
            </w:r>
            <w:proofErr w:type="spellEnd"/>
            <w:r w:rsidRPr="00A303C4">
              <w:rPr>
                <w:rFonts w:ascii="Times New Roman" w:eastAsia="Arial Unicode MS" w:hAnsi="Times New Roman"/>
                <w:color w:val="000000"/>
                <w:sz w:val="20"/>
                <w:szCs w:val="20"/>
                <w:shd w:val="clear" w:color="auto" w:fill="FFFFFF"/>
                <w:lang w:val="en-US"/>
              </w:rPr>
              <w:t xml:space="preserve"> în conformitate cu </w:t>
            </w:r>
            <w:proofErr w:type="spellStart"/>
            <w:r w:rsidRPr="00A303C4">
              <w:rPr>
                <w:rFonts w:ascii="Times New Roman" w:eastAsia="Arial Unicode MS" w:hAnsi="Times New Roman"/>
                <w:color w:val="000000"/>
                <w:sz w:val="20"/>
                <w:szCs w:val="20"/>
                <w:shd w:val="clear" w:color="auto" w:fill="FFFFFF"/>
                <w:lang w:val="en-US"/>
              </w:rPr>
              <w:t>Regulamentul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prevăzut</w:t>
            </w:r>
            <w:proofErr w:type="spellEnd"/>
            <w:r w:rsidRPr="00A303C4">
              <w:rPr>
                <w:rFonts w:ascii="Times New Roman" w:eastAsia="Arial Unicode MS" w:hAnsi="Times New Roman"/>
                <w:color w:val="000000"/>
                <w:sz w:val="20"/>
                <w:szCs w:val="20"/>
                <w:shd w:val="clear" w:color="auto" w:fill="FFFFFF"/>
                <w:lang w:val="en-US"/>
              </w:rPr>
              <w:t xml:space="preserve"> în art.53 </w:t>
            </w:r>
            <w:proofErr w:type="spellStart"/>
            <w:proofErr w:type="gramStart"/>
            <w:r w:rsidRPr="00A303C4">
              <w:rPr>
                <w:rFonts w:ascii="Times New Roman" w:eastAsia="Arial Unicode MS" w:hAnsi="Times New Roman"/>
                <w:color w:val="000000"/>
                <w:sz w:val="20"/>
                <w:szCs w:val="20"/>
                <w:shd w:val="clear" w:color="auto" w:fill="FFFFFF"/>
                <w:lang w:val="en-US"/>
              </w:rPr>
              <w:t>alin</w:t>
            </w:r>
            <w:proofErr w:type="spellEnd"/>
            <w:r w:rsidRPr="00A303C4">
              <w:rPr>
                <w:rFonts w:ascii="Times New Roman" w:eastAsia="Arial Unicode MS" w:hAnsi="Times New Roman"/>
                <w:color w:val="000000"/>
                <w:sz w:val="20"/>
                <w:szCs w:val="20"/>
                <w:shd w:val="clear" w:color="auto" w:fill="FFFFFF"/>
                <w:lang w:val="en-US"/>
              </w:rPr>
              <w:t>.(</w:t>
            </w:r>
            <w:proofErr w:type="gramEnd"/>
            <w:r w:rsidRPr="00A303C4">
              <w:rPr>
                <w:rFonts w:ascii="Times New Roman" w:eastAsia="Arial Unicode MS" w:hAnsi="Times New Roman"/>
                <w:color w:val="000000"/>
                <w:sz w:val="20"/>
                <w:szCs w:val="20"/>
                <w:shd w:val="clear" w:color="auto" w:fill="FFFFFF"/>
                <w:lang w:val="en-US"/>
              </w:rPr>
              <w:t xml:space="preserve">6), au </w:t>
            </w:r>
            <w:proofErr w:type="spellStart"/>
            <w:r w:rsidRPr="00A303C4">
              <w:rPr>
                <w:rFonts w:ascii="Times New Roman" w:eastAsia="Arial Unicode MS" w:hAnsi="Times New Roman"/>
                <w:color w:val="000000"/>
                <w:sz w:val="20"/>
                <w:szCs w:val="20"/>
                <w:shd w:val="clear" w:color="auto" w:fill="FFFFFF"/>
                <w:lang w:val="en-US"/>
              </w:rPr>
              <w:t>fost</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luate</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considerare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numai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zborurile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efectiv</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efectuate</w:t>
            </w:r>
            <w:proofErr w:type="spellEnd"/>
            <w:r w:rsidRPr="00A303C4">
              <w:rPr>
                <w:rFonts w:ascii="Times New Roman" w:eastAsia="Arial Unicode MS" w:hAnsi="Times New Roman"/>
                <w:color w:val="000000"/>
                <w:sz w:val="20"/>
                <w:szCs w:val="20"/>
                <w:shd w:val="clear" w:color="auto" w:fill="FFFFFF"/>
                <w:lang w:val="en-US"/>
              </w:rPr>
              <w:t xml:space="preserve"> și care se </w:t>
            </w:r>
            <w:proofErr w:type="spellStart"/>
            <w:r w:rsidRPr="00A303C4">
              <w:rPr>
                <w:rFonts w:ascii="Times New Roman" w:eastAsia="Arial Unicode MS" w:hAnsi="Times New Roman"/>
                <w:color w:val="000000"/>
                <w:sz w:val="20"/>
                <w:szCs w:val="20"/>
                <w:shd w:val="clear" w:color="auto" w:fill="FFFFFF"/>
                <w:lang w:val="en-US"/>
              </w:rPr>
              <w:t>încadrează</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categoria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activităților</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aviație</w:t>
            </w:r>
            <w:proofErr w:type="spellEnd"/>
            <w:r w:rsidRPr="00A303C4">
              <w:rPr>
                <w:rFonts w:ascii="Times New Roman" w:eastAsia="Arial Unicode MS" w:hAnsi="Times New Roman"/>
                <w:color w:val="000000"/>
                <w:sz w:val="20"/>
                <w:szCs w:val="20"/>
                <w:shd w:val="clear" w:color="auto" w:fill="FFFFFF"/>
                <w:lang w:val="en-US"/>
              </w:rPr>
              <w:t xml:space="preserve"> enumerate în </w:t>
            </w:r>
            <w:proofErr w:type="spellStart"/>
            <w:r w:rsidRPr="00A303C4">
              <w:rPr>
                <w:rFonts w:ascii="Times New Roman" w:eastAsia="Arial Unicode MS" w:hAnsi="Times New Roman"/>
                <w:color w:val="000000"/>
                <w:sz w:val="20"/>
                <w:szCs w:val="20"/>
                <w:shd w:val="clear" w:color="auto" w:fill="FFFFFF"/>
                <w:lang w:val="en-US"/>
              </w:rPr>
              <w:t>Anexa</w:t>
            </w:r>
            <w:proofErr w:type="spellEnd"/>
            <w:r w:rsidRPr="00A303C4">
              <w:rPr>
                <w:rFonts w:ascii="Times New Roman" w:eastAsia="Arial Unicode MS" w:hAnsi="Times New Roman"/>
                <w:color w:val="000000"/>
                <w:sz w:val="20"/>
                <w:szCs w:val="20"/>
                <w:shd w:val="clear" w:color="auto" w:fill="FFFFFF"/>
                <w:lang w:val="en-US"/>
              </w:rPr>
              <w:t xml:space="preserve"> nr.1 de care </w:t>
            </w:r>
            <w:proofErr w:type="spellStart"/>
            <w:r w:rsidRPr="00A303C4">
              <w:rPr>
                <w:rFonts w:ascii="Times New Roman" w:eastAsia="Arial Unicode MS" w:hAnsi="Times New Roman"/>
                <w:color w:val="000000"/>
                <w:sz w:val="20"/>
                <w:szCs w:val="20"/>
                <w:shd w:val="clear" w:color="auto" w:fill="FFFFFF"/>
                <w:lang w:val="en-US"/>
              </w:rPr>
              <w:t>este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responsabil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cadrul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acestei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responsabilități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verificatorul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dispune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informații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traficul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operatorului</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inclusiv</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informațiile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obținute</w:t>
            </w:r>
            <w:proofErr w:type="spellEnd"/>
            <w:r w:rsidRPr="00A303C4">
              <w:rPr>
                <w:rFonts w:ascii="Times New Roman" w:eastAsia="Arial Unicode MS" w:hAnsi="Times New Roman"/>
                <w:color w:val="000000"/>
                <w:sz w:val="20"/>
                <w:szCs w:val="20"/>
                <w:shd w:val="clear" w:color="auto" w:fill="FFFFFF"/>
                <w:lang w:val="en-US"/>
              </w:rPr>
              <w:t xml:space="preserve"> de la </w:t>
            </w:r>
            <w:proofErr w:type="spellStart"/>
            <w:r w:rsidRPr="00A303C4">
              <w:rPr>
                <w:rFonts w:ascii="Times New Roman" w:eastAsia="Arial Unicode MS" w:hAnsi="Times New Roman"/>
                <w:color w:val="000000"/>
                <w:sz w:val="20"/>
                <w:szCs w:val="20"/>
                <w:shd w:val="clear" w:color="auto" w:fill="FFFFFF"/>
                <w:lang w:val="en-US"/>
              </w:rPr>
              <w:t>Eurocontrol</w:t>
            </w:r>
            <w:proofErr w:type="spellEnd"/>
            <w:r w:rsidRPr="00A303C4">
              <w:rPr>
                <w:rFonts w:ascii="Times New Roman" w:eastAsia="Arial Unicode MS" w:hAnsi="Times New Roman"/>
                <w:color w:val="000000"/>
                <w:sz w:val="20"/>
                <w:szCs w:val="20"/>
                <w:shd w:val="clear" w:color="auto" w:fill="FFFFFF"/>
                <w:lang w:val="en-US"/>
              </w:rPr>
              <w:t xml:space="preserve"> la </w:t>
            </w:r>
            <w:proofErr w:type="spellStart"/>
            <w:r w:rsidRPr="00A303C4">
              <w:rPr>
                <w:rFonts w:ascii="Times New Roman" w:eastAsia="Arial Unicode MS" w:hAnsi="Times New Roman"/>
                <w:color w:val="000000"/>
                <w:sz w:val="20"/>
                <w:szCs w:val="20"/>
                <w:shd w:val="clear" w:color="auto" w:fill="FFFFFF"/>
                <w:lang w:val="en-US"/>
              </w:rPr>
              <w:t>cererea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respectivului</w:t>
            </w:r>
            <w:proofErr w:type="spellEnd"/>
            <w:r w:rsidRPr="00A303C4">
              <w:rPr>
                <w:rFonts w:ascii="Times New Roman" w:eastAsia="Arial Unicode MS" w:hAnsi="Times New Roman"/>
                <w:color w:val="000000"/>
                <w:sz w:val="20"/>
                <w:szCs w:val="20"/>
                <w:shd w:val="clear" w:color="auto" w:fill="FFFFFF"/>
                <w:lang w:val="en-US"/>
              </w:rPr>
              <w:t xml:space="preserve"> operator. De </w:t>
            </w:r>
            <w:proofErr w:type="spellStart"/>
            <w:r w:rsidRPr="00A303C4">
              <w:rPr>
                <w:rFonts w:ascii="Times New Roman" w:eastAsia="Arial Unicode MS" w:hAnsi="Times New Roman"/>
                <w:color w:val="000000"/>
                <w:sz w:val="20"/>
                <w:szCs w:val="20"/>
                <w:shd w:val="clear" w:color="auto" w:fill="FFFFFF"/>
                <w:lang w:val="en-US"/>
              </w:rPr>
              <w:t>asemenea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verificatorul</w:t>
            </w:r>
            <w:proofErr w:type="spellEnd"/>
            <w:r w:rsidRPr="00A303C4">
              <w:rPr>
                <w:rFonts w:ascii="Times New Roman" w:eastAsia="Arial Unicode MS" w:hAnsi="Times New Roman"/>
                <w:color w:val="000000"/>
                <w:sz w:val="20"/>
                <w:szCs w:val="20"/>
                <w:shd w:val="clear" w:color="auto" w:fill="FFFFFF"/>
                <w:lang w:val="en-US"/>
              </w:rPr>
              <w:t xml:space="preserve"> se </w:t>
            </w:r>
            <w:proofErr w:type="spellStart"/>
            <w:r w:rsidRPr="00A303C4">
              <w:rPr>
                <w:rFonts w:ascii="Times New Roman" w:eastAsia="Arial Unicode MS" w:hAnsi="Times New Roman"/>
                <w:color w:val="000000"/>
                <w:sz w:val="20"/>
                <w:szCs w:val="20"/>
                <w:shd w:val="clear" w:color="auto" w:fill="FFFFFF"/>
                <w:lang w:val="en-US"/>
              </w:rPr>
              <w:t>asigură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sarcina</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utilă</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declarată</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aeronave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corespunde</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înregistrărilor</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privind</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sarcinile</w:t>
            </w:r>
            <w:proofErr w:type="spellEnd"/>
            <w:r w:rsidRPr="00A303C4">
              <w:rPr>
                <w:rFonts w:ascii="Times New Roman" w:eastAsia="Arial Unicode MS" w:hAnsi="Times New Roman"/>
                <w:color w:val="000000"/>
                <w:sz w:val="20"/>
                <w:szCs w:val="20"/>
                <w:shd w:val="clear" w:color="auto" w:fill="FFFFFF"/>
                <w:lang w:val="en-US"/>
              </w:rPr>
              <w:t xml:space="preserve"> utile, </w:t>
            </w:r>
            <w:proofErr w:type="spellStart"/>
            <w:r w:rsidRPr="00A303C4">
              <w:rPr>
                <w:rFonts w:ascii="Times New Roman" w:eastAsia="Arial Unicode MS" w:hAnsi="Times New Roman"/>
                <w:color w:val="000000"/>
                <w:sz w:val="20"/>
                <w:szCs w:val="20"/>
                <w:shd w:val="clear" w:color="auto" w:fill="FFFFFF"/>
                <w:lang w:val="en-US"/>
              </w:rPr>
              <w:t>păstrate</w:t>
            </w:r>
            <w:proofErr w:type="spellEnd"/>
            <w:r w:rsidRPr="00A303C4">
              <w:rPr>
                <w:rFonts w:ascii="Times New Roman" w:eastAsia="Arial Unicode MS" w:hAnsi="Times New Roman"/>
                <w:color w:val="000000"/>
                <w:sz w:val="20"/>
                <w:szCs w:val="20"/>
                <w:shd w:val="clear" w:color="auto" w:fill="FFFFFF"/>
                <w:lang w:val="en-US"/>
              </w:rPr>
              <w:t xml:space="preserve"> de </w:t>
            </w:r>
            <w:proofErr w:type="spellStart"/>
            <w:r w:rsidRPr="00A303C4">
              <w:rPr>
                <w:rFonts w:ascii="Times New Roman" w:eastAsia="Arial Unicode MS" w:hAnsi="Times New Roman"/>
                <w:color w:val="000000"/>
                <w:sz w:val="20"/>
                <w:szCs w:val="20"/>
                <w:shd w:val="clear" w:color="auto" w:fill="FFFFFF"/>
                <w:lang w:val="en-US"/>
              </w:rPr>
              <w:t>operatorul</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cauză</w:t>
            </w:r>
            <w:proofErr w:type="spellEnd"/>
            <w:r w:rsidRPr="00A303C4">
              <w:rPr>
                <w:rFonts w:ascii="Times New Roman" w:eastAsia="Arial Unicode MS" w:hAnsi="Times New Roman"/>
                <w:color w:val="000000"/>
                <w:sz w:val="20"/>
                <w:szCs w:val="20"/>
                <w:shd w:val="clear" w:color="auto" w:fill="FFFFFF"/>
                <w:lang w:val="en-US"/>
              </w:rPr>
              <w:t xml:space="preserve"> în </w:t>
            </w:r>
            <w:proofErr w:type="spellStart"/>
            <w:r w:rsidRPr="00A303C4">
              <w:rPr>
                <w:rFonts w:ascii="Times New Roman" w:eastAsia="Arial Unicode MS" w:hAnsi="Times New Roman"/>
                <w:color w:val="000000"/>
                <w:sz w:val="20"/>
                <w:szCs w:val="20"/>
                <w:shd w:val="clear" w:color="auto" w:fill="FFFFFF"/>
                <w:lang w:val="en-US"/>
              </w:rPr>
              <w:t>scopul</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asigurării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siguranței</w:t>
            </w:r>
            <w:proofErr w:type="spellEnd"/>
            <w:r w:rsidRPr="00A303C4">
              <w:rPr>
                <w:rFonts w:ascii="Times New Roman" w:eastAsia="Arial Unicode MS" w:hAnsi="Times New Roman"/>
                <w:color w:val="000000"/>
                <w:sz w:val="20"/>
                <w:szCs w:val="20"/>
                <w:shd w:val="clear" w:color="auto" w:fill="FFFFFF"/>
                <w:lang w:val="en-US"/>
              </w:rPr>
              <w:t xml:space="preserve"> </w:t>
            </w:r>
            <w:proofErr w:type="spellStart"/>
            <w:r w:rsidRPr="00A303C4">
              <w:rPr>
                <w:rFonts w:ascii="Times New Roman" w:eastAsia="Arial Unicode MS" w:hAnsi="Times New Roman"/>
                <w:color w:val="000000"/>
                <w:sz w:val="20"/>
                <w:szCs w:val="20"/>
                <w:shd w:val="clear" w:color="auto" w:fill="FFFFFF"/>
                <w:lang w:val="en-US"/>
              </w:rPr>
              <w:t>zborului</w:t>
            </w:r>
            <w:proofErr w:type="spellEnd"/>
            <w:r w:rsidRPr="00A303C4">
              <w:rPr>
                <w:rFonts w:ascii="Times New Roman" w:eastAsia="Arial Unicode MS" w:hAnsi="Times New Roman"/>
                <w:color w:val="000000"/>
                <w:sz w:val="20"/>
                <w:szCs w:val="20"/>
                <w:shd w:val="clear" w:color="auto" w:fill="FFFFFF"/>
                <w:lang w:val="en-US"/>
              </w:rPr>
              <w:t>.</w:t>
            </w:r>
          </w:p>
          <w:p w14:paraId="7821A273" w14:textId="77777777" w:rsidR="00A303C4" w:rsidRPr="0003168A" w:rsidRDefault="00A303C4" w:rsidP="00A303C4">
            <w:pPr>
              <w:ind w:left="2551"/>
              <w:jc w:val="both"/>
              <w:rPr>
                <w:color w:val="000000"/>
                <w:lang w:val="en-US"/>
              </w:rPr>
            </w:pPr>
          </w:p>
          <w:p w14:paraId="72F91EA9" w14:textId="77777777" w:rsidR="00124364" w:rsidRDefault="00124364">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A1A3D44" w14:textId="49FAD03F" w:rsidR="00124364" w:rsidRDefault="004E1007">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Parțial c</w:t>
            </w:r>
            <w:r w:rsidR="00000000">
              <w:rPr>
                <w:rFonts w:ascii="Times New Roman" w:hAnsi="Times New Roman"/>
                <w:bCs/>
                <w:sz w:val="20"/>
                <w:szCs w:val="20"/>
                <w:lang w:val="ro-RO"/>
              </w:rPr>
              <w:t xml:space="preserve">ompatibil </w:t>
            </w:r>
          </w:p>
          <w:p w14:paraId="3BAD4DEB" w14:textId="77777777" w:rsidR="00124364" w:rsidRDefault="00124364">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292FFA6" w14:textId="77777777" w:rsidR="00124364" w:rsidRDefault="00124364">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62FF025" w14:textId="6E6FD1CF" w:rsidR="00124364" w:rsidRPr="00DF1AB5" w:rsidRDefault="00DF1AB5" w:rsidP="00DF1AB5">
            <w:pPr>
              <w:autoSpaceDE w:val="0"/>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F1AB5">
              <w:rPr>
                <w:rFonts w:ascii="Times New Roman" w:eastAsia="Arial Unicode MS" w:hAnsi="Times New Roman"/>
                <w:color w:val="000000" w:themeColor="text1"/>
                <w:sz w:val="21"/>
                <w:szCs w:val="21"/>
                <w:shd w:val="clear" w:color="auto" w:fill="FFFFFF"/>
              </w:rPr>
              <w:t>Prevederile</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refer</w:t>
            </w:r>
            <w:r>
              <w:rPr>
                <w:rFonts w:ascii="Times New Roman" w:eastAsia="Arial Unicode MS" w:hAnsi="Times New Roman"/>
                <w:color w:val="000000" w:themeColor="text1"/>
                <w:sz w:val="21"/>
                <w:szCs w:val="21"/>
                <w:shd w:val="clear" w:color="auto" w:fill="FFFFFF"/>
              </w:rPr>
              <w:t>i</w:t>
            </w:r>
            <w:r w:rsidRPr="00DF1AB5">
              <w:rPr>
                <w:rFonts w:ascii="Times New Roman" w:eastAsia="Arial Unicode MS" w:hAnsi="Times New Roman"/>
                <w:color w:val="000000" w:themeColor="text1"/>
                <w:sz w:val="21"/>
                <w:szCs w:val="21"/>
                <w:shd w:val="clear" w:color="auto" w:fill="FFFFFF"/>
              </w:rPr>
              <w:t>tor</w:t>
            </w:r>
            <w:proofErr w:type="spellEnd"/>
            <w:r w:rsidRPr="00DF1AB5">
              <w:rPr>
                <w:rFonts w:ascii="Times New Roman" w:eastAsia="Arial Unicode MS" w:hAnsi="Times New Roman"/>
                <w:color w:val="000000" w:themeColor="text1"/>
                <w:sz w:val="21"/>
                <w:szCs w:val="21"/>
                <w:shd w:val="clear" w:color="auto" w:fill="FFFFFF"/>
              </w:rPr>
              <w:t xml:space="preserve"> la </w:t>
            </w:r>
            <w:proofErr w:type="spellStart"/>
            <w:r w:rsidRPr="00DF1AB5">
              <w:rPr>
                <w:rFonts w:ascii="Times New Roman" w:eastAsia="Arial Unicode MS" w:hAnsi="Times New Roman"/>
                <w:color w:val="000000" w:themeColor="text1"/>
                <w:sz w:val="21"/>
                <w:szCs w:val="21"/>
                <w:shd w:val="clear" w:color="auto" w:fill="FFFFFF"/>
              </w:rPr>
              <w:t>sectorul</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clădirilor</w:t>
            </w:r>
            <w:proofErr w:type="spellEnd"/>
            <w:r w:rsidRPr="00DF1AB5">
              <w:rPr>
                <w:rFonts w:ascii="Times New Roman" w:eastAsia="Arial Unicode MS" w:hAnsi="Times New Roman"/>
                <w:color w:val="000000" w:themeColor="text1"/>
                <w:sz w:val="21"/>
                <w:szCs w:val="21"/>
                <w:shd w:val="clear" w:color="auto" w:fill="FFFFFF"/>
              </w:rPr>
              <w:t xml:space="preserve"> și</w:t>
            </w:r>
            <w:r w:rsidRPr="00DF1AB5">
              <w:rPr>
                <w:rFonts w:ascii="Times New Roman" w:eastAsia="Arial Unicode MS" w:hAnsi="Times New Roman"/>
                <w:color w:val="000000" w:themeColor="text1"/>
                <w:sz w:val="21"/>
                <w:szCs w:val="21"/>
                <w:shd w:val="clear" w:color="auto" w:fill="FFFFFF"/>
              </w:rPr>
              <w:t xml:space="preserve"> al </w:t>
            </w:r>
            <w:proofErr w:type="spellStart"/>
            <w:r w:rsidRPr="00DF1AB5">
              <w:rPr>
                <w:rFonts w:ascii="Times New Roman" w:eastAsia="Arial Unicode MS" w:hAnsi="Times New Roman"/>
                <w:color w:val="000000" w:themeColor="text1"/>
                <w:sz w:val="21"/>
                <w:szCs w:val="21"/>
                <w:shd w:val="clear" w:color="auto" w:fill="FFFFFF"/>
              </w:rPr>
              <w:t>transportului</w:t>
            </w:r>
            <w:proofErr w:type="spellEnd"/>
            <w:r w:rsidRPr="00DF1AB5">
              <w:rPr>
                <w:rFonts w:ascii="Times New Roman" w:eastAsia="Arial Unicode MS" w:hAnsi="Times New Roman"/>
                <w:color w:val="000000" w:themeColor="text1"/>
                <w:sz w:val="21"/>
                <w:szCs w:val="21"/>
                <w:shd w:val="clear" w:color="auto" w:fill="FFFFFF"/>
              </w:rPr>
              <w:t xml:space="preserve"> </w:t>
            </w:r>
            <w:proofErr w:type="spellStart"/>
            <w:r w:rsidRPr="00DF1AB5">
              <w:rPr>
                <w:rFonts w:ascii="Times New Roman" w:eastAsia="Arial Unicode MS" w:hAnsi="Times New Roman"/>
                <w:color w:val="000000" w:themeColor="text1"/>
                <w:sz w:val="21"/>
                <w:szCs w:val="21"/>
                <w:shd w:val="clear" w:color="auto" w:fill="FFFFFF"/>
              </w:rPr>
              <w:t>rutier</w:t>
            </w:r>
            <w:proofErr w:type="spellEnd"/>
            <w:r>
              <w:rPr>
                <w:rFonts w:ascii="Times New Roman" w:eastAsia="Arial Unicode MS" w:hAnsi="Times New Roman"/>
                <w:color w:val="000000" w:themeColor="text1"/>
                <w:sz w:val="21"/>
                <w:szCs w:val="21"/>
                <w:shd w:val="clear" w:color="auto" w:fill="FFFFFF"/>
              </w:rPr>
              <w:t xml:space="preserve"> nu se </w:t>
            </w:r>
            <w:proofErr w:type="spellStart"/>
            <w:r w:rsidRPr="00DF1AB5">
              <w:rPr>
                <w:rFonts w:ascii="Times New Roman" w:eastAsia="Arial Unicode MS" w:hAnsi="Times New Roman"/>
                <w:color w:val="000000" w:themeColor="text1"/>
                <w:sz w:val="20"/>
                <w:szCs w:val="20"/>
                <w:shd w:val="clear" w:color="auto" w:fill="FFFFFF"/>
              </w:rPr>
              <w:t>transpun</w:t>
            </w:r>
            <w:proofErr w:type="spellEnd"/>
            <w:r w:rsidRPr="00DF1AB5">
              <w:rPr>
                <w:rFonts w:ascii="Times New Roman" w:eastAsia="Arial Unicode MS" w:hAnsi="Times New Roman"/>
                <w:color w:val="000000" w:themeColor="text1"/>
                <w:sz w:val="20"/>
                <w:szCs w:val="20"/>
                <w:shd w:val="clear" w:color="auto" w:fill="FFFFFF"/>
              </w:rPr>
              <w:t xml:space="preserve">, </w:t>
            </w:r>
            <w:proofErr w:type="spellStart"/>
            <w:r w:rsidRPr="00DF1AB5">
              <w:rPr>
                <w:rFonts w:ascii="Times New Roman" w:eastAsia="Arial Unicode MS" w:hAnsi="Times New Roman"/>
                <w:color w:val="000000" w:themeColor="text1"/>
                <w:sz w:val="20"/>
                <w:szCs w:val="20"/>
                <w:shd w:val="clear" w:color="auto" w:fill="FFFFFF"/>
              </w:rPr>
              <w:t>deoarece</w:t>
            </w:r>
            <w:proofErr w:type="spellEnd"/>
          </w:p>
          <w:p w14:paraId="5C663D86" w14:textId="4D7E4EEE" w:rsidR="00DF1AB5" w:rsidRPr="00DF1AB5" w:rsidRDefault="00DF1AB5" w:rsidP="00DF1AB5">
            <w:pPr>
              <w:autoSpaceDE w:val="0"/>
              <w:spacing w:after="0" w:line="240" w:lineRule="auto"/>
              <w:jc w:val="both"/>
              <w:rPr>
                <w:rFonts w:ascii="Times New Roman" w:eastAsia="Times New Roman" w:hAnsi="Times New Roman"/>
                <w:sz w:val="20"/>
                <w:szCs w:val="20"/>
                <w:lang w:val="ro-RO"/>
              </w:rPr>
            </w:pPr>
            <w:r w:rsidRPr="00DF1AB5">
              <w:rPr>
                <w:rFonts w:ascii="Times New Roman" w:hAnsi="Times New Roman"/>
                <w:color w:val="000000" w:themeColor="text1"/>
                <w:sz w:val="20"/>
                <w:szCs w:val="20"/>
                <w:lang w:val="ro-RO"/>
              </w:rPr>
              <w:t xml:space="preserve">Republica Moldova nu a transpus prevederile privind </w:t>
            </w:r>
            <w:r w:rsidRPr="00DF1AB5">
              <w:rPr>
                <w:rFonts w:ascii="Times New Roman" w:eastAsiaTheme="minorHAnsi" w:hAnsi="Times New Roman"/>
                <w:color w:val="000000" w:themeColor="text1"/>
                <w:sz w:val="20"/>
                <w:szCs w:val="20"/>
                <w:lang w:val="ro-RO"/>
              </w:rPr>
              <w:t>sistemul de comercializare a cotelor de emisii de gaze cu efect de seră, dar intenționează să le transpună și să instituie un sistem regional de comercializare a cotelor, care va fi instituit de către Comunitatea Energetică</w:t>
            </w:r>
            <w:r>
              <w:rPr>
                <w:rFonts w:ascii="Times New Roman" w:eastAsiaTheme="minorHAnsi" w:hAnsi="Times New Roman"/>
                <w:color w:val="000000" w:themeColor="text1"/>
                <w:sz w:val="20"/>
                <w:szCs w:val="20"/>
                <w:lang w:val="ro-RO"/>
              </w:rPr>
              <w:t>.</w:t>
            </w:r>
          </w:p>
        </w:tc>
        <w:tc>
          <w:tcPr>
            <w:tcW w:w="1464" w:type="dxa"/>
            <w:shd w:val="clear" w:color="auto" w:fill="auto"/>
          </w:tcPr>
          <w:p w14:paraId="59531CB1" w14:textId="77777777" w:rsidR="00124364"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BA9F545" w14:textId="77777777" w:rsidR="00124364" w:rsidRDefault="00124364">
            <w:pPr>
              <w:autoSpaceDE w:val="0"/>
              <w:spacing w:after="0" w:line="240" w:lineRule="auto"/>
              <w:rPr>
                <w:rFonts w:ascii="Times New Roman" w:hAnsi="Times New Roman"/>
                <w:sz w:val="20"/>
                <w:szCs w:val="20"/>
                <w:lang w:val="fr-FR"/>
              </w:rPr>
            </w:pPr>
          </w:p>
          <w:p w14:paraId="64808911" w14:textId="1ACB2F64" w:rsidR="004E1007" w:rsidRDefault="004E1007">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Agenția</w:t>
            </w:r>
            <w:proofErr w:type="spellEnd"/>
            <w:r>
              <w:rPr>
                <w:rFonts w:ascii="Times New Roman" w:hAnsi="Times New Roman"/>
                <w:sz w:val="20"/>
                <w:szCs w:val="20"/>
                <w:lang w:val="fr-FR"/>
              </w:rPr>
              <w:t xml:space="preserve"> de </w:t>
            </w:r>
            <w:proofErr w:type="spellStart"/>
            <w:r>
              <w:rPr>
                <w:rFonts w:ascii="Times New Roman" w:hAnsi="Times New Roman"/>
                <w:sz w:val="20"/>
                <w:szCs w:val="20"/>
                <w:lang w:val="fr-FR"/>
              </w:rPr>
              <w:t>Mediu</w:t>
            </w:r>
            <w:proofErr w:type="spellEnd"/>
          </w:p>
        </w:tc>
      </w:tr>
    </w:tbl>
    <w:p w14:paraId="3FCE339F" w14:textId="77777777" w:rsidR="00124364" w:rsidRDefault="00124364">
      <w:pPr>
        <w:pStyle w:val="ColorfulList-Accent11"/>
        <w:spacing w:after="0" w:line="240" w:lineRule="auto"/>
        <w:ind w:left="0"/>
        <w:jc w:val="both"/>
        <w:rPr>
          <w:lang w:val="zh-CN"/>
        </w:rPr>
      </w:pPr>
    </w:p>
    <w:sectPr w:rsidR="00124364">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5EF0" w14:textId="77777777" w:rsidR="00EF35C4" w:rsidRDefault="00EF35C4">
      <w:pPr>
        <w:spacing w:line="240" w:lineRule="auto"/>
      </w:pPr>
      <w:r>
        <w:separator/>
      </w:r>
    </w:p>
  </w:endnote>
  <w:endnote w:type="continuationSeparator" w:id="0">
    <w:p w14:paraId="7C13DF9F" w14:textId="77777777" w:rsidR="00EF35C4" w:rsidRDefault="00EF3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CC"/>
    <w:family w:val="roman"/>
    <w:pitch w:val="default"/>
    <w:sig w:usb0="00000000" w:usb1="00000000"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BDFA" w14:textId="77777777" w:rsidR="00EF35C4" w:rsidRDefault="00EF35C4">
      <w:pPr>
        <w:spacing w:after="0"/>
      </w:pPr>
      <w:r>
        <w:separator/>
      </w:r>
    </w:p>
  </w:footnote>
  <w:footnote w:type="continuationSeparator" w:id="0">
    <w:p w14:paraId="658E91FA" w14:textId="77777777" w:rsidR="00EF35C4" w:rsidRDefault="00EF35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70"/>
    <w:multiLevelType w:val="hybridMultilevel"/>
    <w:tmpl w:val="091232AE"/>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1A678FE"/>
    <w:multiLevelType w:val="multilevel"/>
    <w:tmpl w:val="01A67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C58AB"/>
    <w:multiLevelType w:val="multilevel"/>
    <w:tmpl w:val="01AC58AB"/>
    <w:lvl w:ilvl="0">
      <w:start w:val="1"/>
      <w:numFmt w:val="lowerLetter"/>
      <w:lvlText w:val="(%1)"/>
      <w:lvlJc w:val="left"/>
      <w:pPr>
        <w:ind w:left="720" w:hanging="360"/>
      </w:pPr>
      <w:rPr>
        <w:rFonts w:eastAsia="Arial Unicode MS" w:hint="default"/>
        <w:i w:val="0"/>
        <w:iCs w:val="0"/>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7447DD"/>
    <w:multiLevelType w:val="multilevel"/>
    <w:tmpl w:val="027447DD"/>
    <w:lvl w:ilvl="0">
      <w:start w:val="1"/>
      <w:numFmt w:val="none"/>
      <w:lvlText w:val="(3a)"/>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174B2B"/>
    <w:multiLevelType w:val="multilevel"/>
    <w:tmpl w:val="03174B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2E18B0"/>
    <w:multiLevelType w:val="multilevel"/>
    <w:tmpl w:val="032E18B0"/>
    <w:lvl w:ilvl="0">
      <w:start w:val="1"/>
      <w:numFmt w:val="decimal"/>
      <w:lvlText w:val="(%1)"/>
      <w:lvlJc w:val="left"/>
      <w:pPr>
        <w:ind w:left="720" w:hanging="360"/>
      </w:pPr>
      <w:rPr>
        <w:rFonts w:eastAsia="Arial Unicode M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614EE3"/>
    <w:multiLevelType w:val="multilevel"/>
    <w:tmpl w:val="03614EE3"/>
    <w:lvl w:ilvl="0">
      <w:start w:val="1"/>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A562A9"/>
    <w:multiLevelType w:val="multilevel"/>
    <w:tmpl w:val="04A562A9"/>
    <w:lvl w:ilvl="0">
      <w:start w:val="1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4C349F2"/>
    <w:multiLevelType w:val="hybridMultilevel"/>
    <w:tmpl w:val="D102CEEC"/>
    <w:lvl w:ilvl="0" w:tplc="B71C428E">
      <w:start w:val="1"/>
      <w:numFmt w:val="upperRoman"/>
      <w:lvlText w:val="%1."/>
      <w:lvlJc w:val="left"/>
      <w:pPr>
        <w:ind w:left="1080" w:hanging="72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E713F2"/>
    <w:multiLevelType w:val="multilevel"/>
    <w:tmpl w:val="05E713F2"/>
    <w:lvl w:ilvl="0">
      <w:start w:val="1"/>
      <w:numFmt w:val="lowerRoman"/>
      <w:lvlText w:val="(%1)"/>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EF42F4"/>
    <w:multiLevelType w:val="multilevel"/>
    <w:tmpl w:val="05EF42F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62B507E"/>
    <w:multiLevelType w:val="hybridMultilevel"/>
    <w:tmpl w:val="7DEEA19A"/>
    <w:lvl w:ilvl="0" w:tplc="C7686C04">
      <w:start w:val="1"/>
      <w:numFmt w:val="lowerRoman"/>
      <w:lvlText w:val="(%1)"/>
      <w:lvlJc w:val="left"/>
      <w:pPr>
        <w:ind w:left="2551" w:hanging="360"/>
      </w:pPr>
      <w:rPr>
        <w:rFonts w:ascii="Times New Roman" w:eastAsia="Times New Roman" w:hAnsi="Times New Roman" w:cs="Times New Roman"/>
      </w:rPr>
    </w:lvl>
    <w:lvl w:ilvl="1" w:tplc="04190019" w:tentative="1">
      <w:start w:val="1"/>
      <w:numFmt w:val="lowerLetter"/>
      <w:lvlText w:val="%2."/>
      <w:lvlJc w:val="left"/>
      <w:pPr>
        <w:ind w:left="3271" w:hanging="360"/>
      </w:pPr>
    </w:lvl>
    <w:lvl w:ilvl="2" w:tplc="0419001B" w:tentative="1">
      <w:start w:val="1"/>
      <w:numFmt w:val="lowerRoman"/>
      <w:lvlText w:val="%3."/>
      <w:lvlJc w:val="right"/>
      <w:pPr>
        <w:ind w:left="3991" w:hanging="180"/>
      </w:pPr>
    </w:lvl>
    <w:lvl w:ilvl="3" w:tplc="0419000F" w:tentative="1">
      <w:start w:val="1"/>
      <w:numFmt w:val="decimal"/>
      <w:lvlText w:val="%4."/>
      <w:lvlJc w:val="left"/>
      <w:pPr>
        <w:ind w:left="4711" w:hanging="360"/>
      </w:pPr>
    </w:lvl>
    <w:lvl w:ilvl="4" w:tplc="04190019" w:tentative="1">
      <w:start w:val="1"/>
      <w:numFmt w:val="lowerLetter"/>
      <w:lvlText w:val="%5."/>
      <w:lvlJc w:val="left"/>
      <w:pPr>
        <w:ind w:left="5431" w:hanging="360"/>
      </w:pPr>
    </w:lvl>
    <w:lvl w:ilvl="5" w:tplc="0419001B" w:tentative="1">
      <w:start w:val="1"/>
      <w:numFmt w:val="lowerRoman"/>
      <w:lvlText w:val="%6."/>
      <w:lvlJc w:val="right"/>
      <w:pPr>
        <w:ind w:left="6151" w:hanging="180"/>
      </w:pPr>
    </w:lvl>
    <w:lvl w:ilvl="6" w:tplc="0419000F" w:tentative="1">
      <w:start w:val="1"/>
      <w:numFmt w:val="decimal"/>
      <w:lvlText w:val="%7."/>
      <w:lvlJc w:val="left"/>
      <w:pPr>
        <w:ind w:left="6871" w:hanging="360"/>
      </w:pPr>
    </w:lvl>
    <w:lvl w:ilvl="7" w:tplc="04190019" w:tentative="1">
      <w:start w:val="1"/>
      <w:numFmt w:val="lowerLetter"/>
      <w:lvlText w:val="%8."/>
      <w:lvlJc w:val="left"/>
      <w:pPr>
        <w:ind w:left="7591" w:hanging="360"/>
      </w:pPr>
    </w:lvl>
    <w:lvl w:ilvl="8" w:tplc="0419001B" w:tentative="1">
      <w:start w:val="1"/>
      <w:numFmt w:val="lowerRoman"/>
      <w:lvlText w:val="%9."/>
      <w:lvlJc w:val="right"/>
      <w:pPr>
        <w:ind w:left="8311" w:hanging="180"/>
      </w:pPr>
    </w:lvl>
  </w:abstractNum>
  <w:abstractNum w:abstractNumId="12" w15:restartNumberingAfterBreak="0">
    <w:nsid w:val="062D2AAB"/>
    <w:multiLevelType w:val="hybridMultilevel"/>
    <w:tmpl w:val="07D26AFC"/>
    <w:lvl w:ilvl="0" w:tplc="355C564C">
      <w:start w:val="29"/>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3" w15:restartNumberingAfterBreak="0">
    <w:nsid w:val="06661D20"/>
    <w:multiLevelType w:val="multilevel"/>
    <w:tmpl w:val="06661D2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840A28"/>
    <w:multiLevelType w:val="hybridMultilevel"/>
    <w:tmpl w:val="BADC308A"/>
    <w:lvl w:ilvl="0" w:tplc="3176DB6C">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 w15:restartNumberingAfterBreak="0">
    <w:nsid w:val="07D40F0A"/>
    <w:multiLevelType w:val="multilevel"/>
    <w:tmpl w:val="07D40F0A"/>
    <w:lvl w:ilvl="0">
      <w:start w:val="6"/>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6957A7"/>
    <w:multiLevelType w:val="multilevel"/>
    <w:tmpl w:val="086957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740860"/>
    <w:multiLevelType w:val="hybridMultilevel"/>
    <w:tmpl w:val="0CEABEAE"/>
    <w:lvl w:ilvl="0" w:tplc="C7686C04">
      <w:start w:val="1"/>
      <w:numFmt w:val="lowerRoman"/>
      <w:lvlText w:val="(%1)"/>
      <w:lvlJc w:val="left"/>
      <w:pPr>
        <w:ind w:left="3240" w:hanging="360"/>
      </w:pPr>
      <w:rPr>
        <w:rFonts w:ascii="Times New Roman" w:eastAsia="Times New Roman" w:hAnsi="Times New Roman" w:cs="Times New Roman"/>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8" w15:restartNumberingAfterBreak="0">
    <w:nsid w:val="088C0AA0"/>
    <w:multiLevelType w:val="multilevel"/>
    <w:tmpl w:val="088C0AA0"/>
    <w:lvl w:ilvl="0">
      <w:start w:val="7"/>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88628E"/>
    <w:multiLevelType w:val="multilevel"/>
    <w:tmpl w:val="0988628E"/>
    <w:lvl w:ilvl="0">
      <w:start w:val="1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0A1214FB"/>
    <w:multiLevelType w:val="multilevel"/>
    <w:tmpl w:val="0A1214F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A3A7839"/>
    <w:multiLevelType w:val="multilevel"/>
    <w:tmpl w:val="0A3A7839"/>
    <w:lvl w:ilvl="0">
      <w:start w:val="1"/>
      <w:numFmt w:val="lowerRoman"/>
      <w:lvlText w:val="(%1)"/>
      <w:lvlJc w:val="left"/>
      <w:pPr>
        <w:ind w:left="1440" w:hanging="360"/>
      </w:pPr>
      <w:rPr>
        <w:rFonts w:eastAsia="Arial Unicode MS" w:hint="default"/>
        <w:i w:val="0"/>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0AFF04FB"/>
    <w:multiLevelType w:val="multilevel"/>
    <w:tmpl w:val="0AFF04FB"/>
    <w:lvl w:ilvl="0">
      <w:start w:val="8"/>
      <w:numFmt w:val="none"/>
      <w:lvlText w:val="(8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B0B5895"/>
    <w:multiLevelType w:val="multilevel"/>
    <w:tmpl w:val="0B0B589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0B4515EE"/>
    <w:multiLevelType w:val="multilevel"/>
    <w:tmpl w:val="0B4515EE"/>
    <w:lvl w:ilvl="0">
      <w:start w:val="6"/>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B4933CA"/>
    <w:multiLevelType w:val="multilevel"/>
    <w:tmpl w:val="0B4933CA"/>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0B851775"/>
    <w:multiLevelType w:val="multilevel"/>
    <w:tmpl w:val="0B85177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0C0C614D"/>
    <w:multiLevelType w:val="multilevel"/>
    <w:tmpl w:val="0C0C614D"/>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D407EBB"/>
    <w:multiLevelType w:val="hybridMultilevel"/>
    <w:tmpl w:val="39BEB19C"/>
    <w:lvl w:ilvl="0" w:tplc="48AE880C">
      <w:start w:val="1"/>
      <w:numFmt w:val="decimal"/>
      <w:lvlText w:val="%1)"/>
      <w:lvlJc w:val="left"/>
      <w:pPr>
        <w:ind w:left="1814" w:hanging="360"/>
      </w:pPr>
      <w:rPr>
        <w:b w:val="0"/>
        <w:bCs w:val="0"/>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9" w15:restartNumberingAfterBreak="0">
    <w:nsid w:val="0E10265A"/>
    <w:multiLevelType w:val="multilevel"/>
    <w:tmpl w:val="0E10265A"/>
    <w:lvl w:ilvl="0">
      <w:start w:val="1"/>
      <w:numFmt w:val="none"/>
      <w:lvlText w:val="- "/>
      <w:lvlJc w:val="righ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0" w15:restartNumberingAfterBreak="0">
    <w:nsid w:val="0E354A2C"/>
    <w:multiLevelType w:val="multilevel"/>
    <w:tmpl w:val="0E354A2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0EF9177F"/>
    <w:multiLevelType w:val="multilevel"/>
    <w:tmpl w:val="0EF9177F"/>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671C99"/>
    <w:multiLevelType w:val="multilevel"/>
    <w:tmpl w:val="0F671C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FCF3912"/>
    <w:multiLevelType w:val="multilevel"/>
    <w:tmpl w:val="0FCF39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0151BF0"/>
    <w:multiLevelType w:val="multilevel"/>
    <w:tmpl w:val="10151BF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103503C0"/>
    <w:multiLevelType w:val="hybridMultilevel"/>
    <w:tmpl w:val="D98213DA"/>
    <w:lvl w:ilvl="0" w:tplc="04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6" w15:restartNumberingAfterBreak="0">
    <w:nsid w:val="104E28A7"/>
    <w:multiLevelType w:val="multilevel"/>
    <w:tmpl w:val="104E28A7"/>
    <w:lvl w:ilvl="0">
      <w:start w:val="4"/>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0B65B9A"/>
    <w:multiLevelType w:val="multilevel"/>
    <w:tmpl w:val="10B65B9A"/>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0BF232B"/>
    <w:multiLevelType w:val="hybridMultilevel"/>
    <w:tmpl w:val="D98213D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11A46DD8"/>
    <w:multiLevelType w:val="multilevel"/>
    <w:tmpl w:val="11A46D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BF770D"/>
    <w:multiLevelType w:val="multilevel"/>
    <w:tmpl w:val="11BF77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2144BA0"/>
    <w:multiLevelType w:val="multilevel"/>
    <w:tmpl w:val="12144BA0"/>
    <w:lvl w:ilvl="0">
      <w:start w:val="1"/>
      <w:numFmt w:val="none"/>
      <w:lvlText w:val="(hb)"/>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26F54FB"/>
    <w:multiLevelType w:val="hybridMultilevel"/>
    <w:tmpl w:val="BC06CE08"/>
    <w:lvl w:ilvl="0" w:tplc="3176DB6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140007E3"/>
    <w:multiLevelType w:val="multilevel"/>
    <w:tmpl w:val="140007E3"/>
    <w:lvl w:ilvl="0">
      <w:start w:val="1"/>
      <w:numFmt w:val="none"/>
      <w:lvlText w:val="(1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4454673"/>
    <w:multiLevelType w:val="multilevel"/>
    <w:tmpl w:val="14454673"/>
    <w:lvl w:ilvl="0">
      <w:start w:val="9"/>
      <w:numFmt w:val="lowerLetter"/>
      <w:lvlText w:val="(%1)"/>
      <w:lvlJc w:val="left"/>
      <w:pPr>
        <w:ind w:left="720" w:hanging="360"/>
      </w:pPr>
      <w:rPr>
        <w:rFonts w:eastAsia="Arial Unicode MS" w:hint="default"/>
        <w:color w:val="33333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14633D5C"/>
    <w:multiLevelType w:val="multilevel"/>
    <w:tmpl w:val="14633D5C"/>
    <w:lvl w:ilvl="0">
      <w:start w:val="1"/>
      <w:numFmt w:val="none"/>
      <w:lvlText w:val="(1a)"/>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149836B1"/>
    <w:multiLevelType w:val="hybridMultilevel"/>
    <w:tmpl w:val="B4E0A32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14984C2C"/>
    <w:multiLevelType w:val="multilevel"/>
    <w:tmpl w:val="14984C2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155B7A4D"/>
    <w:multiLevelType w:val="multilevel"/>
    <w:tmpl w:val="155B7A4D"/>
    <w:lvl w:ilvl="0">
      <w:start w:val="22"/>
      <w:numFmt w:val="none"/>
      <w:lvlText w:val="(ad)"/>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5656C24"/>
    <w:multiLevelType w:val="multilevel"/>
    <w:tmpl w:val="15656C24"/>
    <w:lvl w:ilvl="0">
      <w:start w:val="1"/>
      <w:numFmt w:val="none"/>
      <w:lvlText w:val="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5FF7C31"/>
    <w:multiLevelType w:val="multilevel"/>
    <w:tmpl w:val="15FF7C3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63F20C7"/>
    <w:multiLevelType w:val="multilevel"/>
    <w:tmpl w:val="163F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641027E"/>
    <w:multiLevelType w:val="multilevel"/>
    <w:tmpl w:val="164102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71071C5"/>
    <w:multiLevelType w:val="multilevel"/>
    <w:tmpl w:val="171071C5"/>
    <w:lvl w:ilvl="0">
      <w:start w:val="1"/>
      <w:numFmt w:val="lowerRoman"/>
      <w:lvlText w:val="(%1)"/>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7B82C74"/>
    <w:multiLevelType w:val="multilevel"/>
    <w:tmpl w:val="17B82C7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1816285D"/>
    <w:multiLevelType w:val="multilevel"/>
    <w:tmpl w:val="1816285D"/>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8B35179"/>
    <w:multiLevelType w:val="multilevel"/>
    <w:tmpl w:val="18B351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9339E6"/>
    <w:multiLevelType w:val="multilevel"/>
    <w:tmpl w:val="1A9339E6"/>
    <w:lvl w:ilvl="0">
      <w:start w:val="1"/>
      <w:numFmt w:val="none"/>
      <w:lvlText w:val="(1a)"/>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BB92FF1"/>
    <w:multiLevelType w:val="multilevel"/>
    <w:tmpl w:val="1BB92F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C2312B5"/>
    <w:multiLevelType w:val="multilevel"/>
    <w:tmpl w:val="1C2312B5"/>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C3C5267"/>
    <w:multiLevelType w:val="multilevel"/>
    <w:tmpl w:val="1C3C52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D0B6289"/>
    <w:multiLevelType w:val="multilevel"/>
    <w:tmpl w:val="1D0B62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DC00700"/>
    <w:multiLevelType w:val="multilevel"/>
    <w:tmpl w:val="1DC00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DE51AE7"/>
    <w:multiLevelType w:val="multilevel"/>
    <w:tmpl w:val="1DE51AE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1DFB63CF"/>
    <w:multiLevelType w:val="multilevel"/>
    <w:tmpl w:val="1DFB63CF"/>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EBA76AC"/>
    <w:multiLevelType w:val="hybridMultilevel"/>
    <w:tmpl w:val="BDB668FE"/>
    <w:lvl w:ilvl="0" w:tplc="48DCA5A2">
      <w:start w:val="1"/>
      <w:numFmt w:val="lowerLetter"/>
      <w:lvlText w:val="%1)"/>
      <w:lvlJc w:val="left"/>
      <w:pPr>
        <w:ind w:left="2534" w:hanging="360"/>
      </w:pPr>
      <w:rPr>
        <w:b w:val="0"/>
        <w:bCs w:val="0"/>
      </w:r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66" w15:restartNumberingAfterBreak="0">
    <w:nsid w:val="1EFC5397"/>
    <w:multiLevelType w:val="multilevel"/>
    <w:tmpl w:val="1EFC5397"/>
    <w:lvl w:ilvl="0">
      <w:start w:val="4"/>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F386275"/>
    <w:multiLevelType w:val="multilevel"/>
    <w:tmpl w:val="1F386275"/>
    <w:lvl w:ilvl="0">
      <w:start w:val="1"/>
      <w:numFmt w:val="none"/>
      <w:lvlText w:val="(ai)"/>
      <w:lvlJc w:val="center"/>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F6B10EA"/>
    <w:multiLevelType w:val="hybridMultilevel"/>
    <w:tmpl w:val="08088EC6"/>
    <w:lvl w:ilvl="0" w:tplc="C7686C04">
      <w:start w:val="1"/>
      <w:numFmt w:val="lowerRoman"/>
      <w:lvlText w:val="(%1)"/>
      <w:lvlJc w:val="left"/>
      <w:pPr>
        <w:ind w:left="3240" w:hanging="360"/>
      </w:pPr>
      <w:rPr>
        <w:rFonts w:ascii="Times New Roman" w:eastAsia="Times New Roman" w:hAnsi="Times New Roman" w:cs="Times New Roman"/>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9" w15:restartNumberingAfterBreak="0">
    <w:nsid w:val="20BE4A1E"/>
    <w:multiLevelType w:val="multilevel"/>
    <w:tmpl w:val="20BE4A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10B6A33"/>
    <w:multiLevelType w:val="multilevel"/>
    <w:tmpl w:val="210B6A33"/>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15:restartNumberingAfterBreak="0">
    <w:nsid w:val="217E20C0"/>
    <w:multiLevelType w:val="hybridMultilevel"/>
    <w:tmpl w:val="4E4AED58"/>
    <w:lvl w:ilvl="0" w:tplc="3176DB6C">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2" w15:restartNumberingAfterBreak="0">
    <w:nsid w:val="21BE32CC"/>
    <w:multiLevelType w:val="hybridMultilevel"/>
    <w:tmpl w:val="272894CE"/>
    <w:lvl w:ilvl="0" w:tplc="4EB6129C">
      <w:start w:val="1"/>
      <w:numFmt w:val="decimal"/>
      <w:lvlText w:val="%1)"/>
      <w:lvlJc w:val="left"/>
      <w:pPr>
        <w:ind w:left="1814" w:hanging="360"/>
      </w:pPr>
      <w:rPr>
        <w:b w:val="0"/>
        <w:bCs w:val="0"/>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73" w15:restartNumberingAfterBreak="0">
    <w:nsid w:val="21E74733"/>
    <w:multiLevelType w:val="multilevel"/>
    <w:tmpl w:val="21E747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27E715D"/>
    <w:multiLevelType w:val="multilevel"/>
    <w:tmpl w:val="227E715D"/>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34C4EC5"/>
    <w:multiLevelType w:val="hybridMultilevel"/>
    <w:tmpl w:val="CD9ED280"/>
    <w:lvl w:ilvl="0" w:tplc="EDF46A12">
      <w:start w:val="1"/>
      <w:numFmt w:val="bullet"/>
      <w:lvlText w:val="-"/>
      <w:lvlJc w:val="left"/>
      <w:pPr>
        <w:ind w:left="2401" w:hanging="360"/>
      </w:pPr>
      <w:rPr>
        <w:rFonts w:ascii="Times New Roman" w:eastAsia="Arial Unicode MS" w:hAnsi="Times New Roman" w:cs="Times New Roman" w:hint="default"/>
        <w:b w:val="0"/>
      </w:rPr>
    </w:lvl>
    <w:lvl w:ilvl="1" w:tplc="04190003" w:tentative="1">
      <w:start w:val="1"/>
      <w:numFmt w:val="bullet"/>
      <w:lvlText w:val="o"/>
      <w:lvlJc w:val="left"/>
      <w:pPr>
        <w:ind w:left="3121" w:hanging="360"/>
      </w:pPr>
      <w:rPr>
        <w:rFonts w:ascii="Courier New" w:hAnsi="Courier New" w:cs="Courier New" w:hint="default"/>
      </w:rPr>
    </w:lvl>
    <w:lvl w:ilvl="2" w:tplc="04190005" w:tentative="1">
      <w:start w:val="1"/>
      <w:numFmt w:val="bullet"/>
      <w:lvlText w:val=""/>
      <w:lvlJc w:val="left"/>
      <w:pPr>
        <w:ind w:left="3841" w:hanging="360"/>
      </w:pPr>
      <w:rPr>
        <w:rFonts w:ascii="Wingdings" w:hAnsi="Wingdings" w:hint="default"/>
      </w:rPr>
    </w:lvl>
    <w:lvl w:ilvl="3" w:tplc="04190001" w:tentative="1">
      <w:start w:val="1"/>
      <w:numFmt w:val="bullet"/>
      <w:lvlText w:val=""/>
      <w:lvlJc w:val="left"/>
      <w:pPr>
        <w:ind w:left="4561" w:hanging="360"/>
      </w:pPr>
      <w:rPr>
        <w:rFonts w:ascii="Symbol" w:hAnsi="Symbol" w:hint="default"/>
      </w:rPr>
    </w:lvl>
    <w:lvl w:ilvl="4" w:tplc="04190003" w:tentative="1">
      <w:start w:val="1"/>
      <w:numFmt w:val="bullet"/>
      <w:lvlText w:val="o"/>
      <w:lvlJc w:val="left"/>
      <w:pPr>
        <w:ind w:left="5281" w:hanging="360"/>
      </w:pPr>
      <w:rPr>
        <w:rFonts w:ascii="Courier New" w:hAnsi="Courier New" w:cs="Courier New" w:hint="default"/>
      </w:rPr>
    </w:lvl>
    <w:lvl w:ilvl="5" w:tplc="04190005" w:tentative="1">
      <w:start w:val="1"/>
      <w:numFmt w:val="bullet"/>
      <w:lvlText w:val=""/>
      <w:lvlJc w:val="left"/>
      <w:pPr>
        <w:ind w:left="6001" w:hanging="360"/>
      </w:pPr>
      <w:rPr>
        <w:rFonts w:ascii="Wingdings" w:hAnsi="Wingdings" w:hint="default"/>
      </w:rPr>
    </w:lvl>
    <w:lvl w:ilvl="6" w:tplc="04190001" w:tentative="1">
      <w:start w:val="1"/>
      <w:numFmt w:val="bullet"/>
      <w:lvlText w:val=""/>
      <w:lvlJc w:val="left"/>
      <w:pPr>
        <w:ind w:left="6721" w:hanging="360"/>
      </w:pPr>
      <w:rPr>
        <w:rFonts w:ascii="Symbol" w:hAnsi="Symbol" w:hint="default"/>
      </w:rPr>
    </w:lvl>
    <w:lvl w:ilvl="7" w:tplc="04190003" w:tentative="1">
      <w:start w:val="1"/>
      <w:numFmt w:val="bullet"/>
      <w:lvlText w:val="o"/>
      <w:lvlJc w:val="left"/>
      <w:pPr>
        <w:ind w:left="7441" w:hanging="360"/>
      </w:pPr>
      <w:rPr>
        <w:rFonts w:ascii="Courier New" w:hAnsi="Courier New" w:cs="Courier New" w:hint="default"/>
      </w:rPr>
    </w:lvl>
    <w:lvl w:ilvl="8" w:tplc="04190005" w:tentative="1">
      <w:start w:val="1"/>
      <w:numFmt w:val="bullet"/>
      <w:lvlText w:val=""/>
      <w:lvlJc w:val="left"/>
      <w:pPr>
        <w:ind w:left="8161" w:hanging="360"/>
      </w:pPr>
      <w:rPr>
        <w:rFonts w:ascii="Wingdings" w:hAnsi="Wingdings" w:hint="default"/>
      </w:rPr>
    </w:lvl>
  </w:abstractNum>
  <w:abstractNum w:abstractNumId="76" w15:restartNumberingAfterBreak="0">
    <w:nsid w:val="23E53F38"/>
    <w:multiLevelType w:val="multilevel"/>
    <w:tmpl w:val="23E53F3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15:restartNumberingAfterBreak="0">
    <w:nsid w:val="23E71F66"/>
    <w:multiLevelType w:val="multilevel"/>
    <w:tmpl w:val="23E71F66"/>
    <w:lvl w:ilvl="0">
      <w:start w:val="1"/>
      <w:numFmt w:val="none"/>
      <w:lvlText w:val="(ah)"/>
      <w:lvlJc w:val="center"/>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4B15961"/>
    <w:multiLevelType w:val="multilevel"/>
    <w:tmpl w:val="24B159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4BD1450"/>
    <w:multiLevelType w:val="multilevel"/>
    <w:tmpl w:val="24BD1450"/>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24FB5990"/>
    <w:multiLevelType w:val="multilevel"/>
    <w:tmpl w:val="24FB5990"/>
    <w:lvl w:ilvl="0">
      <w:start w:val="3"/>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53F1A56"/>
    <w:multiLevelType w:val="multilevel"/>
    <w:tmpl w:val="253F1A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6072691"/>
    <w:multiLevelType w:val="multilevel"/>
    <w:tmpl w:val="26072691"/>
    <w:lvl w:ilvl="0">
      <w:start w:val="1"/>
      <w:numFmt w:val="none"/>
      <w:lvlText w:val="(3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D86FF8"/>
    <w:multiLevelType w:val="multilevel"/>
    <w:tmpl w:val="26D86FF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70F3104"/>
    <w:multiLevelType w:val="multilevel"/>
    <w:tmpl w:val="270F3104"/>
    <w:lvl w:ilvl="0">
      <w:start w:val="1"/>
      <w:numFmt w:val="none"/>
      <w:lvlText w:val="(1a)"/>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7965AEE"/>
    <w:multiLevelType w:val="multilevel"/>
    <w:tmpl w:val="27965AEE"/>
    <w:lvl w:ilvl="0">
      <w:start w:val="3"/>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87D7EB2"/>
    <w:multiLevelType w:val="multilevel"/>
    <w:tmpl w:val="287D7EB2"/>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15:restartNumberingAfterBreak="0">
    <w:nsid w:val="28C0156C"/>
    <w:multiLevelType w:val="multilevel"/>
    <w:tmpl w:val="28C0156C"/>
    <w:lvl w:ilvl="0">
      <w:start w:val="22"/>
      <w:numFmt w:val="none"/>
      <w:lvlText w:val="(ab)"/>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9100BBB"/>
    <w:multiLevelType w:val="multilevel"/>
    <w:tmpl w:val="29100BB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9E73CA4"/>
    <w:multiLevelType w:val="multilevel"/>
    <w:tmpl w:val="29E73CA4"/>
    <w:lvl w:ilvl="0">
      <w:start w:val="8"/>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A8C756F"/>
    <w:multiLevelType w:val="multilevel"/>
    <w:tmpl w:val="2A8C756F"/>
    <w:lvl w:ilvl="0">
      <w:start w:val="1"/>
      <w:numFmt w:val="none"/>
      <w:lvlText w:val="(3b)"/>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AC20A15"/>
    <w:multiLevelType w:val="multilevel"/>
    <w:tmpl w:val="2AC20A15"/>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B6158FF"/>
    <w:multiLevelType w:val="hybridMultilevel"/>
    <w:tmpl w:val="37C8594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3" w15:restartNumberingAfterBreak="0">
    <w:nsid w:val="2BFD512A"/>
    <w:multiLevelType w:val="multilevel"/>
    <w:tmpl w:val="2BFD51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C0E58FA"/>
    <w:multiLevelType w:val="hybridMultilevel"/>
    <w:tmpl w:val="A85C5BBA"/>
    <w:lvl w:ilvl="0" w:tplc="C7686C04">
      <w:start w:val="1"/>
      <w:numFmt w:val="lowerRoman"/>
      <w:lvlText w:val="(%1)"/>
      <w:lvlJc w:val="left"/>
      <w:pPr>
        <w:ind w:left="3240" w:hanging="360"/>
      </w:pPr>
      <w:rPr>
        <w:rFonts w:ascii="Times New Roman" w:eastAsia="Times New Roman" w:hAnsi="Times New Roman" w:cs="Times New Roman"/>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5" w15:restartNumberingAfterBreak="0">
    <w:nsid w:val="2C1A10DF"/>
    <w:multiLevelType w:val="multilevel"/>
    <w:tmpl w:val="2C1A10DF"/>
    <w:lvl w:ilvl="0">
      <w:start w:val="9"/>
      <w:numFmt w:val="lowerLetter"/>
      <w:lvlText w:val="(%1)"/>
      <w:lvlJc w:val="left"/>
      <w:pPr>
        <w:ind w:left="1440" w:hanging="360"/>
      </w:pPr>
      <w:rPr>
        <w:rFonts w:eastAsia="Arial Unicode MS" w:hint="default"/>
        <w:color w:val="33333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6" w15:restartNumberingAfterBreak="0">
    <w:nsid w:val="2D792D9F"/>
    <w:multiLevelType w:val="multilevel"/>
    <w:tmpl w:val="2D792D9F"/>
    <w:lvl w:ilvl="0">
      <w:start w:val="1"/>
      <w:numFmt w:val="none"/>
      <w:lvlText w:val="(ag)"/>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DAF3FE0"/>
    <w:multiLevelType w:val="multilevel"/>
    <w:tmpl w:val="2DAF3FE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8" w15:restartNumberingAfterBreak="0">
    <w:nsid w:val="2E512873"/>
    <w:multiLevelType w:val="multilevel"/>
    <w:tmpl w:val="2E51287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9" w15:restartNumberingAfterBreak="0">
    <w:nsid w:val="2E9F33B9"/>
    <w:multiLevelType w:val="multilevel"/>
    <w:tmpl w:val="2E9F33B9"/>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F9A5B74"/>
    <w:multiLevelType w:val="hybridMultilevel"/>
    <w:tmpl w:val="0B2C05B8"/>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101" w15:restartNumberingAfterBreak="0">
    <w:nsid w:val="2FA32BE3"/>
    <w:multiLevelType w:val="multilevel"/>
    <w:tmpl w:val="2FA32B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30F5567E"/>
    <w:multiLevelType w:val="hybridMultilevel"/>
    <w:tmpl w:val="B9FEC1CA"/>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103" w15:restartNumberingAfterBreak="0">
    <w:nsid w:val="31D277B8"/>
    <w:multiLevelType w:val="multilevel"/>
    <w:tmpl w:val="31D277B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4" w15:restartNumberingAfterBreak="0">
    <w:nsid w:val="320C4376"/>
    <w:multiLevelType w:val="multilevel"/>
    <w:tmpl w:val="320C437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5" w15:restartNumberingAfterBreak="0">
    <w:nsid w:val="322A295C"/>
    <w:multiLevelType w:val="hybridMultilevel"/>
    <w:tmpl w:val="BBC27204"/>
    <w:lvl w:ilvl="0" w:tplc="C7686C04">
      <w:start w:val="1"/>
      <w:numFmt w:val="lowerRoman"/>
      <w:lvlText w:val="(%1)"/>
      <w:lvlJc w:val="left"/>
      <w:pPr>
        <w:ind w:left="3254" w:hanging="360"/>
      </w:pPr>
      <w:rPr>
        <w:rFonts w:ascii="Times New Roman" w:eastAsia="Times New Roman" w:hAnsi="Times New Roman" w:cs="Times New Roman"/>
      </w:rPr>
    </w:lvl>
    <w:lvl w:ilvl="1" w:tplc="04190019" w:tentative="1">
      <w:start w:val="1"/>
      <w:numFmt w:val="lowerLetter"/>
      <w:lvlText w:val="%2."/>
      <w:lvlJc w:val="left"/>
      <w:pPr>
        <w:ind w:left="3974" w:hanging="360"/>
      </w:pPr>
    </w:lvl>
    <w:lvl w:ilvl="2" w:tplc="0419001B" w:tentative="1">
      <w:start w:val="1"/>
      <w:numFmt w:val="lowerRoman"/>
      <w:lvlText w:val="%3."/>
      <w:lvlJc w:val="right"/>
      <w:pPr>
        <w:ind w:left="4694" w:hanging="180"/>
      </w:pPr>
    </w:lvl>
    <w:lvl w:ilvl="3" w:tplc="0419000F" w:tentative="1">
      <w:start w:val="1"/>
      <w:numFmt w:val="decimal"/>
      <w:lvlText w:val="%4."/>
      <w:lvlJc w:val="left"/>
      <w:pPr>
        <w:ind w:left="5414" w:hanging="360"/>
      </w:pPr>
    </w:lvl>
    <w:lvl w:ilvl="4" w:tplc="04190019" w:tentative="1">
      <w:start w:val="1"/>
      <w:numFmt w:val="lowerLetter"/>
      <w:lvlText w:val="%5."/>
      <w:lvlJc w:val="left"/>
      <w:pPr>
        <w:ind w:left="6134" w:hanging="360"/>
      </w:pPr>
    </w:lvl>
    <w:lvl w:ilvl="5" w:tplc="0419001B" w:tentative="1">
      <w:start w:val="1"/>
      <w:numFmt w:val="lowerRoman"/>
      <w:lvlText w:val="%6."/>
      <w:lvlJc w:val="right"/>
      <w:pPr>
        <w:ind w:left="6854" w:hanging="180"/>
      </w:pPr>
    </w:lvl>
    <w:lvl w:ilvl="6" w:tplc="0419000F" w:tentative="1">
      <w:start w:val="1"/>
      <w:numFmt w:val="decimal"/>
      <w:lvlText w:val="%7."/>
      <w:lvlJc w:val="left"/>
      <w:pPr>
        <w:ind w:left="7574" w:hanging="360"/>
      </w:pPr>
    </w:lvl>
    <w:lvl w:ilvl="7" w:tplc="04190019" w:tentative="1">
      <w:start w:val="1"/>
      <w:numFmt w:val="lowerLetter"/>
      <w:lvlText w:val="%8."/>
      <w:lvlJc w:val="left"/>
      <w:pPr>
        <w:ind w:left="8294" w:hanging="360"/>
      </w:pPr>
    </w:lvl>
    <w:lvl w:ilvl="8" w:tplc="0419001B" w:tentative="1">
      <w:start w:val="1"/>
      <w:numFmt w:val="lowerRoman"/>
      <w:lvlText w:val="%9."/>
      <w:lvlJc w:val="right"/>
      <w:pPr>
        <w:ind w:left="9014" w:hanging="180"/>
      </w:pPr>
    </w:lvl>
  </w:abstractNum>
  <w:abstractNum w:abstractNumId="106" w15:restartNumberingAfterBreak="0">
    <w:nsid w:val="322E59F3"/>
    <w:multiLevelType w:val="multilevel"/>
    <w:tmpl w:val="322E59F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2301EDE"/>
    <w:multiLevelType w:val="multilevel"/>
    <w:tmpl w:val="32301EDE"/>
    <w:lvl w:ilvl="0">
      <w:start w:val="1"/>
      <w:numFmt w:val="lowerLetter"/>
      <w:lvlText w:val="(%1)"/>
      <w:lvlJc w:val="left"/>
      <w:pPr>
        <w:ind w:left="1440" w:hanging="360"/>
      </w:pPr>
      <w:rPr>
        <w:rFonts w:hint="default"/>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15:restartNumberingAfterBreak="0">
    <w:nsid w:val="32AC2573"/>
    <w:multiLevelType w:val="multilevel"/>
    <w:tmpl w:val="32AC2573"/>
    <w:lvl w:ilvl="0">
      <w:start w:val="1"/>
      <w:numFmt w:val="none"/>
      <w:lvlText w:val="B."/>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36B3A7A"/>
    <w:multiLevelType w:val="multilevel"/>
    <w:tmpl w:val="336B3A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3BE4F26"/>
    <w:multiLevelType w:val="multilevel"/>
    <w:tmpl w:val="33BE4F2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1" w15:restartNumberingAfterBreak="0">
    <w:nsid w:val="34821040"/>
    <w:multiLevelType w:val="multilevel"/>
    <w:tmpl w:val="34821040"/>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2" w15:restartNumberingAfterBreak="0">
    <w:nsid w:val="348B0267"/>
    <w:multiLevelType w:val="multilevel"/>
    <w:tmpl w:val="348B0267"/>
    <w:lvl w:ilvl="0">
      <w:start w:val="1"/>
      <w:numFmt w:val="lowerLetter"/>
      <w:lvlText w:val="(%1)"/>
      <w:lvlJc w:val="left"/>
      <w:pPr>
        <w:ind w:left="720" w:hanging="360"/>
      </w:pPr>
      <w:rPr>
        <w:rFonts w:eastAsia="Arial Unicode M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62F6ACE"/>
    <w:multiLevelType w:val="multilevel"/>
    <w:tmpl w:val="362F6AC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656445C"/>
    <w:multiLevelType w:val="multilevel"/>
    <w:tmpl w:val="365644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7AC7D31"/>
    <w:multiLevelType w:val="hybridMultilevel"/>
    <w:tmpl w:val="0C6CFB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7E92529"/>
    <w:multiLevelType w:val="multilevel"/>
    <w:tmpl w:val="37E92529"/>
    <w:lvl w:ilvl="0">
      <w:start w:val="1"/>
      <w:numFmt w:val="none"/>
      <w:lvlText w:val="(3a)"/>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8FE29A6"/>
    <w:multiLevelType w:val="hybridMultilevel"/>
    <w:tmpl w:val="22B4A0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3A132705"/>
    <w:multiLevelType w:val="multilevel"/>
    <w:tmpl w:val="3A13270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A2D1D94"/>
    <w:multiLevelType w:val="hybridMultilevel"/>
    <w:tmpl w:val="E43419FE"/>
    <w:lvl w:ilvl="0" w:tplc="C7686C04">
      <w:start w:val="1"/>
      <w:numFmt w:val="lowerRoman"/>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15:restartNumberingAfterBreak="0">
    <w:nsid w:val="3AB90998"/>
    <w:multiLevelType w:val="multilevel"/>
    <w:tmpl w:val="3AB90998"/>
    <w:lvl w:ilvl="0">
      <w:start w:val="8"/>
      <w:numFmt w:val="none"/>
      <w:lvlText w:val="(8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B6A1365"/>
    <w:multiLevelType w:val="multilevel"/>
    <w:tmpl w:val="3B6A1365"/>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B7715F0"/>
    <w:multiLevelType w:val="multilevel"/>
    <w:tmpl w:val="3B7715F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D83090D"/>
    <w:multiLevelType w:val="hybridMultilevel"/>
    <w:tmpl w:val="A4A838BC"/>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24" w15:restartNumberingAfterBreak="0">
    <w:nsid w:val="3DDF5F1F"/>
    <w:multiLevelType w:val="hybridMultilevel"/>
    <w:tmpl w:val="4E4AED5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3E771276"/>
    <w:multiLevelType w:val="multilevel"/>
    <w:tmpl w:val="3E77127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6" w15:restartNumberingAfterBreak="0">
    <w:nsid w:val="3E97583A"/>
    <w:multiLevelType w:val="multilevel"/>
    <w:tmpl w:val="3E97583A"/>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7" w15:restartNumberingAfterBreak="0">
    <w:nsid w:val="3EC136EB"/>
    <w:multiLevelType w:val="multilevel"/>
    <w:tmpl w:val="3EC136EB"/>
    <w:lvl w:ilvl="0">
      <w:start w:val="1"/>
      <w:numFmt w:val="none"/>
      <w:lvlText w:val="(1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F0B3C80"/>
    <w:multiLevelType w:val="multilevel"/>
    <w:tmpl w:val="3F0B3C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F834218"/>
    <w:multiLevelType w:val="hybridMultilevel"/>
    <w:tmpl w:val="6512F75A"/>
    <w:lvl w:ilvl="0" w:tplc="E6D28EF8">
      <w:start w:val="1"/>
      <w:numFmt w:val="lowerLetter"/>
      <w:lvlText w:val="%1)"/>
      <w:lvlJc w:val="left"/>
      <w:pPr>
        <w:ind w:left="1984" w:hanging="360"/>
      </w:pPr>
      <w:rPr>
        <w:b w:val="0"/>
        <w:bCs w:val="0"/>
      </w:rPr>
    </w:lvl>
    <w:lvl w:ilvl="1" w:tplc="04190019" w:tentative="1">
      <w:start w:val="1"/>
      <w:numFmt w:val="lowerLetter"/>
      <w:lvlText w:val="%2."/>
      <w:lvlJc w:val="left"/>
      <w:pPr>
        <w:ind w:left="2704" w:hanging="360"/>
      </w:pPr>
    </w:lvl>
    <w:lvl w:ilvl="2" w:tplc="0419001B" w:tentative="1">
      <w:start w:val="1"/>
      <w:numFmt w:val="lowerRoman"/>
      <w:lvlText w:val="%3."/>
      <w:lvlJc w:val="right"/>
      <w:pPr>
        <w:ind w:left="3424" w:hanging="180"/>
      </w:pPr>
    </w:lvl>
    <w:lvl w:ilvl="3" w:tplc="0419000F" w:tentative="1">
      <w:start w:val="1"/>
      <w:numFmt w:val="decimal"/>
      <w:lvlText w:val="%4."/>
      <w:lvlJc w:val="left"/>
      <w:pPr>
        <w:ind w:left="4144" w:hanging="360"/>
      </w:pPr>
    </w:lvl>
    <w:lvl w:ilvl="4" w:tplc="04190019" w:tentative="1">
      <w:start w:val="1"/>
      <w:numFmt w:val="lowerLetter"/>
      <w:lvlText w:val="%5."/>
      <w:lvlJc w:val="left"/>
      <w:pPr>
        <w:ind w:left="4864" w:hanging="360"/>
      </w:pPr>
    </w:lvl>
    <w:lvl w:ilvl="5" w:tplc="0419001B" w:tentative="1">
      <w:start w:val="1"/>
      <w:numFmt w:val="lowerRoman"/>
      <w:lvlText w:val="%6."/>
      <w:lvlJc w:val="right"/>
      <w:pPr>
        <w:ind w:left="5584" w:hanging="180"/>
      </w:pPr>
    </w:lvl>
    <w:lvl w:ilvl="6" w:tplc="0419000F" w:tentative="1">
      <w:start w:val="1"/>
      <w:numFmt w:val="decimal"/>
      <w:lvlText w:val="%7."/>
      <w:lvlJc w:val="left"/>
      <w:pPr>
        <w:ind w:left="6304" w:hanging="360"/>
      </w:pPr>
    </w:lvl>
    <w:lvl w:ilvl="7" w:tplc="04190019" w:tentative="1">
      <w:start w:val="1"/>
      <w:numFmt w:val="lowerLetter"/>
      <w:lvlText w:val="%8."/>
      <w:lvlJc w:val="left"/>
      <w:pPr>
        <w:ind w:left="7024" w:hanging="360"/>
      </w:pPr>
    </w:lvl>
    <w:lvl w:ilvl="8" w:tplc="0419001B" w:tentative="1">
      <w:start w:val="1"/>
      <w:numFmt w:val="lowerRoman"/>
      <w:lvlText w:val="%9."/>
      <w:lvlJc w:val="right"/>
      <w:pPr>
        <w:ind w:left="7744" w:hanging="180"/>
      </w:pPr>
    </w:lvl>
  </w:abstractNum>
  <w:abstractNum w:abstractNumId="130" w15:restartNumberingAfterBreak="0">
    <w:nsid w:val="3FD46793"/>
    <w:multiLevelType w:val="multilevel"/>
    <w:tmpl w:val="3FD46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FE21358"/>
    <w:multiLevelType w:val="multilevel"/>
    <w:tmpl w:val="3FE21358"/>
    <w:lvl w:ilvl="0">
      <w:start w:val="1"/>
      <w:numFmt w:val="none"/>
      <w:lvlText w:val="- "/>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FE86AEE"/>
    <w:multiLevelType w:val="multilevel"/>
    <w:tmpl w:val="3FE86AEE"/>
    <w:lvl w:ilvl="0">
      <w:start w:val="1"/>
      <w:numFmt w:val="lowerLetter"/>
      <w:lvlText w:val="(%1)"/>
      <w:lvlJc w:val="left"/>
      <w:pPr>
        <w:ind w:left="1440" w:hanging="360"/>
      </w:pPr>
      <w:rPr>
        <w:rFonts w:eastAsia="Arial Unicode MS" w:hint="default"/>
        <w:color w:val="33333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3" w15:restartNumberingAfterBreak="0">
    <w:nsid w:val="407E606B"/>
    <w:multiLevelType w:val="multilevel"/>
    <w:tmpl w:val="407E606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4" w15:restartNumberingAfterBreak="0">
    <w:nsid w:val="40D97FFC"/>
    <w:multiLevelType w:val="multilevel"/>
    <w:tmpl w:val="40D97FF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5" w15:restartNumberingAfterBreak="0">
    <w:nsid w:val="41713C4A"/>
    <w:multiLevelType w:val="multilevel"/>
    <w:tmpl w:val="41713C4A"/>
    <w:lvl w:ilvl="0">
      <w:start w:val="1"/>
      <w:numFmt w:val="lowerLetter"/>
      <w:lvlText w:val="(%1)"/>
      <w:lvlJc w:val="left"/>
      <w:pPr>
        <w:ind w:left="1440" w:hanging="360"/>
      </w:pPr>
      <w:rPr>
        <w:rFonts w:ascii="Times New Roman" w:hAnsi="Times New Roman" w:cs="Times New Roman" w:hint="default"/>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6" w15:restartNumberingAfterBreak="0">
    <w:nsid w:val="41CB3D2D"/>
    <w:multiLevelType w:val="multilevel"/>
    <w:tmpl w:val="41CB3D2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427A0906"/>
    <w:multiLevelType w:val="multilevel"/>
    <w:tmpl w:val="427A0906"/>
    <w:lvl w:ilvl="0">
      <w:start w:val="1"/>
      <w:numFmt w:val="none"/>
      <w:lvlText w:val="D."/>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2991D55"/>
    <w:multiLevelType w:val="multilevel"/>
    <w:tmpl w:val="42991D5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9" w15:restartNumberingAfterBreak="0">
    <w:nsid w:val="42BB52B9"/>
    <w:multiLevelType w:val="multilevel"/>
    <w:tmpl w:val="42BB52B9"/>
    <w:lvl w:ilvl="0">
      <w:start w:val="6"/>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2FE5877"/>
    <w:multiLevelType w:val="multilevel"/>
    <w:tmpl w:val="42FE5877"/>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33C1CA5"/>
    <w:multiLevelType w:val="multilevel"/>
    <w:tmpl w:val="433C1CA5"/>
    <w:lvl w:ilvl="0">
      <w:start w:val="4"/>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43611332"/>
    <w:multiLevelType w:val="multilevel"/>
    <w:tmpl w:val="4361133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3" w15:restartNumberingAfterBreak="0">
    <w:nsid w:val="43997FA0"/>
    <w:multiLevelType w:val="multilevel"/>
    <w:tmpl w:val="43997FA0"/>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4315C4B"/>
    <w:multiLevelType w:val="multilevel"/>
    <w:tmpl w:val="44315C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44CC04FD"/>
    <w:multiLevelType w:val="hybridMultilevel"/>
    <w:tmpl w:val="833272E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6" w15:restartNumberingAfterBreak="0">
    <w:nsid w:val="459C388B"/>
    <w:multiLevelType w:val="multilevel"/>
    <w:tmpl w:val="459C388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7B51F83"/>
    <w:multiLevelType w:val="multilevel"/>
    <w:tmpl w:val="47B51F8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8" w15:restartNumberingAfterBreak="0">
    <w:nsid w:val="494E74EF"/>
    <w:multiLevelType w:val="multilevel"/>
    <w:tmpl w:val="494E74EF"/>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49B56D8E"/>
    <w:multiLevelType w:val="multilevel"/>
    <w:tmpl w:val="49B56D8E"/>
    <w:lvl w:ilvl="0">
      <w:start w:val="1"/>
      <w:numFmt w:val="none"/>
      <w:lvlText w:val="(ha)"/>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4A474313"/>
    <w:multiLevelType w:val="hybridMultilevel"/>
    <w:tmpl w:val="5C48CB5A"/>
    <w:lvl w:ilvl="0" w:tplc="B2028FDA">
      <w:start w:val="1"/>
      <w:numFmt w:val="decimal"/>
      <w:lvlText w:val="(%1)"/>
      <w:lvlJc w:val="left"/>
      <w:pPr>
        <w:ind w:left="1364" w:hanging="360"/>
      </w:pPr>
      <w:rPr>
        <w:rFonts w:ascii="Times New Roman" w:eastAsia="SimSun"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1" w15:restartNumberingAfterBreak="0">
    <w:nsid w:val="4AC36C64"/>
    <w:multiLevelType w:val="multilevel"/>
    <w:tmpl w:val="4AC36C64"/>
    <w:lvl w:ilvl="0">
      <w:start w:val="22"/>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B280062"/>
    <w:multiLevelType w:val="multilevel"/>
    <w:tmpl w:val="4B280062"/>
    <w:lvl w:ilvl="0">
      <w:start w:val="6"/>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B565FC4"/>
    <w:multiLevelType w:val="multilevel"/>
    <w:tmpl w:val="4B565FC4"/>
    <w:lvl w:ilvl="0">
      <w:start w:val="1"/>
      <w:numFmt w:val="lowerRoman"/>
      <w:lvlText w:val="(%1)"/>
      <w:lvlJc w:val="left"/>
      <w:pPr>
        <w:ind w:left="2160" w:hanging="360"/>
      </w:pPr>
      <w:rPr>
        <w:rFonts w:eastAsia="Arial Unicode MS" w:hint="default"/>
        <w:i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4" w15:restartNumberingAfterBreak="0">
    <w:nsid w:val="4BE4419E"/>
    <w:multiLevelType w:val="multilevel"/>
    <w:tmpl w:val="4BE4419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15:restartNumberingAfterBreak="0">
    <w:nsid w:val="4C0B083B"/>
    <w:multiLevelType w:val="multilevel"/>
    <w:tmpl w:val="4C0B08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C534C4B"/>
    <w:multiLevelType w:val="multilevel"/>
    <w:tmpl w:val="4C534C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CF22001"/>
    <w:multiLevelType w:val="multilevel"/>
    <w:tmpl w:val="4CF22001"/>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4DDB7DEE"/>
    <w:multiLevelType w:val="multilevel"/>
    <w:tmpl w:val="4DDB7D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F0D62EC"/>
    <w:multiLevelType w:val="multilevel"/>
    <w:tmpl w:val="4F0D62E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0" w15:restartNumberingAfterBreak="0">
    <w:nsid w:val="50AB093F"/>
    <w:multiLevelType w:val="multilevel"/>
    <w:tmpl w:val="50AB093F"/>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1A31CF8"/>
    <w:multiLevelType w:val="multilevel"/>
    <w:tmpl w:val="51A31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293211C"/>
    <w:multiLevelType w:val="hybridMultilevel"/>
    <w:tmpl w:val="BC221406"/>
    <w:lvl w:ilvl="0" w:tplc="66D22612">
      <w:start w:val="1"/>
      <w:numFmt w:val="decimal"/>
      <w:lvlText w:val="(%1)"/>
      <w:lvlJc w:val="left"/>
      <w:pPr>
        <w:ind w:left="1211" w:hanging="360"/>
      </w:pPr>
      <w:rPr>
        <w:rFonts w:ascii="Times New Roman" w:hAnsi="Times New Roman" w:cs="Times New Roman" w:hint="default"/>
        <w:sz w:val="20"/>
        <w:szCs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15:restartNumberingAfterBreak="0">
    <w:nsid w:val="52AD70D4"/>
    <w:multiLevelType w:val="multilevel"/>
    <w:tmpl w:val="52AD70D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4" w15:restartNumberingAfterBreak="0">
    <w:nsid w:val="53AA60B2"/>
    <w:multiLevelType w:val="multilevel"/>
    <w:tmpl w:val="53AA60B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5" w15:restartNumberingAfterBreak="0">
    <w:nsid w:val="53E65D97"/>
    <w:multiLevelType w:val="multilevel"/>
    <w:tmpl w:val="53E65D97"/>
    <w:lvl w:ilvl="0">
      <w:start w:val="5"/>
      <w:numFmt w:val="none"/>
      <w:lvlText w:val="(5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43E0E12"/>
    <w:multiLevelType w:val="multilevel"/>
    <w:tmpl w:val="543E0E12"/>
    <w:lvl w:ilvl="0">
      <w:start w:val="1"/>
      <w:numFmt w:val="lowerLetter"/>
      <w:lvlText w:val="(%1)"/>
      <w:lvlJc w:val="left"/>
      <w:pPr>
        <w:ind w:left="1440" w:hanging="360"/>
      </w:pPr>
      <w:rPr>
        <w:rFonts w:eastAsia="Arial Unicode MS" w:hint="default"/>
        <w:color w:val="33333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7" w15:restartNumberingAfterBreak="0">
    <w:nsid w:val="552F2FFF"/>
    <w:multiLevelType w:val="multilevel"/>
    <w:tmpl w:val="552F2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5654868"/>
    <w:multiLevelType w:val="multilevel"/>
    <w:tmpl w:val="55654868"/>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5CC4011"/>
    <w:multiLevelType w:val="hybridMultilevel"/>
    <w:tmpl w:val="842866E4"/>
    <w:lvl w:ilvl="0" w:tplc="C25CD21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668238D"/>
    <w:multiLevelType w:val="hybridMultilevel"/>
    <w:tmpl w:val="0B2C05B8"/>
    <w:lvl w:ilvl="0" w:tplc="FFFFFFFF">
      <w:start w:val="1"/>
      <w:numFmt w:val="lowerLetter"/>
      <w:lvlText w:val="%1)"/>
      <w:lvlJc w:val="left"/>
      <w:pPr>
        <w:ind w:left="2534" w:hanging="360"/>
      </w:p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171" w15:restartNumberingAfterBreak="0">
    <w:nsid w:val="57360884"/>
    <w:multiLevelType w:val="multilevel"/>
    <w:tmpl w:val="5736088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73C5922"/>
    <w:multiLevelType w:val="multilevel"/>
    <w:tmpl w:val="573C5922"/>
    <w:lvl w:ilvl="0">
      <w:start w:val="1"/>
      <w:numFmt w:val="none"/>
      <w:lvlText w:val="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57AD6199"/>
    <w:multiLevelType w:val="multilevel"/>
    <w:tmpl w:val="57AD6199"/>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7B348B8"/>
    <w:multiLevelType w:val="multilevel"/>
    <w:tmpl w:val="57B34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57F63332"/>
    <w:multiLevelType w:val="multilevel"/>
    <w:tmpl w:val="57F63332"/>
    <w:lvl w:ilvl="0">
      <w:start w:val="1"/>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8450651"/>
    <w:multiLevelType w:val="multilevel"/>
    <w:tmpl w:val="584506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8E458CF"/>
    <w:multiLevelType w:val="multilevel"/>
    <w:tmpl w:val="58E458CF"/>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59F711DA"/>
    <w:multiLevelType w:val="multilevel"/>
    <w:tmpl w:val="59F711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5A4F45AD"/>
    <w:multiLevelType w:val="multilevel"/>
    <w:tmpl w:val="5A4F45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A5A7237"/>
    <w:multiLevelType w:val="multilevel"/>
    <w:tmpl w:val="5A5A72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5B7E3B68"/>
    <w:multiLevelType w:val="multilevel"/>
    <w:tmpl w:val="5B7E3B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B934E62"/>
    <w:multiLevelType w:val="multilevel"/>
    <w:tmpl w:val="5B934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5CAF016B"/>
    <w:multiLevelType w:val="multilevel"/>
    <w:tmpl w:val="5CAF016B"/>
    <w:lvl w:ilvl="0">
      <w:start w:val="22"/>
      <w:numFmt w:val="none"/>
      <w:lvlText w:val="(ae)"/>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CBC691D"/>
    <w:multiLevelType w:val="multilevel"/>
    <w:tmpl w:val="5CBC691D"/>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DD74153"/>
    <w:multiLevelType w:val="multilevel"/>
    <w:tmpl w:val="5DD7415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5E0B1A02"/>
    <w:multiLevelType w:val="multilevel"/>
    <w:tmpl w:val="5E0B1A02"/>
    <w:lvl w:ilvl="0">
      <w:start w:val="1"/>
      <w:numFmt w:val="lowerRoman"/>
      <w:lvlText w:val="(%1)"/>
      <w:lvlJc w:val="left"/>
      <w:pPr>
        <w:ind w:left="2160" w:hanging="360"/>
      </w:pPr>
      <w:rPr>
        <w:rFonts w:eastAsia="Arial Unicode MS" w:hint="default"/>
        <w:i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7" w15:restartNumberingAfterBreak="0">
    <w:nsid w:val="5E313B03"/>
    <w:multiLevelType w:val="hybridMultilevel"/>
    <w:tmpl w:val="4E4AED5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8" w15:restartNumberingAfterBreak="0">
    <w:nsid w:val="5E7E53B1"/>
    <w:multiLevelType w:val="multilevel"/>
    <w:tmpl w:val="5E7E53B1"/>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5EDC5A26"/>
    <w:multiLevelType w:val="hybridMultilevel"/>
    <w:tmpl w:val="33280738"/>
    <w:lvl w:ilvl="0" w:tplc="C7686C04">
      <w:start w:val="1"/>
      <w:numFmt w:val="lowerRoman"/>
      <w:lvlText w:val="(%1)"/>
      <w:lvlJc w:val="left"/>
      <w:pPr>
        <w:ind w:left="3254" w:hanging="360"/>
      </w:pPr>
      <w:rPr>
        <w:rFonts w:ascii="Times New Roman" w:eastAsia="Times New Roman" w:hAnsi="Times New Roman" w:cs="Times New Roman"/>
      </w:rPr>
    </w:lvl>
    <w:lvl w:ilvl="1" w:tplc="04190019" w:tentative="1">
      <w:start w:val="1"/>
      <w:numFmt w:val="lowerLetter"/>
      <w:lvlText w:val="%2."/>
      <w:lvlJc w:val="left"/>
      <w:pPr>
        <w:ind w:left="3974" w:hanging="360"/>
      </w:pPr>
    </w:lvl>
    <w:lvl w:ilvl="2" w:tplc="0419001B" w:tentative="1">
      <w:start w:val="1"/>
      <w:numFmt w:val="lowerRoman"/>
      <w:lvlText w:val="%3."/>
      <w:lvlJc w:val="right"/>
      <w:pPr>
        <w:ind w:left="4694" w:hanging="180"/>
      </w:pPr>
    </w:lvl>
    <w:lvl w:ilvl="3" w:tplc="0419000F" w:tentative="1">
      <w:start w:val="1"/>
      <w:numFmt w:val="decimal"/>
      <w:lvlText w:val="%4."/>
      <w:lvlJc w:val="left"/>
      <w:pPr>
        <w:ind w:left="5414" w:hanging="360"/>
      </w:pPr>
    </w:lvl>
    <w:lvl w:ilvl="4" w:tplc="04190019" w:tentative="1">
      <w:start w:val="1"/>
      <w:numFmt w:val="lowerLetter"/>
      <w:lvlText w:val="%5."/>
      <w:lvlJc w:val="left"/>
      <w:pPr>
        <w:ind w:left="6134" w:hanging="360"/>
      </w:pPr>
    </w:lvl>
    <w:lvl w:ilvl="5" w:tplc="0419001B" w:tentative="1">
      <w:start w:val="1"/>
      <w:numFmt w:val="lowerRoman"/>
      <w:lvlText w:val="%6."/>
      <w:lvlJc w:val="right"/>
      <w:pPr>
        <w:ind w:left="6854" w:hanging="180"/>
      </w:pPr>
    </w:lvl>
    <w:lvl w:ilvl="6" w:tplc="0419000F" w:tentative="1">
      <w:start w:val="1"/>
      <w:numFmt w:val="decimal"/>
      <w:lvlText w:val="%7."/>
      <w:lvlJc w:val="left"/>
      <w:pPr>
        <w:ind w:left="7574" w:hanging="360"/>
      </w:pPr>
    </w:lvl>
    <w:lvl w:ilvl="7" w:tplc="04190019" w:tentative="1">
      <w:start w:val="1"/>
      <w:numFmt w:val="lowerLetter"/>
      <w:lvlText w:val="%8."/>
      <w:lvlJc w:val="left"/>
      <w:pPr>
        <w:ind w:left="8294" w:hanging="360"/>
      </w:pPr>
    </w:lvl>
    <w:lvl w:ilvl="8" w:tplc="0419001B" w:tentative="1">
      <w:start w:val="1"/>
      <w:numFmt w:val="lowerRoman"/>
      <w:lvlText w:val="%9."/>
      <w:lvlJc w:val="right"/>
      <w:pPr>
        <w:ind w:left="9014" w:hanging="180"/>
      </w:pPr>
    </w:lvl>
  </w:abstractNum>
  <w:abstractNum w:abstractNumId="190" w15:restartNumberingAfterBreak="0">
    <w:nsid w:val="5F046F65"/>
    <w:multiLevelType w:val="multilevel"/>
    <w:tmpl w:val="5F046F6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1" w15:restartNumberingAfterBreak="0">
    <w:nsid w:val="5FA9321F"/>
    <w:multiLevelType w:val="multilevel"/>
    <w:tmpl w:val="5FA9321F"/>
    <w:lvl w:ilvl="0">
      <w:start w:val="5"/>
      <w:numFmt w:val="none"/>
      <w:lvlText w:val="(5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5FC605B8"/>
    <w:multiLevelType w:val="multilevel"/>
    <w:tmpl w:val="5FC605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01A08E6"/>
    <w:multiLevelType w:val="multilevel"/>
    <w:tmpl w:val="601A08E6"/>
    <w:lvl w:ilvl="0">
      <w:start w:val="22"/>
      <w:numFmt w:val="none"/>
      <w:lvlText w:val="(ac)"/>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10C555A"/>
    <w:multiLevelType w:val="multilevel"/>
    <w:tmpl w:val="610C555A"/>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5" w15:restartNumberingAfterBreak="0">
    <w:nsid w:val="61B93E1B"/>
    <w:multiLevelType w:val="multilevel"/>
    <w:tmpl w:val="61B93E1B"/>
    <w:lvl w:ilvl="0">
      <w:start w:val="3"/>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2686E32"/>
    <w:multiLevelType w:val="hybridMultilevel"/>
    <w:tmpl w:val="810C2904"/>
    <w:lvl w:ilvl="0" w:tplc="C7686C04">
      <w:start w:val="1"/>
      <w:numFmt w:val="lowerRoman"/>
      <w:lvlText w:val="(%1)"/>
      <w:lvlJc w:val="left"/>
      <w:pPr>
        <w:ind w:left="3240" w:hanging="360"/>
      </w:pPr>
      <w:rPr>
        <w:rFonts w:ascii="Times New Roman" w:eastAsia="Times New Roman" w:hAnsi="Times New Roman" w:cs="Times New Roman"/>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97" w15:restartNumberingAfterBreak="0">
    <w:nsid w:val="6337106C"/>
    <w:multiLevelType w:val="multilevel"/>
    <w:tmpl w:val="6337106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3771524"/>
    <w:multiLevelType w:val="multilevel"/>
    <w:tmpl w:val="6377152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37D0EA9"/>
    <w:multiLevelType w:val="multilevel"/>
    <w:tmpl w:val="637D0EA9"/>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3EC278C"/>
    <w:multiLevelType w:val="multilevel"/>
    <w:tmpl w:val="63EC278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1" w15:restartNumberingAfterBreak="0">
    <w:nsid w:val="64BD762F"/>
    <w:multiLevelType w:val="multilevel"/>
    <w:tmpl w:val="64BD762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2" w15:restartNumberingAfterBreak="0">
    <w:nsid w:val="64D33B98"/>
    <w:multiLevelType w:val="hybridMultilevel"/>
    <w:tmpl w:val="03C4F3DA"/>
    <w:lvl w:ilvl="0" w:tplc="C7686C04">
      <w:start w:val="1"/>
      <w:numFmt w:val="lowerRoman"/>
      <w:lvlText w:val="(%1)"/>
      <w:lvlJc w:val="left"/>
      <w:pPr>
        <w:ind w:left="3240" w:hanging="360"/>
      </w:pPr>
      <w:rPr>
        <w:rFonts w:ascii="Times New Roman" w:eastAsia="Times New Roman" w:hAnsi="Times New Roman" w:cs="Times New Roman"/>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03" w15:restartNumberingAfterBreak="0">
    <w:nsid w:val="64D91564"/>
    <w:multiLevelType w:val="multilevel"/>
    <w:tmpl w:val="64D91564"/>
    <w:lvl w:ilvl="0">
      <w:start w:val="1"/>
      <w:numFmt w:val="none"/>
      <w:lvlText w:val="(af)"/>
      <w:lvlJc w:val="left"/>
      <w:pPr>
        <w:ind w:left="720" w:hanging="360"/>
      </w:pPr>
      <w:rPr>
        <w:rFonts w:eastAsia="Arial Unicode M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65867FC1"/>
    <w:multiLevelType w:val="hybridMultilevel"/>
    <w:tmpl w:val="33280738"/>
    <w:lvl w:ilvl="0" w:tplc="FFFFFFFF">
      <w:start w:val="1"/>
      <w:numFmt w:val="lowerRoman"/>
      <w:lvlText w:val="(%1)"/>
      <w:lvlJc w:val="left"/>
      <w:pPr>
        <w:ind w:left="3254" w:hanging="360"/>
      </w:pPr>
      <w:rPr>
        <w:rFonts w:ascii="Times New Roman" w:eastAsia="Times New Roman" w:hAnsi="Times New Roman" w:cs="Times New Roman"/>
      </w:rPr>
    </w:lvl>
    <w:lvl w:ilvl="1" w:tplc="FFFFFFFF" w:tentative="1">
      <w:start w:val="1"/>
      <w:numFmt w:val="lowerLetter"/>
      <w:lvlText w:val="%2."/>
      <w:lvlJc w:val="left"/>
      <w:pPr>
        <w:ind w:left="3974" w:hanging="360"/>
      </w:pPr>
    </w:lvl>
    <w:lvl w:ilvl="2" w:tplc="FFFFFFFF" w:tentative="1">
      <w:start w:val="1"/>
      <w:numFmt w:val="lowerRoman"/>
      <w:lvlText w:val="%3."/>
      <w:lvlJc w:val="right"/>
      <w:pPr>
        <w:ind w:left="4694" w:hanging="180"/>
      </w:pPr>
    </w:lvl>
    <w:lvl w:ilvl="3" w:tplc="FFFFFFFF" w:tentative="1">
      <w:start w:val="1"/>
      <w:numFmt w:val="decimal"/>
      <w:lvlText w:val="%4."/>
      <w:lvlJc w:val="left"/>
      <w:pPr>
        <w:ind w:left="5414" w:hanging="360"/>
      </w:pPr>
    </w:lvl>
    <w:lvl w:ilvl="4" w:tplc="FFFFFFFF" w:tentative="1">
      <w:start w:val="1"/>
      <w:numFmt w:val="lowerLetter"/>
      <w:lvlText w:val="%5."/>
      <w:lvlJc w:val="left"/>
      <w:pPr>
        <w:ind w:left="6134" w:hanging="360"/>
      </w:pPr>
    </w:lvl>
    <w:lvl w:ilvl="5" w:tplc="FFFFFFFF" w:tentative="1">
      <w:start w:val="1"/>
      <w:numFmt w:val="lowerRoman"/>
      <w:lvlText w:val="%6."/>
      <w:lvlJc w:val="right"/>
      <w:pPr>
        <w:ind w:left="6854" w:hanging="180"/>
      </w:pPr>
    </w:lvl>
    <w:lvl w:ilvl="6" w:tplc="FFFFFFFF" w:tentative="1">
      <w:start w:val="1"/>
      <w:numFmt w:val="decimal"/>
      <w:lvlText w:val="%7."/>
      <w:lvlJc w:val="left"/>
      <w:pPr>
        <w:ind w:left="7574" w:hanging="360"/>
      </w:pPr>
    </w:lvl>
    <w:lvl w:ilvl="7" w:tplc="FFFFFFFF" w:tentative="1">
      <w:start w:val="1"/>
      <w:numFmt w:val="lowerLetter"/>
      <w:lvlText w:val="%8."/>
      <w:lvlJc w:val="left"/>
      <w:pPr>
        <w:ind w:left="8294" w:hanging="360"/>
      </w:pPr>
    </w:lvl>
    <w:lvl w:ilvl="8" w:tplc="FFFFFFFF" w:tentative="1">
      <w:start w:val="1"/>
      <w:numFmt w:val="lowerRoman"/>
      <w:lvlText w:val="%9."/>
      <w:lvlJc w:val="right"/>
      <w:pPr>
        <w:ind w:left="9014" w:hanging="180"/>
      </w:pPr>
    </w:lvl>
  </w:abstractNum>
  <w:abstractNum w:abstractNumId="205" w15:restartNumberingAfterBreak="0">
    <w:nsid w:val="66B03027"/>
    <w:multiLevelType w:val="multilevel"/>
    <w:tmpl w:val="66B0302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6" w15:restartNumberingAfterBreak="0">
    <w:nsid w:val="66C307B1"/>
    <w:multiLevelType w:val="multilevel"/>
    <w:tmpl w:val="66C307B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7" w15:restartNumberingAfterBreak="0">
    <w:nsid w:val="67740BC0"/>
    <w:multiLevelType w:val="hybridMultilevel"/>
    <w:tmpl w:val="2DE06CCE"/>
    <w:lvl w:ilvl="0" w:tplc="AB6A8C3E">
      <w:start w:val="1"/>
      <w:numFmt w:val="lowerLetter"/>
      <w:lvlText w:val="%1)"/>
      <w:lvlJc w:val="left"/>
      <w:pPr>
        <w:ind w:left="2041" w:hanging="360"/>
      </w:pPr>
      <w:rPr>
        <w:b w:val="0"/>
        <w:bCs w:val="0"/>
      </w:rPr>
    </w:lvl>
    <w:lvl w:ilvl="1" w:tplc="04190019" w:tentative="1">
      <w:start w:val="1"/>
      <w:numFmt w:val="lowerLetter"/>
      <w:lvlText w:val="%2."/>
      <w:lvlJc w:val="left"/>
      <w:pPr>
        <w:ind w:left="2761" w:hanging="360"/>
      </w:pPr>
    </w:lvl>
    <w:lvl w:ilvl="2" w:tplc="0419001B" w:tentative="1">
      <w:start w:val="1"/>
      <w:numFmt w:val="lowerRoman"/>
      <w:lvlText w:val="%3."/>
      <w:lvlJc w:val="right"/>
      <w:pPr>
        <w:ind w:left="3481" w:hanging="180"/>
      </w:pPr>
    </w:lvl>
    <w:lvl w:ilvl="3" w:tplc="0419000F" w:tentative="1">
      <w:start w:val="1"/>
      <w:numFmt w:val="decimal"/>
      <w:lvlText w:val="%4."/>
      <w:lvlJc w:val="left"/>
      <w:pPr>
        <w:ind w:left="4201" w:hanging="360"/>
      </w:pPr>
    </w:lvl>
    <w:lvl w:ilvl="4" w:tplc="04190019" w:tentative="1">
      <w:start w:val="1"/>
      <w:numFmt w:val="lowerLetter"/>
      <w:lvlText w:val="%5."/>
      <w:lvlJc w:val="left"/>
      <w:pPr>
        <w:ind w:left="4921" w:hanging="360"/>
      </w:pPr>
    </w:lvl>
    <w:lvl w:ilvl="5" w:tplc="0419001B" w:tentative="1">
      <w:start w:val="1"/>
      <w:numFmt w:val="lowerRoman"/>
      <w:lvlText w:val="%6."/>
      <w:lvlJc w:val="right"/>
      <w:pPr>
        <w:ind w:left="5641" w:hanging="180"/>
      </w:pPr>
    </w:lvl>
    <w:lvl w:ilvl="6" w:tplc="0419000F" w:tentative="1">
      <w:start w:val="1"/>
      <w:numFmt w:val="decimal"/>
      <w:lvlText w:val="%7."/>
      <w:lvlJc w:val="left"/>
      <w:pPr>
        <w:ind w:left="6361" w:hanging="360"/>
      </w:pPr>
    </w:lvl>
    <w:lvl w:ilvl="7" w:tplc="04190019" w:tentative="1">
      <w:start w:val="1"/>
      <w:numFmt w:val="lowerLetter"/>
      <w:lvlText w:val="%8."/>
      <w:lvlJc w:val="left"/>
      <w:pPr>
        <w:ind w:left="7081" w:hanging="360"/>
      </w:pPr>
    </w:lvl>
    <w:lvl w:ilvl="8" w:tplc="0419001B" w:tentative="1">
      <w:start w:val="1"/>
      <w:numFmt w:val="lowerRoman"/>
      <w:lvlText w:val="%9."/>
      <w:lvlJc w:val="right"/>
      <w:pPr>
        <w:ind w:left="7801" w:hanging="180"/>
      </w:pPr>
    </w:lvl>
  </w:abstractNum>
  <w:abstractNum w:abstractNumId="208" w15:restartNumberingAfterBreak="0">
    <w:nsid w:val="68350200"/>
    <w:multiLevelType w:val="multilevel"/>
    <w:tmpl w:val="68350200"/>
    <w:lvl w:ilvl="0">
      <w:start w:val="1"/>
      <w:numFmt w:val="none"/>
      <w:lvlText w:val="(1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69466BF0"/>
    <w:multiLevelType w:val="multilevel"/>
    <w:tmpl w:val="69466B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6AB4521E"/>
    <w:multiLevelType w:val="multilevel"/>
    <w:tmpl w:val="6AB4521E"/>
    <w:lvl w:ilvl="0">
      <w:start w:val="1"/>
      <w:numFmt w:val="none"/>
      <w:lvlText w:val="(11a)"/>
      <w:lvlJc w:val="left"/>
      <w:pPr>
        <w:ind w:left="1440" w:hanging="360"/>
      </w:pPr>
      <w:rPr>
        <w:rFonts w:hint="default"/>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1" w15:restartNumberingAfterBreak="0">
    <w:nsid w:val="6B15487A"/>
    <w:multiLevelType w:val="multilevel"/>
    <w:tmpl w:val="6B154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6B765423"/>
    <w:multiLevelType w:val="multilevel"/>
    <w:tmpl w:val="6B765423"/>
    <w:lvl w:ilvl="0">
      <w:start w:val="1"/>
      <w:numFmt w:val="lowerLetter"/>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3" w15:restartNumberingAfterBreak="0">
    <w:nsid w:val="6BFF626E"/>
    <w:multiLevelType w:val="multilevel"/>
    <w:tmpl w:val="6BFF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6CC34D6B"/>
    <w:multiLevelType w:val="multilevel"/>
    <w:tmpl w:val="6CC34D6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5" w15:restartNumberingAfterBreak="0">
    <w:nsid w:val="6E406988"/>
    <w:multiLevelType w:val="multilevel"/>
    <w:tmpl w:val="6E40698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6" w15:restartNumberingAfterBreak="0">
    <w:nsid w:val="6E946FA5"/>
    <w:multiLevelType w:val="multilevel"/>
    <w:tmpl w:val="6E946FA5"/>
    <w:lvl w:ilvl="0">
      <w:start w:val="1"/>
      <w:numFmt w:val="lowerLetter"/>
      <w:lvlText w:val="(%1)"/>
      <w:lvlJc w:val="left"/>
      <w:pPr>
        <w:ind w:left="1440" w:hanging="360"/>
      </w:pPr>
      <w:rPr>
        <w:rFonts w:eastAsia="Arial Unicode MS" w:hint="default"/>
        <w:color w:val="33333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7" w15:restartNumberingAfterBreak="0">
    <w:nsid w:val="6F665FA1"/>
    <w:multiLevelType w:val="multilevel"/>
    <w:tmpl w:val="6F665FA1"/>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6FC81D72"/>
    <w:multiLevelType w:val="multilevel"/>
    <w:tmpl w:val="6FC81D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712E4B72"/>
    <w:multiLevelType w:val="multilevel"/>
    <w:tmpl w:val="712E4B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1326C74"/>
    <w:multiLevelType w:val="hybridMultilevel"/>
    <w:tmpl w:val="ED6E4F44"/>
    <w:lvl w:ilvl="0" w:tplc="C7686C04">
      <w:start w:val="1"/>
      <w:numFmt w:val="lowerRoman"/>
      <w:lvlText w:val="(%1)"/>
      <w:lvlJc w:val="left"/>
      <w:pPr>
        <w:ind w:left="3254" w:hanging="360"/>
      </w:pPr>
      <w:rPr>
        <w:rFonts w:ascii="Times New Roman" w:eastAsia="Times New Roman" w:hAnsi="Times New Roman" w:cs="Times New Roman"/>
      </w:rPr>
    </w:lvl>
    <w:lvl w:ilvl="1" w:tplc="04190019" w:tentative="1">
      <w:start w:val="1"/>
      <w:numFmt w:val="lowerLetter"/>
      <w:lvlText w:val="%2."/>
      <w:lvlJc w:val="left"/>
      <w:pPr>
        <w:ind w:left="3974" w:hanging="360"/>
      </w:pPr>
    </w:lvl>
    <w:lvl w:ilvl="2" w:tplc="0419001B" w:tentative="1">
      <w:start w:val="1"/>
      <w:numFmt w:val="lowerRoman"/>
      <w:lvlText w:val="%3."/>
      <w:lvlJc w:val="right"/>
      <w:pPr>
        <w:ind w:left="4694" w:hanging="180"/>
      </w:pPr>
    </w:lvl>
    <w:lvl w:ilvl="3" w:tplc="0419000F" w:tentative="1">
      <w:start w:val="1"/>
      <w:numFmt w:val="decimal"/>
      <w:lvlText w:val="%4."/>
      <w:lvlJc w:val="left"/>
      <w:pPr>
        <w:ind w:left="5414" w:hanging="360"/>
      </w:pPr>
    </w:lvl>
    <w:lvl w:ilvl="4" w:tplc="04190019" w:tentative="1">
      <w:start w:val="1"/>
      <w:numFmt w:val="lowerLetter"/>
      <w:lvlText w:val="%5."/>
      <w:lvlJc w:val="left"/>
      <w:pPr>
        <w:ind w:left="6134" w:hanging="360"/>
      </w:pPr>
    </w:lvl>
    <w:lvl w:ilvl="5" w:tplc="0419001B" w:tentative="1">
      <w:start w:val="1"/>
      <w:numFmt w:val="lowerRoman"/>
      <w:lvlText w:val="%6."/>
      <w:lvlJc w:val="right"/>
      <w:pPr>
        <w:ind w:left="6854" w:hanging="180"/>
      </w:pPr>
    </w:lvl>
    <w:lvl w:ilvl="6" w:tplc="0419000F" w:tentative="1">
      <w:start w:val="1"/>
      <w:numFmt w:val="decimal"/>
      <w:lvlText w:val="%7."/>
      <w:lvlJc w:val="left"/>
      <w:pPr>
        <w:ind w:left="7574" w:hanging="360"/>
      </w:pPr>
    </w:lvl>
    <w:lvl w:ilvl="7" w:tplc="04190019" w:tentative="1">
      <w:start w:val="1"/>
      <w:numFmt w:val="lowerLetter"/>
      <w:lvlText w:val="%8."/>
      <w:lvlJc w:val="left"/>
      <w:pPr>
        <w:ind w:left="8294" w:hanging="360"/>
      </w:pPr>
    </w:lvl>
    <w:lvl w:ilvl="8" w:tplc="0419001B" w:tentative="1">
      <w:start w:val="1"/>
      <w:numFmt w:val="lowerRoman"/>
      <w:lvlText w:val="%9."/>
      <w:lvlJc w:val="right"/>
      <w:pPr>
        <w:ind w:left="9014" w:hanging="180"/>
      </w:pPr>
    </w:lvl>
  </w:abstractNum>
  <w:abstractNum w:abstractNumId="221" w15:restartNumberingAfterBreak="0">
    <w:nsid w:val="713A7F57"/>
    <w:multiLevelType w:val="multilevel"/>
    <w:tmpl w:val="140C7D76"/>
    <w:lvl w:ilvl="0">
      <w:start w:val="1"/>
      <w:numFmt w:val="decimal"/>
      <w:lvlText w:val="Articolul %1."/>
      <w:lvlJc w:val="left"/>
      <w:pPr>
        <w:ind w:left="4471" w:hanging="360"/>
      </w:pPr>
      <w:rPr>
        <w:rFonts w:cs="Times New Roman" w:hint="default"/>
        <w:b/>
        <w:i w:val="0"/>
        <w:strike w:val="0"/>
        <w:color w:val="000000"/>
        <w:sz w:val="20"/>
        <w:szCs w:val="20"/>
      </w:rPr>
    </w:lvl>
    <w:lvl w:ilvl="1">
      <w:start w:val="1"/>
      <w:numFmt w:val="decimal"/>
      <w:lvlText w:val="%2)"/>
      <w:lvlJc w:val="left"/>
      <w:pPr>
        <w:ind w:left="1582" w:hanging="360"/>
      </w:pPr>
      <w:rPr>
        <w:rFonts w:cs="Times New Roman" w:hint="default"/>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22" w15:restartNumberingAfterBreak="0">
    <w:nsid w:val="71551035"/>
    <w:multiLevelType w:val="multilevel"/>
    <w:tmpl w:val="71551035"/>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3" w15:restartNumberingAfterBreak="0">
    <w:nsid w:val="7214405A"/>
    <w:multiLevelType w:val="multilevel"/>
    <w:tmpl w:val="721440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727F4259"/>
    <w:multiLevelType w:val="multilevel"/>
    <w:tmpl w:val="727F42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3177886"/>
    <w:multiLevelType w:val="multilevel"/>
    <w:tmpl w:val="7317788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6" w15:restartNumberingAfterBreak="0">
    <w:nsid w:val="7467718E"/>
    <w:multiLevelType w:val="multilevel"/>
    <w:tmpl w:val="7467718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7" w15:restartNumberingAfterBreak="0">
    <w:nsid w:val="747B6418"/>
    <w:multiLevelType w:val="multilevel"/>
    <w:tmpl w:val="747B6418"/>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57E2B76"/>
    <w:multiLevelType w:val="hybridMultilevel"/>
    <w:tmpl w:val="347C09A6"/>
    <w:lvl w:ilvl="0" w:tplc="77127504">
      <w:start w:val="1"/>
      <w:numFmt w:val="decimal"/>
      <w:lvlText w:val="%1)"/>
      <w:lvlJc w:val="left"/>
      <w:pPr>
        <w:ind w:left="1814" w:hanging="360"/>
      </w:pPr>
      <w:rPr>
        <w:b w:val="0"/>
        <w:bCs w:val="0"/>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29" w15:restartNumberingAfterBreak="0">
    <w:nsid w:val="760A1CB5"/>
    <w:multiLevelType w:val="multilevel"/>
    <w:tmpl w:val="760A1CB5"/>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0" w15:restartNumberingAfterBreak="0">
    <w:nsid w:val="771D553E"/>
    <w:multiLevelType w:val="hybridMultilevel"/>
    <w:tmpl w:val="D898F1FE"/>
    <w:lvl w:ilvl="0" w:tplc="3D94ACBC">
      <w:start w:val="1"/>
      <w:numFmt w:val="decimal"/>
      <w:lvlText w:val="%1)"/>
      <w:lvlJc w:val="left"/>
      <w:pPr>
        <w:ind w:left="1814" w:hanging="360"/>
      </w:pPr>
      <w:rPr>
        <w:b w:val="0"/>
        <w:bCs w:val="0"/>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31" w15:restartNumberingAfterBreak="0">
    <w:nsid w:val="78523BE0"/>
    <w:multiLevelType w:val="multilevel"/>
    <w:tmpl w:val="78523BE0"/>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85F18DF"/>
    <w:multiLevelType w:val="multilevel"/>
    <w:tmpl w:val="785F18DF"/>
    <w:lvl w:ilvl="0">
      <w:start w:val="1"/>
      <w:numFmt w:val="none"/>
      <w:lvlText w:val="- "/>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78F94418"/>
    <w:multiLevelType w:val="hybridMultilevel"/>
    <w:tmpl w:val="11C883EE"/>
    <w:lvl w:ilvl="0" w:tplc="95BA6F44">
      <w:start w:val="1"/>
      <w:numFmt w:val="upperRoman"/>
      <w:lvlText w:val="%1."/>
      <w:lvlJc w:val="left"/>
      <w:pPr>
        <w:ind w:left="1080" w:hanging="72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790459BD"/>
    <w:multiLevelType w:val="multilevel"/>
    <w:tmpl w:val="790459BD"/>
    <w:lvl w:ilvl="0">
      <w:start w:val="1"/>
      <w:numFmt w:val="lowerLetter"/>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5" w15:restartNumberingAfterBreak="0">
    <w:nsid w:val="79B158C1"/>
    <w:multiLevelType w:val="hybridMultilevel"/>
    <w:tmpl w:val="9170FA86"/>
    <w:lvl w:ilvl="0" w:tplc="9A540350">
      <w:start w:val="1"/>
      <w:numFmt w:val="decimal"/>
      <w:lvlText w:val="(%1)"/>
      <w:lvlJc w:val="left"/>
      <w:pPr>
        <w:ind w:left="1506" w:hanging="360"/>
      </w:pPr>
      <w:rPr>
        <w:rFonts w:ascii="Times New Roman" w:hAnsi="Times New Roman" w:cs="Times New Roman" w:hint="default"/>
        <w:color w:val="000000" w:themeColor="text1"/>
        <w:sz w:val="20"/>
        <w:szCs w:val="20"/>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6" w15:restartNumberingAfterBreak="0">
    <w:nsid w:val="7A991E57"/>
    <w:multiLevelType w:val="hybridMultilevel"/>
    <w:tmpl w:val="523A02F4"/>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237" w15:restartNumberingAfterBreak="0">
    <w:nsid w:val="7AF30355"/>
    <w:multiLevelType w:val="hybridMultilevel"/>
    <w:tmpl w:val="7E7846CA"/>
    <w:lvl w:ilvl="0" w:tplc="1DC6B4AC">
      <w:start w:val="1"/>
      <w:numFmt w:val="decimal"/>
      <w:lvlText w:val="%1)"/>
      <w:lvlJc w:val="left"/>
      <w:pPr>
        <w:ind w:left="1814" w:hanging="360"/>
      </w:pPr>
      <w:rPr>
        <w:b w:val="0"/>
        <w:bCs w:val="0"/>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38" w15:restartNumberingAfterBreak="0">
    <w:nsid w:val="7B2477CD"/>
    <w:multiLevelType w:val="multilevel"/>
    <w:tmpl w:val="7B2477CD"/>
    <w:lvl w:ilvl="0">
      <w:start w:val="1"/>
      <w:numFmt w:val="lowerRoman"/>
      <w:lvlText w:val="(%1)"/>
      <w:lvlJc w:val="left"/>
      <w:pPr>
        <w:ind w:left="2160" w:hanging="360"/>
      </w:pPr>
      <w:rPr>
        <w:rFonts w:eastAsia="Arial Unicode MS" w:hint="default"/>
        <w:i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9" w15:restartNumberingAfterBreak="0">
    <w:nsid w:val="7B2A48B1"/>
    <w:multiLevelType w:val="hybridMultilevel"/>
    <w:tmpl w:val="DFF676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7B2F0292"/>
    <w:multiLevelType w:val="multilevel"/>
    <w:tmpl w:val="7B2F029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1" w15:restartNumberingAfterBreak="0">
    <w:nsid w:val="7B7E59E3"/>
    <w:multiLevelType w:val="multilevel"/>
    <w:tmpl w:val="7B7E59E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2" w15:restartNumberingAfterBreak="0">
    <w:nsid w:val="7D922B27"/>
    <w:multiLevelType w:val="multilevel"/>
    <w:tmpl w:val="7D922B2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3" w15:restartNumberingAfterBreak="0">
    <w:nsid w:val="7DD81E54"/>
    <w:multiLevelType w:val="multilevel"/>
    <w:tmpl w:val="7DD81E5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7DE16D59"/>
    <w:multiLevelType w:val="multilevel"/>
    <w:tmpl w:val="7DE16D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7E585C97"/>
    <w:multiLevelType w:val="hybridMultilevel"/>
    <w:tmpl w:val="833272E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6" w15:restartNumberingAfterBreak="0">
    <w:nsid w:val="7EC2260C"/>
    <w:multiLevelType w:val="hybridMultilevel"/>
    <w:tmpl w:val="A63E19BA"/>
    <w:lvl w:ilvl="0" w:tplc="04190017">
      <w:start w:val="1"/>
      <w:numFmt w:val="lowerLetter"/>
      <w:lvlText w:val="%1)"/>
      <w:lvlJc w:val="left"/>
      <w:pPr>
        <w:ind w:left="1814" w:hanging="360"/>
      </w:p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47" w15:restartNumberingAfterBreak="0">
    <w:nsid w:val="7EDC0F4C"/>
    <w:multiLevelType w:val="multilevel"/>
    <w:tmpl w:val="7EDC0F4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F507CBA"/>
    <w:multiLevelType w:val="multilevel"/>
    <w:tmpl w:val="7F507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FE6782C"/>
    <w:multiLevelType w:val="hybridMultilevel"/>
    <w:tmpl w:val="31B69E5C"/>
    <w:lvl w:ilvl="0" w:tplc="B8CE70B0">
      <w:start w:val="1"/>
      <w:numFmt w:val="decimal"/>
      <w:lvlText w:val="%1."/>
      <w:lvlJc w:val="left"/>
      <w:pPr>
        <w:ind w:left="1800" w:hanging="360"/>
      </w:pPr>
      <w:rPr>
        <w:b/>
        <w:bCs/>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1443112967">
    <w:abstractNumId w:val="248"/>
  </w:num>
  <w:num w:numId="2" w16cid:durableId="461655256">
    <w:abstractNumId w:val="152"/>
  </w:num>
  <w:num w:numId="3" w16cid:durableId="483090106">
    <w:abstractNumId w:val="112"/>
  </w:num>
  <w:num w:numId="4" w16cid:durableId="766659996">
    <w:abstractNumId w:val="151"/>
  </w:num>
  <w:num w:numId="5" w16cid:durableId="227150515">
    <w:abstractNumId w:val="87"/>
  </w:num>
  <w:num w:numId="6" w16cid:durableId="1028027786">
    <w:abstractNumId w:val="193"/>
  </w:num>
  <w:num w:numId="7" w16cid:durableId="199786157">
    <w:abstractNumId w:val="48"/>
  </w:num>
  <w:num w:numId="8" w16cid:durableId="827328957">
    <w:abstractNumId w:val="183"/>
  </w:num>
  <w:num w:numId="9" w16cid:durableId="1156720596">
    <w:abstractNumId w:val="21"/>
  </w:num>
  <w:num w:numId="10" w16cid:durableId="774523285">
    <w:abstractNumId w:val="203"/>
  </w:num>
  <w:num w:numId="11" w16cid:durableId="1645504864">
    <w:abstractNumId w:val="96"/>
  </w:num>
  <w:num w:numId="12" w16cid:durableId="1846819038">
    <w:abstractNumId w:val="77"/>
  </w:num>
  <w:num w:numId="13" w16cid:durableId="1282111013">
    <w:abstractNumId w:val="67"/>
  </w:num>
  <w:num w:numId="14" w16cid:durableId="341397170">
    <w:abstractNumId w:val="148"/>
  </w:num>
  <w:num w:numId="15" w16cid:durableId="403333425">
    <w:abstractNumId w:val="50"/>
  </w:num>
  <w:num w:numId="16" w16cid:durableId="507598606">
    <w:abstractNumId w:val="3"/>
  </w:num>
  <w:num w:numId="17" w16cid:durableId="2050757462">
    <w:abstractNumId w:val="66"/>
  </w:num>
  <w:num w:numId="18" w16cid:durableId="1078748700">
    <w:abstractNumId w:val="107"/>
  </w:num>
  <w:num w:numId="19" w16cid:durableId="339282561">
    <w:abstractNumId w:val="18"/>
  </w:num>
  <w:num w:numId="20" w16cid:durableId="1592859420">
    <w:abstractNumId w:val="146"/>
  </w:num>
  <w:num w:numId="21" w16cid:durableId="1201477422">
    <w:abstractNumId w:val="57"/>
  </w:num>
  <w:num w:numId="22" w16cid:durableId="230653343">
    <w:abstractNumId w:val="195"/>
  </w:num>
  <w:num w:numId="23" w16cid:durableId="1537696353">
    <w:abstractNumId w:val="122"/>
  </w:num>
  <w:num w:numId="24" w16cid:durableId="878082172">
    <w:abstractNumId w:val="157"/>
  </w:num>
  <w:num w:numId="25" w16cid:durableId="1639338789">
    <w:abstractNumId w:val="2"/>
  </w:num>
  <w:num w:numId="26" w16cid:durableId="142284667">
    <w:abstractNumId w:val="93"/>
  </w:num>
  <w:num w:numId="27" w16cid:durableId="658655678">
    <w:abstractNumId w:val="132"/>
  </w:num>
  <w:num w:numId="28" w16cid:durableId="2018072376">
    <w:abstractNumId w:val="216"/>
  </w:num>
  <w:num w:numId="29" w16cid:durableId="1975864089">
    <w:abstractNumId w:val="78"/>
  </w:num>
  <w:num w:numId="30" w16cid:durableId="1116096364">
    <w:abstractNumId w:val="175"/>
  </w:num>
  <w:num w:numId="31" w16cid:durableId="16322158">
    <w:abstractNumId w:val="80"/>
  </w:num>
  <w:num w:numId="32" w16cid:durableId="1092362371">
    <w:abstractNumId w:val="15"/>
  </w:num>
  <w:num w:numId="33" w16cid:durableId="1907572921">
    <w:abstractNumId w:val="6"/>
  </w:num>
  <w:num w:numId="34" w16cid:durableId="2060661605">
    <w:abstractNumId w:val="85"/>
  </w:num>
  <w:num w:numId="35" w16cid:durableId="1228615111">
    <w:abstractNumId w:val="141"/>
  </w:num>
  <w:num w:numId="36" w16cid:durableId="509566121">
    <w:abstractNumId w:val="130"/>
  </w:num>
  <w:num w:numId="37" w16cid:durableId="136994283">
    <w:abstractNumId w:val="156"/>
  </w:num>
  <w:num w:numId="38" w16cid:durableId="635180995">
    <w:abstractNumId w:val="84"/>
  </w:num>
  <w:num w:numId="39" w16cid:durableId="693188766">
    <w:abstractNumId w:val="95"/>
  </w:num>
  <w:num w:numId="40" w16cid:durableId="814182770">
    <w:abstractNumId w:val="166"/>
  </w:num>
  <w:num w:numId="41" w16cid:durableId="1614243355">
    <w:abstractNumId w:val="149"/>
  </w:num>
  <w:num w:numId="42" w16cid:durableId="1632857680">
    <w:abstractNumId w:val="41"/>
  </w:num>
  <w:num w:numId="43" w16cid:durableId="789399322">
    <w:abstractNumId w:val="44"/>
  </w:num>
  <w:num w:numId="44" w16cid:durableId="1949047645">
    <w:abstractNumId w:val="56"/>
  </w:num>
  <w:num w:numId="45" w16cid:durableId="2080323688">
    <w:abstractNumId w:val="37"/>
  </w:num>
  <w:num w:numId="46" w16cid:durableId="136343094">
    <w:abstractNumId w:val="208"/>
  </w:num>
  <w:num w:numId="47" w16cid:durableId="1761221778">
    <w:abstractNumId w:val="33"/>
  </w:num>
  <w:num w:numId="48" w16cid:durableId="21590005">
    <w:abstractNumId w:val="181"/>
  </w:num>
  <w:num w:numId="49" w16cid:durableId="918636663">
    <w:abstractNumId w:val="165"/>
  </w:num>
  <w:num w:numId="50" w16cid:durableId="1114255624">
    <w:abstractNumId w:val="191"/>
  </w:num>
  <w:num w:numId="51" w16cid:durableId="1260336838">
    <w:abstractNumId w:val="25"/>
  </w:num>
  <w:num w:numId="52" w16cid:durableId="1001741248">
    <w:abstractNumId w:val="59"/>
  </w:num>
  <w:num w:numId="53" w16cid:durableId="507645295">
    <w:abstractNumId w:val="74"/>
  </w:num>
  <w:num w:numId="54" w16cid:durableId="311952614">
    <w:abstractNumId w:val="188"/>
  </w:num>
  <w:num w:numId="55" w16cid:durableId="2053572252">
    <w:abstractNumId w:val="22"/>
  </w:num>
  <w:num w:numId="56" w16cid:durableId="1390684990">
    <w:abstractNumId w:val="120"/>
  </w:num>
  <w:num w:numId="57" w16cid:durableId="1094744465">
    <w:abstractNumId w:val="247"/>
  </w:num>
  <w:num w:numId="58" w16cid:durableId="1603029278">
    <w:abstractNumId w:val="143"/>
  </w:num>
  <w:num w:numId="59" w16cid:durableId="918517350">
    <w:abstractNumId w:val="231"/>
  </w:num>
  <w:num w:numId="60" w16cid:durableId="813181643">
    <w:abstractNumId w:val="31"/>
  </w:num>
  <w:num w:numId="61" w16cid:durableId="2012415711">
    <w:abstractNumId w:val="26"/>
  </w:num>
  <w:num w:numId="62" w16cid:durableId="1322198736">
    <w:abstractNumId w:val="4"/>
  </w:num>
  <w:num w:numId="63" w16cid:durableId="1197086317">
    <w:abstractNumId w:val="209"/>
  </w:num>
  <w:num w:numId="64" w16cid:durableId="1605117306">
    <w:abstractNumId w:val="125"/>
  </w:num>
  <w:num w:numId="65" w16cid:durableId="2135712674">
    <w:abstractNumId w:val="238"/>
  </w:num>
  <w:num w:numId="66" w16cid:durableId="100878037">
    <w:abstractNumId w:val="13"/>
  </w:num>
  <w:num w:numId="67" w16cid:durableId="854463470">
    <w:abstractNumId w:val="114"/>
  </w:num>
  <w:num w:numId="68" w16cid:durableId="1214803905">
    <w:abstractNumId w:val="223"/>
  </w:num>
  <w:num w:numId="69" w16cid:durableId="594942796">
    <w:abstractNumId w:val="47"/>
  </w:num>
  <w:num w:numId="70" w16cid:durableId="1335180611">
    <w:abstractNumId w:val="76"/>
  </w:num>
  <w:num w:numId="71" w16cid:durableId="1577082793">
    <w:abstractNumId w:val="177"/>
  </w:num>
  <w:num w:numId="72" w16cid:durableId="1963268750">
    <w:abstractNumId w:val="144"/>
  </w:num>
  <w:num w:numId="73" w16cid:durableId="1196043052">
    <w:abstractNumId w:val="155"/>
  </w:num>
  <w:num w:numId="74" w16cid:durableId="1821076236">
    <w:abstractNumId w:val="121"/>
  </w:num>
  <w:num w:numId="75" w16cid:durableId="2074308252">
    <w:abstractNumId w:val="147"/>
  </w:num>
  <w:num w:numId="76" w16cid:durableId="333653626">
    <w:abstractNumId w:val="98"/>
  </w:num>
  <w:num w:numId="77" w16cid:durableId="1962877369">
    <w:abstractNumId w:val="243"/>
  </w:num>
  <w:num w:numId="78" w16cid:durableId="489100341">
    <w:abstractNumId w:val="185"/>
  </w:num>
  <w:num w:numId="79" w16cid:durableId="1189222584">
    <w:abstractNumId w:val="224"/>
  </w:num>
  <w:num w:numId="80" w16cid:durableId="69666454">
    <w:abstractNumId w:val="62"/>
  </w:num>
  <w:num w:numId="81" w16cid:durableId="267547167">
    <w:abstractNumId w:val="240"/>
  </w:num>
  <w:num w:numId="82" w16cid:durableId="748695794">
    <w:abstractNumId w:val="127"/>
  </w:num>
  <w:num w:numId="83" w16cid:durableId="370762998">
    <w:abstractNumId w:val="97"/>
  </w:num>
  <w:num w:numId="84" w16cid:durableId="1435324388">
    <w:abstractNumId w:val="82"/>
  </w:num>
  <w:num w:numId="85" w16cid:durableId="1234194151">
    <w:abstractNumId w:val="90"/>
  </w:num>
  <w:num w:numId="86" w16cid:durableId="1876766781">
    <w:abstractNumId w:val="140"/>
  </w:num>
  <w:num w:numId="87" w16cid:durableId="1856377712">
    <w:abstractNumId w:val="53"/>
  </w:num>
  <w:num w:numId="88" w16cid:durableId="1849296501">
    <w:abstractNumId w:val="168"/>
  </w:num>
  <w:num w:numId="89" w16cid:durableId="433062465">
    <w:abstractNumId w:val="139"/>
  </w:num>
  <w:num w:numId="90" w16cid:durableId="2007317685">
    <w:abstractNumId w:val="210"/>
  </w:num>
  <w:num w:numId="91" w16cid:durableId="539782077">
    <w:abstractNumId w:val="153"/>
  </w:num>
  <w:num w:numId="92" w16cid:durableId="1977566300">
    <w:abstractNumId w:val="186"/>
  </w:num>
  <w:num w:numId="93" w16cid:durableId="1053240158">
    <w:abstractNumId w:val="5"/>
  </w:num>
  <w:num w:numId="94" w16cid:durableId="1938520340">
    <w:abstractNumId w:val="116"/>
  </w:num>
  <w:num w:numId="95" w16cid:durableId="1567300641">
    <w:abstractNumId w:val="103"/>
  </w:num>
  <w:num w:numId="96" w16cid:durableId="993072875">
    <w:abstractNumId w:val="197"/>
  </w:num>
  <w:num w:numId="97" w16cid:durableId="209196991">
    <w:abstractNumId w:val="10"/>
  </w:num>
  <w:num w:numId="98" w16cid:durableId="581372210">
    <w:abstractNumId w:val="19"/>
  </w:num>
  <w:num w:numId="99" w16cid:durableId="1265070010">
    <w:abstractNumId w:val="192"/>
  </w:num>
  <w:num w:numId="100" w16cid:durableId="2117283630">
    <w:abstractNumId w:val="113"/>
  </w:num>
  <w:num w:numId="101" w16cid:durableId="1939946288">
    <w:abstractNumId w:val="101"/>
  </w:num>
  <w:num w:numId="102" w16cid:durableId="67505936">
    <w:abstractNumId w:val="81"/>
  </w:num>
  <w:num w:numId="103" w16cid:durableId="1238711460">
    <w:abstractNumId w:val="55"/>
  </w:num>
  <w:num w:numId="104" w16cid:durableId="1097871245">
    <w:abstractNumId w:val="128"/>
  </w:num>
  <w:num w:numId="105" w16cid:durableId="149098387">
    <w:abstractNumId w:val="174"/>
  </w:num>
  <w:num w:numId="106" w16cid:durableId="920069641">
    <w:abstractNumId w:val="40"/>
  </w:num>
  <w:num w:numId="107" w16cid:durableId="1913273979">
    <w:abstractNumId w:val="199"/>
  </w:num>
  <w:num w:numId="108" w16cid:durableId="687829068">
    <w:abstractNumId w:val="158"/>
  </w:num>
  <w:num w:numId="109" w16cid:durableId="1015112496">
    <w:abstractNumId w:val="45"/>
  </w:num>
  <w:num w:numId="110" w16cid:durableId="2032758272">
    <w:abstractNumId w:val="43"/>
  </w:num>
  <w:num w:numId="111" w16cid:durableId="75370739">
    <w:abstractNumId w:val="161"/>
  </w:num>
  <w:num w:numId="112" w16cid:durableId="809521755">
    <w:abstractNumId w:val="83"/>
  </w:num>
  <w:num w:numId="113" w16cid:durableId="1234271687">
    <w:abstractNumId w:val="110"/>
  </w:num>
  <w:num w:numId="114" w16cid:durableId="835650615">
    <w:abstractNumId w:val="211"/>
  </w:num>
  <w:num w:numId="115" w16cid:durableId="2007249855">
    <w:abstractNumId w:val="206"/>
  </w:num>
  <w:num w:numId="116" w16cid:durableId="1827628439">
    <w:abstractNumId w:val="99"/>
  </w:num>
  <w:num w:numId="117" w16cid:durableId="1285230296">
    <w:abstractNumId w:val="32"/>
  </w:num>
  <w:num w:numId="118" w16cid:durableId="1574240785">
    <w:abstractNumId w:val="134"/>
  </w:num>
  <w:num w:numId="119" w16cid:durableId="192429653">
    <w:abstractNumId w:val="213"/>
  </w:num>
  <w:num w:numId="120" w16cid:durableId="1085491131">
    <w:abstractNumId w:val="226"/>
  </w:num>
  <w:num w:numId="121" w16cid:durableId="487861450">
    <w:abstractNumId w:val="60"/>
  </w:num>
  <w:num w:numId="122" w16cid:durableId="1609776699">
    <w:abstractNumId w:val="142"/>
  </w:num>
  <w:num w:numId="123" w16cid:durableId="1830712471">
    <w:abstractNumId w:val="198"/>
  </w:num>
  <w:num w:numId="124" w16cid:durableId="1035616223">
    <w:abstractNumId w:val="34"/>
  </w:num>
  <w:num w:numId="125" w16cid:durableId="1426731967">
    <w:abstractNumId w:val="106"/>
  </w:num>
  <w:num w:numId="126" w16cid:durableId="1257716230">
    <w:abstractNumId w:val="118"/>
  </w:num>
  <w:num w:numId="127" w16cid:durableId="859971089">
    <w:abstractNumId w:val="36"/>
  </w:num>
  <w:num w:numId="128" w16cid:durableId="600142118">
    <w:abstractNumId w:val="234"/>
  </w:num>
  <w:num w:numId="129" w16cid:durableId="732436673">
    <w:abstractNumId w:val="24"/>
  </w:num>
  <w:num w:numId="130" w16cid:durableId="221718729">
    <w:abstractNumId w:val="89"/>
  </w:num>
  <w:num w:numId="131" w16cid:durableId="72045219">
    <w:abstractNumId w:val="212"/>
  </w:num>
  <w:num w:numId="132" w16cid:durableId="1441142307">
    <w:abstractNumId w:val="1"/>
  </w:num>
  <w:num w:numId="133" w16cid:durableId="1623803862">
    <w:abstractNumId w:val="30"/>
  </w:num>
  <w:num w:numId="134" w16cid:durableId="1679187945">
    <w:abstractNumId w:val="64"/>
  </w:num>
  <w:num w:numId="135" w16cid:durableId="1361782261">
    <w:abstractNumId w:val="63"/>
  </w:num>
  <w:num w:numId="136" w16cid:durableId="2002655449">
    <w:abstractNumId w:val="217"/>
  </w:num>
  <w:num w:numId="137" w16cid:durableId="1777599498">
    <w:abstractNumId w:val="73"/>
  </w:num>
  <w:num w:numId="138" w16cid:durableId="1656256153">
    <w:abstractNumId w:val="52"/>
  </w:num>
  <w:num w:numId="139" w16cid:durableId="1480655818">
    <w:abstractNumId w:val="205"/>
  </w:num>
  <w:num w:numId="140" w16cid:durableId="453792397">
    <w:abstractNumId w:val="215"/>
  </w:num>
  <w:num w:numId="141" w16cid:durableId="625429834">
    <w:abstractNumId w:val="20"/>
  </w:num>
  <w:num w:numId="142" w16cid:durableId="611278991">
    <w:abstractNumId w:val="164"/>
  </w:num>
  <w:num w:numId="143" w16cid:durableId="368575249">
    <w:abstractNumId w:val="184"/>
  </w:num>
  <w:num w:numId="144" w16cid:durableId="1723476521">
    <w:abstractNumId w:val="176"/>
  </w:num>
  <w:num w:numId="145" w16cid:durableId="1667830292">
    <w:abstractNumId w:val="163"/>
  </w:num>
  <w:num w:numId="146" w16cid:durableId="274871996">
    <w:abstractNumId w:val="54"/>
  </w:num>
  <w:num w:numId="147" w16cid:durableId="1454903976">
    <w:abstractNumId w:val="91"/>
  </w:num>
  <w:num w:numId="148" w16cid:durableId="324599925">
    <w:abstractNumId w:val="182"/>
  </w:num>
  <w:num w:numId="149" w16cid:durableId="1506021285">
    <w:abstractNumId w:val="200"/>
  </w:num>
  <w:num w:numId="150" w16cid:durableId="1621376320">
    <w:abstractNumId w:val="136"/>
  </w:num>
  <w:num w:numId="151" w16cid:durableId="484862754">
    <w:abstractNumId w:val="167"/>
  </w:num>
  <w:num w:numId="152" w16cid:durableId="1353647154">
    <w:abstractNumId w:val="171"/>
  </w:num>
  <w:num w:numId="153" w16cid:durableId="67925017">
    <w:abstractNumId w:val="69"/>
  </w:num>
  <w:num w:numId="154" w16cid:durableId="229997201">
    <w:abstractNumId w:val="138"/>
  </w:num>
  <w:num w:numId="155" w16cid:durableId="1388719249">
    <w:abstractNumId w:val="88"/>
  </w:num>
  <w:num w:numId="156" w16cid:durableId="220290047">
    <w:abstractNumId w:val="214"/>
  </w:num>
  <w:num w:numId="157" w16cid:durableId="51975300">
    <w:abstractNumId w:val="23"/>
  </w:num>
  <w:num w:numId="158" w16cid:durableId="1832872617">
    <w:abstractNumId w:val="244"/>
  </w:num>
  <w:num w:numId="159" w16cid:durableId="246958880">
    <w:abstractNumId w:val="133"/>
  </w:num>
  <w:num w:numId="160" w16cid:durableId="1127048120">
    <w:abstractNumId w:val="51"/>
  </w:num>
  <w:num w:numId="161" w16cid:durableId="1926187655">
    <w:abstractNumId w:val="249"/>
  </w:num>
  <w:num w:numId="162" w16cid:durableId="672030008">
    <w:abstractNumId w:val="242"/>
  </w:num>
  <w:num w:numId="163" w16cid:durableId="192041632">
    <w:abstractNumId w:val="9"/>
  </w:num>
  <w:num w:numId="164" w16cid:durableId="211385100">
    <w:abstractNumId w:val="135"/>
  </w:num>
  <w:num w:numId="165" w16cid:durableId="923801229">
    <w:abstractNumId w:val="232"/>
  </w:num>
  <w:num w:numId="166" w16cid:durableId="123668528">
    <w:abstractNumId w:val="7"/>
  </w:num>
  <w:num w:numId="167" w16cid:durableId="1681353332">
    <w:abstractNumId w:val="16"/>
  </w:num>
  <w:num w:numId="168" w16cid:durableId="746421015">
    <w:abstractNumId w:val="218"/>
  </w:num>
  <w:num w:numId="169" w16cid:durableId="1810242141">
    <w:abstractNumId w:val="178"/>
  </w:num>
  <w:num w:numId="170" w16cid:durableId="319433411">
    <w:abstractNumId w:val="180"/>
  </w:num>
  <w:num w:numId="171" w16cid:durableId="1700164072">
    <w:abstractNumId w:val="172"/>
  </w:num>
  <w:num w:numId="172" w16cid:durableId="1149978052">
    <w:abstractNumId w:val="194"/>
  </w:num>
  <w:num w:numId="173" w16cid:durableId="1983532578">
    <w:abstractNumId w:val="108"/>
  </w:num>
  <w:num w:numId="174" w16cid:durableId="707218521">
    <w:abstractNumId w:val="29"/>
  </w:num>
  <w:num w:numId="175" w16cid:durableId="1431007921">
    <w:abstractNumId w:val="160"/>
  </w:num>
  <w:num w:numId="176" w16cid:durableId="307636400">
    <w:abstractNumId w:val="111"/>
  </w:num>
  <w:num w:numId="177" w16cid:durableId="2046590054">
    <w:abstractNumId w:val="137"/>
  </w:num>
  <w:num w:numId="178" w16cid:durableId="1473839">
    <w:abstractNumId w:val="49"/>
  </w:num>
  <w:num w:numId="179" w16cid:durableId="1347908222">
    <w:abstractNumId w:val="222"/>
  </w:num>
  <w:num w:numId="180" w16cid:durableId="718944330">
    <w:abstractNumId w:val="27"/>
  </w:num>
  <w:num w:numId="181" w16cid:durableId="1180852196">
    <w:abstractNumId w:val="229"/>
  </w:num>
  <w:num w:numId="182" w16cid:durableId="2109960891">
    <w:abstractNumId w:val="131"/>
  </w:num>
  <w:num w:numId="183" w16cid:durableId="1875121431">
    <w:abstractNumId w:val="219"/>
  </w:num>
  <w:num w:numId="184" w16cid:durableId="1607036522">
    <w:abstractNumId w:val="70"/>
  </w:num>
  <w:num w:numId="185" w16cid:durableId="2052226883">
    <w:abstractNumId w:val="126"/>
  </w:num>
  <w:num w:numId="186" w16cid:durableId="344140193">
    <w:abstractNumId w:val="39"/>
  </w:num>
  <w:num w:numId="187" w16cid:durableId="932712628">
    <w:abstractNumId w:val="79"/>
  </w:num>
  <w:num w:numId="188" w16cid:durableId="1738362508">
    <w:abstractNumId w:val="86"/>
  </w:num>
  <w:num w:numId="189" w16cid:durableId="1576626637">
    <w:abstractNumId w:val="179"/>
  </w:num>
  <w:num w:numId="190" w16cid:durableId="1450005113">
    <w:abstractNumId w:val="104"/>
  </w:num>
  <w:num w:numId="191" w16cid:durableId="189999404">
    <w:abstractNumId w:val="109"/>
  </w:num>
  <w:num w:numId="192" w16cid:durableId="808203227">
    <w:abstractNumId w:val="159"/>
  </w:num>
  <w:num w:numId="193" w16cid:durableId="1390227606">
    <w:abstractNumId w:val="241"/>
  </w:num>
  <w:num w:numId="194" w16cid:durableId="686056726">
    <w:abstractNumId w:val="227"/>
  </w:num>
  <w:num w:numId="195" w16cid:durableId="797842689">
    <w:abstractNumId w:val="58"/>
  </w:num>
  <w:num w:numId="196" w16cid:durableId="485324355">
    <w:abstractNumId w:val="173"/>
  </w:num>
  <w:num w:numId="197" w16cid:durableId="1845627920">
    <w:abstractNumId w:val="154"/>
  </w:num>
  <w:num w:numId="198" w16cid:durableId="757673056">
    <w:abstractNumId w:val="61"/>
  </w:num>
  <w:num w:numId="199" w16cid:durableId="109013863">
    <w:abstractNumId w:val="201"/>
  </w:num>
  <w:num w:numId="200" w16cid:durableId="2141460115">
    <w:abstractNumId w:val="190"/>
  </w:num>
  <w:num w:numId="201" w16cid:durableId="1337463435">
    <w:abstractNumId w:val="225"/>
  </w:num>
  <w:num w:numId="202" w16cid:durableId="1021128051">
    <w:abstractNumId w:val="75"/>
  </w:num>
  <w:num w:numId="203" w16cid:durableId="1298334569">
    <w:abstractNumId w:val="233"/>
  </w:num>
  <w:num w:numId="204" w16cid:durableId="96290726">
    <w:abstractNumId w:val="245"/>
  </w:num>
  <w:num w:numId="205" w16cid:durableId="1911965331">
    <w:abstractNumId w:val="204"/>
  </w:num>
  <w:num w:numId="206" w16cid:durableId="691536383">
    <w:abstractNumId w:val="220"/>
  </w:num>
  <w:num w:numId="207" w16cid:durableId="1086223366">
    <w:abstractNumId w:val="123"/>
  </w:num>
  <w:num w:numId="208" w16cid:durableId="1509514950">
    <w:abstractNumId w:val="202"/>
  </w:num>
  <w:num w:numId="209" w16cid:durableId="316308544">
    <w:abstractNumId w:val="196"/>
  </w:num>
  <w:num w:numId="210" w16cid:durableId="1678076778">
    <w:abstractNumId w:val="17"/>
  </w:num>
  <w:num w:numId="211" w16cid:durableId="243951192">
    <w:abstractNumId w:val="94"/>
  </w:num>
  <w:num w:numId="212" w16cid:durableId="347101447">
    <w:abstractNumId w:val="170"/>
  </w:num>
  <w:num w:numId="213" w16cid:durableId="578561004">
    <w:abstractNumId w:val="92"/>
  </w:num>
  <w:num w:numId="214" w16cid:durableId="1555503944">
    <w:abstractNumId w:val="11"/>
  </w:num>
  <w:num w:numId="215" w16cid:durableId="1552418796">
    <w:abstractNumId w:val="68"/>
  </w:num>
  <w:num w:numId="216" w16cid:durableId="1325740641">
    <w:abstractNumId w:val="8"/>
  </w:num>
  <w:num w:numId="217" w16cid:durableId="1933778705">
    <w:abstractNumId w:val="250"/>
  </w:num>
  <w:num w:numId="218" w16cid:durableId="60905380">
    <w:abstractNumId w:val="169"/>
  </w:num>
  <w:num w:numId="219" w16cid:durableId="1708721011">
    <w:abstractNumId w:val="129"/>
  </w:num>
  <w:num w:numId="220" w16cid:durableId="337122509">
    <w:abstractNumId w:val="230"/>
  </w:num>
  <w:num w:numId="221" w16cid:durableId="688486919">
    <w:abstractNumId w:val="228"/>
  </w:num>
  <w:num w:numId="222" w16cid:durableId="699671110">
    <w:abstractNumId w:val="72"/>
  </w:num>
  <w:num w:numId="223" w16cid:durableId="363822411">
    <w:abstractNumId w:val="207"/>
  </w:num>
  <w:num w:numId="224" w16cid:durableId="1882548069">
    <w:abstractNumId w:val="145"/>
  </w:num>
  <w:num w:numId="225" w16cid:durableId="1694763476">
    <w:abstractNumId w:val="28"/>
  </w:num>
  <w:num w:numId="226" w16cid:durableId="1182277547">
    <w:abstractNumId w:val="65"/>
  </w:num>
  <w:num w:numId="227" w16cid:durableId="716509656">
    <w:abstractNumId w:val="237"/>
  </w:num>
  <w:num w:numId="228" w16cid:durableId="1350057774">
    <w:abstractNumId w:val="100"/>
  </w:num>
  <w:num w:numId="229" w16cid:durableId="343047948">
    <w:abstractNumId w:val="105"/>
  </w:num>
  <w:num w:numId="230" w16cid:durableId="948387593">
    <w:abstractNumId w:val="189"/>
  </w:num>
  <w:num w:numId="231" w16cid:durableId="166600617">
    <w:abstractNumId w:val="221"/>
  </w:num>
  <w:num w:numId="232" w16cid:durableId="995375286">
    <w:abstractNumId w:val="162"/>
  </w:num>
  <w:num w:numId="233" w16cid:durableId="1849327472">
    <w:abstractNumId w:val="246"/>
  </w:num>
  <w:num w:numId="234" w16cid:durableId="1501313848">
    <w:abstractNumId w:val="0"/>
  </w:num>
  <w:num w:numId="235" w16cid:durableId="1249726202">
    <w:abstractNumId w:val="239"/>
  </w:num>
  <w:num w:numId="236" w16cid:durableId="160899299">
    <w:abstractNumId w:val="119"/>
  </w:num>
  <w:num w:numId="237" w16cid:durableId="1633442478">
    <w:abstractNumId w:val="117"/>
  </w:num>
  <w:num w:numId="238" w16cid:durableId="281965611">
    <w:abstractNumId w:val="12"/>
  </w:num>
  <w:num w:numId="239" w16cid:durableId="839005304">
    <w:abstractNumId w:val="71"/>
  </w:num>
  <w:num w:numId="240" w16cid:durableId="1481506911">
    <w:abstractNumId w:val="115"/>
  </w:num>
  <w:num w:numId="241" w16cid:durableId="2078623059">
    <w:abstractNumId w:val="236"/>
  </w:num>
  <w:num w:numId="242" w16cid:durableId="836385040">
    <w:abstractNumId w:val="235"/>
  </w:num>
  <w:num w:numId="243" w16cid:durableId="507719549">
    <w:abstractNumId w:val="38"/>
  </w:num>
  <w:num w:numId="244" w16cid:durableId="2076928908">
    <w:abstractNumId w:val="124"/>
  </w:num>
  <w:num w:numId="245" w16cid:durableId="259726518">
    <w:abstractNumId w:val="187"/>
  </w:num>
  <w:num w:numId="246" w16cid:durableId="155386156">
    <w:abstractNumId w:val="46"/>
  </w:num>
  <w:num w:numId="247" w16cid:durableId="626081496">
    <w:abstractNumId w:val="42"/>
  </w:num>
  <w:num w:numId="248" w16cid:durableId="1395079080">
    <w:abstractNumId w:val="14"/>
  </w:num>
  <w:num w:numId="249" w16cid:durableId="1460227576">
    <w:abstractNumId w:val="150"/>
  </w:num>
  <w:num w:numId="250" w16cid:durableId="1965959788">
    <w:abstractNumId w:val="102"/>
  </w:num>
  <w:num w:numId="251" w16cid:durableId="9954507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182C"/>
    <w:rsid w:val="0000208C"/>
    <w:rsid w:val="000021EC"/>
    <w:rsid w:val="0000240F"/>
    <w:rsid w:val="000024EA"/>
    <w:rsid w:val="00003486"/>
    <w:rsid w:val="00004F37"/>
    <w:rsid w:val="000058CD"/>
    <w:rsid w:val="000066F7"/>
    <w:rsid w:val="00006E3F"/>
    <w:rsid w:val="000102DA"/>
    <w:rsid w:val="0001035A"/>
    <w:rsid w:val="00010C9F"/>
    <w:rsid w:val="0001137E"/>
    <w:rsid w:val="00011C0F"/>
    <w:rsid w:val="00011E5A"/>
    <w:rsid w:val="0001233F"/>
    <w:rsid w:val="000128F2"/>
    <w:rsid w:val="00013859"/>
    <w:rsid w:val="00013D5E"/>
    <w:rsid w:val="00013E9F"/>
    <w:rsid w:val="00014522"/>
    <w:rsid w:val="00014649"/>
    <w:rsid w:val="00014FD5"/>
    <w:rsid w:val="000161B9"/>
    <w:rsid w:val="00017542"/>
    <w:rsid w:val="00017B96"/>
    <w:rsid w:val="00020A14"/>
    <w:rsid w:val="00020CA9"/>
    <w:rsid w:val="00020DF6"/>
    <w:rsid w:val="000211DE"/>
    <w:rsid w:val="00021234"/>
    <w:rsid w:val="00022236"/>
    <w:rsid w:val="00022A29"/>
    <w:rsid w:val="000236EC"/>
    <w:rsid w:val="000237C2"/>
    <w:rsid w:val="00023990"/>
    <w:rsid w:val="000243E2"/>
    <w:rsid w:val="00024652"/>
    <w:rsid w:val="00024D26"/>
    <w:rsid w:val="00024FDA"/>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531"/>
    <w:rsid w:val="0005272B"/>
    <w:rsid w:val="000528A5"/>
    <w:rsid w:val="00053134"/>
    <w:rsid w:val="00053342"/>
    <w:rsid w:val="00053AB0"/>
    <w:rsid w:val="0005419F"/>
    <w:rsid w:val="00054724"/>
    <w:rsid w:val="0005497C"/>
    <w:rsid w:val="00054EBD"/>
    <w:rsid w:val="00055E04"/>
    <w:rsid w:val="000566DB"/>
    <w:rsid w:val="0006078F"/>
    <w:rsid w:val="00061115"/>
    <w:rsid w:val="00061628"/>
    <w:rsid w:val="000625A8"/>
    <w:rsid w:val="00063FA3"/>
    <w:rsid w:val="000641AF"/>
    <w:rsid w:val="000643DF"/>
    <w:rsid w:val="00064A03"/>
    <w:rsid w:val="000665FC"/>
    <w:rsid w:val="00066C6E"/>
    <w:rsid w:val="00067309"/>
    <w:rsid w:val="00070745"/>
    <w:rsid w:val="00070820"/>
    <w:rsid w:val="00072145"/>
    <w:rsid w:val="00072D0E"/>
    <w:rsid w:val="0007374D"/>
    <w:rsid w:val="0007383B"/>
    <w:rsid w:val="00073C22"/>
    <w:rsid w:val="00073CD7"/>
    <w:rsid w:val="00074769"/>
    <w:rsid w:val="0007488B"/>
    <w:rsid w:val="00075C58"/>
    <w:rsid w:val="0007603E"/>
    <w:rsid w:val="0007614A"/>
    <w:rsid w:val="000773A4"/>
    <w:rsid w:val="0007787C"/>
    <w:rsid w:val="000810B4"/>
    <w:rsid w:val="000813A0"/>
    <w:rsid w:val="00081E0F"/>
    <w:rsid w:val="00081EFD"/>
    <w:rsid w:val="0008222E"/>
    <w:rsid w:val="0008277B"/>
    <w:rsid w:val="00082A97"/>
    <w:rsid w:val="0008364A"/>
    <w:rsid w:val="00083E2B"/>
    <w:rsid w:val="00084309"/>
    <w:rsid w:val="0008570D"/>
    <w:rsid w:val="000859BD"/>
    <w:rsid w:val="00087B84"/>
    <w:rsid w:val="000916B5"/>
    <w:rsid w:val="000921E9"/>
    <w:rsid w:val="000925E1"/>
    <w:rsid w:val="00092C2A"/>
    <w:rsid w:val="00094318"/>
    <w:rsid w:val="0009483F"/>
    <w:rsid w:val="0009492F"/>
    <w:rsid w:val="000951BC"/>
    <w:rsid w:val="00095C17"/>
    <w:rsid w:val="00095CB7"/>
    <w:rsid w:val="0009639C"/>
    <w:rsid w:val="000A01BB"/>
    <w:rsid w:val="000A0ADF"/>
    <w:rsid w:val="000A1AC2"/>
    <w:rsid w:val="000A2770"/>
    <w:rsid w:val="000A2FA6"/>
    <w:rsid w:val="000A316A"/>
    <w:rsid w:val="000A39F7"/>
    <w:rsid w:val="000A3C73"/>
    <w:rsid w:val="000A3D13"/>
    <w:rsid w:val="000A4262"/>
    <w:rsid w:val="000A5185"/>
    <w:rsid w:val="000A5AED"/>
    <w:rsid w:val="000A66F6"/>
    <w:rsid w:val="000A6807"/>
    <w:rsid w:val="000B039B"/>
    <w:rsid w:val="000B0475"/>
    <w:rsid w:val="000B07D1"/>
    <w:rsid w:val="000B102B"/>
    <w:rsid w:val="000B1FFE"/>
    <w:rsid w:val="000B2510"/>
    <w:rsid w:val="000B295D"/>
    <w:rsid w:val="000B36EB"/>
    <w:rsid w:val="000B379B"/>
    <w:rsid w:val="000B4D13"/>
    <w:rsid w:val="000B4F46"/>
    <w:rsid w:val="000B5B0D"/>
    <w:rsid w:val="000C0225"/>
    <w:rsid w:val="000C081D"/>
    <w:rsid w:val="000C147E"/>
    <w:rsid w:val="000C1B1F"/>
    <w:rsid w:val="000C2457"/>
    <w:rsid w:val="000C2F25"/>
    <w:rsid w:val="000C3140"/>
    <w:rsid w:val="000C3363"/>
    <w:rsid w:val="000C4A06"/>
    <w:rsid w:val="000C5461"/>
    <w:rsid w:val="000C5815"/>
    <w:rsid w:val="000C5A3B"/>
    <w:rsid w:val="000C6C4F"/>
    <w:rsid w:val="000C764C"/>
    <w:rsid w:val="000D03E8"/>
    <w:rsid w:val="000D0C7C"/>
    <w:rsid w:val="000D0D8F"/>
    <w:rsid w:val="000D1A89"/>
    <w:rsid w:val="000D2C31"/>
    <w:rsid w:val="000D3813"/>
    <w:rsid w:val="000D3A3C"/>
    <w:rsid w:val="000D3F92"/>
    <w:rsid w:val="000D45F5"/>
    <w:rsid w:val="000D4606"/>
    <w:rsid w:val="000D57DA"/>
    <w:rsid w:val="000D6417"/>
    <w:rsid w:val="000D6884"/>
    <w:rsid w:val="000D68C7"/>
    <w:rsid w:val="000D6A4A"/>
    <w:rsid w:val="000D71D4"/>
    <w:rsid w:val="000D754C"/>
    <w:rsid w:val="000E02EC"/>
    <w:rsid w:val="000E051A"/>
    <w:rsid w:val="000E2793"/>
    <w:rsid w:val="000E314A"/>
    <w:rsid w:val="000E51F2"/>
    <w:rsid w:val="000E53A6"/>
    <w:rsid w:val="000E5743"/>
    <w:rsid w:val="000E6648"/>
    <w:rsid w:val="000E6708"/>
    <w:rsid w:val="000E6C67"/>
    <w:rsid w:val="000E7318"/>
    <w:rsid w:val="000F01E9"/>
    <w:rsid w:val="000F02FD"/>
    <w:rsid w:val="000F0974"/>
    <w:rsid w:val="000F0B26"/>
    <w:rsid w:val="000F176F"/>
    <w:rsid w:val="000F222C"/>
    <w:rsid w:val="000F2A07"/>
    <w:rsid w:val="000F3ECD"/>
    <w:rsid w:val="000F4D71"/>
    <w:rsid w:val="000F5A29"/>
    <w:rsid w:val="000F5CF9"/>
    <w:rsid w:val="000F6108"/>
    <w:rsid w:val="000F6110"/>
    <w:rsid w:val="000F6A15"/>
    <w:rsid w:val="000F7353"/>
    <w:rsid w:val="000F745C"/>
    <w:rsid w:val="000F7976"/>
    <w:rsid w:val="001003C7"/>
    <w:rsid w:val="001010D7"/>
    <w:rsid w:val="00101727"/>
    <w:rsid w:val="0010191E"/>
    <w:rsid w:val="00101954"/>
    <w:rsid w:val="001025CF"/>
    <w:rsid w:val="00102C86"/>
    <w:rsid w:val="001030C2"/>
    <w:rsid w:val="00103AD8"/>
    <w:rsid w:val="00104ED2"/>
    <w:rsid w:val="0010566E"/>
    <w:rsid w:val="001071D6"/>
    <w:rsid w:val="00107338"/>
    <w:rsid w:val="00107A64"/>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2411"/>
    <w:rsid w:val="0012291F"/>
    <w:rsid w:val="001231B3"/>
    <w:rsid w:val="00123955"/>
    <w:rsid w:val="00124364"/>
    <w:rsid w:val="00125308"/>
    <w:rsid w:val="001257F6"/>
    <w:rsid w:val="00125DC9"/>
    <w:rsid w:val="0012611B"/>
    <w:rsid w:val="00126629"/>
    <w:rsid w:val="0012754A"/>
    <w:rsid w:val="00130566"/>
    <w:rsid w:val="00130845"/>
    <w:rsid w:val="00131453"/>
    <w:rsid w:val="001316A4"/>
    <w:rsid w:val="00131D1A"/>
    <w:rsid w:val="001356CB"/>
    <w:rsid w:val="00135A3C"/>
    <w:rsid w:val="0013628B"/>
    <w:rsid w:val="00137037"/>
    <w:rsid w:val="001374E0"/>
    <w:rsid w:val="0014034D"/>
    <w:rsid w:val="00140966"/>
    <w:rsid w:val="001416B4"/>
    <w:rsid w:val="00141988"/>
    <w:rsid w:val="00141A7D"/>
    <w:rsid w:val="00141A95"/>
    <w:rsid w:val="00141B98"/>
    <w:rsid w:val="00141D6C"/>
    <w:rsid w:val="00141FE9"/>
    <w:rsid w:val="0014254C"/>
    <w:rsid w:val="0014344A"/>
    <w:rsid w:val="0014367F"/>
    <w:rsid w:val="00143D49"/>
    <w:rsid w:val="0014661D"/>
    <w:rsid w:val="001473EB"/>
    <w:rsid w:val="00147564"/>
    <w:rsid w:val="00150528"/>
    <w:rsid w:val="00150868"/>
    <w:rsid w:val="001515B6"/>
    <w:rsid w:val="00151627"/>
    <w:rsid w:val="00151BA3"/>
    <w:rsid w:val="00151DEF"/>
    <w:rsid w:val="0015419B"/>
    <w:rsid w:val="001542D6"/>
    <w:rsid w:val="00154895"/>
    <w:rsid w:val="001548B3"/>
    <w:rsid w:val="001551E3"/>
    <w:rsid w:val="00155941"/>
    <w:rsid w:val="00157815"/>
    <w:rsid w:val="0016184C"/>
    <w:rsid w:val="0016202E"/>
    <w:rsid w:val="00162090"/>
    <w:rsid w:val="00162147"/>
    <w:rsid w:val="0016264C"/>
    <w:rsid w:val="00163276"/>
    <w:rsid w:val="00163D2F"/>
    <w:rsid w:val="00164F7A"/>
    <w:rsid w:val="00165137"/>
    <w:rsid w:val="00165502"/>
    <w:rsid w:val="00165B9F"/>
    <w:rsid w:val="00167342"/>
    <w:rsid w:val="0016783F"/>
    <w:rsid w:val="001679CD"/>
    <w:rsid w:val="00170693"/>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A73"/>
    <w:rsid w:val="00181E98"/>
    <w:rsid w:val="001822EC"/>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2B85"/>
    <w:rsid w:val="0019303F"/>
    <w:rsid w:val="00193BEB"/>
    <w:rsid w:val="001940F5"/>
    <w:rsid w:val="001942D3"/>
    <w:rsid w:val="001944AD"/>
    <w:rsid w:val="00194EE1"/>
    <w:rsid w:val="00195A5D"/>
    <w:rsid w:val="00195ED7"/>
    <w:rsid w:val="00196522"/>
    <w:rsid w:val="001A00D5"/>
    <w:rsid w:val="001A0366"/>
    <w:rsid w:val="001A1783"/>
    <w:rsid w:val="001A1E50"/>
    <w:rsid w:val="001A1EAE"/>
    <w:rsid w:val="001A1F91"/>
    <w:rsid w:val="001A35B4"/>
    <w:rsid w:val="001A3FC6"/>
    <w:rsid w:val="001A463D"/>
    <w:rsid w:val="001A4FD5"/>
    <w:rsid w:val="001A5027"/>
    <w:rsid w:val="001A522D"/>
    <w:rsid w:val="001A5EC6"/>
    <w:rsid w:val="001A6350"/>
    <w:rsid w:val="001A671A"/>
    <w:rsid w:val="001A689F"/>
    <w:rsid w:val="001B170B"/>
    <w:rsid w:val="001B185D"/>
    <w:rsid w:val="001B1B7C"/>
    <w:rsid w:val="001B1CA0"/>
    <w:rsid w:val="001B2273"/>
    <w:rsid w:val="001B3475"/>
    <w:rsid w:val="001B3814"/>
    <w:rsid w:val="001B385C"/>
    <w:rsid w:val="001B45DC"/>
    <w:rsid w:val="001B4671"/>
    <w:rsid w:val="001B49B8"/>
    <w:rsid w:val="001B71DA"/>
    <w:rsid w:val="001C0DF6"/>
    <w:rsid w:val="001C1227"/>
    <w:rsid w:val="001C1E74"/>
    <w:rsid w:val="001C1F0B"/>
    <w:rsid w:val="001C3216"/>
    <w:rsid w:val="001C32D7"/>
    <w:rsid w:val="001C39D5"/>
    <w:rsid w:val="001C421C"/>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6208"/>
    <w:rsid w:val="001D73C6"/>
    <w:rsid w:val="001E0222"/>
    <w:rsid w:val="001E024F"/>
    <w:rsid w:val="001E0A65"/>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20B2"/>
    <w:rsid w:val="001F32FB"/>
    <w:rsid w:val="001F34EA"/>
    <w:rsid w:val="001F3BB0"/>
    <w:rsid w:val="001F3DA1"/>
    <w:rsid w:val="001F450D"/>
    <w:rsid w:val="001F4BE0"/>
    <w:rsid w:val="001F67F4"/>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1147"/>
    <w:rsid w:val="00211C26"/>
    <w:rsid w:val="00211DA0"/>
    <w:rsid w:val="0021221F"/>
    <w:rsid w:val="002127A5"/>
    <w:rsid w:val="00212A7B"/>
    <w:rsid w:val="002137FB"/>
    <w:rsid w:val="00213827"/>
    <w:rsid w:val="002144F7"/>
    <w:rsid w:val="002149D4"/>
    <w:rsid w:val="00215620"/>
    <w:rsid w:val="00216E17"/>
    <w:rsid w:val="00217448"/>
    <w:rsid w:val="00217485"/>
    <w:rsid w:val="002200BF"/>
    <w:rsid w:val="00220603"/>
    <w:rsid w:val="00220CAB"/>
    <w:rsid w:val="00220EBA"/>
    <w:rsid w:val="00221108"/>
    <w:rsid w:val="00221945"/>
    <w:rsid w:val="00221D81"/>
    <w:rsid w:val="002225AF"/>
    <w:rsid w:val="00222BD7"/>
    <w:rsid w:val="00223116"/>
    <w:rsid w:val="002239ED"/>
    <w:rsid w:val="00223D11"/>
    <w:rsid w:val="002243BC"/>
    <w:rsid w:val="002244E9"/>
    <w:rsid w:val="002246A4"/>
    <w:rsid w:val="00224764"/>
    <w:rsid w:val="00225066"/>
    <w:rsid w:val="002257C2"/>
    <w:rsid w:val="00225FF1"/>
    <w:rsid w:val="00227374"/>
    <w:rsid w:val="002278A6"/>
    <w:rsid w:val="00227D10"/>
    <w:rsid w:val="00227FE1"/>
    <w:rsid w:val="0023080E"/>
    <w:rsid w:val="00230D41"/>
    <w:rsid w:val="00230D6E"/>
    <w:rsid w:val="00230DDC"/>
    <w:rsid w:val="00231115"/>
    <w:rsid w:val="00231457"/>
    <w:rsid w:val="00231819"/>
    <w:rsid w:val="00232A77"/>
    <w:rsid w:val="002330E8"/>
    <w:rsid w:val="002331A3"/>
    <w:rsid w:val="00233DFB"/>
    <w:rsid w:val="00234764"/>
    <w:rsid w:val="002349E7"/>
    <w:rsid w:val="00237382"/>
    <w:rsid w:val="0024097A"/>
    <w:rsid w:val="002436B9"/>
    <w:rsid w:val="0024375E"/>
    <w:rsid w:val="0024457E"/>
    <w:rsid w:val="002446C9"/>
    <w:rsid w:val="002449C5"/>
    <w:rsid w:val="002452A5"/>
    <w:rsid w:val="0024549B"/>
    <w:rsid w:val="00245BCB"/>
    <w:rsid w:val="0024646C"/>
    <w:rsid w:val="00246A1E"/>
    <w:rsid w:val="00250A5F"/>
    <w:rsid w:val="00250AEA"/>
    <w:rsid w:val="002526D0"/>
    <w:rsid w:val="00253F90"/>
    <w:rsid w:val="00255CA8"/>
    <w:rsid w:val="002566AF"/>
    <w:rsid w:val="00256938"/>
    <w:rsid w:val="00256958"/>
    <w:rsid w:val="00257292"/>
    <w:rsid w:val="00257A42"/>
    <w:rsid w:val="00257F24"/>
    <w:rsid w:val="00260C29"/>
    <w:rsid w:val="00261298"/>
    <w:rsid w:val="0026175F"/>
    <w:rsid w:val="00263A32"/>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6E67"/>
    <w:rsid w:val="00277412"/>
    <w:rsid w:val="00277CF1"/>
    <w:rsid w:val="00280E24"/>
    <w:rsid w:val="0028102A"/>
    <w:rsid w:val="002812B7"/>
    <w:rsid w:val="0028223F"/>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4B20"/>
    <w:rsid w:val="00294CC0"/>
    <w:rsid w:val="00294D0C"/>
    <w:rsid w:val="002955DE"/>
    <w:rsid w:val="0029575C"/>
    <w:rsid w:val="00295A9F"/>
    <w:rsid w:val="002962E5"/>
    <w:rsid w:val="00296F7B"/>
    <w:rsid w:val="00297B22"/>
    <w:rsid w:val="00297DC9"/>
    <w:rsid w:val="002A0640"/>
    <w:rsid w:val="002A0884"/>
    <w:rsid w:val="002A1613"/>
    <w:rsid w:val="002A1BC8"/>
    <w:rsid w:val="002A224F"/>
    <w:rsid w:val="002A26EA"/>
    <w:rsid w:val="002A2D05"/>
    <w:rsid w:val="002A3943"/>
    <w:rsid w:val="002A3A86"/>
    <w:rsid w:val="002A4349"/>
    <w:rsid w:val="002A5347"/>
    <w:rsid w:val="002A535A"/>
    <w:rsid w:val="002A6B4F"/>
    <w:rsid w:val="002A7212"/>
    <w:rsid w:val="002A73B5"/>
    <w:rsid w:val="002A7ADB"/>
    <w:rsid w:val="002A7B1D"/>
    <w:rsid w:val="002B044D"/>
    <w:rsid w:val="002B1508"/>
    <w:rsid w:val="002B1ABB"/>
    <w:rsid w:val="002B2432"/>
    <w:rsid w:val="002B2991"/>
    <w:rsid w:val="002B2B2E"/>
    <w:rsid w:val="002B2C9D"/>
    <w:rsid w:val="002B3966"/>
    <w:rsid w:val="002B511E"/>
    <w:rsid w:val="002B5475"/>
    <w:rsid w:val="002B5FF3"/>
    <w:rsid w:val="002B66A2"/>
    <w:rsid w:val="002B67B5"/>
    <w:rsid w:val="002B7ABB"/>
    <w:rsid w:val="002B7DF6"/>
    <w:rsid w:val="002C01F4"/>
    <w:rsid w:val="002C0696"/>
    <w:rsid w:val="002C0B00"/>
    <w:rsid w:val="002C0FC1"/>
    <w:rsid w:val="002C174C"/>
    <w:rsid w:val="002C20FC"/>
    <w:rsid w:val="002C3C3D"/>
    <w:rsid w:val="002C413A"/>
    <w:rsid w:val="002C477E"/>
    <w:rsid w:val="002C4B69"/>
    <w:rsid w:val="002C4F39"/>
    <w:rsid w:val="002C5AD0"/>
    <w:rsid w:val="002C6FF3"/>
    <w:rsid w:val="002C7016"/>
    <w:rsid w:val="002C7A16"/>
    <w:rsid w:val="002C7CBC"/>
    <w:rsid w:val="002D0476"/>
    <w:rsid w:val="002D0669"/>
    <w:rsid w:val="002D0BC1"/>
    <w:rsid w:val="002D1463"/>
    <w:rsid w:val="002D2296"/>
    <w:rsid w:val="002D3270"/>
    <w:rsid w:val="002D3446"/>
    <w:rsid w:val="002D3592"/>
    <w:rsid w:val="002D3CCB"/>
    <w:rsid w:val="002D46D6"/>
    <w:rsid w:val="002D670C"/>
    <w:rsid w:val="002D6F32"/>
    <w:rsid w:val="002D7019"/>
    <w:rsid w:val="002D706B"/>
    <w:rsid w:val="002D7451"/>
    <w:rsid w:val="002D793B"/>
    <w:rsid w:val="002D79CF"/>
    <w:rsid w:val="002D7B17"/>
    <w:rsid w:val="002E06D7"/>
    <w:rsid w:val="002E0791"/>
    <w:rsid w:val="002E0E51"/>
    <w:rsid w:val="002E134F"/>
    <w:rsid w:val="002E1887"/>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510C"/>
    <w:rsid w:val="002F550F"/>
    <w:rsid w:val="002F5D83"/>
    <w:rsid w:val="002F5DEF"/>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3E92"/>
    <w:rsid w:val="00314011"/>
    <w:rsid w:val="00314A5E"/>
    <w:rsid w:val="00315340"/>
    <w:rsid w:val="00315545"/>
    <w:rsid w:val="003155D0"/>
    <w:rsid w:val="003169D1"/>
    <w:rsid w:val="00316BB4"/>
    <w:rsid w:val="003174D8"/>
    <w:rsid w:val="00317840"/>
    <w:rsid w:val="003179D5"/>
    <w:rsid w:val="0032069F"/>
    <w:rsid w:val="00320975"/>
    <w:rsid w:val="00321ABC"/>
    <w:rsid w:val="00322F0C"/>
    <w:rsid w:val="003233A8"/>
    <w:rsid w:val="0032383A"/>
    <w:rsid w:val="003238D2"/>
    <w:rsid w:val="00324698"/>
    <w:rsid w:val="00326478"/>
    <w:rsid w:val="00326BD6"/>
    <w:rsid w:val="00326BF0"/>
    <w:rsid w:val="00326D02"/>
    <w:rsid w:val="0032729E"/>
    <w:rsid w:val="003274E5"/>
    <w:rsid w:val="00327986"/>
    <w:rsid w:val="00327E0A"/>
    <w:rsid w:val="003307F5"/>
    <w:rsid w:val="00331034"/>
    <w:rsid w:val="003312D9"/>
    <w:rsid w:val="00332306"/>
    <w:rsid w:val="00332BCD"/>
    <w:rsid w:val="0033375C"/>
    <w:rsid w:val="00333796"/>
    <w:rsid w:val="00333F25"/>
    <w:rsid w:val="00334535"/>
    <w:rsid w:val="00334599"/>
    <w:rsid w:val="0033474F"/>
    <w:rsid w:val="00334821"/>
    <w:rsid w:val="003357AA"/>
    <w:rsid w:val="00336095"/>
    <w:rsid w:val="003364AF"/>
    <w:rsid w:val="00337FEF"/>
    <w:rsid w:val="00340204"/>
    <w:rsid w:val="00340B9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1285"/>
    <w:rsid w:val="003515DF"/>
    <w:rsid w:val="00351D13"/>
    <w:rsid w:val="00351D6D"/>
    <w:rsid w:val="0035272A"/>
    <w:rsid w:val="00353193"/>
    <w:rsid w:val="0035336A"/>
    <w:rsid w:val="00353C81"/>
    <w:rsid w:val="00354BCF"/>
    <w:rsid w:val="00355EAE"/>
    <w:rsid w:val="0035637E"/>
    <w:rsid w:val="003567EB"/>
    <w:rsid w:val="003579F0"/>
    <w:rsid w:val="00357F88"/>
    <w:rsid w:val="00361109"/>
    <w:rsid w:val="003616F2"/>
    <w:rsid w:val="00362B60"/>
    <w:rsid w:val="00362BBB"/>
    <w:rsid w:val="00362D2A"/>
    <w:rsid w:val="00362D3D"/>
    <w:rsid w:val="00362DF4"/>
    <w:rsid w:val="00364062"/>
    <w:rsid w:val="00364222"/>
    <w:rsid w:val="00364666"/>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25DB"/>
    <w:rsid w:val="0038295B"/>
    <w:rsid w:val="003840FD"/>
    <w:rsid w:val="00385800"/>
    <w:rsid w:val="003858F8"/>
    <w:rsid w:val="00386E2D"/>
    <w:rsid w:val="00390ED4"/>
    <w:rsid w:val="00392AED"/>
    <w:rsid w:val="00392D8D"/>
    <w:rsid w:val="003935C3"/>
    <w:rsid w:val="00393B18"/>
    <w:rsid w:val="00393B96"/>
    <w:rsid w:val="003949B6"/>
    <w:rsid w:val="003951EE"/>
    <w:rsid w:val="003956A2"/>
    <w:rsid w:val="00395B62"/>
    <w:rsid w:val="003961E8"/>
    <w:rsid w:val="0039678B"/>
    <w:rsid w:val="003967EF"/>
    <w:rsid w:val="003968CC"/>
    <w:rsid w:val="003968F9"/>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202"/>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B64"/>
    <w:rsid w:val="003C6D5E"/>
    <w:rsid w:val="003C753E"/>
    <w:rsid w:val="003D0044"/>
    <w:rsid w:val="003D0181"/>
    <w:rsid w:val="003D037F"/>
    <w:rsid w:val="003D0849"/>
    <w:rsid w:val="003D09DF"/>
    <w:rsid w:val="003D1276"/>
    <w:rsid w:val="003D146D"/>
    <w:rsid w:val="003D20CB"/>
    <w:rsid w:val="003D24F3"/>
    <w:rsid w:val="003D2711"/>
    <w:rsid w:val="003D32DF"/>
    <w:rsid w:val="003D365B"/>
    <w:rsid w:val="003D439F"/>
    <w:rsid w:val="003D4BCE"/>
    <w:rsid w:val="003D4E09"/>
    <w:rsid w:val="003D4F0B"/>
    <w:rsid w:val="003D5E39"/>
    <w:rsid w:val="003D60A2"/>
    <w:rsid w:val="003D63C5"/>
    <w:rsid w:val="003D6B04"/>
    <w:rsid w:val="003D706F"/>
    <w:rsid w:val="003D78EE"/>
    <w:rsid w:val="003D7AF1"/>
    <w:rsid w:val="003E039C"/>
    <w:rsid w:val="003E0EA1"/>
    <w:rsid w:val="003E1406"/>
    <w:rsid w:val="003E1F42"/>
    <w:rsid w:val="003E2441"/>
    <w:rsid w:val="003E2A31"/>
    <w:rsid w:val="003E3A5F"/>
    <w:rsid w:val="003E3FA3"/>
    <w:rsid w:val="003E50B4"/>
    <w:rsid w:val="003E53DB"/>
    <w:rsid w:val="003E5CD0"/>
    <w:rsid w:val="003E6870"/>
    <w:rsid w:val="003E7302"/>
    <w:rsid w:val="003E783E"/>
    <w:rsid w:val="003E7DF2"/>
    <w:rsid w:val="003F010A"/>
    <w:rsid w:val="003F0852"/>
    <w:rsid w:val="003F0BAF"/>
    <w:rsid w:val="003F1236"/>
    <w:rsid w:val="003F131B"/>
    <w:rsid w:val="003F1FC5"/>
    <w:rsid w:val="003F264C"/>
    <w:rsid w:val="003F2A21"/>
    <w:rsid w:val="003F2E09"/>
    <w:rsid w:val="003F34A5"/>
    <w:rsid w:val="003F497E"/>
    <w:rsid w:val="003F4EDC"/>
    <w:rsid w:val="003F63CF"/>
    <w:rsid w:val="003F64D4"/>
    <w:rsid w:val="003F755D"/>
    <w:rsid w:val="004002FB"/>
    <w:rsid w:val="0040122B"/>
    <w:rsid w:val="004025DB"/>
    <w:rsid w:val="004027E6"/>
    <w:rsid w:val="00403033"/>
    <w:rsid w:val="004036E7"/>
    <w:rsid w:val="00404548"/>
    <w:rsid w:val="0040522D"/>
    <w:rsid w:val="00405E62"/>
    <w:rsid w:val="00406CAF"/>
    <w:rsid w:val="0040739A"/>
    <w:rsid w:val="00407914"/>
    <w:rsid w:val="00407D4D"/>
    <w:rsid w:val="00407E58"/>
    <w:rsid w:val="00410254"/>
    <w:rsid w:val="0041115F"/>
    <w:rsid w:val="00411A45"/>
    <w:rsid w:val="00411CD6"/>
    <w:rsid w:val="004122DD"/>
    <w:rsid w:val="004134A6"/>
    <w:rsid w:val="00413B76"/>
    <w:rsid w:val="004149F0"/>
    <w:rsid w:val="00414A82"/>
    <w:rsid w:val="00416208"/>
    <w:rsid w:val="0041635A"/>
    <w:rsid w:val="004167F2"/>
    <w:rsid w:val="00416B37"/>
    <w:rsid w:val="00416B8D"/>
    <w:rsid w:val="00416E59"/>
    <w:rsid w:val="00417166"/>
    <w:rsid w:val="00417AE6"/>
    <w:rsid w:val="00421915"/>
    <w:rsid w:val="00422D2C"/>
    <w:rsid w:val="00422FF7"/>
    <w:rsid w:val="004238E6"/>
    <w:rsid w:val="00424AD0"/>
    <w:rsid w:val="00425175"/>
    <w:rsid w:val="0042584D"/>
    <w:rsid w:val="0042693F"/>
    <w:rsid w:val="00427FEA"/>
    <w:rsid w:val="0043109A"/>
    <w:rsid w:val="004311ED"/>
    <w:rsid w:val="004311F0"/>
    <w:rsid w:val="004313A6"/>
    <w:rsid w:val="004322C2"/>
    <w:rsid w:val="004323E3"/>
    <w:rsid w:val="004324CB"/>
    <w:rsid w:val="00432504"/>
    <w:rsid w:val="00432CFA"/>
    <w:rsid w:val="00433317"/>
    <w:rsid w:val="0043393E"/>
    <w:rsid w:val="0043436A"/>
    <w:rsid w:val="00434B78"/>
    <w:rsid w:val="00435116"/>
    <w:rsid w:val="00436709"/>
    <w:rsid w:val="00436A94"/>
    <w:rsid w:val="00436D72"/>
    <w:rsid w:val="00437A01"/>
    <w:rsid w:val="00440802"/>
    <w:rsid w:val="00441D0A"/>
    <w:rsid w:val="00441D74"/>
    <w:rsid w:val="00441E8D"/>
    <w:rsid w:val="00442AE4"/>
    <w:rsid w:val="00443B04"/>
    <w:rsid w:val="004449E2"/>
    <w:rsid w:val="0044577D"/>
    <w:rsid w:val="00445DF5"/>
    <w:rsid w:val="00445E28"/>
    <w:rsid w:val="004479D4"/>
    <w:rsid w:val="00447AA7"/>
    <w:rsid w:val="00447D03"/>
    <w:rsid w:val="00447F74"/>
    <w:rsid w:val="00450572"/>
    <w:rsid w:val="004507AE"/>
    <w:rsid w:val="00450DCE"/>
    <w:rsid w:val="004514B8"/>
    <w:rsid w:val="004515F8"/>
    <w:rsid w:val="004519A0"/>
    <w:rsid w:val="00451C54"/>
    <w:rsid w:val="00453863"/>
    <w:rsid w:val="00453E87"/>
    <w:rsid w:val="00454E67"/>
    <w:rsid w:val="004556A3"/>
    <w:rsid w:val="00455B8E"/>
    <w:rsid w:val="00455BE7"/>
    <w:rsid w:val="0045603D"/>
    <w:rsid w:val="00456492"/>
    <w:rsid w:val="004569FB"/>
    <w:rsid w:val="00456AD4"/>
    <w:rsid w:val="00460786"/>
    <w:rsid w:val="0046087A"/>
    <w:rsid w:val="00462AE8"/>
    <w:rsid w:val="00463B3C"/>
    <w:rsid w:val="00463CD5"/>
    <w:rsid w:val="00464129"/>
    <w:rsid w:val="0046416C"/>
    <w:rsid w:val="004649A2"/>
    <w:rsid w:val="00465123"/>
    <w:rsid w:val="004654A8"/>
    <w:rsid w:val="0046571E"/>
    <w:rsid w:val="00466131"/>
    <w:rsid w:val="004664F4"/>
    <w:rsid w:val="00466813"/>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39A1"/>
    <w:rsid w:val="00483E58"/>
    <w:rsid w:val="004844C1"/>
    <w:rsid w:val="00485DA5"/>
    <w:rsid w:val="004865ED"/>
    <w:rsid w:val="004868A2"/>
    <w:rsid w:val="00486AA3"/>
    <w:rsid w:val="00486CF5"/>
    <w:rsid w:val="004879D9"/>
    <w:rsid w:val="004901D7"/>
    <w:rsid w:val="004911B7"/>
    <w:rsid w:val="004914BE"/>
    <w:rsid w:val="00491D9B"/>
    <w:rsid w:val="0049234B"/>
    <w:rsid w:val="0049243D"/>
    <w:rsid w:val="00492631"/>
    <w:rsid w:val="00493076"/>
    <w:rsid w:val="004954C3"/>
    <w:rsid w:val="004955AF"/>
    <w:rsid w:val="00495B0A"/>
    <w:rsid w:val="00496A9A"/>
    <w:rsid w:val="00497519"/>
    <w:rsid w:val="004A0338"/>
    <w:rsid w:val="004A098A"/>
    <w:rsid w:val="004A0B57"/>
    <w:rsid w:val="004A0F6F"/>
    <w:rsid w:val="004A14E2"/>
    <w:rsid w:val="004A1556"/>
    <w:rsid w:val="004A2039"/>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10D3"/>
    <w:rsid w:val="004C132F"/>
    <w:rsid w:val="004C2302"/>
    <w:rsid w:val="004C3102"/>
    <w:rsid w:val="004C366C"/>
    <w:rsid w:val="004C3765"/>
    <w:rsid w:val="004C383C"/>
    <w:rsid w:val="004C38AC"/>
    <w:rsid w:val="004C5550"/>
    <w:rsid w:val="004C58D6"/>
    <w:rsid w:val="004C5F9A"/>
    <w:rsid w:val="004C65CB"/>
    <w:rsid w:val="004C70C1"/>
    <w:rsid w:val="004C7E71"/>
    <w:rsid w:val="004D013E"/>
    <w:rsid w:val="004D0284"/>
    <w:rsid w:val="004D083D"/>
    <w:rsid w:val="004D12FE"/>
    <w:rsid w:val="004D1689"/>
    <w:rsid w:val="004D1B6F"/>
    <w:rsid w:val="004D3C83"/>
    <w:rsid w:val="004D42C7"/>
    <w:rsid w:val="004D43BE"/>
    <w:rsid w:val="004D4474"/>
    <w:rsid w:val="004D4DC8"/>
    <w:rsid w:val="004D5D8F"/>
    <w:rsid w:val="004D6266"/>
    <w:rsid w:val="004D6588"/>
    <w:rsid w:val="004D6EA7"/>
    <w:rsid w:val="004D7BB4"/>
    <w:rsid w:val="004D7C12"/>
    <w:rsid w:val="004D7EFC"/>
    <w:rsid w:val="004E0397"/>
    <w:rsid w:val="004E04E1"/>
    <w:rsid w:val="004E0B0C"/>
    <w:rsid w:val="004E1007"/>
    <w:rsid w:val="004E2834"/>
    <w:rsid w:val="004E28E1"/>
    <w:rsid w:val="004E33C3"/>
    <w:rsid w:val="004E3A7D"/>
    <w:rsid w:val="004E3F6C"/>
    <w:rsid w:val="004E4CC3"/>
    <w:rsid w:val="004E5B79"/>
    <w:rsid w:val="004E62D9"/>
    <w:rsid w:val="004E6437"/>
    <w:rsid w:val="004E6456"/>
    <w:rsid w:val="004E676A"/>
    <w:rsid w:val="004E70EE"/>
    <w:rsid w:val="004E7AD5"/>
    <w:rsid w:val="004E7FA2"/>
    <w:rsid w:val="004F00D2"/>
    <w:rsid w:val="004F0843"/>
    <w:rsid w:val="004F0F31"/>
    <w:rsid w:val="004F1F6B"/>
    <w:rsid w:val="004F2678"/>
    <w:rsid w:val="004F27E6"/>
    <w:rsid w:val="004F2DDF"/>
    <w:rsid w:val="004F2EFE"/>
    <w:rsid w:val="004F2FF4"/>
    <w:rsid w:val="004F3A27"/>
    <w:rsid w:val="004F542A"/>
    <w:rsid w:val="004F5C81"/>
    <w:rsid w:val="004F6273"/>
    <w:rsid w:val="004F7028"/>
    <w:rsid w:val="004F7952"/>
    <w:rsid w:val="004F7A2F"/>
    <w:rsid w:val="004F7DAB"/>
    <w:rsid w:val="004F7F71"/>
    <w:rsid w:val="00503AF4"/>
    <w:rsid w:val="00504350"/>
    <w:rsid w:val="005049FA"/>
    <w:rsid w:val="00505387"/>
    <w:rsid w:val="00506327"/>
    <w:rsid w:val="0050728A"/>
    <w:rsid w:val="0051036E"/>
    <w:rsid w:val="0051108B"/>
    <w:rsid w:val="00512347"/>
    <w:rsid w:val="00512902"/>
    <w:rsid w:val="0051372D"/>
    <w:rsid w:val="00514008"/>
    <w:rsid w:val="00514326"/>
    <w:rsid w:val="00514345"/>
    <w:rsid w:val="00514A66"/>
    <w:rsid w:val="00514E4C"/>
    <w:rsid w:val="00515861"/>
    <w:rsid w:val="00515AD7"/>
    <w:rsid w:val="0051764F"/>
    <w:rsid w:val="00517764"/>
    <w:rsid w:val="0051795C"/>
    <w:rsid w:val="00517C78"/>
    <w:rsid w:val="0052034B"/>
    <w:rsid w:val="005203CC"/>
    <w:rsid w:val="00520942"/>
    <w:rsid w:val="00520AD2"/>
    <w:rsid w:val="005220F9"/>
    <w:rsid w:val="00522148"/>
    <w:rsid w:val="0052270F"/>
    <w:rsid w:val="00522BD6"/>
    <w:rsid w:val="00522EB7"/>
    <w:rsid w:val="00523045"/>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327"/>
    <w:rsid w:val="00530655"/>
    <w:rsid w:val="00530AB5"/>
    <w:rsid w:val="00530E32"/>
    <w:rsid w:val="00531443"/>
    <w:rsid w:val="005319F7"/>
    <w:rsid w:val="00533391"/>
    <w:rsid w:val="005335CE"/>
    <w:rsid w:val="00534B7C"/>
    <w:rsid w:val="00535DB3"/>
    <w:rsid w:val="00535E74"/>
    <w:rsid w:val="00535FB1"/>
    <w:rsid w:val="00536872"/>
    <w:rsid w:val="00537369"/>
    <w:rsid w:val="005378D8"/>
    <w:rsid w:val="005404FB"/>
    <w:rsid w:val="00540B37"/>
    <w:rsid w:val="00540BEC"/>
    <w:rsid w:val="00541015"/>
    <w:rsid w:val="00541ACF"/>
    <w:rsid w:val="00543A71"/>
    <w:rsid w:val="0054607D"/>
    <w:rsid w:val="0054786E"/>
    <w:rsid w:val="00547976"/>
    <w:rsid w:val="00547B8D"/>
    <w:rsid w:val="0055061A"/>
    <w:rsid w:val="005508DB"/>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C39"/>
    <w:rsid w:val="00560E89"/>
    <w:rsid w:val="00561AA6"/>
    <w:rsid w:val="0056264B"/>
    <w:rsid w:val="00562C4C"/>
    <w:rsid w:val="00562C59"/>
    <w:rsid w:val="00562E4D"/>
    <w:rsid w:val="005632B0"/>
    <w:rsid w:val="005637D1"/>
    <w:rsid w:val="00563ACB"/>
    <w:rsid w:val="00564935"/>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749E"/>
    <w:rsid w:val="0059162A"/>
    <w:rsid w:val="00591850"/>
    <w:rsid w:val="005924B7"/>
    <w:rsid w:val="00592965"/>
    <w:rsid w:val="00593AE2"/>
    <w:rsid w:val="00595103"/>
    <w:rsid w:val="0059543F"/>
    <w:rsid w:val="00596F90"/>
    <w:rsid w:val="005975FE"/>
    <w:rsid w:val="00597C4E"/>
    <w:rsid w:val="00597FF6"/>
    <w:rsid w:val="005A07F5"/>
    <w:rsid w:val="005A07F7"/>
    <w:rsid w:val="005A0F8E"/>
    <w:rsid w:val="005A0FDF"/>
    <w:rsid w:val="005A1135"/>
    <w:rsid w:val="005A13CF"/>
    <w:rsid w:val="005A2B18"/>
    <w:rsid w:val="005A416B"/>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C8E"/>
    <w:rsid w:val="005B3961"/>
    <w:rsid w:val="005B4AED"/>
    <w:rsid w:val="005B4C47"/>
    <w:rsid w:val="005B4DEA"/>
    <w:rsid w:val="005B559B"/>
    <w:rsid w:val="005B5A47"/>
    <w:rsid w:val="005B5CB9"/>
    <w:rsid w:val="005B5DA1"/>
    <w:rsid w:val="005B5F8A"/>
    <w:rsid w:val="005B73AB"/>
    <w:rsid w:val="005B7768"/>
    <w:rsid w:val="005C06A0"/>
    <w:rsid w:val="005C0DD2"/>
    <w:rsid w:val="005C1928"/>
    <w:rsid w:val="005C1971"/>
    <w:rsid w:val="005C1E9B"/>
    <w:rsid w:val="005C2E2D"/>
    <w:rsid w:val="005C2F6B"/>
    <w:rsid w:val="005C301A"/>
    <w:rsid w:val="005C41A9"/>
    <w:rsid w:val="005C46C9"/>
    <w:rsid w:val="005C53B9"/>
    <w:rsid w:val="005C5841"/>
    <w:rsid w:val="005C6002"/>
    <w:rsid w:val="005D00AA"/>
    <w:rsid w:val="005D0347"/>
    <w:rsid w:val="005D0B4B"/>
    <w:rsid w:val="005D124F"/>
    <w:rsid w:val="005D2850"/>
    <w:rsid w:val="005D398C"/>
    <w:rsid w:val="005D48C0"/>
    <w:rsid w:val="005D4B0E"/>
    <w:rsid w:val="005D4FDB"/>
    <w:rsid w:val="005D5E6A"/>
    <w:rsid w:val="005D60E9"/>
    <w:rsid w:val="005D61AB"/>
    <w:rsid w:val="005D67A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0EA2"/>
    <w:rsid w:val="005F15A2"/>
    <w:rsid w:val="005F1731"/>
    <w:rsid w:val="005F29C7"/>
    <w:rsid w:val="005F29D5"/>
    <w:rsid w:val="005F3698"/>
    <w:rsid w:val="005F5181"/>
    <w:rsid w:val="005F579B"/>
    <w:rsid w:val="005F67BD"/>
    <w:rsid w:val="005F6D36"/>
    <w:rsid w:val="00600848"/>
    <w:rsid w:val="00600ABC"/>
    <w:rsid w:val="00601BB2"/>
    <w:rsid w:val="00602186"/>
    <w:rsid w:val="00602B2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07AC"/>
    <w:rsid w:val="0062168A"/>
    <w:rsid w:val="00621D13"/>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98D"/>
    <w:rsid w:val="00631A3B"/>
    <w:rsid w:val="00632886"/>
    <w:rsid w:val="0063333A"/>
    <w:rsid w:val="00633FD3"/>
    <w:rsid w:val="0063523B"/>
    <w:rsid w:val="006363E2"/>
    <w:rsid w:val="0063691C"/>
    <w:rsid w:val="0063713E"/>
    <w:rsid w:val="00637711"/>
    <w:rsid w:val="00640519"/>
    <w:rsid w:val="00640E40"/>
    <w:rsid w:val="00641270"/>
    <w:rsid w:val="0064131D"/>
    <w:rsid w:val="006419F2"/>
    <w:rsid w:val="00642CC6"/>
    <w:rsid w:val="00643E51"/>
    <w:rsid w:val="00644100"/>
    <w:rsid w:val="0064623B"/>
    <w:rsid w:val="00646AFF"/>
    <w:rsid w:val="00646BF9"/>
    <w:rsid w:val="00646EE5"/>
    <w:rsid w:val="00647103"/>
    <w:rsid w:val="00647E03"/>
    <w:rsid w:val="006500F5"/>
    <w:rsid w:val="0065140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9AD"/>
    <w:rsid w:val="00664D85"/>
    <w:rsid w:val="0066519A"/>
    <w:rsid w:val="0066534A"/>
    <w:rsid w:val="00666042"/>
    <w:rsid w:val="00666292"/>
    <w:rsid w:val="00666844"/>
    <w:rsid w:val="00666C2D"/>
    <w:rsid w:val="0067043A"/>
    <w:rsid w:val="006704CE"/>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65CD"/>
    <w:rsid w:val="00676D1D"/>
    <w:rsid w:val="00677093"/>
    <w:rsid w:val="006804F9"/>
    <w:rsid w:val="006806AE"/>
    <w:rsid w:val="006815D7"/>
    <w:rsid w:val="00682829"/>
    <w:rsid w:val="00682F3E"/>
    <w:rsid w:val="006835E2"/>
    <w:rsid w:val="00683980"/>
    <w:rsid w:val="0068436C"/>
    <w:rsid w:val="006857A4"/>
    <w:rsid w:val="00686D49"/>
    <w:rsid w:val="00690648"/>
    <w:rsid w:val="00690865"/>
    <w:rsid w:val="00690C44"/>
    <w:rsid w:val="00691C4B"/>
    <w:rsid w:val="00691E0C"/>
    <w:rsid w:val="0069310B"/>
    <w:rsid w:val="006934B4"/>
    <w:rsid w:val="00693A18"/>
    <w:rsid w:val="0069433C"/>
    <w:rsid w:val="00695876"/>
    <w:rsid w:val="00695EC2"/>
    <w:rsid w:val="0069617F"/>
    <w:rsid w:val="006A005A"/>
    <w:rsid w:val="006A009E"/>
    <w:rsid w:val="006A0329"/>
    <w:rsid w:val="006A2C55"/>
    <w:rsid w:val="006A2E0E"/>
    <w:rsid w:val="006A2F31"/>
    <w:rsid w:val="006A3234"/>
    <w:rsid w:val="006A32A3"/>
    <w:rsid w:val="006A3B91"/>
    <w:rsid w:val="006A3D33"/>
    <w:rsid w:val="006A41B5"/>
    <w:rsid w:val="006A560E"/>
    <w:rsid w:val="006A60D1"/>
    <w:rsid w:val="006A6261"/>
    <w:rsid w:val="006A67D7"/>
    <w:rsid w:val="006A6E17"/>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43FB"/>
    <w:rsid w:val="006C4BD6"/>
    <w:rsid w:val="006C4F6B"/>
    <w:rsid w:val="006C5510"/>
    <w:rsid w:val="006C59DA"/>
    <w:rsid w:val="006C5D40"/>
    <w:rsid w:val="006C5F92"/>
    <w:rsid w:val="006C64C7"/>
    <w:rsid w:val="006C6BF5"/>
    <w:rsid w:val="006C7DFB"/>
    <w:rsid w:val="006D026A"/>
    <w:rsid w:val="006D16F5"/>
    <w:rsid w:val="006D22F1"/>
    <w:rsid w:val="006D2B9D"/>
    <w:rsid w:val="006D2D40"/>
    <w:rsid w:val="006D32C4"/>
    <w:rsid w:val="006D3C83"/>
    <w:rsid w:val="006D4F0F"/>
    <w:rsid w:val="006D57F9"/>
    <w:rsid w:val="006D5922"/>
    <w:rsid w:val="006D59A3"/>
    <w:rsid w:val="006D614C"/>
    <w:rsid w:val="006D6A37"/>
    <w:rsid w:val="006D75CA"/>
    <w:rsid w:val="006E060D"/>
    <w:rsid w:val="006E0B62"/>
    <w:rsid w:val="006E0C31"/>
    <w:rsid w:val="006E0C5C"/>
    <w:rsid w:val="006E0FE2"/>
    <w:rsid w:val="006E14F8"/>
    <w:rsid w:val="006E174D"/>
    <w:rsid w:val="006E23E4"/>
    <w:rsid w:val="006E2D6A"/>
    <w:rsid w:val="006E2DE6"/>
    <w:rsid w:val="006E2FCA"/>
    <w:rsid w:val="006E39E5"/>
    <w:rsid w:val="006E3C8D"/>
    <w:rsid w:val="006E50A9"/>
    <w:rsid w:val="006E66EB"/>
    <w:rsid w:val="006E6A01"/>
    <w:rsid w:val="006E6CA3"/>
    <w:rsid w:val="006E729F"/>
    <w:rsid w:val="006E7AD3"/>
    <w:rsid w:val="006F03F3"/>
    <w:rsid w:val="006F1881"/>
    <w:rsid w:val="006F1D02"/>
    <w:rsid w:val="006F282E"/>
    <w:rsid w:val="006F2D0C"/>
    <w:rsid w:val="006F3001"/>
    <w:rsid w:val="006F31AC"/>
    <w:rsid w:val="006F3E6E"/>
    <w:rsid w:val="006F482C"/>
    <w:rsid w:val="006F544C"/>
    <w:rsid w:val="006F61B6"/>
    <w:rsid w:val="006F64D8"/>
    <w:rsid w:val="006F677E"/>
    <w:rsid w:val="006F6E7E"/>
    <w:rsid w:val="006F7DF4"/>
    <w:rsid w:val="007003C4"/>
    <w:rsid w:val="007029E5"/>
    <w:rsid w:val="0070371E"/>
    <w:rsid w:val="00704056"/>
    <w:rsid w:val="007040D9"/>
    <w:rsid w:val="007041B0"/>
    <w:rsid w:val="00705876"/>
    <w:rsid w:val="007059A8"/>
    <w:rsid w:val="00705D28"/>
    <w:rsid w:val="0070603D"/>
    <w:rsid w:val="00706358"/>
    <w:rsid w:val="007068DD"/>
    <w:rsid w:val="00707002"/>
    <w:rsid w:val="0070737A"/>
    <w:rsid w:val="00707904"/>
    <w:rsid w:val="007109D1"/>
    <w:rsid w:val="00711413"/>
    <w:rsid w:val="00711D3D"/>
    <w:rsid w:val="0071224F"/>
    <w:rsid w:val="0071248E"/>
    <w:rsid w:val="0071424C"/>
    <w:rsid w:val="00715755"/>
    <w:rsid w:val="007160F9"/>
    <w:rsid w:val="00716279"/>
    <w:rsid w:val="00716D87"/>
    <w:rsid w:val="00716F25"/>
    <w:rsid w:val="007171C9"/>
    <w:rsid w:val="00721312"/>
    <w:rsid w:val="00721F27"/>
    <w:rsid w:val="00722457"/>
    <w:rsid w:val="007225CA"/>
    <w:rsid w:val="00722D4C"/>
    <w:rsid w:val="007231A5"/>
    <w:rsid w:val="00723723"/>
    <w:rsid w:val="00723D80"/>
    <w:rsid w:val="007248C1"/>
    <w:rsid w:val="00724A2D"/>
    <w:rsid w:val="0072543D"/>
    <w:rsid w:val="00726A01"/>
    <w:rsid w:val="007278B3"/>
    <w:rsid w:val="00727D9A"/>
    <w:rsid w:val="00727FFC"/>
    <w:rsid w:val="00733D73"/>
    <w:rsid w:val="0073414D"/>
    <w:rsid w:val="007348E0"/>
    <w:rsid w:val="00734A15"/>
    <w:rsid w:val="007363A1"/>
    <w:rsid w:val="0073655C"/>
    <w:rsid w:val="00736DAC"/>
    <w:rsid w:val="007375F9"/>
    <w:rsid w:val="00740239"/>
    <w:rsid w:val="0074054B"/>
    <w:rsid w:val="0074077A"/>
    <w:rsid w:val="007410AA"/>
    <w:rsid w:val="00742331"/>
    <w:rsid w:val="00742FD9"/>
    <w:rsid w:val="007436E9"/>
    <w:rsid w:val="00743735"/>
    <w:rsid w:val="0074504A"/>
    <w:rsid w:val="0074525D"/>
    <w:rsid w:val="00745499"/>
    <w:rsid w:val="00745D9A"/>
    <w:rsid w:val="00745E90"/>
    <w:rsid w:val="00746001"/>
    <w:rsid w:val="0074619A"/>
    <w:rsid w:val="0074658B"/>
    <w:rsid w:val="00746A9D"/>
    <w:rsid w:val="00750640"/>
    <w:rsid w:val="0075099C"/>
    <w:rsid w:val="00751470"/>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3B0"/>
    <w:rsid w:val="007675A5"/>
    <w:rsid w:val="00770196"/>
    <w:rsid w:val="00770AB7"/>
    <w:rsid w:val="00771E83"/>
    <w:rsid w:val="00772F62"/>
    <w:rsid w:val="0077315F"/>
    <w:rsid w:val="00774576"/>
    <w:rsid w:val="00775B4E"/>
    <w:rsid w:val="00776032"/>
    <w:rsid w:val="00776D30"/>
    <w:rsid w:val="00777B53"/>
    <w:rsid w:val="00777F1C"/>
    <w:rsid w:val="00777F89"/>
    <w:rsid w:val="007820EC"/>
    <w:rsid w:val="007841EC"/>
    <w:rsid w:val="00784701"/>
    <w:rsid w:val="00784FE0"/>
    <w:rsid w:val="0078535D"/>
    <w:rsid w:val="00785396"/>
    <w:rsid w:val="0078646B"/>
    <w:rsid w:val="00786833"/>
    <w:rsid w:val="00786AB4"/>
    <w:rsid w:val="00786B87"/>
    <w:rsid w:val="007876D5"/>
    <w:rsid w:val="007909FC"/>
    <w:rsid w:val="00790C24"/>
    <w:rsid w:val="007910D9"/>
    <w:rsid w:val="00791712"/>
    <w:rsid w:val="00791C4A"/>
    <w:rsid w:val="00791CF1"/>
    <w:rsid w:val="00792394"/>
    <w:rsid w:val="007927BB"/>
    <w:rsid w:val="00792D96"/>
    <w:rsid w:val="00793DD0"/>
    <w:rsid w:val="007943FC"/>
    <w:rsid w:val="00795FB9"/>
    <w:rsid w:val="0079647F"/>
    <w:rsid w:val="007966EA"/>
    <w:rsid w:val="007967C6"/>
    <w:rsid w:val="007971E5"/>
    <w:rsid w:val="007A0888"/>
    <w:rsid w:val="007A094E"/>
    <w:rsid w:val="007A112A"/>
    <w:rsid w:val="007A19E8"/>
    <w:rsid w:val="007A1F6C"/>
    <w:rsid w:val="007A23ED"/>
    <w:rsid w:val="007A2B9D"/>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027"/>
    <w:rsid w:val="007B338D"/>
    <w:rsid w:val="007B433F"/>
    <w:rsid w:val="007B450C"/>
    <w:rsid w:val="007B4ED6"/>
    <w:rsid w:val="007B5BEB"/>
    <w:rsid w:val="007B5BFB"/>
    <w:rsid w:val="007B6AF7"/>
    <w:rsid w:val="007B72C7"/>
    <w:rsid w:val="007B75A3"/>
    <w:rsid w:val="007B7750"/>
    <w:rsid w:val="007C0F34"/>
    <w:rsid w:val="007C1988"/>
    <w:rsid w:val="007C2112"/>
    <w:rsid w:val="007C248A"/>
    <w:rsid w:val="007C30E4"/>
    <w:rsid w:val="007C33E5"/>
    <w:rsid w:val="007C3539"/>
    <w:rsid w:val="007C36D9"/>
    <w:rsid w:val="007C37A5"/>
    <w:rsid w:val="007C41D2"/>
    <w:rsid w:val="007C45E5"/>
    <w:rsid w:val="007C46D1"/>
    <w:rsid w:val="007C54B2"/>
    <w:rsid w:val="007C562B"/>
    <w:rsid w:val="007C5BA5"/>
    <w:rsid w:val="007C7CE9"/>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A02"/>
    <w:rsid w:val="007E4A2E"/>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D87"/>
    <w:rsid w:val="00800903"/>
    <w:rsid w:val="00800BC5"/>
    <w:rsid w:val="00800D82"/>
    <w:rsid w:val="00801006"/>
    <w:rsid w:val="0080150D"/>
    <w:rsid w:val="00801662"/>
    <w:rsid w:val="00801D71"/>
    <w:rsid w:val="008020B4"/>
    <w:rsid w:val="008027A8"/>
    <w:rsid w:val="0080380D"/>
    <w:rsid w:val="00803AEC"/>
    <w:rsid w:val="00803EBA"/>
    <w:rsid w:val="0080409F"/>
    <w:rsid w:val="008046CE"/>
    <w:rsid w:val="00804E1C"/>
    <w:rsid w:val="00804FEE"/>
    <w:rsid w:val="00805224"/>
    <w:rsid w:val="00805597"/>
    <w:rsid w:val="0080576D"/>
    <w:rsid w:val="008072D8"/>
    <w:rsid w:val="00810712"/>
    <w:rsid w:val="0081101B"/>
    <w:rsid w:val="008121BD"/>
    <w:rsid w:val="00812403"/>
    <w:rsid w:val="00812A26"/>
    <w:rsid w:val="00812D69"/>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5730"/>
    <w:rsid w:val="008268CC"/>
    <w:rsid w:val="00827FB7"/>
    <w:rsid w:val="00831CE4"/>
    <w:rsid w:val="00832B20"/>
    <w:rsid w:val="00832E0A"/>
    <w:rsid w:val="00833097"/>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2392"/>
    <w:rsid w:val="008427C8"/>
    <w:rsid w:val="00844C44"/>
    <w:rsid w:val="008458D4"/>
    <w:rsid w:val="0084644C"/>
    <w:rsid w:val="00847153"/>
    <w:rsid w:val="008473BC"/>
    <w:rsid w:val="008503D9"/>
    <w:rsid w:val="00850F80"/>
    <w:rsid w:val="008512C2"/>
    <w:rsid w:val="00851A3F"/>
    <w:rsid w:val="00851F19"/>
    <w:rsid w:val="008529A1"/>
    <w:rsid w:val="00852EBA"/>
    <w:rsid w:val="008537F4"/>
    <w:rsid w:val="00853ABB"/>
    <w:rsid w:val="00854676"/>
    <w:rsid w:val="00855575"/>
    <w:rsid w:val="00855CE6"/>
    <w:rsid w:val="008563EA"/>
    <w:rsid w:val="00856EC6"/>
    <w:rsid w:val="0086036A"/>
    <w:rsid w:val="0086063A"/>
    <w:rsid w:val="00860AC9"/>
    <w:rsid w:val="00860B9C"/>
    <w:rsid w:val="0086131D"/>
    <w:rsid w:val="008619F5"/>
    <w:rsid w:val="00861D24"/>
    <w:rsid w:val="00862467"/>
    <w:rsid w:val="00862C40"/>
    <w:rsid w:val="00862EE2"/>
    <w:rsid w:val="00865F06"/>
    <w:rsid w:val="00865F13"/>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1C1B"/>
    <w:rsid w:val="00884737"/>
    <w:rsid w:val="00884878"/>
    <w:rsid w:val="00884F9A"/>
    <w:rsid w:val="00885364"/>
    <w:rsid w:val="008853FB"/>
    <w:rsid w:val="00885B0E"/>
    <w:rsid w:val="00885B96"/>
    <w:rsid w:val="00885C05"/>
    <w:rsid w:val="0088760A"/>
    <w:rsid w:val="00890CC0"/>
    <w:rsid w:val="00890D4F"/>
    <w:rsid w:val="0089201F"/>
    <w:rsid w:val="0089254A"/>
    <w:rsid w:val="008925FD"/>
    <w:rsid w:val="00892D28"/>
    <w:rsid w:val="00892E1B"/>
    <w:rsid w:val="0089303E"/>
    <w:rsid w:val="00893476"/>
    <w:rsid w:val="00893CE7"/>
    <w:rsid w:val="00893DF4"/>
    <w:rsid w:val="008943D9"/>
    <w:rsid w:val="008944FD"/>
    <w:rsid w:val="00895173"/>
    <w:rsid w:val="00895512"/>
    <w:rsid w:val="00895E61"/>
    <w:rsid w:val="0089682F"/>
    <w:rsid w:val="00896E55"/>
    <w:rsid w:val="00896FF0"/>
    <w:rsid w:val="008974F4"/>
    <w:rsid w:val="00897A0E"/>
    <w:rsid w:val="00897A86"/>
    <w:rsid w:val="00897CEF"/>
    <w:rsid w:val="00897FBC"/>
    <w:rsid w:val="008A0887"/>
    <w:rsid w:val="008A09C2"/>
    <w:rsid w:val="008A106F"/>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72D6"/>
    <w:rsid w:val="008A74FD"/>
    <w:rsid w:val="008A7BE0"/>
    <w:rsid w:val="008B0867"/>
    <w:rsid w:val="008B0D5E"/>
    <w:rsid w:val="008B1374"/>
    <w:rsid w:val="008B14CD"/>
    <w:rsid w:val="008B2372"/>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60A"/>
    <w:rsid w:val="008C49E3"/>
    <w:rsid w:val="008C51DE"/>
    <w:rsid w:val="008C54C1"/>
    <w:rsid w:val="008C5AE2"/>
    <w:rsid w:val="008C66BE"/>
    <w:rsid w:val="008C67E6"/>
    <w:rsid w:val="008C7B8F"/>
    <w:rsid w:val="008C7E95"/>
    <w:rsid w:val="008D17FA"/>
    <w:rsid w:val="008D2B14"/>
    <w:rsid w:val="008D2E7D"/>
    <w:rsid w:val="008D3697"/>
    <w:rsid w:val="008D3FC4"/>
    <w:rsid w:val="008D421B"/>
    <w:rsid w:val="008D431B"/>
    <w:rsid w:val="008D5BBC"/>
    <w:rsid w:val="008D5D17"/>
    <w:rsid w:val="008D733B"/>
    <w:rsid w:val="008D7C12"/>
    <w:rsid w:val="008D7F98"/>
    <w:rsid w:val="008E00D7"/>
    <w:rsid w:val="008E0F79"/>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12CE"/>
    <w:rsid w:val="009028DC"/>
    <w:rsid w:val="0090400F"/>
    <w:rsid w:val="00904AF4"/>
    <w:rsid w:val="00905298"/>
    <w:rsid w:val="00907528"/>
    <w:rsid w:val="00907E20"/>
    <w:rsid w:val="009104FE"/>
    <w:rsid w:val="00910600"/>
    <w:rsid w:val="00911F66"/>
    <w:rsid w:val="00911FAE"/>
    <w:rsid w:val="0091277B"/>
    <w:rsid w:val="00912845"/>
    <w:rsid w:val="00913B5D"/>
    <w:rsid w:val="00913CD3"/>
    <w:rsid w:val="009146DF"/>
    <w:rsid w:val="00914AD7"/>
    <w:rsid w:val="00915473"/>
    <w:rsid w:val="009159F7"/>
    <w:rsid w:val="00915F4E"/>
    <w:rsid w:val="00916012"/>
    <w:rsid w:val="00916139"/>
    <w:rsid w:val="0091634F"/>
    <w:rsid w:val="00916BB4"/>
    <w:rsid w:val="00916BD4"/>
    <w:rsid w:val="00916E8A"/>
    <w:rsid w:val="0091731A"/>
    <w:rsid w:val="00917329"/>
    <w:rsid w:val="00917A3C"/>
    <w:rsid w:val="00917C8B"/>
    <w:rsid w:val="00917EC7"/>
    <w:rsid w:val="00920167"/>
    <w:rsid w:val="00921F06"/>
    <w:rsid w:val="009221AB"/>
    <w:rsid w:val="00922812"/>
    <w:rsid w:val="009231D7"/>
    <w:rsid w:val="009235ED"/>
    <w:rsid w:val="00923DCE"/>
    <w:rsid w:val="00923E31"/>
    <w:rsid w:val="00924C02"/>
    <w:rsid w:val="00924C86"/>
    <w:rsid w:val="00924D0C"/>
    <w:rsid w:val="00925A21"/>
    <w:rsid w:val="00925B1F"/>
    <w:rsid w:val="009304E2"/>
    <w:rsid w:val="00930774"/>
    <w:rsid w:val="00931481"/>
    <w:rsid w:val="00931B4F"/>
    <w:rsid w:val="00932554"/>
    <w:rsid w:val="009325EE"/>
    <w:rsid w:val="00934219"/>
    <w:rsid w:val="0093535F"/>
    <w:rsid w:val="009354F0"/>
    <w:rsid w:val="00935B57"/>
    <w:rsid w:val="00936887"/>
    <w:rsid w:val="00936F63"/>
    <w:rsid w:val="00937241"/>
    <w:rsid w:val="0093741B"/>
    <w:rsid w:val="00937A0D"/>
    <w:rsid w:val="00937F39"/>
    <w:rsid w:val="00941A59"/>
    <w:rsid w:val="0094254C"/>
    <w:rsid w:val="009447D5"/>
    <w:rsid w:val="00944C99"/>
    <w:rsid w:val="00944DA4"/>
    <w:rsid w:val="00945DCD"/>
    <w:rsid w:val="00945E47"/>
    <w:rsid w:val="00946D4C"/>
    <w:rsid w:val="00947586"/>
    <w:rsid w:val="00947A4B"/>
    <w:rsid w:val="00947A66"/>
    <w:rsid w:val="00947B5A"/>
    <w:rsid w:val="00947CBD"/>
    <w:rsid w:val="00947F39"/>
    <w:rsid w:val="0095036D"/>
    <w:rsid w:val="009508EA"/>
    <w:rsid w:val="009513A6"/>
    <w:rsid w:val="009513B8"/>
    <w:rsid w:val="00953026"/>
    <w:rsid w:val="009535BA"/>
    <w:rsid w:val="00953C03"/>
    <w:rsid w:val="00953EB0"/>
    <w:rsid w:val="0095411A"/>
    <w:rsid w:val="00954A28"/>
    <w:rsid w:val="00954C36"/>
    <w:rsid w:val="00955699"/>
    <w:rsid w:val="00955CDE"/>
    <w:rsid w:val="00956D76"/>
    <w:rsid w:val="00957E35"/>
    <w:rsid w:val="00960481"/>
    <w:rsid w:val="0096094C"/>
    <w:rsid w:val="00961593"/>
    <w:rsid w:val="00962160"/>
    <w:rsid w:val="0096262B"/>
    <w:rsid w:val="00962EA8"/>
    <w:rsid w:val="00964904"/>
    <w:rsid w:val="00965E9A"/>
    <w:rsid w:val="00967560"/>
    <w:rsid w:val="00970628"/>
    <w:rsid w:val="00970B45"/>
    <w:rsid w:val="00971014"/>
    <w:rsid w:val="0097172A"/>
    <w:rsid w:val="00971737"/>
    <w:rsid w:val="009723EB"/>
    <w:rsid w:val="0097259F"/>
    <w:rsid w:val="009727B9"/>
    <w:rsid w:val="00974662"/>
    <w:rsid w:val="00980046"/>
    <w:rsid w:val="00980A4B"/>
    <w:rsid w:val="00980DD9"/>
    <w:rsid w:val="00980F03"/>
    <w:rsid w:val="0098207A"/>
    <w:rsid w:val="009831E8"/>
    <w:rsid w:val="00983266"/>
    <w:rsid w:val="00983344"/>
    <w:rsid w:val="00983E1A"/>
    <w:rsid w:val="00983F2D"/>
    <w:rsid w:val="009844DE"/>
    <w:rsid w:val="00984E6E"/>
    <w:rsid w:val="00986184"/>
    <w:rsid w:val="009869E8"/>
    <w:rsid w:val="0098746F"/>
    <w:rsid w:val="009877A4"/>
    <w:rsid w:val="0099040C"/>
    <w:rsid w:val="0099049F"/>
    <w:rsid w:val="00990621"/>
    <w:rsid w:val="00991D03"/>
    <w:rsid w:val="0099234F"/>
    <w:rsid w:val="00992667"/>
    <w:rsid w:val="00992698"/>
    <w:rsid w:val="00993150"/>
    <w:rsid w:val="0099347C"/>
    <w:rsid w:val="00994BF8"/>
    <w:rsid w:val="00994DB9"/>
    <w:rsid w:val="009953D2"/>
    <w:rsid w:val="00995CF2"/>
    <w:rsid w:val="00996734"/>
    <w:rsid w:val="00996EA4"/>
    <w:rsid w:val="009A017E"/>
    <w:rsid w:val="009A07FD"/>
    <w:rsid w:val="009A1303"/>
    <w:rsid w:val="009A1E0A"/>
    <w:rsid w:val="009A24E7"/>
    <w:rsid w:val="009A3CE2"/>
    <w:rsid w:val="009A5975"/>
    <w:rsid w:val="009A5C6C"/>
    <w:rsid w:val="009A6BF9"/>
    <w:rsid w:val="009A6CBA"/>
    <w:rsid w:val="009A71A8"/>
    <w:rsid w:val="009B09DD"/>
    <w:rsid w:val="009B0DC5"/>
    <w:rsid w:val="009B123D"/>
    <w:rsid w:val="009B1447"/>
    <w:rsid w:val="009B1F4C"/>
    <w:rsid w:val="009B28CA"/>
    <w:rsid w:val="009B2936"/>
    <w:rsid w:val="009B29CA"/>
    <w:rsid w:val="009B34B4"/>
    <w:rsid w:val="009B4A7D"/>
    <w:rsid w:val="009B4CF5"/>
    <w:rsid w:val="009B5D3D"/>
    <w:rsid w:val="009B6B9C"/>
    <w:rsid w:val="009B76F8"/>
    <w:rsid w:val="009C0161"/>
    <w:rsid w:val="009C150C"/>
    <w:rsid w:val="009C1B54"/>
    <w:rsid w:val="009C1DA6"/>
    <w:rsid w:val="009C230C"/>
    <w:rsid w:val="009C2B5D"/>
    <w:rsid w:val="009C2C54"/>
    <w:rsid w:val="009C2F1B"/>
    <w:rsid w:val="009C35C3"/>
    <w:rsid w:val="009C4C46"/>
    <w:rsid w:val="009C6853"/>
    <w:rsid w:val="009C68E6"/>
    <w:rsid w:val="009C6A96"/>
    <w:rsid w:val="009C6E8C"/>
    <w:rsid w:val="009D07F2"/>
    <w:rsid w:val="009D0A9F"/>
    <w:rsid w:val="009D0BB4"/>
    <w:rsid w:val="009D0D25"/>
    <w:rsid w:val="009D0D3B"/>
    <w:rsid w:val="009D1B2E"/>
    <w:rsid w:val="009D39F5"/>
    <w:rsid w:val="009D4198"/>
    <w:rsid w:val="009D4AF2"/>
    <w:rsid w:val="009D665C"/>
    <w:rsid w:val="009D7117"/>
    <w:rsid w:val="009D7CD6"/>
    <w:rsid w:val="009E1433"/>
    <w:rsid w:val="009E217C"/>
    <w:rsid w:val="009E27ED"/>
    <w:rsid w:val="009E27FB"/>
    <w:rsid w:val="009E2BAF"/>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EC7"/>
    <w:rsid w:val="00A00015"/>
    <w:rsid w:val="00A001C6"/>
    <w:rsid w:val="00A00AA6"/>
    <w:rsid w:val="00A0285D"/>
    <w:rsid w:val="00A0369D"/>
    <w:rsid w:val="00A03DD1"/>
    <w:rsid w:val="00A05F2D"/>
    <w:rsid w:val="00A0751A"/>
    <w:rsid w:val="00A07FF4"/>
    <w:rsid w:val="00A1041E"/>
    <w:rsid w:val="00A108B7"/>
    <w:rsid w:val="00A123FB"/>
    <w:rsid w:val="00A125AE"/>
    <w:rsid w:val="00A12B22"/>
    <w:rsid w:val="00A12C2E"/>
    <w:rsid w:val="00A13EB8"/>
    <w:rsid w:val="00A152CC"/>
    <w:rsid w:val="00A15D99"/>
    <w:rsid w:val="00A16ABC"/>
    <w:rsid w:val="00A16C02"/>
    <w:rsid w:val="00A16E0B"/>
    <w:rsid w:val="00A16EFF"/>
    <w:rsid w:val="00A17B98"/>
    <w:rsid w:val="00A17DB9"/>
    <w:rsid w:val="00A20097"/>
    <w:rsid w:val="00A2063C"/>
    <w:rsid w:val="00A2065F"/>
    <w:rsid w:val="00A2127E"/>
    <w:rsid w:val="00A21942"/>
    <w:rsid w:val="00A21B0D"/>
    <w:rsid w:val="00A22252"/>
    <w:rsid w:val="00A22561"/>
    <w:rsid w:val="00A23036"/>
    <w:rsid w:val="00A24CA5"/>
    <w:rsid w:val="00A26573"/>
    <w:rsid w:val="00A26B48"/>
    <w:rsid w:val="00A27D2F"/>
    <w:rsid w:val="00A303C4"/>
    <w:rsid w:val="00A3070D"/>
    <w:rsid w:val="00A31372"/>
    <w:rsid w:val="00A31CF8"/>
    <w:rsid w:val="00A31FCC"/>
    <w:rsid w:val="00A3273C"/>
    <w:rsid w:val="00A3277A"/>
    <w:rsid w:val="00A32B30"/>
    <w:rsid w:val="00A3394F"/>
    <w:rsid w:val="00A353C2"/>
    <w:rsid w:val="00A357D7"/>
    <w:rsid w:val="00A36121"/>
    <w:rsid w:val="00A36C83"/>
    <w:rsid w:val="00A401F9"/>
    <w:rsid w:val="00A402B8"/>
    <w:rsid w:val="00A403D5"/>
    <w:rsid w:val="00A41DEB"/>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9D"/>
    <w:rsid w:val="00A47FEF"/>
    <w:rsid w:val="00A500D9"/>
    <w:rsid w:val="00A505EA"/>
    <w:rsid w:val="00A507F7"/>
    <w:rsid w:val="00A50EBB"/>
    <w:rsid w:val="00A52207"/>
    <w:rsid w:val="00A5319F"/>
    <w:rsid w:val="00A53A8F"/>
    <w:rsid w:val="00A53FA1"/>
    <w:rsid w:val="00A5568E"/>
    <w:rsid w:val="00A55A2D"/>
    <w:rsid w:val="00A55D42"/>
    <w:rsid w:val="00A576E1"/>
    <w:rsid w:val="00A57CC5"/>
    <w:rsid w:val="00A601DF"/>
    <w:rsid w:val="00A607C7"/>
    <w:rsid w:val="00A60B08"/>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2916"/>
    <w:rsid w:val="00A73459"/>
    <w:rsid w:val="00A7356C"/>
    <w:rsid w:val="00A73BB5"/>
    <w:rsid w:val="00A74A13"/>
    <w:rsid w:val="00A7551F"/>
    <w:rsid w:val="00A75AA1"/>
    <w:rsid w:val="00A7668E"/>
    <w:rsid w:val="00A76A2E"/>
    <w:rsid w:val="00A77C67"/>
    <w:rsid w:val="00A809C0"/>
    <w:rsid w:val="00A81801"/>
    <w:rsid w:val="00A82850"/>
    <w:rsid w:val="00A829A7"/>
    <w:rsid w:val="00A82C92"/>
    <w:rsid w:val="00A83170"/>
    <w:rsid w:val="00A8396A"/>
    <w:rsid w:val="00A840D7"/>
    <w:rsid w:val="00A84AE4"/>
    <w:rsid w:val="00A854BA"/>
    <w:rsid w:val="00A85A26"/>
    <w:rsid w:val="00A85B21"/>
    <w:rsid w:val="00A86476"/>
    <w:rsid w:val="00A87D6B"/>
    <w:rsid w:val="00A903F8"/>
    <w:rsid w:val="00A924D3"/>
    <w:rsid w:val="00A92742"/>
    <w:rsid w:val="00A92950"/>
    <w:rsid w:val="00A92C2E"/>
    <w:rsid w:val="00A92C70"/>
    <w:rsid w:val="00A9430A"/>
    <w:rsid w:val="00A94D76"/>
    <w:rsid w:val="00A950A1"/>
    <w:rsid w:val="00A95827"/>
    <w:rsid w:val="00A958EA"/>
    <w:rsid w:val="00A959E8"/>
    <w:rsid w:val="00A961E2"/>
    <w:rsid w:val="00A965BD"/>
    <w:rsid w:val="00A96AB2"/>
    <w:rsid w:val="00A97FEF"/>
    <w:rsid w:val="00AA063E"/>
    <w:rsid w:val="00AA07C4"/>
    <w:rsid w:val="00AA1357"/>
    <w:rsid w:val="00AA1917"/>
    <w:rsid w:val="00AA1A5C"/>
    <w:rsid w:val="00AA2383"/>
    <w:rsid w:val="00AA29E3"/>
    <w:rsid w:val="00AA42FA"/>
    <w:rsid w:val="00AA5BB2"/>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51D3"/>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5599"/>
    <w:rsid w:val="00AC739F"/>
    <w:rsid w:val="00AC7ED4"/>
    <w:rsid w:val="00AD117E"/>
    <w:rsid w:val="00AD1303"/>
    <w:rsid w:val="00AD1888"/>
    <w:rsid w:val="00AD256B"/>
    <w:rsid w:val="00AD40C1"/>
    <w:rsid w:val="00AD4A1C"/>
    <w:rsid w:val="00AD4AEB"/>
    <w:rsid w:val="00AD605C"/>
    <w:rsid w:val="00AD62C6"/>
    <w:rsid w:val="00AD693A"/>
    <w:rsid w:val="00AD6E1F"/>
    <w:rsid w:val="00AD733D"/>
    <w:rsid w:val="00AD73EE"/>
    <w:rsid w:val="00AD7A40"/>
    <w:rsid w:val="00AD7CB2"/>
    <w:rsid w:val="00AE0129"/>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21BA"/>
    <w:rsid w:val="00AF344A"/>
    <w:rsid w:val="00AF36B5"/>
    <w:rsid w:val="00AF4116"/>
    <w:rsid w:val="00AF5200"/>
    <w:rsid w:val="00AF5EB3"/>
    <w:rsid w:val="00AF670F"/>
    <w:rsid w:val="00AF71BD"/>
    <w:rsid w:val="00AF75E8"/>
    <w:rsid w:val="00B007D0"/>
    <w:rsid w:val="00B00BB5"/>
    <w:rsid w:val="00B022DC"/>
    <w:rsid w:val="00B02501"/>
    <w:rsid w:val="00B02B4E"/>
    <w:rsid w:val="00B032AF"/>
    <w:rsid w:val="00B04186"/>
    <w:rsid w:val="00B04E90"/>
    <w:rsid w:val="00B05AF6"/>
    <w:rsid w:val="00B06269"/>
    <w:rsid w:val="00B078B6"/>
    <w:rsid w:val="00B07BEB"/>
    <w:rsid w:val="00B07CE1"/>
    <w:rsid w:val="00B1033C"/>
    <w:rsid w:val="00B110F5"/>
    <w:rsid w:val="00B11494"/>
    <w:rsid w:val="00B1180B"/>
    <w:rsid w:val="00B11C20"/>
    <w:rsid w:val="00B1238E"/>
    <w:rsid w:val="00B12484"/>
    <w:rsid w:val="00B12B73"/>
    <w:rsid w:val="00B13916"/>
    <w:rsid w:val="00B13DCB"/>
    <w:rsid w:val="00B1411B"/>
    <w:rsid w:val="00B15FE4"/>
    <w:rsid w:val="00B1629F"/>
    <w:rsid w:val="00B171F2"/>
    <w:rsid w:val="00B172F6"/>
    <w:rsid w:val="00B17480"/>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F02"/>
    <w:rsid w:val="00B303A2"/>
    <w:rsid w:val="00B30DEA"/>
    <w:rsid w:val="00B3199C"/>
    <w:rsid w:val="00B31F62"/>
    <w:rsid w:val="00B33669"/>
    <w:rsid w:val="00B34105"/>
    <w:rsid w:val="00B34335"/>
    <w:rsid w:val="00B3451D"/>
    <w:rsid w:val="00B34FB0"/>
    <w:rsid w:val="00B364BA"/>
    <w:rsid w:val="00B365C6"/>
    <w:rsid w:val="00B36D11"/>
    <w:rsid w:val="00B37749"/>
    <w:rsid w:val="00B37A6E"/>
    <w:rsid w:val="00B37D8B"/>
    <w:rsid w:val="00B40113"/>
    <w:rsid w:val="00B410BC"/>
    <w:rsid w:val="00B41C17"/>
    <w:rsid w:val="00B42635"/>
    <w:rsid w:val="00B42DD5"/>
    <w:rsid w:val="00B432DE"/>
    <w:rsid w:val="00B440EE"/>
    <w:rsid w:val="00B448DD"/>
    <w:rsid w:val="00B449C7"/>
    <w:rsid w:val="00B44D27"/>
    <w:rsid w:val="00B452B6"/>
    <w:rsid w:val="00B45C2C"/>
    <w:rsid w:val="00B4618B"/>
    <w:rsid w:val="00B46395"/>
    <w:rsid w:val="00B46776"/>
    <w:rsid w:val="00B46F0E"/>
    <w:rsid w:val="00B50139"/>
    <w:rsid w:val="00B50521"/>
    <w:rsid w:val="00B5093C"/>
    <w:rsid w:val="00B50AB3"/>
    <w:rsid w:val="00B51219"/>
    <w:rsid w:val="00B512A5"/>
    <w:rsid w:val="00B51A62"/>
    <w:rsid w:val="00B5224F"/>
    <w:rsid w:val="00B524D3"/>
    <w:rsid w:val="00B52D40"/>
    <w:rsid w:val="00B53613"/>
    <w:rsid w:val="00B53DFC"/>
    <w:rsid w:val="00B540E0"/>
    <w:rsid w:val="00B54FB9"/>
    <w:rsid w:val="00B5520E"/>
    <w:rsid w:val="00B5528B"/>
    <w:rsid w:val="00B55B80"/>
    <w:rsid w:val="00B55CF2"/>
    <w:rsid w:val="00B55D43"/>
    <w:rsid w:val="00B55EE4"/>
    <w:rsid w:val="00B56B14"/>
    <w:rsid w:val="00B57242"/>
    <w:rsid w:val="00B6010E"/>
    <w:rsid w:val="00B60CFD"/>
    <w:rsid w:val="00B61549"/>
    <w:rsid w:val="00B61B9C"/>
    <w:rsid w:val="00B6335A"/>
    <w:rsid w:val="00B63383"/>
    <w:rsid w:val="00B63589"/>
    <w:rsid w:val="00B63907"/>
    <w:rsid w:val="00B642E6"/>
    <w:rsid w:val="00B64665"/>
    <w:rsid w:val="00B6472A"/>
    <w:rsid w:val="00B6505A"/>
    <w:rsid w:val="00B65610"/>
    <w:rsid w:val="00B65727"/>
    <w:rsid w:val="00B66332"/>
    <w:rsid w:val="00B664A1"/>
    <w:rsid w:val="00B664A4"/>
    <w:rsid w:val="00B6665E"/>
    <w:rsid w:val="00B6776E"/>
    <w:rsid w:val="00B67A53"/>
    <w:rsid w:val="00B67C86"/>
    <w:rsid w:val="00B702B2"/>
    <w:rsid w:val="00B70A91"/>
    <w:rsid w:val="00B70F17"/>
    <w:rsid w:val="00B7226D"/>
    <w:rsid w:val="00B7233F"/>
    <w:rsid w:val="00B7252A"/>
    <w:rsid w:val="00B73185"/>
    <w:rsid w:val="00B73610"/>
    <w:rsid w:val="00B75287"/>
    <w:rsid w:val="00B757FD"/>
    <w:rsid w:val="00B75981"/>
    <w:rsid w:val="00B76228"/>
    <w:rsid w:val="00B766AD"/>
    <w:rsid w:val="00B776F2"/>
    <w:rsid w:val="00B777F2"/>
    <w:rsid w:val="00B7794B"/>
    <w:rsid w:val="00B80253"/>
    <w:rsid w:val="00B81944"/>
    <w:rsid w:val="00B81AA9"/>
    <w:rsid w:val="00B821B3"/>
    <w:rsid w:val="00B83668"/>
    <w:rsid w:val="00B84399"/>
    <w:rsid w:val="00B8482B"/>
    <w:rsid w:val="00B85146"/>
    <w:rsid w:val="00B852AD"/>
    <w:rsid w:val="00B85711"/>
    <w:rsid w:val="00B8596D"/>
    <w:rsid w:val="00B872A2"/>
    <w:rsid w:val="00B8775E"/>
    <w:rsid w:val="00B877F1"/>
    <w:rsid w:val="00B90200"/>
    <w:rsid w:val="00B916D3"/>
    <w:rsid w:val="00B9271C"/>
    <w:rsid w:val="00B92BFA"/>
    <w:rsid w:val="00B92F12"/>
    <w:rsid w:val="00B92F65"/>
    <w:rsid w:val="00B93779"/>
    <w:rsid w:val="00B940F9"/>
    <w:rsid w:val="00B94136"/>
    <w:rsid w:val="00B94433"/>
    <w:rsid w:val="00B952E4"/>
    <w:rsid w:val="00B9569B"/>
    <w:rsid w:val="00B9573B"/>
    <w:rsid w:val="00B96388"/>
    <w:rsid w:val="00B96E7E"/>
    <w:rsid w:val="00BA01E4"/>
    <w:rsid w:val="00BA06DD"/>
    <w:rsid w:val="00BA1A24"/>
    <w:rsid w:val="00BA1F81"/>
    <w:rsid w:val="00BA268E"/>
    <w:rsid w:val="00BA2A8E"/>
    <w:rsid w:val="00BA3452"/>
    <w:rsid w:val="00BA3EF3"/>
    <w:rsid w:val="00BA46F4"/>
    <w:rsid w:val="00BA616E"/>
    <w:rsid w:val="00BA6B48"/>
    <w:rsid w:val="00BA796F"/>
    <w:rsid w:val="00BA79F6"/>
    <w:rsid w:val="00BB066D"/>
    <w:rsid w:val="00BB1AF5"/>
    <w:rsid w:val="00BB2195"/>
    <w:rsid w:val="00BB416A"/>
    <w:rsid w:val="00BB4924"/>
    <w:rsid w:val="00BB4D3F"/>
    <w:rsid w:val="00BB5595"/>
    <w:rsid w:val="00BB5846"/>
    <w:rsid w:val="00BB5D89"/>
    <w:rsid w:val="00BB5E02"/>
    <w:rsid w:val="00BB6E0B"/>
    <w:rsid w:val="00BB7640"/>
    <w:rsid w:val="00BB79B9"/>
    <w:rsid w:val="00BB7E35"/>
    <w:rsid w:val="00BC10A6"/>
    <w:rsid w:val="00BC11A5"/>
    <w:rsid w:val="00BC12AE"/>
    <w:rsid w:val="00BC1639"/>
    <w:rsid w:val="00BC1735"/>
    <w:rsid w:val="00BC187B"/>
    <w:rsid w:val="00BC1AC8"/>
    <w:rsid w:val="00BC2703"/>
    <w:rsid w:val="00BC2E90"/>
    <w:rsid w:val="00BC3361"/>
    <w:rsid w:val="00BC346B"/>
    <w:rsid w:val="00BC35B9"/>
    <w:rsid w:val="00BC487D"/>
    <w:rsid w:val="00BC4FF3"/>
    <w:rsid w:val="00BC567B"/>
    <w:rsid w:val="00BC57B2"/>
    <w:rsid w:val="00BC5AA4"/>
    <w:rsid w:val="00BC5BEB"/>
    <w:rsid w:val="00BC5CD0"/>
    <w:rsid w:val="00BC5E3B"/>
    <w:rsid w:val="00BC6D5F"/>
    <w:rsid w:val="00BC70FD"/>
    <w:rsid w:val="00BC72A6"/>
    <w:rsid w:val="00BC7E7B"/>
    <w:rsid w:val="00BD04D7"/>
    <w:rsid w:val="00BD192F"/>
    <w:rsid w:val="00BD1D8A"/>
    <w:rsid w:val="00BD27A6"/>
    <w:rsid w:val="00BD3374"/>
    <w:rsid w:val="00BD3EF3"/>
    <w:rsid w:val="00BD3F44"/>
    <w:rsid w:val="00BD442A"/>
    <w:rsid w:val="00BD4471"/>
    <w:rsid w:val="00BD4BFE"/>
    <w:rsid w:val="00BD4F2B"/>
    <w:rsid w:val="00BD4FA4"/>
    <w:rsid w:val="00BD62B6"/>
    <w:rsid w:val="00BD72B4"/>
    <w:rsid w:val="00BE134A"/>
    <w:rsid w:val="00BE1361"/>
    <w:rsid w:val="00BE2F93"/>
    <w:rsid w:val="00BE39A7"/>
    <w:rsid w:val="00BE3AAF"/>
    <w:rsid w:val="00BE4F97"/>
    <w:rsid w:val="00BE5F4F"/>
    <w:rsid w:val="00BE62E3"/>
    <w:rsid w:val="00BE74CA"/>
    <w:rsid w:val="00BE7B63"/>
    <w:rsid w:val="00BF0AB7"/>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0831"/>
    <w:rsid w:val="00C01483"/>
    <w:rsid w:val="00C0297E"/>
    <w:rsid w:val="00C031F7"/>
    <w:rsid w:val="00C035D7"/>
    <w:rsid w:val="00C03603"/>
    <w:rsid w:val="00C0412F"/>
    <w:rsid w:val="00C041E7"/>
    <w:rsid w:val="00C0424D"/>
    <w:rsid w:val="00C04461"/>
    <w:rsid w:val="00C0508E"/>
    <w:rsid w:val="00C06336"/>
    <w:rsid w:val="00C06BE4"/>
    <w:rsid w:val="00C06FDE"/>
    <w:rsid w:val="00C0711C"/>
    <w:rsid w:val="00C117AA"/>
    <w:rsid w:val="00C117E4"/>
    <w:rsid w:val="00C11959"/>
    <w:rsid w:val="00C11F2F"/>
    <w:rsid w:val="00C12BB0"/>
    <w:rsid w:val="00C154DA"/>
    <w:rsid w:val="00C167AA"/>
    <w:rsid w:val="00C16AA2"/>
    <w:rsid w:val="00C16BD8"/>
    <w:rsid w:val="00C16BFB"/>
    <w:rsid w:val="00C17212"/>
    <w:rsid w:val="00C175DA"/>
    <w:rsid w:val="00C20D01"/>
    <w:rsid w:val="00C21283"/>
    <w:rsid w:val="00C21309"/>
    <w:rsid w:val="00C214D0"/>
    <w:rsid w:val="00C21550"/>
    <w:rsid w:val="00C21F61"/>
    <w:rsid w:val="00C2246D"/>
    <w:rsid w:val="00C224C6"/>
    <w:rsid w:val="00C225B9"/>
    <w:rsid w:val="00C229BC"/>
    <w:rsid w:val="00C22EE0"/>
    <w:rsid w:val="00C2530C"/>
    <w:rsid w:val="00C25405"/>
    <w:rsid w:val="00C259CC"/>
    <w:rsid w:val="00C26BAC"/>
    <w:rsid w:val="00C30069"/>
    <w:rsid w:val="00C31525"/>
    <w:rsid w:val="00C321C2"/>
    <w:rsid w:val="00C32B38"/>
    <w:rsid w:val="00C33A2F"/>
    <w:rsid w:val="00C33A50"/>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43EB"/>
    <w:rsid w:val="00C4593D"/>
    <w:rsid w:val="00C45F79"/>
    <w:rsid w:val="00C46326"/>
    <w:rsid w:val="00C470DD"/>
    <w:rsid w:val="00C47203"/>
    <w:rsid w:val="00C47C84"/>
    <w:rsid w:val="00C47D14"/>
    <w:rsid w:val="00C50E21"/>
    <w:rsid w:val="00C518AC"/>
    <w:rsid w:val="00C518FD"/>
    <w:rsid w:val="00C53030"/>
    <w:rsid w:val="00C53BB8"/>
    <w:rsid w:val="00C54597"/>
    <w:rsid w:val="00C54F43"/>
    <w:rsid w:val="00C550D8"/>
    <w:rsid w:val="00C55E91"/>
    <w:rsid w:val="00C5682C"/>
    <w:rsid w:val="00C56D57"/>
    <w:rsid w:val="00C5745D"/>
    <w:rsid w:val="00C57D96"/>
    <w:rsid w:val="00C607D5"/>
    <w:rsid w:val="00C61687"/>
    <w:rsid w:val="00C61915"/>
    <w:rsid w:val="00C61D78"/>
    <w:rsid w:val="00C61FE2"/>
    <w:rsid w:val="00C625A1"/>
    <w:rsid w:val="00C62A28"/>
    <w:rsid w:val="00C63216"/>
    <w:rsid w:val="00C63309"/>
    <w:rsid w:val="00C6425E"/>
    <w:rsid w:val="00C6487B"/>
    <w:rsid w:val="00C648C6"/>
    <w:rsid w:val="00C65D27"/>
    <w:rsid w:val="00C66237"/>
    <w:rsid w:val="00C663C3"/>
    <w:rsid w:val="00C66434"/>
    <w:rsid w:val="00C668D4"/>
    <w:rsid w:val="00C676BE"/>
    <w:rsid w:val="00C67C50"/>
    <w:rsid w:val="00C70811"/>
    <w:rsid w:val="00C717C5"/>
    <w:rsid w:val="00C72313"/>
    <w:rsid w:val="00C738A6"/>
    <w:rsid w:val="00C74EDA"/>
    <w:rsid w:val="00C75BA5"/>
    <w:rsid w:val="00C7607C"/>
    <w:rsid w:val="00C77562"/>
    <w:rsid w:val="00C77572"/>
    <w:rsid w:val="00C77EF4"/>
    <w:rsid w:val="00C804AA"/>
    <w:rsid w:val="00C80D3D"/>
    <w:rsid w:val="00C820CD"/>
    <w:rsid w:val="00C82AE8"/>
    <w:rsid w:val="00C82C75"/>
    <w:rsid w:val="00C83010"/>
    <w:rsid w:val="00C83E6E"/>
    <w:rsid w:val="00C83FAD"/>
    <w:rsid w:val="00C84073"/>
    <w:rsid w:val="00C84630"/>
    <w:rsid w:val="00C85CEF"/>
    <w:rsid w:val="00C85F45"/>
    <w:rsid w:val="00C8652A"/>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6215"/>
    <w:rsid w:val="00CA7354"/>
    <w:rsid w:val="00CA7409"/>
    <w:rsid w:val="00CB0CC4"/>
    <w:rsid w:val="00CB0D3B"/>
    <w:rsid w:val="00CB126B"/>
    <w:rsid w:val="00CB20C7"/>
    <w:rsid w:val="00CB3A82"/>
    <w:rsid w:val="00CB3AE4"/>
    <w:rsid w:val="00CB3C5C"/>
    <w:rsid w:val="00CB3EF9"/>
    <w:rsid w:val="00CB519C"/>
    <w:rsid w:val="00CB550C"/>
    <w:rsid w:val="00CB5FB5"/>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F00"/>
    <w:rsid w:val="00CD4F84"/>
    <w:rsid w:val="00CD504C"/>
    <w:rsid w:val="00CD520C"/>
    <w:rsid w:val="00CD5E0B"/>
    <w:rsid w:val="00CD6105"/>
    <w:rsid w:val="00CD650C"/>
    <w:rsid w:val="00CE02D4"/>
    <w:rsid w:val="00CE0EEB"/>
    <w:rsid w:val="00CE1960"/>
    <w:rsid w:val="00CE1BC9"/>
    <w:rsid w:val="00CE2029"/>
    <w:rsid w:val="00CE3391"/>
    <w:rsid w:val="00CE3E22"/>
    <w:rsid w:val="00CE3FB4"/>
    <w:rsid w:val="00CE403E"/>
    <w:rsid w:val="00CE569E"/>
    <w:rsid w:val="00CE5A5B"/>
    <w:rsid w:val="00CE5D6A"/>
    <w:rsid w:val="00CE6072"/>
    <w:rsid w:val="00CE632D"/>
    <w:rsid w:val="00CE688E"/>
    <w:rsid w:val="00CE7281"/>
    <w:rsid w:val="00CE7B32"/>
    <w:rsid w:val="00CE7C58"/>
    <w:rsid w:val="00CE7E37"/>
    <w:rsid w:val="00CF0357"/>
    <w:rsid w:val="00CF09D4"/>
    <w:rsid w:val="00CF0A5A"/>
    <w:rsid w:val="00CF0A8A"/>
    <w:rsid w:val="00CF11B8"/>
    <w:rsid w:val="00CF1889"/>
    <w:rsid w:val="00CF2F74"/>
    <w:rsid w:val="00CF38A6"/>
    <w:rsid w:val="00CF3C4B"/>
    <w:rsid w:val="00CF4198"/>
    <w:rsid w:val="00CF511C"/>
    <w:rsid w:val="00CF5B74"/>
    <w:rsid w:val="00CF5BDF"/>
    <w:rsid w:val="00CF5BF2"/>
    <w:rsid w:val="00CF6C37"/>
    <w:rsid w:val="00CF6C4F"/>
    <w:rsid w:val="00CF6FF2"/>
    <w:rsid w:val="00CF7350"/>
    <w:rsid w:val="00CF7C94"/>
    <w:rsid w:val="00D00437"/>
    <w:rsid w:val="00D00BAD"/>
    <w:rsid w:val="00D01610"/>
    <w:rsid w:val="00D01957"/>
    <w:rsid w:val="00D02071"/>
    <w:rsid w:val="00D02414"/>
    <w:rsid w:val="00D03DA5"/>
    <w:rsid w:val="00D04602"/>
    <w:rsid w:val="00D049BD"/>
    <w:rsid w:val="00D0503D"/>
    <w:rsid w:val="00D05723"/>
    <w:rsid w:val="00D0655C"/>
    <w:rsid w:val="00D06BF8"/>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830"/>
    <w:rsid w:val="00D37AB7"/>
    <w:rsid w:val="00D37E16"/>
    <w:rsid w:val="00D37E1E"/>
    <w:rsid w:val="00D37F70"/>
    <w:rsid w:val="00D40854"/>
    <w:rsid w:val="00D411FC"/>
    <w:rsid w:val="00D424F9"/>
    <w:rsid w:val="00D435FC"/>
    <w:rsid w:val="00D43891"/>
    <w:rsid w:val="00D4545C"/>
    <w:rsid w:val="00D455FF"/>
    <w:rsid w:val="00D45D12"/>
    <w:rsid w:val="00D46316"/>
    <w:rsid w:val="00D468D8"/>
    <w:rsid w:val="00D46D0B"/>
    <w:rsid w:val="00D470D1"/>
    <w:rsid w:val="00D47557"/>
    <w:rsid w:val="00D47674"/>
    <w:rsid w:val="00D4799D"/>
    <w:rsid w:val="00D47BBF"/>
    <w:rsid w:val="00D50591"/>
    <w:rsid w:val="00D50F36"/>
    <w:rsid w:val="00D5131C"/>
    <w:rsid w:val="00D51C11"/>
    <w:rsid w:val="00D51CA6"/>
    <w:rsid w:val="00D528BB"/>
    <w:rsid w:val="00D52AB5"/>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3A12"/>
    <w:rsid w:val="00D63ACC"/>
    <w:rsid w:val="00D64933"/>
    <w:rsid w:val="00D65968"/>
    <w:rsid w:val="00D67389"/>
    <w:rsid w:val="00D67BE8"/>
    <w:rsid w:val="00D70240"/>
    <w:rsid w:val="00D7059A"/>
    <w:rsid w:val="00D70655"/>
    <w:rsid w:val="00D706D6"/>
    <w:rsid w:val="00D71A4B"/>
    <w:rsid w:val="00D71AA7"/>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38EB"/>
    <w:rsid w:val="00D940F8"/>
    <w:rsid w:val="00D9489E"/>
    <w:rsid w:val="00D94AD1"/>
    <w:rsid w:val="00D950B8"/>
    <w:rsid w:val="00D955F5"/>
    <w:rsid w:val="00D95BAD"/>
    <w:rsid w:val="00D95D4D"/>
    <w:rsid w:val="00D9773B"/>
    <w:rsid w:val="00D97D98"/>
    <w:rsid w:val="00DA0F37"/>
    <w:rsid w:val="00DA1BCF"/>
    <w:rsid w:val="00DA25A8"/>
    <w:rsid w:val="00DA3743"/>
    <w:rsid w:val="00DA3BA0"/>
    <w:rsid w:val="00DA3EE0"/>
    <w:rsid w:val="00DA4040"/>
    <w:rsid w:val="00DA405E"/>
    <w:rsid w:val="00DA4781"/>
    <w:rsid w:val="00DA5625"/>
    <w:rsid w:val="00DA5A25"/>
    <w:rsid w:val="00DA5CDC"/>
    <w:rsid w:val="00DA5D26"/>
    <w:rsid w:val="00DA67CB"/>
    <w:rsid w:val="00DA6B27"/>
    <w:rsid w:val="00DB094C"/>
    <w:rsid w:val="00DB0E9B"/>
    <w:rsid w:val="00DB1564"/>
    <w:rsid w:val="00DB15E5"/>
    <w:rsid w:val="00DB1B79"/>
    <w:rsid w:val="00DB202B"/>
    <w:rsid w:val="00DB228D"/>
    <w:rsid w:val="00DB3D1D"/>
    <w:rsid w:val="00DB3DA7"/>
    <w:rsid w:val="00DB42FF"/>
    <w:rsid w:val="00DB4EF9"/>
    <w:rsid w:val="00DB52FF"/>
    <w:rsid w:val="00DB5546"/>
    <w:rsid w:val="00DB61E1"/>
    <w:rsid w:val="00DB6617"/>
    <w:rsid w:val="00DB6658"/>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07E"/>
    <w:rsid w:val="00DD474D"/>
    <w:rsid w:val="00DD4BF9"/>
    <w:rsid w:val="00DD517E"/>
    <w:rsid w:val="00DD6AB0"/>
    <w:rsid w:val="00DD71BD"/>
    <w:rsid w:val="00DD7235"/>
    <w:rsid w:val="00DD798B"/>
    <w:rsid w:val="00DD7B37"/>
    <w:rsid w:val="00DE0542"/>
    <w:rsid w:val="00DE112B"/>
    <w:rsid w:val="00DE184A"/>
    <w:rsid w:val="00DE2AD5"/>
    <w:rsid w:val="00DE3792"/>
    <w:rsid w:val="00DE4E0F"/>
    <w:rsid w:val="00DE5414"/>
    <w:rsid w:val="00DE5805"/>
    <w:rsid w:val="00DE584E"/>
    <w:rsid w:val="00DE5A2E"/>
    <w:rsid w:val="00DE5E5C"/>
    <w:rsid w:val="00DE6AA3"/>
    <w:rsid w:val="00DF00C4"/>
    <w:rsid w:val="00DF0236"/>
    <w:rsid w:val="00DF05EB"/>
    <w:rsid w:val="00DF0925"/>
    <w:rsid w:val="00DF0D22"/>
    <w:rsid w:val="00DF1994"/>
    <w:rsid w:val="00DF1AB5"/>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2485"/>
    <w:rsid w:val="00E024CA"/>
    <w:rsid w:val="00E03706"/>
    <w:rsid w:val="00E040C1"/>
    <w:rsid w:val="00E04226"/>
    <w:rsid w:val="00E072BC"/>
    <w:rsid w:val="00E07ACA"/>
    <w:rsid w:val="00E07D77"/>
    <w:rsid w:val="00E100FD"/>
    <w:rsid w:val="00E10279"/>
    <w:rsid w:val="00E10E0F"/>
    <w:rsid w:val="00E11093"/>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7B6B"/>
    <w:rsid w:val="00E17C12"/>
    <w:rsid w:val="00E20E3B"/>
    <w:rsid w:val="00E216DB"/>
    <w:rsid w:val="00E22B21"/>
    <w:rsid w:val="00E22E23"/>
    <w:rsid w:val="00E23CBB"/>
    <w:rsid w:val="00E241AD"/>
    <w:rsid w:val="00E247F6"/>
    <w:rsid w:val="00E25013"/>
    <w:rsid w:val="00E25A59"/>
    <w:rsid w:val="00E2644E"/>
    <w:rsid w:val="00E272C1"/>
    <w:rsid w:val="00E31067"/>
    <w:rsid w:val="00E31223"/>
    <w:rsid w:val="00E31801"/>
    <w:rsid w:val="00E31E30"/>
    <w:rsid w:val="00E326A5"/>
    <w:rsid w:val="00E3489F"/>
    <w:rsid w:val="00E34C2B"/>
    <w:rsid w:val="00E352C4"/>
    <w:rsid w:val="00E35C39"/>
    <w:rsid w:val="00E36751"/>
    <w:rsid w:val="00E368E9"/>
    <w:rsid w:val="00E406BC"/>
    <w:rsid w:val="00E410C5"/>
    <w:rsid w:val="00E41AE2"/>
    <w:rsid w:val="00E41D66"/>
    <w:rsid w:val="00E4200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50071"/>
    <w:rsid w:val="00E50663"/>
    <w:rsid w:val="00E509E0"/>
    <w:rsid w:val="00E50D46"/>
    <w:rsid w:val="00E512DD"/>
    <w:rsid w:val="00E51E09"/>
    <w:rsid w:val="00E527CE"/>
    <w:rsid w:val="00E534F8"/>
    <w:rsid w:val="00E543A8"/>
    <w:rsid w:val="00E54C6F"/>
    <w:rsid w:val="00E558A5"/>
    <w:rsid w:val="00E569AC"/>
    <w:rsid w:val="00E602AD"/>
    <w:rsid w:val="00E602CB"/>
    <w:rsid w:val="00E60F76"/>
    <w:rsid w:val="00E61DDE"/>
    <w:rsid w:val="00E63A65"/>
    <w:rsid w:val="00E63EEA"/>
    <w:rsid w:val="00E64B99"/>
    <w:rsid w:val="00E655F9"/>
    <w:rsid w:val="00E66015"/>
    <w:rsid w:val="00E66410"/>
    <w:rsid w:val="00E66697"/>
    <w:rsid w:val="00E66B7E"/>
    <w:rsid w:val="00E66E1F"/>
    <w:rsid w:val="00E67527"/>
    <w:rsid w:val="00E679EC"/>
    <w:rsid w:val="00E67C7E"/>
    <w:rsid w:val="00E67E9D"/>
    <w:rsid w:val="00E70246"/>
    <w:rsid w:val="00E702CB"/>
    <w:rsid w:val="00E70E5C"/>
    <w:rsid w:val="00E70FBD"/>
    <w:rsid w:val="00E72B12"/>
    <w:rsid w:val="00E74DF3"/>
    <w:rsid w:val="00E74F99"/>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A21"/>
    <w:rsid w:val="00E95B6D"/>
    <w:rsid w:val="00E95CE6"/>
    <w:rsid w:val="00E9618D"/>
    <w:rsid w:val="00E96466"/>
    <w:rsid w:val="00E96903"/>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3E33"/>
    <w:rsid w:val="00EB54DC"/>
    <w:rsid w:val="00EB594F"/>
    <w:rsid w:val="00EB64C0"/>
    <w:rsid w:val="00EC064F"/>
    <w:rsid w:val="00EC0D6B"/>
    <w:rsid w:val="00EC1BE4"/>
    <w:rsid w:val="00EC5592"/>
    <w:rsid w:val="00EC599D"/>
    <w:rsid w:val="00EC5FB7"/>
    <w:rsid w:val="00EC61BC"/>
    <w:rsid w:val="00EC6226"/>
    <w:rsid w:val="00EC67F4"/>
    <w:rsid w:val="00EC6869"/>
    <w:rsid w:val="00EC7231"/>
    <w:rsid w:val="00ED0B16"/>
    <w:rsid w:val="00ED3A3F"/>
    <w:rsid w:val="00ED4345"/>
    <w:rsid w:val="00ED6026"/>
    <w:rsid w:val="00ED680B"/>
    <w:rsid w:val="00ED6FBF"/>
    <w:rsid w:val="00ED7FF9"/>
    <w:rsid w:val="00EE0A75"/>
    <w:rsid w:val="00EE0DD4"/>
    <w:rsid w:val="00EE1000"/>
    <w:rsid w:val="00EE149B"/>
    <w:rsid w:val="00EE2EF5"/>
    <w:rsid w:val="00EE3771"/>
    <w:rsid w:val="00EE3BB3"/>
    <w:rsid w:val="00EE434D"/>
    <w:rsid w:val="00EE4A9A"/>
    <w:rsid w:val="00EE6E72"/>
    <w:rsid w:val="00EE6EA4"/>
    <w:rsid w:val="00EF0DA2"/>
    <w:rsid w:val="00EF1429"/>
    <w:rsid w:val="00EF24B8"/>
    <w:rsid w:val="00EF2C2A"/>
    <w:rsid w:val="00EF3071"/>
    <w:rsid w:val="00EF328E"/>
    <w:rsid w:val="00EF35C4"/>
    <w:rsid w:val="00EF3778"/>
    <w:rsid w:val="00EF3E46"/>
    <w:rsid w:val="00EF451D"/>
    <w:rsid w:val="00EF4A42"/>
    <w:rsid w:val="00EF4DE2"/>
    <w:rsid w:val="00EF552F"/>
    <w:rsid w:val="00EF5A62"/>
    <w:rsid w:val="00EF5CC6"/>
    <w:rsid w:val="00EF5E16"/>
    <w:rsid w:val="00EF6816"/>
    <w:rsid w:val="00EF78BE"/>
    <w:rsid w:val="00F002AD"/>
    <w:rsid w:val="00F014A4"/>
    <w:rsid w:val="00F014B6"/>
    <w:rsid w:val="00F01736"/>
    <w:rsid w:val="00F025F7"/>
    <w:rsid w:val="00F0329C"/>
    <w:rsid w:val="00F03D7A"/>
    <w:rsid w:val="00F03FF7"/>
    <w:rsid w:val="00F04670"/>
    <w:rsid w:val="00F0488F"/>
    <w:rsid w:val="00F04916"/>
    <w:rsid w:val="00F04B87"/>
    <w:rsid w:val="00F04BF8"/>
    <w:rsid w:val="00F05727"/>
    <w:rsid w:val="00F076D2"/>
    <w:rsid w:val="00F106CB"/>
    <w:rsid w:val="00F10EF8"/>
    <w:rsid w:val="00F1155F"/>
    <w:rsid w:val="00F11F59"/>
    <w:rsid w:val="00F1273E"/>
    <w:rsid w:val="00F1308E"/>
    <w:rsid w:val="00F131C4"/>
    <w:rsid w:val="00F13819"/>
    <w:rsid w:val="00F1385F"/>
    <w:rsid w:val="00F14B9A"/>
    <w:rsid w:val="00F151CA"/>
    <w:rsid w:val="00F15556"/>
    <w:rsid w:val="00F156F1"/>
    <w:rsid w:val="00F205CB"/>
    <w:rsid w:val="00F20ED1"/>
    <w:rsid w:val="00F2126D"/>
    <w:rsid w:val="00F22003"/>
    <w:rsid w:val="00F22753"/>
    <w:rsid w:val="00F230A9"/>
    <w:rsid w:val="00F23505"/>
    <w:rsid w:val="00F241C5"/>
    <w:rsid w:val="00F244DE"/>
    <w:rsid w:val="00F24ADF"/>
    <w:rsid w:val="00F25AE8"/>
    <w:rsid w:val="00F263E1"/>
    <w:rsid w:val="00F26928"/>
    <w:rsid w:val="00F26988"/>
    <w:rsid w:val="00F26F24"/>
    <w:rsid w:val="00F27867"/>
    <w:rsid w:val="00F27B8A"/>
    <w:rsid w:val="00F300CA"/>
    <w:rsid w:val="00F307E7"/>
    <w:rsid w:val="00F31477"/>
    <w:rsid w:val="00F3170B"/>
    <w:rsid w:val="00F319E7"/>
    <w:rsid w:val="00F32B16"/>
    <w:rsid w:val="00F34863"/>
    <w:rsid w:val="00F348FA"/>
    <w:rsid w:val="00F34A84"/>
    <w:rsid w:val="00F36BAA"/>
    <w:rsid w:val="00F416FA"/>
    <w:rsid w:val="00F419DA"/>
    <w:rsid w:val="00F41E9E"/>
    <w:rsid w:val="00F428E0"/>
    <w:rsid w:val="00F4307B"/>
    <w:rsid w:val="00F43881"/>
    <w:rsid w:val="00F43BC4"/>
    <w:rsid w:val="00F4517A"/>
    <w:rsid w:val="00F45BA5"/>
    <w:rsid w:val="00F46865"/>
    <w:rsid w:val="00F4743A"/>
    <w:rsid w:val="00F47E24"/>
    <w:rsid w:val="00F50BC2"/>
    <w:rsid w:val="00F51DA5"/>
    <w:rsid w:val="00F51DD5"/>
    <w:rsid w:val="00F52BCC"/>
    <w:rsid w:val="00F5326B"/>
    <w:rsid w:val="00F532D5"/>
    <w:rsid w:val="00F540EE"/>
    <w:rsid w:val="00F541A8"/>
    <w:rsid w:val="00F55D51"/>
    <w:rsid w:val="00F55E68"/>
    <w:rsid w:val="00F5601B"/>
    <w:rsid w:val="00F56DA3"/>
    <w:rsid w:val="00F5747E"/>
    <w:rsid w:val="00F57F9A"/>
    <w:rsid w:val="00F60210"/>
    <w:rsid w:val="00F60510"/>
    <w:rsid w:val="00F60F85"/>
    <w:rsid w:val="00F61309"/>
    <w:rsid w:val="00F6150F"/>
    <w:rsid w:val="00F61B5F"/>
    <w:rsid w:val="00F61C21"/>
    <w:rsid w:val="00F61C65"/>
    <w:rsid w:val="00F62366"/>
    <w:rsid w:val="00F63461"/>
    <w:rsid w:val="00F63E4B"/>
    <w:rsid w:val="00F641C2"/>
    <w:rsid w:val="00F65851"/>
    <w:rsid w:val="00F66970"/>
    <w:rsid w:val="00F66D43"/>
    <w:rsid w:val="00F67565"/>
    <w:rsid w:val="00F700EF"/>
    <w:rsid w:val="00F70B51"/>
    <w:rsid w:val="00F71261"/>
    <w:rsid w:val="00F72103"/>
    <w:rsid w:val="00F722CE"/>
    <w:rsid w:val="00F73484"/>
    <w:rsid w:val="00F73C0B"/>
    <w:rsid w:val="00F73E88"/>
    <w:rsid w:val="00F74A86"/>
    <w:rsid w:val="00F75D0A"/>
    <w:rsid w:val="00F76F25"/>
    <w:rsid w:val="00F77A10"/>
    <w:rsid w:val="00F77BEC"/>
    <w:rsid w:val="00F80500"/>
    <w:rsid w:val="00F81582"/>
    <w:rsid w:val="00F8164B"/>
    <w:rsid w:val="00F81B62"/>
    <w:rsid w:val="00F81FE8"/>
    <w:rsid w:val="00F83C0B"/>
    <w:rsid w:val="00F83D82"/>
    <w:rsid w:val="00F8481B"/>
    <w:rsid w:val="00F85F4C"/>
    <w:rsid w:val="00F860AA"/>
    <w:rsid w:val="00F86743"/>
    <w:rsid w:val="00F86DE2"/>
    <w:rsid w:val="00F87B57"/>
    <w:rsid w:val="00F909F6"/>
    <w:rsid w:val="00F90AC6"/>
    <w:rsid w:val="00F90C5C"/>
    <w:rsid w:val="00F9101C"/>
    <w:rsid w:val="00F913A9"/>
    <w:rsid w:val="00F92414"/>
    <w:rsid w:val="00F93DE1"/>
    <w:rsid w:val="00F957AC"/>
    <w:rsid w:val="00F960E6"/>
    <w:rsid w:val="00F96352"/>
    <w:rsid w:val="00F968B8"/>
    <w:rsid w:val="00F975E6"/>
    <w:rsid w:val="00F97F9C"/>
    <w:rsid w:val="00FA0A50"/>
    <w:rsid w:val="00FA1619"/>
    <w:rsid w:val="00FA30C3"/>
    <w:rsid w:val="00FA3304"/>
    <w:rsid w:val="00FA3CD8"/>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6C41"/>
    <w:rsid w:val="00FB7580"/>
    <w:rsid w:val="00FC20BD"/>
    <w:rsid w:val="00FC27A5"/>
    <w:rsid w:val="00FC288A"/>
    <w:rsid w:val="00FC328A"/>
    <w:rsid w:val="00FC3C48"/>
    <w:rsid w:val="00FC4324"/>
    <w:rsid w:val="00FC5864"/>
    <w:rsid w:val="00FC6038"/>
    <w:rsid w:val="00FC6E26"/>
    <w:rsid w:val="00FC7352"/>
    <w:rsid w:val="00FD011B"/>
    <w:rsid w:val="00FD021B"/>
    <w:rsid w:val="00FD04BE"/>
    <w:rsid w:val="00FD0934"/>
    <w:rsid w:val="00FD0D2C"/>
    <w:rsid w:val="00FD0D5E"/>
    <w:rsid w:val="00FD0DD6"/>
    <w:rsid w:val="00FD0F86"/>
    <w:rsid w:val="00FD1528"/>
    <w:rsid w:val="00FD1686"/>
    <w:rsid w:val="00FD1D36"/>
    <w:rsid w:val="00FD20AF"/>
    <w:rsid w:val="00FD261A"/>
    <w:rsid w:val="00FD2FD2"/>
    <w:rsid w:val="00FD324B"/>
    <w:rsid w:val="00FD419A"/>
    <w:rsid w:val="00FD41E9"/>
    <w:rsid w:val="00FD5202"/>
    <w:rsid w:val="00FD550B"/>
    <w:rsid w:val="00FD5FDD"/>
    <w:rsid w:val="00FD60FF"/>
    <w:rsid w:val="00FD628C"/>
    <w:rsid w:val="00FD6B71"/>
    <w:rsid w:val="00FD727F"/>
    <w:rsid w:val="00FD760D"/>
    <w:rsid w:val="00FD7AF2"/>
    <w:rsid w:val="00FD7CCE"/>
    <w:rsid w:val="00FE0C07"/>
    <w:rsid w:val="00FE0D7F"/>
    <w:rsid w:val="00FE148E"/>
    <w:rsid w:val="00FE1AEA"/>
    <w:rsid w:val="00FE2399"/>
    <w:rsid w:val="00FE3568"/>
    <w:rsid w:val="00FE3F1F"/>
    <w:rsid w:val="00FE46EB"/>
    <w:rsid w:val="00FE55DA"/>
    <w:rsid w:val="00FE605B"/>
    <w:rsid w:val="00FE64A1"/>
    <w:rsid w:val="00FF04AF"/>
    <w:rsid w:val="00FF0FC6"/>
    <w:rsid w:val="00FF1029"/>
    <w:rsid w:val="00FF1665"/>
    <w:rsid w:val="00FF2219"/>
    <w:rsid w:val="00FF2354"/>
    <w:rsid w:val="00FF25E3"/>
    <w:rsid w:val="00FF2F98"/>
    <w:rsid w:val="00FF30E9"/>
    <w:rsid w:val="00FF367F"/>
    <w:rsid w:val="00FF385C"/>
    <w:rsid w:val="00FF3BE3"/>
    <w:rsid w:val="00FF65B2"/>
    <w:rsid w:val="00FF681F"/>
    <w:rsid w:val="00FF68F3"/>
    <w:rsid w:val="00FF7A60"/>
    <w:rsid w:val="00FF7EE7"/>
    <w:rsid w:val="1A95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AE4EF"/>
  <w15:docId w15:val="{0F76FA97-54CF-4A43-991E-ED04336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spacing w:after="160" w:line="254" w:lineRule="auto"/>
      <w:textAlignment w:val="baseline"/>
    </w:pPr>
    <w:rPr>
      <w:sz w:val="22"/>
      <w:szCs w:val="22"/>
      <w:lang w:val="en-GB"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val="0"/>
      <w:autoSpaceDN/>
      <w:spacing w:after="120" w:line="240" w:lineRule="auto"/>
      <w:textAlignment w:val="auto"/>
    </w:pPr>
    <w:rPr>
      <w:rFonts w:ascii="Times New Roman" w:hAnsi="Times New Roman"/>
      <w:sz w:val="20"/>
      <w:szCs w:val="20"/>
      <w:lang w:val="ro-RO" w:eastAsia="ru-RU"/>
    </w:rPr>
  </w:style>
  <w:style w:type="character" w:styleId="a7">
    <w:name w:val="annotation reference"/>
    <w:uiPriority w:val="99"/>
    <w:unhideWhenUsed/>
    <w:qFormat/>
    <w:rPr>
      <w:sz w:val="16"/>
      <w:szCs w:val="16"/>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Emphasis"/>
    <w:basedOn w:val="a0"/>
    <w:uiPriority w:val="20"/>
    <w:qFormat/>
    <w:rPr>
      <w:i/>
      <w:iCs/>
    </w:rPr>
  </w:style>
  <w:style w:type="character" w:styleId="ad">
    <w:name w:val="FollowedHyperlink"/>
    <w:basedOn w:val="a0"/>
    <w:uiPriority w:val="99"/>
    <w:semiHidden/>
    <w:unhideWhenUsed/>
    <w:qFormat/>
    <w:rPr>
      <w:color w:val="954F72" w:themeColor="followedHyperlink"/>
      <w:u w:val="single"/>
    </w:rPr>
  </w:style>
  <w:style w:type="character" w:styleId="ae">
    <w:name w:val="footnote reference"/>
    <w:uiPriority w:val="99"/>
    <w:semiHidden/>
    <w:qFormat/>
    <w:rPr>
      <w:vertAlign w:val="superscript"/>
    </w:rPr>
  </w:style>
  <w:style w:type="paragraph" w:styleId="af">
    <w:name w:val="footnote text"/>
    <w:basedOn w:val="a"/>
    <w:link w:val="af0"/>
    <w:uiPriority w:val="99"/>
    <w:semiHidden/>
    <w:qFormat/>
    <w:pPr>
      <w:suppressAutoHyphens w:val="0"/>
      <w:autoSpaceDN/>
      <w:spacing w:after="0" w:line="240" w:lineRule="auto"/>
      <w:textAlignment w:val="auto"/>
    </w:pPr>
    <w:rPr>
      <w:rFonts w:cs="Calibri"/>
      <w:sz w:val="20"/>
      <w:szCs w:val="20"/>
      <w:lang w:val="en-US"/>
    </w:rPr>
  </w:style>
  <w:style w:type="paragraph" w:styleId="af1">
    <w:name w:val="header"/>
    <w:basedOn w:val="a"/>
    <w:link w:val="af2"/>
    <w:uiPriority w:val="99"/>
    <w:unhideWhenUsed/>
    <w:qFormat/>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styleId="af3">
    <w:name w:val="Hyperlink"/>
    <w:basedOn w:val="a0"/>
    <w:uiPriority w:val="99"/>
    <w:unhideWhenUsed/>
    <w:qFormat/>
    <w:rPr>
      <w:color w:val="0000FF"/>
      <w:u w:val="single"/>
    </w:rPr>
  </w:style>
  <w:style w:type="paragraph" w:styleId="af4">
    <w:name w:val="Normal (Web)"/>
    <w:basedOn w:val="a"/>
    <w:link w:val="af5"/>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af6">
    <w:name w:val="Strong"/>
    <w:uiPriority w:val="22"/>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qFormat/>
  </w:style>
  <w:style w:type="paragraph" w:customStyle="1" w:styleId="CM4">
    <w:name w:val="CM4"/>
    <w:basedOn w:val="a"/>
    <w:next w:val="a"/>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qFormat/>
    <w:pPr>
      <w:autoSpaceDE w:val="0"/>
      <w:spacing w:after="0" w:line="240" w:lineRule="auto"/>
    </w:pPr>
    <w:rPr>
      <w:rFonts w:ascii="Times New Roman" w:hAnsi="Times New Roman"/>
      <w:sz w:val="24"/>
      <w:szCs w:val="24"/>
      <w:lang w:val="en-US"/>
    </w:rPr>
  </w:style>
  <w:style w:type="paragraph" w:customStyle="1" w:styleId="cn">
    <w:name w:val="cn"/>
    <w:basedOn w:val="a"/>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ascii="Times New Roman" w:hAnsi="Times New Roman"/>
      <w:color w:val="000000"/>
      <w:sz w:val="24"/>
      <w:szCs w:val="24"/>
      <w:lang w:val="ru-RU"/>
    </w:rPr>
  </w:style>
  <w:style w:type="paragraph" w:customStyle="1" w:styleId="CM1">
    <w:name w:val="CM1"/>
    <w:basedOn w:val="Default"/>
    <w:next w:val="Default"/>
    <w:uiPriority w:val="99"/>
    <w:qFormat/>
    <w:rPr>
      <w:color w:val="auto"/>
    </w:rPr>
  </w:style>
  <w:style w:type="character" w:customStyle="1" w:styleId="a6">
    <w:name w:val="Основной текст Знак"/>
    <w:link w:val="a5"/>
    <w:qFormat/>
    <w:rPr>
      <w:rFonts w:ascii="Times New Roman" w:hAnsi="Times New Roman"/>
      <w:lang w:val="ro-RO"/>
    </w:rPr>
  </w:style>
  <w:style w:type="character" w:customStyle="1" w:styleId="docred">
    <w:name w:val="doc_red"/>
    <w:basedOn w:val="a0"/>
    <w:qFormat/>
  </w:style>
  <w:style w:type="character" w:customStyle="1" w:styleId="tpa1">
    <w:name w:val="tpa1"/>
    <w:qFormat/>
  </w:style>
  <w:style w:type="character" w:customStyle="1" w:styleId="a9">
    <w:name w:val="Текст примечания Знак"/>
    <w:link w:val="a8"/>
    <w:uiPriority w:val="99"/>
    <w:qFormat/>
    <w:rPr>
      <w:lang w:val="en-GB" w:eastAsia="en-US"/>
    </w:rPr>
  </w:style>
  <w:style w:type="character" w:customStyle="1" w:styleId="ab">
    <w:name w:val="Тема примечания Знак"/>
    <w:link w:val="aa"/>
    <w:uiPriority w:val="99"/>
    <w:semiHidden/>
    <w:qFormat/>
    <w:rPr>
      <w:b/>
      <w:bCs/>
      <w:lang w:val="en-GB" w:eastAsia="en-US"/>
    </w:rPr>
  </w:style>
  <w:style w:type="character" w:customStyle="1" w:styleId="a4">
    <w:name w:val="Текст выноски Знак"/>
    <w:link w:val="a3"/>
    <w:uiPriority w:val="99"/>
    <w:semiHidden/>
    <w:qFormat/>
    <w:rPr>
      <w:rFonts w:ascii="Tahoma" w:hAnsi="Tahoma" w:cs="Tahoma"/>
      <w:sz w:val="16"/>
      <w:szCs w:val="16"/>
      <w:lang w:val="en-GB" w:eastAsia="en-US"/>
    </w:rPr>
  </w:style>
  <w:style w:type="paragraph" w:customStyle="1" w:styleId="MediumGrid21">
    <w:name w:val="Medium Grid 21"/>
    <w:uiPriority w:val="1"/>
    <w:qFormat/>
    <w:rPr>
      <w:sz w:val="22"/>
      <w:szCs w:val="22"/>
      <w:lang w:val="ro-RO" w:eastAsia="en-US"/>
    </w:rPr>
  </w:style>
  <w:style w:type="character" w:customStyle="1" w:styleId="docheader">
    <w:name w:val="doc_header"/>
    <w:qFormat/>
  </w:style>
  <w:style w:type="character" w:customStyle="1" w:styleId="af0">
    <w:name w:val="Текст сноски Знак"/>
    <w:link w:val="af"/>
    <w:uiPriority w:val="99"/>
    <w:semiHidden/>
    <w:qFormat/>
    <w:rPr>
      <w:rFonts w:cs="Calibri"/>
      <w:lang w:val="en-US" w:eastAsia="en-US"/>
    </w:rPr>
  </w:style>
  <w:style w:type="paragraph" w:customStyle="1" w:styleId="tbl-hdr">
    <w:name w:val="tbl-hdr"/>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af5">
    <w:name w:val="Обычный (Интернет) Знак"/>
    <w:link w:val="af4"/>
    <w:uiPriority w:val="99"/>
    <w:qFormat/>
    <w:locked/>
    <w:rPr>
      <w:rFonts w:ascii="Times New Roman" w:eastAsia="Times New Roman" w:hAnsi="Times New Roman"/>
      <w:sz w:val="24"/>
      <w:szCs w:val="24"/>
      <w:lang w:val="ro-RO" w:eastAsia="zh-CN"/>
    </w:rPr>
  </w:style>
  <w:style w:type="paragraph" w:styleId="af8">
    <w:name w:val="List Paragraph"/>
    <w:aliases w:val="Bullet Points,Liste Paragraf,Normal bullet 2,body 2,List Paragraph2,Scriptoria bullet points,Ha,References,Indent Paragraph,strikethrough,List Paragraph 1"/>
    <w:basedOn w:val="a"/>
    <w:link w:val="af9"/>
    <w:uiPriority w:val="34"/>
    <w:qFormat/>
    <w:pPr>
      <w:ind w:left="720"/>
      <w:contextualSpacing/>
    </w:pPr>
  </w:style>
  <w:style w:type="paragraph" w:styleId="afa">
    <w:name w:val="No Spacing"/>
    <w:uiPriority w:val="99"/>
    <w:qFormat/>
    <w:rPr>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a"/>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a"/>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qFormat/>
    <w:rPr>
      <w:rFonts w:ascii="Times New Roman" w:hAnsi="Times New Roman" w:cs="Times New Roman"/>
      <w:sz w:val="24"/>
      <w:szCs w:val="24"/>
    </w:rPr>
  </w:style>
  <w:style w:type="paragraph" w:customStyle="1" w:styleId="doc-ti">
    <w:name w:val="doc-ti"/>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a0"/>
    <w:qFormat/>
  </w:style>
  <w:style w:type="paragraph" w:customStyle="1" w:styleId="ti-section-1">
    <w:name w:val="ti-section-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qFormat/>
  </w:style>
  <w:style w:type="paragraph" w:customStyle="1" w:styleId="ti-art">
    <w:name w:val="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
    <w:name w:val="Обычный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qFormat/>
  </w:style>
  <w:style w:type="paragraph" w:customStyle="1" w:styleId="tbl-txt">
    <w:name w:val="tbl-tx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9">
    <w:name w:val="Абзац списка Знак"/>
    <w:aliases w:val="Bullet Points Знак,Liste Paragraf Знак,Normal bullet 2 Знак,body 2 Знак,List Paragraph1 Знак,List Paragraph2 Знак,Scriptoria bullet points Знак,Ha Знак,References Знак,Indent Paragraph Знак,strikethrough Знак,List Paragraph 1 Знак"/>
    <w:link w:val="af8"/>
    <w:uiPriority w:val="34"/>
    <w:qFormat/>
    <w:locked/>
    <w:rPr>
      <w:sz w:val="22"/>
      <w:szCs w:val="22"/>
      <w:lang w:val="en-GB"/>
    </w:rPr>
  </w:style>
  <w:style w:type="paragraph" w:customStyle="1" w:styleId="5">
    <w:name w:val="Обычный5"/>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
    <w:name w:val="Обычный8"/>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40">
    <w:name w:val="Заголовок 4 Знак"/>
    <w:basedOn w:val="a0"/>
    <w:link w:val="4"/>
    <w:uiPriority w:val="9"/>
    <w:qFormat/>
    <w:rPr>
      <w:rFonts w:ascii="Times New Roman" w:eastAsia="Times New Roman" w:hAnsi="Times New Roman"/>
      <w:b/>
      <w:bCs/>
      <w:sz w:val="24"/>
      <w:szCs w:val="24"/>
      <w:lang w:val="zh-CN" w:eastAsia="zh-CN"/>
    </w:rPr>
  </w:style>
  <w:style w:type="paragraph" w:customStyle="1" w:styleId="12">
    <w:name w:val="Рецензия1"/>
    <w:hidden/>
    <w:uiPriority w:val="99"/>
    <w:semiHidden/>
    <w:qFormat/>
    <w:rPr>
      <w:rFonts w:eastAsiaTheme="minorHAnsi" w:cs="Calibri"/>
      <w:sz w:val="22"/>
      <w:szCs w:val="22"/>
      <w:lang w:val="en-US" w:eastAsia="en-US"/>
    </w:rPr>
  </w:style>
  <w:style w:type="character" w:customStyle="1" w:styleId="expanded">
    <w:name w:val="expanded"/>
    <w:basedOn w:val="a0"/>
    <w:qFormat/>
  </w:style>
  <w:style w:type="character" w:customStyle="1" w:styleId="af2">
    <w:name w:val="Верхний колонтитул Знак"/>
    <w:basedOn w:val="a0"/>
    <w:link w:val="af1"/>
    <w:uiPriority w:val="99"/>
    <w:qFormat/>
    <w:rPr>
      <w:rFonts w:asciiTheme="minorHAnsi" w:eastAsiaTheme="minorHAnsi" w:hAnsiTheme="minorHAnsi" w:cstheme="minorBidi"/>
      <w:sz w:val="22"/>
      <w:szCs w:val="22"/>
      <w:lang w:val="ro-RO"/>
    </w:rPr>
  </w:style>
  <w:style w:type="character" w:customStyle="1" w:styleId="superscript">
    <w:name w:val="superscript"/>
    <w:basedOn w:val="a0"/>
    <w:qFormat/>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modref">
    <w:name w:val="modref"/>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boldface">
    <w:name w:val="boldface"/>
    <w:basedOn w:val="a0"/>
    <w:qFormat/>
  </w:style>
  <w:style w:type="character" w:customStyle="1" w:styleId="subscript">
    <w:name w:val="subscript"/>
    <w:basedOn w:val="a0"/>
    <w:qFormat/>
  </w:style>
  <w:style w:type="character" w:customStyle="1" w:styleId="no-parag">
    <w:name w:val="no-parag"/>
    <w:basedOn w:val="a0"/>
    <w:qFormat/>
  </w:style>
  <w:style w:type="character" w:customStyle="1" w:styleId="italics">
    <w:name w:val="italics"/>
    <w:basedOn w:val="a0"/>
    <w:qFormat/>
  </w:style>
  <w:style w:type="paragraph" w:customStyle="1" w:styleId="inline-element">
    <w:name w:val="inline-elemen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tbl-norm">
    <w:name w:val="tbl-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13">
    <w:name w:val="Список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title-article-norm">
    <w:name w:val="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stitle-article-norm">
    <w:name w:val="s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9">
    <w:name w:val="Обычный9"/>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item-none">
    <w:name w:val="item-none"/>
    <w:basedOn w:val="a"/>
    <w:rsid w:val="00C518A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ParaChar">
    <w:name w:val="Para # Char"/>
    <w:link w:val="Para"/>
    <w:uiPriority w:val="4"/>
    <w:locked/>
    <w:rsid w:val="0066519A"/>
    <w:rPr>
      <w:lang w:val="ro-RO"/>
    </w:rPr>
  </w:style>
  <w:style w:type="paragraph" w:customStyle="1" w:styleId="Para">
    <w:name w:val="Para #"/>
    <w:basedOn w:val="a"/>
    <w:link w:val="ParaChar"/>
    <w:uiPriority w:val="4"/>
    <w:qFormat/>
    <w:rsid w:val="0066519A"/>
    <w:pPr>
      <w:tabs>
        <w:tab w:val="left" w:pos="1361"/>
      </w:tabs>
      <w:suppressAutoHyphens w:val="0"/>
      <w:autoSpaceDN/>
      <w:spacing w:before="120" w:after="120" w:line="240" w:lineRule="auto"/>
      <w:ind w:right="680"/>
      <w:textAlignment w:val="auto"/>
    </w:pPr>
    <w:rPr>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AUTO/?uri=celex:32009L0029" TargetMode="External"/><Relationship Id="rId299" Type="http://schemas.openxmlformats.org/officeDocument/2006/relationships/hyperlink" Target="https://eur-lex.europa.eu/legal-content/RO/AUTO/?uri=celex:32018L0410" TargetMode="External"/><Relationship Id="rId21" Type="http://schemas.openxmlformats.org/officeDocument/2006/relationships/hyperlink" Target="https://eur-lex.europa.eu/legal-content/RO/AUTO/?uri=celex:32003L0087" TargetMode="External"/><Relationship Id="rId63" Type="http://schemas.openxmlformats.org/officeDocument/2006/relationships/hyperlink" Target="https://eur-lex.europa.eu/legal-content/RO/AUTO/?uri=celex:32009L0029R%2804%29" TargetMode="External"/><Relationship Id="rId159" Type="http://schemas.openxmlformats.org/officeDocument/2006/relationships/hyperlink" Target="https://eur-lex.europa.eu/legal-content/RO/AUTO/?uri=celex:32023L0959" TargetMode="External"/><Relationship Id="rId324" Type="http://schemas.openxmlformats.org/officeDocument/2006/relationships/hyperlink" Target="https://eur-lex.europa.eu/legal-content/RO/AUTO/?uri=celex:32009L0029" TargetMode="External"/><Relationship Id="rId366" Type="http://schemas.openxmlformats.org/officeDocument/2006/relationships/hyperlink" Target="https://eur-lex.europa.eu/legal-content/RO/AUTO/?uri=celex:32023L0959" TargetMode="External"/><Relationship Id="rId170" Type="http://schemas.openxmlformats.org/officeDocument/2006/relationships/hyperlink" Target="https://eur-lex.europa.eu/legal-content/RO/AUTO/?uri=celex:32023L0959" TargetMode="External"/><Relationship Id="rId226" Type="http://schemas.openxmlformats.org/officeDocument/2006/relationships/hyperlink" Target="https://eur-lex.europa.eu/legal-content/RO/AUTO/?uri=celex:32009L0029" TargetMode="External"/><Relationship Id="rId268" Type="http://schemas.openxmlformats.org/officeDocument/2006/relationships/hyperlink" Target="https://eur-lex.europa.eu/legal-content/RO/AUTO/?uri=celex:32018L0410" TargetMode="External"/><Relationship Id="rId32" Type="http://schemas.openxmlformats.org/officeDocument/2006/relationships/hyperlink" Target="https://eur-lex.europa.eu/legal-content/RO/AUTO/?uri=celex:32009L0029" TargetMode="External"/><Relationship Id="rId74" Type="http://schemas.openxmlformats.org/officeDocument/2006/relationships/hyperlink" Target="https://eur-lex.europa.eu/legal-content/RO/AUTO/?uri=celex:32003L0087R%2806%29" TargetMode="External"/><Relationship Id="rId128" Type="http://schemas.openxmlformats.org/officeDocument/2006/relationships/hyperlink" Target="https://eur-lex.europa.eu/legal-content/RO/AUTO/?uri=celex:32009L0029R%2804%29" TargetMode="External"/><Relationship Id="rId335" Type="http://schemas.openxmlformats.org/officeDocument/2006/relationships/hyperlink" Target="https://eur-lex.europa.eu/legal-content/RO/AUTO/?uri=celex:32023L0958" TargetMode="External"/><Relationship Id="rId377" Type="http://schemas.openxmlformats.org/officeDocument/2006/relationships/hyperlink" Target="https://eur-lex.europa.eu/legal-content/RO/AUTO/?uri=celex:32009L0029" TargetMode="External"/><Relationship Id="rId5" Type="http://schemas.openxmlformats.org/officeDocument/2006/relationships/webSettings" Target="webSettings.xml"/><Relationship Id="rId181" Type="http://schemas.openxmlformats.org/officeDocument/2006/relationships/hyperlink" Target="https://eur-lex.europa.eu/legal-content/RO/AUTO/?uri=celex:32018L0410" TargetMode="External"/><Relationship Id="rId237" Type="http://schemas.openxmlformats.org/officeDocument/2006/relationships/hyperlink" Target="https://eur-lex.europa.eu/legal-content/RO/AUTO/?uri=celex:32008L0101" TargetMode="External"/><Relationship Id="rId402" Type="http://schemas.openxmlformats.org/officeDocument/2006/relationships/hyperlink" Target="https://eur-lex.europa.eu/legal-content/RO/AUTO/?uri=celex:32008L0101" TargetMode="External"/><Relationship Id="rId279" Type="http://schemas.openxmlformats.org/officeDocument/2006/relationships/hyperlink" Target="https://eur-lex.europa.eu/legal-content/RO/AUTO/?uri=celex:32018L0410" TargetMode="External"/><Relationship Id="rId43" Type="http://schemas.openxmlformats.org/officeDocument/2006/relationships/hyperlink" Target="https://eur-lex.europa.eu/legal-content/RO/AUTO/?uri=celex:32018L0410" TargetMode="External"/><Relationship Id="rId139" Type="http://schemas.openxmlformats.org/officeDocument/2006/relationships/hyperlink" Target="https://eur-lex.europa.eu/legal-content/RO/AUTO/?uri=celex:32018L0410" TargetMode="External"/><Relationship Id="rId290" Type="http://schemas.openxmlformats.org/officeDocument/2006/relationships/hyperlink" Target="https://eur-lex.europa.eu/legal-content/RO/AUTO/?uri=celex:32009L0029R%2804%29" TargetMode="External"/><Relationship Id="rId304" Type="http://schemas.openxmlformats.org/officeDocument/2006/relationships/hyperlink" Target="https://eur-lex.europa.eu/legal-content/RO/AUTO/?uri=celex:32009L0029" TargetMode="External"/><Relationship Id="rId346" Type="http://schemas.openxmlformats.org/officeDocument/2006/relationships/hyperlink" Target="https://eur-lex.europa.eu/legal-content/RO/TXT/?uri=CELEX:02003L0087-20230605" TargetMode="External"/><Relationship Id="rId388" Type="http://schemas.openxmlformats.org/officeDocument/2006/relationships/hyperlink" Target="https://eur-lex.europa.eu/legal-content/RO/AUTO/?uri=celex:32008L0101" TargetMode="External"/><Relationship Id="rId85" Type="http://schemas.openxmlformats.org/officeDocument/2006/relationships/hyperlink" Target="https://eur-lex.europa.eu/legal-content/RO/TXT/?uri=CELEX:02003L0087-20230605" TargetMode="External"/><Relationship Id="rId150" Type="http://schemas.openxmlformats.org/officeDocument/2006/relationships/hyperlink" Target="https://eur-lex.europa.eu/legal-content/RO/AUTO/?uri=celex:32023L0959" TargetMode="External"/><Relationship Id="rId192" Type="http://schemas.openxmlformats.org/officeDocument/2006/relationships/hyperlink" Target="https://eur-lex.europa.eu/legal-content/RO/AUTO/?uri=celex:32018L0410" TargetMode="External"/><Relationship Id="rId206" Type="http://schemas.openxmlformats.org/officeDocument/2006/relationships/hyperlink" Target="https://eur-lex.europa.eu/legal-content/RO/AUTO/?uri=celex:32018L0410" TargetMode="External"/><Relationship Id="rId248" Type="http://schemas.openxmlformats.org/officeDocument/2006/relationships/hyperlink" Target="https://eur-lex.europa.eu/legal-content/RO/AUTO/?uri=celex:32023L0959" TargetMode="External"/><Relationship Id="rId12" Type="http://schemas.openxmlformats.org/officeDocument/2006/relationships/hyperlink" Target="https://eur-lex.europa.eu/legal-content/RO/TXT/?uri=CELEX:02003L0087-20230605" TargetMode="External"/><Relationship Id="rId108" Type="http://schemas.openxmlformats.org/officeDocument/2006/relationships/hyperlink" Target="https://eur-lex.europa.eu/legal-content/RO/AUTO/?uri=celex:32018L0410" TargetMode="External"/><Relationship Id="rId315" Type="http://schemas.openxmlformats.org/officeDocument/2006/relationships/hyperlink" Target="https://eur-lex.europa.eu/legal-content/RO/AUTO/?uri=celex:32009L0029" TargetMode="External"/><Relationship Id="rId357" Type="http://schemas.openxmlformats.org/officeDocument/2006/relationships/hyperlink" Target="https://eur-lex.europa.eu/legal-content/RO/AUTO/?uri=celex:32009L0029" TargetMode="External"/><Relationship Id="rId54" Type="http://schemas.openxmlformats.org/officeDocument/2006/relationships/hyperlink" Target="https://eur-lex.europa.eu/legal-content/RO/AUTO/?uri=celex:32023L0958" TargetMode="External"/><Relationship Id="rId96" Type="http://schemas.openxmlformats.org/officeDocument/2006/relationships/hyperlink" Target="https://eur-lex.europa.eu/legal-content/RO/AUTO/?uri=celex:32018L0410" TargetMode="External"/><Relationship Id="rId161" Type="http://schemas.openxmlformats.org/officeDocument/2006/relationships/hyperlink" Target="https://eur-lex.europa.eu/legal-content/RO/AUTO/?uri=celex:32018L0410" TargetMode="External"/><Relationship Id="rId217" Type="http://schemas.openxmlformats.org/officeDocument/2006/relationships/hyperlink" Target="https://eur-lex.europa.eu/legal-content/RO/AUTO/?uri=celex:32023L0959" TargetMode="External"/><Relationship Id="rId399" Type="http://schemas.openxmlformats.org/officeDocument/2006/relationships/hyperlink" Target="https://eur-lex.europa.eu/legal-content/RO/AUTO/?uri=celex:32008L0101" TargetMode="External"/><Relationship Id="rId259" Type="http://schemas.openxmlformats.org/officeDocument/2006/relationships/hyperlink" Target="https://eur-lex.europa.eu/legal-content/RO/AUTO/?uri=celex:32018L0410" TargetMode="External"/><Relationship Id="rId23" Type="http://schemas.openxmlformats.org/officeDocument/2006/relationships/hyperlink" Target="https://eur-lex.europa.eu/legal-content/RO/AUTO/?uri=celex:32023L0959" TargetMode="External"/><Relationship Id="rId119" Type="http://schemas.openxmlformats.org/officeDocument/2006/relationships/hyperlink" Target="https://eur-lex.europa.eu/legal-content/RO/AUTO/?uri=celex:32023L0959" TargetMode="External"/><Relationship Id="rId270" Type="http://schemas.openxmlformats.org/officeDocument/2006/relationships/hyperlink" Target="https://eur-lex.europa.eu/legal-content/RO/AUTO/?uri=celex:32003L0087R%2806%29" TargetMode="External"/><Relationship Id="rId326" Type="http://schemas.openxmlformats.org/officeDocument/2006/relationships/hyperlink" Target="https://eur-lex.europa.eu/legal-content/RO/AUTO/?uri=celex:32018L0410" TargetMode="External"/><Relationship Id="rId65" Type="http://schemas.openxmlformats.org/officeDocument/2006/relationships/hyperlink" Target="https://eur-lex.europa.eu/legal-content/RO/AUTO/?uri=celex:32003L0087R%2806%29" TargetMode="External"/><Relationship Id="rId130" Type="http://schemas.openxmlformats.org/officeDocument/2006/relationships/hyperlink" Target="https://eur-lex.europa.eu/legal-content/RO/AUTO/?uri=celex:32018L0410" TargetMode="External"/><Relationship Id="rId368" Type="http://schemas.openxmlformats.org/officeDocument/2006/relationships/hyperlink" Target="https://eur-lex.europa.eu/legal-content/RO/AUTO/?uri=celex:32023L0959" TargetMode="External"/><Relationship Id="rId172" Type="http://schemas.openxmlformats.org/officeDocument/2006/relationships/hyperlink" Target="https://eur-lex.europa.eu/legal-content/RO/AUTO/?uri=celex:32018L0410" TargetMode="External"/><Relationship Id="rId228" Type="http://schemas.openxmlformats.org/officeDocument/2006/relationships/hyperlink" Target="https://eur-lex.europa.eu/legal-content/RO/AUTO/?uri=celex:32018L0410" TargetMode="External"/><Relationship Id="rId281" Type="http://schemas.openxmlformats.org/officeDocument/2006/relationships/hyperlink" Target="https://eur-lex.europa.eu/legal-content/RO/TXT/?uri=CELEX:02003L0087-20230605" TargetMode="External"/><Relationship Id="rId337" Type="http://schemas.openxmlformats.org/officeDocument/2006/relationships/hyperlink" Target="https://eur-lex.europa.eu/legal-content/RO/AUTO/?uri=celex:32009L0029" TargetMode="External"/><Relationship Id="rId34" Type="http://schemas.openxmlformats.org/officeDocument/2006/relationships/hyperlink" Target="https://eur-lex.europa.eu/legal-content/RO/AUTO/?uri=celex:32023L0958" TargetMode="External"/><Relationship Id="rId76" Type="http://schemas.openxmlformats.org/officeDocument/2006/relationships/hyperlink" Target="https://eur-lex.europa.eu/legal-content/RO/AUTO/?uri=celex:32009L0029" TargetMode="External"/><Relationship Id="rId141" Type="http://schemas.openxmlformats.org/officeDocument/2006/relationships/hyperlink" Target="https://eur-lex.europa.eu/legal-content/RO/AUTO/?uri=celex:32023L0959" TargetMode="External"/><Relationship Id="rId379" Type="http://schemas.openxmlformats.org/officeDocument/2006/relationships/hyperlink" Target="https://eur-lex.europa.eu/legal-content/RO/AUTO/?uri=celex:32018L0410" TargetMode="External"/><Relationship Id="rId7" Type="http://schemas.openxmlformats.org/officeDocument/2006/relationships/endnotes" Target="endnotes.xml"/><Relationship Id="rId183" Type="http://schemas.openxmlformats.org/officeDocument/2006/relationships/hyperlink" Target="https://eur-lex.europa.eu/legal-content/RO/AUTO/?uri=celex:32023L0959" TargetMode="External"/><Relationship Id="rId239" Type="http://schemas.openxmlformats.org/officeDocument/2006/relationships/hyperlink" Target="https://eur-lex.europa.eu/legal-content/RO/AUTO/?uri=celex:32009L0029" TargetMode="External"/><Relationship Id="rId390" Type="http://schemas.openxmlformats.org/officeDocument/2006/relationships/hyperlink" Target="https://eur-lex.europa.eu/legal-content/RO/AUTO/?uri=celex:32023L0959" TargetMode="External"/><Relationship Id="rId404" Type="http://schemas.openxmlformats.org/officeDocument/2006/relationships/hyperlink" Target="https://eur-lex.europa.eu/legal-content/RO/AUTO/?uri=celex:32008L0101" TargetMode="External"/><Relationship Id="rId250" Type="http://schemas.openxmlformats.org/officeDocument/2006/relationships/hyperlink" Target="https://eur-lex.europa.eu/legal-content/RO/AUTO/?uri=celex:32004L0101R%2802%29" TargetMode="External"/><Relationship Id="rId292" Type="http://schemas.openxmlformats.org/officeDocument/2006/relationships/hyperlink" Target="https://eur-lex.europa.eu/legal-content/RO/AUTO/?uri=celex:32018L0410" TargetMode="External"/><Relationship Id="rId306" Type="http://schemas.openxmlformats.org/officeDocument/2006/relationships/hyperlink" Target="https://eur-lex.europa.eu/legal-content/RO/AUTO/?uri=celex:32018L0410" TargetMode="External"/><Relationship Id="rId45" Type="http://schemas.openxmlformats.org/officeDocument/2006/relationships/hyperlink" Target="https://eur-lex.europa.eu/legal-content/RO/AUTO/?uri=celex:32023L0958" TargetMode="External"/><Relationship Id="rId87" Type="http://schemas.openxmlformats.org/officeDocument/2006/relationships/hyperlink" Target="https://eur-lex.europa.eu/legal-content/RO/AUTO/?uri=celex:32018L0410" TargetMode="External"/><Relationship Id="rId110" Type="http://schemas.openxmlformats.org/officeDocument/2006/relationships/hyperlink" Target="https://eur-lex.europa.eu/legal-content/RO/AUTO/?uri=celex:32023L0959" TargetMode="External"/><Relationship Id="rId348" Type="http://schemas.openxmlformats.org/officeDocument/2006/relationships/hyperlink" Target="https://eur-lex.europa.eu/legal-content/RO/TXT/?uri=CELEX:02003L0087-20230605" TargetMode="External"/><Relationship Id="rId152" Type="http://schemas.openxmlformats.org/officeDocument/2006/relationships/hyperlink" Target="https://eur-lex.europa.eu/legal-content/RO/TXT/?uri=CELEX:02003L0087-20230605" TargetMode="External"/><Relationship Id="rId194" Type="http://schemas.openxmlformats.org/officeDocument/2006/relationships/hyperlink" Target="https://eur-lex.europa.eu/legal-content/RO/AUTO/?uri=celex:32018L0410" TargetMode="External"/><Relationship Id="rId208" Type="http://schemas.openxmlformats.org/officeDocument/2006/relationships/hyperlink" Target="https://eur-lex.europa.eu/legal-content/RO/TXT/?uri=CELEX:02003L0087-20230605" TargetMode="External"/><Relationship Id="rId261" Type="http://schemas.openxmlformats.org/officeDocument/2006/relationships/hyperlink" Target="https://eur-lex.europa.eu/legal-content/RO/AUTO/?uri=celex:32023L0959" TargetMode="External"/><Relationship Id="rId14" Type="http://schemas.openxmlformats.org/officeDocument/2006/relationships/hyperlink" Target="https://eur-lex.europa.eu/legal-content/RO/AUTO/?uri=celex:32009L0029" TargetMode="External"/><Relationship Id="rId56" Type="http://schemas.openxmlformats.org/officeDocument/2006/relationships/hyperlink" Target="https://eur-lex.europa.eu/legal-content/RO/AUTO/?uri=celex:32023L0958" TargetMode="External"/><Relationship Id="rId317" Type="http://schemas.openxmlformats.org/officeDocument/2006/relationships/hyperlink" Target="https://eur-lex.europa.eu/legal-content/RO/AUTO/?uri=celex:32009L0029R%2804%29" TargetMode="External"/><Relationship Id="rId359" Type="http://schemas.openxmlformats.org/officeDocument/2006/relationships/hyperlink" Target="https://eur-lex.europa.eu/legal-content/RO/AUTO/?uri=celex:32009L0029" TargetMode="External"/><Relationship Id="rId98" Type="http://schemas.openxmlformats.org/officeDocument/2006/relationships/hyperlink" Target="https://eur-lex.europa.eu/legal-content/RO/AUTO/?uri=celex:32018L0410" TargetMode="External"/><Relationship Id="rId121" Type="http://schemas.openxmlformats.org/officeDocument/2006/relationships/hyperlink" Target="https://eur-lex.europa.eu/legal-content/RO/TXT/?uri=CELEX:02003L0087-20230605" TargetMode="External"/><Relationship Id="rId163" Type="http://schemas.openxmlformats.org/officeDocument/2006/relationships/hyperlink" Target="https://eur-lex.europa.eu/legal-content/RO/AUTO/?uri=celex:32018L0410" TargetMode="External"/><Relationship Id="rId219" Type="http://schemas.openxmlformats.org/officeDocument/2006/relationships/hyperlink" Target="https://eur-lex.europa.eu/legal-content/RO/AUTO/?uri=celex:32023L0958" TargetMode="External"/><Relationship Id="rId370" Type="http://schemas.openxmlformats.org/officeDocument/2006/relationships/hyperlink" Target="https://eur-lex.europa.eu/legal-content/RO/AUTO/?uri=celex:32023L0958" TargetMode="External"/><Relationship Id="rId230" Type="http://schemas.openxmlformats.org/officeDocument/2006/relationships/hyperlink" Target="https://eur-lex.europa.eu/legal-content/RO/AUTO/?uri=celex:32018L0410" TargetMode="External"/><Relationship Id="rId25" Type="http://schemas.openxmlformats.org/officeDocument/2006/relationships/hyperlink" Target="https://eur-lex.europa.eu/legal-content/RO/AUTO/?uri=celex:32023L0959" TargetMode="External"/><Relationship Id="rId67" Type="http://schemas.openxmlformats.org/officeDocument/2006/relationships/hyperlink" Target="https://eur-lex.europa.eu/legal-content/RO/AUTO/?uri=celex:32009L0029" TargetMode="External"/><Relationship Id="rId272" Type="http://schemas.openxmlformats.org/officeDocument/2006/relationships/hyperlink" Target="https://eur-lex.europa.eu/legal-content/RO/AUTO/?uri=celex:32009L0029" TargetMode="External"/><Relationship Id="rId328" Type="http://schemas.openxmlformats.org/officeDocument/2006/relationships/hyperlink" Target="https://eur-lex.europa.eu/legal-content/RO/AUTO/?uri=celex:32018L0410" TargetMode="External"/><Relationship Id="rId132" Type="http://schemas.openxmlformats.org/officeDocument/2006/relationships/hyperlink" Target="https://eur-lex.europa.eu/legal-content/RO/AUTO/?uri=celex:32009L0029R%2804%29" TargetMode="External"/><Relationship Id="rId174" Type="http://schemas.openxmlformats.org/officeDocument/2006/relationships/hyperlink" Target="https://eur-lex.europa.eu/legal-content/RO/AUTO/?uri=celex:32018L0410" TargetMode="External"/><Relationship Id="rId381" Type="http://schemas.openxmlformats.org/officeDocument/2006/relationships/hyperlink" Target="https://eur-lex.europa.eu/legal-content/RO/AUTO/?uri=celex:32018L0410" TargetMode="External"/><Relationship Id="rId241" Type="http://schemas.openxmlformats.org/officeDocument/2006/relationships/hyperlink" Target="https://eur-lex.europa.eu/legal-content/RO/AUTO/?uri=celex:32008L0101" TargetMode="External"/><Relationship Id="rId36" Type="http://schemas.openxmlformats.org/officeDocument/2006/relationships/hyperlink" Target="https://eur-lex.europa.eu/legal-content/RO/TXT/?uri=CELEX:02003L0087-20230605" TargetMode="External"/><Relationship Id="rId283" Type="http://schemas.openxmlformats.org/officeDocument/2006/relationships/hyperlink" Target="https://eur-lex.europa.eu/legal-content/RO/AUTO/?uri=celex:32018L0410" TargetMode="External"/><Relationship Id="rId339" Type="http://schemas.openxmlformats.org/officeDocument/2006/relationships/hyperlink" Target="https://eur-lex.europa.eu/legal-content/RO/AUTO/?uri=celex:32003L0087" TargetMode="External"/><Relationship Id="rId78" Type="http://schemas.openxmlformats.org/officeDocument/2006/relationships/hyperlink" Target="https://eur-lex.europa.eu/legal-content/RO/AUTO/?uri=celex:32009L0029R%2804%29" TargetMode="External"/><Relationship Id="rId101" Type="http://schemas.openxmlformats.org/officeDocument/2006/relationships/hyperlink" Target="https://eur-lex.europa.eu/legal-content/RO/AUTO/?uri=celex:32023L0959" TargetMode="External"/><Relationship Id="rId143" Type="http://schemas.openxmlformats.org/officeDocument/2006/relationships/hyperlink" Target="https://eur-lex.europa.eu/legal-content/RO/AUTO/?uri=celex:32018L0410" TargetMode="External"/><Relationship Id="rId185" Type="http://schemas.openxmlformats.org/officeDocument/2006/relationships/hyperlink" Target="https://eur-lex.europa.eu/legal-content/RO/AUTO/?uri=celex:32023L0959" TargetMode="External"/><Relationship Id="rId350" Type="http://schemas.openxmlformats.org/officeDocument/2006/relationships/hyperlink" Target="https://eur-lex.europa.eu/legal-content/RO/AUTO/?uri=celex:32003L0087" TargetMode="External"/><Relationship Id="rId406" Type="http://schemas.openxmlformats.org/officeDocument/2006/relationships/fontTable" Target="fontTable.xml"/><Relationship Id="rId9" Type="http://schemas.openxmlformats.org/officeDocument/2006/relationships/hyperlink" Target="https://eur-lex.europa.eu/legal-content/RO/AUTO/?uri=celex:32003L0087R%2806%29" TargetMode="External"/><Relationship Id="rId210" Type="http://schemas.openxmlformats.org/officeDocument/2006/relationships/hyperlink" Target="https://eur-lex.europa.eu/legal-content/RO/AUTO/?uri=celex:32023L0959" TargetMode="External"/><Relationship Id="rId392" Type="http://schemas.openxmlformats.org/officeDocument/2006/relationships/hyperlink" Target="https://eur-lex.europa.eu/legal-content/RO/AUTO/?uri=celex:32003L0087" TargetMode="External"/><Relationship Id="rId252" Type="http://schemas.openxmlformats.org/officeDocument/2006/relationships/hyperlink" Target="https://eur-lex.europa.eu/legal-content/RO/AUTO/?uri=celex:32004L0101" TargetMode="External"/><Relationship Id="rId294" Type="http://schemas.openxmlformats.org/officeDocument/2006/relationships/hyperlink" Target="https://eur-lex.europa.eu/legal-content/RO/AUTO/?uri=celex:32009L0029" TargetMode="External"/><Relationship Id="rId308" Type="http://schemas.openxmlformats.org/officeDocument/2006/relationships/hyperlink" Target="https://eur-lex.europa.eu/legal-content/RO/AUTO/?uri=celex:32008L0101" TargetMode="External"/><Relationship Id="rId47" Type="http://schemas.openxmlformats.org/officeDocument/2006/relationships/hyperlink" Target="https://eur-lex.europa.eu/legal-content/RO/AUTO/?uri=celex:32017R2392" TargetMode="External"/><Relationship Id="rId89" Type="http://schemas.openxmlformats.org/officeDocument/2006/relationships/hyperlink" Target="https://eur-lex.europa.eu/legal-content/RO/AUTO/?uri=celex:32018L0410" TargetMode="External"/><Relationship Id="rId112" Type="http://schemas.openxmlformats.org/officeDocument/2006/relationships/hyperlink" Target="https://eur-lex.europa.eu/legal-content/RO/AUTO/?uri=celex:32023L0959" TargetMode="External"/><Relationship Id="rId154" Type="http://schemas.openxmlformats.org/officeDocument/2006/relationships/hyperlink" Target="https://eur-lex.europa.eu/legal-content/RO/TXT/?uri=CELEX:02003L0087-20230605" TargetMode="External"/><Relationship Id="rId361" Type="http://schemas.openxmlformats.org/officeDocument/2006/relationships/hyperlink" Target="https://eur-lex.europa.eu/legal-content/RO/AUTO/?uri=celex:32009L0029" TargetMode="External"/><Relationship Id="rId196" Type="http://schemas.openxmlformats.org/officeDocument/2006/relationships/hyperlink" Target="https://eur-lex.europa.eu/legal-content/RO/AUTO/?uri=celex:32018L0410" TargetMode="External"/><Relationship Id="rId16" Type="http://schemas.openxmlformats.org/officeDocument/2006/relationships/hyperlink" Target="https://eur-lex.europa.eu/legal-content/RO/AUTO/?uri=celex:32018L0410" TargetMode="External"/><Relationship Id="rId221" Type="http://schemas.openxmlformats.org/officeDocument/2006/relationships/hyperlink" Target="https://eur-lex.europa.eu/legal-content/RO/AUTO/?uri=celex:32023L0958" TargetMode="External"/><Relationship Id="rId263" Type="http://schemas.openxmlformats.org/officeDocument/2006/relationships/hyperlink" Target="https://eur-lex.europa.eu/legal-content/RO/AUTO/?uri=celex:32009L0029" TargetMode="External"/><Relationship Id="rId319" Type="http://schemas.openxmlformats.org/officeDocument/2006/relationships/hyperlink" Target="https://eur-lex.europa.eu/legal-content/RO/AUTO/?uri=celex:32018L0410" TargetMode="External"/><Relationship Id="rId58" Type="http://schemas.openxmlformats.org/officeDocument/2006/relationships/hyperlink" Target="https://eur-lex.europa.eu/legal-content/RO/AUTO/?uri=celex:32023L0958" TargetMode="External"/><Relationship Id="rId123" Type="http://schemas.openxmlformats.org/officeDocument/2006/relationships/hyperlink" Target="https://eur-lex.europa.eu/legal-content/RO/AUTO/?uri=celex:32018L0410" TargetMode="External"/><Relationship Id="rId330" Type="http://schemas.openxmlformats.org/officeDocument/2006/relationships/hyperlink" Target="https://eur-lex.europa.eu/legal-content/RO/AUTO/?uri=celex:32018L0410" TargetMode="External"/><Relationship Id="rId165" Type="http://schemas.openxmlformats.org/officeDocument/2006/relationships/hyperlink" Target="https://eur-lex.europa.eu/legal-content/RO/AUTO/?uri=celex:32023L0959" TargetMode="External"/><Relationship Id="rId372" Type="http://schemas.openxmlformats.org/officeDocument/2006/relationships/hyperlink" Target="https://eur-lex.europa.eu/legal-content/RO/AUTO/?uri=celex:32020D1071" TargetMode="External"/><Relationship Id="rId211" Type="http://schemas.openxmlformats.org/officeDocument/2006/relationships/hyperlink" Target="https://eur-lex.europa.eu/legal-content/RO/AUTO/?uri=celex:32023L0959" TargetMode="External"/><Relationship Id="rId232" Type="http://schemas.openxmlformats.org/officeDocument/2006/relationships/hyperlink" Target="https://eur-lex.europa.eu/legal-content/RO/AUTO/?uri=celex:32023L0958" TargetMode="External"/><Relationship Id="rId253" Type="http://schemas.openxmlformats.org/officeDocument/2006/relationships/hyperlink" Target="https://eur-lex.europa.eu/legal-content/RO/AUTO/?uri=celex:32008L0101" TargetMode="External"/><Relationship Id="rId274" Type="http://schemas.openxmlformats.org/officeDocument/2006/relationships/hyperlink" Target="https://eur-lex.europa.eu/legal-content/RO/AUTO/?uri=celex:32018L0410" TargetMode="External"/><Relationship Id="rId295" Type="http://schemas.openxmlformats.org/officeDocument/2006/relationships/hyperlink" Target="https://eur-lex.europa.eu/legal-content/RO/AUTO/?uri=celex:32018L0410" TargetMode="External"/><Relationship Id="rId309" Type="http://schemas.openxmlformats.org/officeDocument/2006/relationships/hyperlink" Target="https://eur-lex.europa.eu/legal-content/RO/AUTO/?uri=celex:32018L0410" TargetMode="External"/><Relationship Id="rId27" Type="http://schemas.openxmlformats.org/officeDocument/2006/relationships/hyperlink" Target="https://eur-lex.europa.eu/legal-content/RO/AUTO/?uri=celex:32018L0410R%2803%29" TargetMode="External"/><Relationship Id="rId48" Type="http://schemas.openxmlformats.org/officeDocument/2006/relationships/hyperlink" Target="https://eur-lex.europa.eu/legal-content/RO/AUTO/?uri=celex:32008L0101R%2804%29" TargetMode="External"/><Relationship Id="rId69" Type="http://schemas.openxmlformats.org/officeDocument/2006/relationships/hyperlink" Target="https://eur-lex.europa.eu/legal-content/RO/AUTO/?uri=celex:32003L0087" TargetMode="External"/><Relationship Id="rId113" Type="http://schemas.openxmlformats.org/officeDocument/2006/relationships/hyperlink" Target="https://eur-lex.europa.eu/legal-content/RO/AUTO/?uri=celex:32023L0959" TargetMode="External"/><Relationship Id="rId134" Type="http://schemas.openxmlformats.org/officeDocument/2006/relationships/hyperlink" Target="https://eur-lex.europa.eu/legal-content/RO/AUTO/?uri=celex:32018L0410" TargetMode="External"/><Relationship Id="rId320" Type="http://schemas.openxmlformats.org/officeDocument/2006/relationships/hyperlink" Target="https://eur-lex.europa.eu/legal-content/RO/AUTO/?uri=celex:32018L0410" TargetMode="External"/><Relationship Id="rId80" Type="http://schemas.openxmlformats.org/officeDocument/2006/relationships/hyperlink" Target="https://eur-lex.europa.eu/legal-content/RO/AUTO/?uri=celex:32018L0410" TargetMode="External"/><Relationship Id="rId155" Type="http://schemas.openxmlformats.org/officeDocument/2006/relationships/hyperlink" Target="https://eur-lex.europa.eu/legal-content/RO/AUTO/?uri=celex:32018L0410" TargetMode="External"/><Relationship Id="rId176" Type="http://schemas.openxmlformats.org/officeDocument/2006/relationships/hyperlink" Target="https://eur-lex.europa.eu/legal-content/RO/TXT/?uri=CELEX:02003L0087-20230605" TargetMode="External"/><Relationship Id="rId197" Type="http://schemas.openxmlformats.org/officeDocument/2006/relationships/hyperlink" Target="https://eur-lex.europa.eu/legal-content/RO/AUTO/?uri=celex:32023L0958" TargetMode="External"/><Relationship Id="rId341" Type="http://schemas.openxmlformats.org/officeDocument/2006/relationships/hyperlink" Target="https://eur-lex.europa.eu/legal-content/RO/AUTO/?uri=celex:32003L0087" TargetMode="External"/><Relationship Id="rId362" Type="http://schemas.openxmlformats.org/officeDocument/2006/relationships/hyperlink" Target="https://eur-lex.europa.eu/legal-content/RO/AUTO/?uri=celex:32023L0959" TargetMode="External"/><Relationship Id="rId383" Type="http://schemas.openxmlformats.org/officeDocument/2006/relationships/hyperlink" Target="https://eur-lex.europa.eu/legal-content/RO/AUTO/?uri=celex:32018L0410" TargetMode="External"/><Relationship Id="rId201" Type="http://schemas.openxmlformats.org/officeDocument/2006/relationships/hyperlink" Target="https://eur-lex.europa.eu/legal-content/RO/AUTO/?uri=celex:32018L0410" TargetMode="External"/><Relationship Id="rId222" Type="http://schemas.openxmlformats.org/officeDocument/2006/relationships/hyperlink" Target="https://eur-lex.europa.eu/legal-content/RO/AUTO/?uri=celex:32018L0410" TargetMode="External"/><Relationship Id="rId243" Type="http://schemas.openxmlformats.org/officeDocument/2006/relationships/hyperlink" Target="https://eur-lex.europa.eu/legal-content/RO/AUTO/?uri=celex:32023L0959" TargetMode="External"/><Relationship Id="rId264" Type="http://schemas.openxmlformats.org/officeDocument/2006/relationships/hyperlink" Target="https://eur-lex.europa.eu/legal-content/RO/AUTO/?uri=celex:32018L0410" TargetMode="External"/><Relationship Id="rId285" Type="http://schemas.openxmlformats.org/officeDocument/2006/relationships/hyperlink" Target="https://eur-lex.europa.eu/legal-content/RO/AUTO/?uri=celex:32018L0410" TargetMode="External"/><Relationship Id="rId17" Type="http://schemas.openxmlformats.org/officeDocument/2006/relationships/hyperlink" Target="https://eur-lex.europa.eu/legal-content/RO/AUTO/?uri=celex:32003L0087" TargetMode="External"/><Relationship Id="rId38" Type="http://schemas.openxmlformats.org/officeDocument/2006/relationships/hyperlink" Target="https://eur-lex.europa.eu/legal-content/RO/TXT/?uri=CELEX:02003L0087-20230605" TargetMode="External"/><Relationship Id="rId59" Type="http://schemas.openxmlformats.org/officeDocument/2006/relationships/hyperlink" Target="https://eur-lex.europa.eu/legal-content/RO/AUTO/?uri=celex:32023L0959" TargetMode="External"/><Relationship Id="rId103" Type="http://schemas.openxmlformats.org/officeDocument/2006/relationships/hyperlink" Target="https://eur-lex.europa.eu/legal-content/RO/AUTO/?uri=celex:32023L0959" TargetMode="External"/><Relationship Id="rId124" Type="http://schemas.openxmlformats.org/officeDocument/2006/relationships/hyperlink" Target="https://eur-lex.europa.eu/legal-content/RO/AUTO/?uri=celex:32009L0029R%2804%29" TargetMode="External"/><Relationship Id="rId310" Type="http://schemas.openxmlformats.org/officeDocument/2006/relationships/hyperlink" Target="https://eur-lex.europa.eu/legal-content/RO/AUTO/?uri=celex:32023L0958" TargetMode="External"/><Relationship Id="rId70" Type="http://schemas.openxmlformats.org/officeDocument/2006/relationships/hyperlink" Target="https://eur-lex.europa.eu/legal-content/RO/AUTO/?uri=celex:32003L0087R%2806%29" TargetMode="External"/><Relationship Id="rId91" Type="http://schemas.openxmlformats.org/officeDocument/2006/relationships/hyperlink" Target="https://eur-lex.europa.eu/legal-content/RO/AUTO/?uri=celex:32018L0410" TargetMode="External"/><Relationship Id="rId145" Type="http://schemas.openxmlformats.org/officeDocument/2006/relationships/hyperlink" Target="https://eur-lex.europa.eu/legal-content/RO/AUTO/?uri=celex:32009L0029R%2804%29" TargetMode="External"/><Relationship Id="rId166" Type="http://schemas.openxmlformats.org/officeDocument/2006/relationships/hyperlink" Target="https://eur-lex.europa.eu/legal-content/RO/AUTO/?uri=celex:32018L0410" TargetMode="External"/><Relationship Id="rId187" Type="http://schemas.openxmlformats.org/officeDocument/2006/relationships/hyperlink" Target="https://eur-lex.europa.eu/legal-content/RO/AUTO/?uri=celex:32018L0410" TargetMode="External"/><Relationship Id="rId331" Type="http://schemas.openxmlformats.org/officeDocument/2006/relationships/hyperlink" Target="https://eur-lex.europa.eu/legal-content/RO/AUTO/?uri=celex:32018L0410" TargetMode="External"/><Relationship Id="rId352" Type="http://schemas.openxmlformats.org/officeDocument/2006/relationships/hyperlink" Target="https://eur-lex.europa.eu/legal-content/RO/AUTO/?uri=celex:32023L0959" TargetMode="External"/><Relationship Id="rId373" Type="http://schemas.openxmlformats.org/officeDocument/2006/relationships/hyperlink" Target="https://eur-lex.europa.eu/legal-content/RO/AUTO/?uri=celex:32023L0959" TargetMode="External"/><Relationship Id="rId394" Type="http://schemas.openxmlformats.org/officeDocument/2006/relationships/hyperlink" Target="https://eur-lex.europa.eu/legal-content/RO/AUTO/?uri=celex:32003L0087" TargetMode="External"/><Relationship Id="rId1" Type="http://schemas.openxmlformats.org/officeDocument/2006/relationships/customXml" Target="../customXml/item1.xml"/><Relationship Id="rId212" Type="http://schemas.openxmlformats.org/officeDocument/2006/relationships/hyperlink" Target="https://eur-lex.europa.eu/legal-content/RO/AUTO/?uri=celex:32023L0959" TargetMode="External"/><Relationship Id="rId233" Type="http://schemas.openxmlformats.org/officeDocument/2006/relationships/hyperlink" Target="https://eur-lex.europa.eu/legal-content/RO/TXT/?uri=CELEX:02003L0087-20230605" TargetMode="External"/><Relationship Id="rId254" Type="http://schemas.openxmlformats.org/officeDocument/2006/relationships/hyperlink" Target="https://eur-lex.europa.eu/legal-content/RO/TXT/?uri=CELEX:02003L0087-20230605" TargetMode="External"/><Relationship Id="rId28" Type="http://schemas.openxmlformats.org/officeDocument/2006/relationships/hyperlink" Target="https://eur-lex.europa.eu/legal-content/RO/AUTO/?uri=celex:32003L0087" TargetMode="External"/><Relationship Id="rId49" Type="http://schemas.openxmlformats.org/officeDocument/2006/relationships/hyperlink" Target="https://eur-lex.europa.eu/legal-content/RO/AUTO/?uri=celex:32023L0958" TargetMode="External"/><Relationship Id="rId114" Type="http://schemas.openxmlformats.org/officeDocument/2006/relationships/hyperlink" Target="https://eur-lex.europa.eu/legal-content/RO/TXT/?uri=CELEX:02003L0087-20230605" TargetMode="External"/><Relationship Id="rId275" Type="http://schemas.openxmlformats.org/officeDocument/2006/relationships/hyperlink" Target="https://eur-lex.europa.eu/legal-content/RO/AUTO/?uri=celex:32009L0029" TargetMode="External"/><Relationship Id="rId296" Type="http://schemas.openxmlformats.org/officeDocument/2006/relationships/hyperlink" Target="https://eur-lex.europa.eu/legal-content/RO/AUTO/?uri=celex:32009L0029" TargetMode="External"/><Relationship Id="rId300" Type="http://schemas.openxmlformats.org/officeDocument/2006/relationships/hyperlink" Target="https://eur-lex.europa.eu/legal-content/RO/AUTO/?uri=celex:32018L0410" TargetMode="External"/><Relationship Id="rId60" Type="http://schemas.openxmlformats.org/officeDocument/2006/relationships/hyperlink" Target="https://eur-lex.europa.eu/legal-content/RO/AUTO/?uri=celex:32023L0959" TargetMode="External"/><Relationship Id="rId81" Type="http://schemas.openxmlformats.org/officeDocument/2006/relationships/hyperlink" Target="https://eur-lex.europa.eu/legal-content/RO/AUTO/?uri=celex:32023L0959" TargetMode="External"/><Relationship Id="rId135" Type="http://schemas.openxmlformats.org/officeDocument/2006/relationships/hyperlink" Target="https://eur-lex.europa.eu/legal-content/RO/TXT/?uri=CELEX:02003L0087-20230605" TargetMode="External"/><Relationship Id="rId156" Type="http://schemas.openxmlformats.org/officeDocument/2006/relationships/hyperlink" Target="https://eur-lex.europa.eu/legal-content/RO/AUTO/?uri=celex:32018L0410" TargetMode="External"/><Relationship Id="rId177" Type="http://schemas.openxmlformats.org/officeDocument/2006/relationships/hyperlink" Target="https://eur-lex.europa.eu/legal-content/RO/TXT/?uri=CELEX:02003L0087-20230605" TargetMode="External"/><Relationship Id="rId198" Type="http://schemas.openxmlformats.org/officeDocument/2006/relationships/hyperlink" Target="https://eur-lex.europa.eu/legal-content/RO/AUTO/?uri=celex:32004L0101" TargetMode="External"/><Relationship Id="rId321" Type="http://schemas.openxmlformats.org/officeDocument/2006/relationships/hyperlink" Target="https://eur-lex.europa.eu/legal-content/RO/AUTO/?uri=celex:32009L0029R%2804%29" TargetMode="External"/><Relationship Id="rId342" Type="http://schemas.openxmlformats.org/officeDocument/2006/relationships/hyperlink" Target="https://eur-lex.europa.eu/legal-content/RO/AUTO/?uri=celex:32023L0959" TargetMode="External"/><Relationship Id="rId363" Type="http://schemas.openxmlformats.org/officeDocument/2006/relationships/hyperlink" Target="https://eur-lex.europa.eu/legal-content/RO/AUTO/?uri=celex:32009L0029" TargetMode="External"/><Relationship Id="rId384" Type="http://schemas.openxmlformats.org/officeDocument/2006/relationships/hyperlink" Target="https://eur-lex.europa.eu/legal-content/RO/AUTO/?uri=celex:32023L0959" TargetMode="External"/><Relationship Id="rId202" Type="http://schemas.openxmlformats.org/officeDocument/2006/relationships/hyperlink" Target="https://eur-lex.europa.eu/legal-content/RO/AUTO/?uri=celex:32004L0101" TargetMode="External"/><Relationship Id="rId223" Type="http://schemas.openxmlformats.org/officeDocument/2006/relationships/hyperlink" Target="https://eur-lex.europa.eu/legal-content/RO/AUTO/?uri=celex:32009L0029" TargetMode="External"/><Relationship Id="rId244" Type="http://schemas.openxmlformats.org/officeDocument/2006/relationships/hyperlink" Target="https://eur-lex.europa.eu/legal-content/RO/AUTO/?uri=celex:32023L0959" TargetMode="External"/><Relationship Id="rId18" Type="http://schemas.openxmlformats.org/officeDocument/2006/relationships/hyperlink" Target="https://eur-lex.europa.eu/legal-content/RO/AUTO/?uri=celex:32023L0959" TargetMode="External"/><Relationship Id="rId39" Type="http://schemas.openxmlformats.org/officeDocument/2006/relationships/hyperlink" Target="https://eur-lex.europa.eu/legal-content/RO/TXT/?uri=CELEX:02003L0087-20230605" TargetMode="External"/><Relationship Id="rId265" Type="http://schemas.openxmlformats.org/officeDocument/2006/relationships/hyperlink" Target="https://eur-lex.europa.eu/legal-content/RO/AUTO/?uri=celex:32003L0087R%2806%29" TargetMode="External"/><Relationship Id="rId286" Type="http://schemas.openxmlformats.org/officeDocument/2006/relationships/hyperlink" Target="https://eur-lex.europa.eu/legal-content/RO/TXT/?uri=CELEX:02003L0087-20230605" TargetMode="External"/><Relationship Id="rId50" Type="http://schemas.openxmlformats.org/officeDocument/2006/relationships/hyperlink" Target="https://eur-lex.europa.eu/legal-content/RO/TXT/?uri=CELEX:02003L0087-20230605" TargetMode="External"/><Relationship Id="rId104" Type="http://schemas.openxmlformats.org/officeDocument/2006/relationships/hyperlink" Target="https://eur-lex.europa.eu/legal-content/RO/TXT/?uri=CELEX:02003L0087-20230605" TargetMode="External"/><Relationship Id="rId125" Type="http://schemas.openxmlformats.org/officeDocument/2006/relationships/hyperlink" Target="https://eur-lex.europa.eu/legal-content/RO/AUTO/?uri=celex:32023L0959" TargetMode="External"/><Relationship Id="rId146" Type="http://schemas.openxmlformats.org/officeDocument/2006/relationships/hyperlink" Target="https://eur-lex.europa.eu/legal-content/RO/AUTO/?uri=celex:32018L0410" TargetMode="External"/><Relationship Id="rId167" Type="http://schemas.openxmlformats.org/officeDocument/2006/relationships/hyperlink" Target="https://eur-lex.europa.eu/legal-content/RO/AUTO/?uri=celex:32023L0959" TargetMode="External"/><Relationship Id="rId188" Type="http://schemas.openxmlformats.org/officeDocument/2006/relationships/hyperlink" Target="https://eur-lex.europa.eu/legal-content/RO/AUTO/?uri=celex:32023L0958" TargetMode="External"/><Relationship Id="rId311" Type="http://schemas.openxmlformats.org/officeDocument/2006/relationships/hyperlink" Target="https://eur-lex.europa.eu/legal-content/RO/AUTO/?uri=celex:32023L0958" TargetMode="External"/><Relationship Id="rId332" Type="http://schemas.openxmlformats.org/officeDocument/2006/relationships/hyperlink" Target="https://eur-lex.europa.eu/legal-content/RO/AUTO/?uri=celex:32018L0410" TargetMode="External"/><Relationship Id="rId353" Type="http://schemas.openxmlformats.org/officeDocument/2006/relationships/hyperlink" Target="https://eur-lex.europa.eu/legal-content/RO/AUTO/?uri=celex:32009L0029" TargetMode="External"/><Relationship Id="rId374" Type="http://schemas.openxmlformats.org/officeDocument/2006/relationships/hyperlink" Target="https://eur-lex.europa.eu/legal-content/RO/AUTO/?uri=celex:32003L0087" TargetMode="External"/><Relationship Id="rId395" Type="http://schemas.openxmlformats.org/officeDocument/2006/relationships/hyperlink" Target="https://eur-lex.europa.eu/legal-content/RO/AUTO/?uri=celex:32008L0101" TargetMode="External"/><Relationship Id="rId71" Type="http://schemas.openxmlformats.org/officeDocument/2006/relationships/hyperlink" Target="https://eur-lex.europa.eu/legal-content/RO/AUTO/?uri=celex:32018L0410" TargetMode="External"/><Relationship Id="rId92" Type="http://schemas.openxmlformats.org/officeDocument/2006/relationships/hyperlink" Target="https://eur-lex.europa.eu/legal-content/RO/AUTO/?uri=celex:32018L0410" TargetMode="External"/><Relationship Id="rId213" Type="http://schemas.openxmlformats.org/officeDocument/2006/relationships/hyperlink" Target="https://eur-lex.europa.eu/legal-content/RO/AUTO/?uri=celex:32023L0959" TargetMode="External"/><Relationship Id="rId234" Type="http://schemas.openxmlformats.org/officeDocument/2006/relationships/hyperlink" Target="https://eur-lex.europa.eu/legal-content/RO/TXT/?uri=CELEX:02003L0087-20230605" TargetMode="External"/><Relationship Id="rId2" Type="http://schemas.openxmlformats.org/officeDocument/2006/relationships/numbering" Target="numbering.xml"/><Relationship Id="rId29" Type="http://schemas.openxmlformats.org/officeDocument/2006/relationships/hyperlink" Target="https://eur-lex.europa.eu/legal-content/RO/AUTO/?uri=celex:32004L0101" TargetMode="External"/><Relationship Id="rId255" Type="http://schemas.openxmlformats.org/officeDocument/2006/relationships/hyperlink" Target="https://eur-lex.europa.eu/legal-content/RO/AUTO/?uri=celex:32023L0958" TargetMode="External"/><Relationship Id="rId276" Type="http://schemas.openxmlformats.org/officeDocument/2006/relationships/hyperlink" Target="https://eur-lex.europa.eu/legal-content/RO/AUTO/?uri=celex:32018L0410" TargetMode="External"/><Relationship Id="rId297" Type="http://schemas.openxmlformats.org/officeDocument/2006/relationships/hyperlink" Target="https://eur-lex.europa.eu/legal-content/RO/AUTO/?uri=celex:32018L0410" TargetMode="External"/><Relationship Id="rId40" Type="http://schemas.openxmlformats.org/officeDocument/2006/relationships/hyperlink" Target="https://eur-lex.europa.eu/legal-content/RO/AUTO/?uri=celex:32008L0101" TargetMode="External"/><Relationship Id="rId115" Type="http://schemas.openxmlformats.org/officeDocument/2006/relationships/hyperlink" Target="https://eur-lex.europa.eu/legal-content/RO/AUTO/?uri=celex:32018L0410" TargetMode="External"/><Relationship Id="rId136" Type="http://schemas.openxmlformats.org/officeDocument/2006/relationships/hyperlink" Target="https://eur-lex.europa.eu/legal-content/RO/AUTO/?uri=celex:32023L0959" TargetMode="External"/><Relationship Id="rId157" Type="http://schemas.openxmlformats.org/officeDocument/2006/relationships/hyperlink" Target="https://eur-lex.europa.eu/legal-content/RO/AUTO/?uri=celex:32009L0029R%2804%29" TargetMode="External"/><Relationship Id="rId178" Type="http://schemas.openxmlformats.org/officeDocument/2006/relationships/hyperlink" Target="https://eur-lex.europa.eu/legal-content/RO/TXT/?uri=CELEX:02003L0087-20230605" TargetMode="External"/><Relationship Id="rId301" Type="http://schemas.openxmlformats.org/officeDocument/2006/relationships/hyperlink" Target="https://eur-lex.europa.eu/legal-content/RO/AUTO/?uri=celex:32009L0029R%2804%29" TargetMode="External"/><Relationship Id="rId322" Type="http://schemas.openxmlformats.org/officeDocument/2006/relationships/hyperlink" Target="https://eur-lex.europa.eu/legal-content/RO/AUTO/?uri=celex:32018L0410" TargetMode="External"/><Relationship Id="rId343" Type="http://schemas.openxmlformats.org/officeDocument/2006/relationships/hyperlink" Target="https://eur-lex.europa.eu/legal-content/RO/TXT/?uri=CELEX:02003L0087-20230605" TargetMode="External"/><Relationship Id="rId364" Type="http://schemas.openxmlformats.org/officeDocument/2006/relationships/hyperlink" Target="https://eur-lex.europa.eu/legal-content/RO/AUTO/?uri=celex:32023L0959" TargetMode="External"/><Relationship Id="rId61" Type="http://schemas.openxmlformats.org/officeDocument/2006/relationships/hyperlink" Target="https://eur-lex.europa.eu/legal-content/RO/AUTO/?uri=celex:32008L0101" TargetMode="External"/><Relationship Id="rId82" Type="http://schemas.openxmlformats.org/officeDocument/2006/relationships/hyperlink" Target="https://eur-lex.europa.eu/legal-content/RO/AUTO/?uri=celex:32009L0029" TargetMode="External"/><Relationship Id="rId199" Type="http://schemas.openxmlformats.org/officeDocument/2006/relationships/hyperlink" Target="https://eur-lex.europa.eu/legal-content/RO/AUTO/?uri=celex:32009L0029" TargetMode="External"/><Relationship Id="rId203" Type="http://schemas.openxmlformats.org/officeDocument/2006/relationships/hyperlink" Target="https://eur-lex.europa.eu/legal-content/RO/AUTO/?uri=celex:32008L0101" TargetMode="External"/><Relationship Id="rId385" Type="http://schemas.openxmlformats.org/officeDocument/2006/relationships/hyperlink" Target="https://eur-lex.europa.eu/legal-content/RO/AUTO/?uri=celex:32009L0029" TargetMode="External"/><Relationship Id="rId19" Type="http://schemas.openxmlformats.org/officeDocument/2006/relationships/hyperlink" Target="https://eur-lex.europa.eu/legal-content/RO/TXT/?uri=CELEX:02003L0087-20230605" TargetMode="External"/><Relationship Id="rId224" Type="http://schemas.openxmlformats.org/officeDocument/2006/relationships/hyperlink" Target="https://eur-lex.europa.eu/legal-content/RO/AUTO/?uri=celex:32018L0410" TargetMode="External"/><Relationship Id="rId245" Type="http://schemas.openxmlformats.org/officeDocument/2006/relationships/hyperlink" Target="https://eur-lex.europa.eu/legal-content/RO/AUTO/?uri=celex:32009L0029" TargetMode="External"/><Relationship Id="rId266" Type="http://schemas.openxmlformats.org/officeDocument/2006/relationships/hyperlink" Target="https://eur-lex.europa.eu/legal-content/RO/AUTO/?uri=celex:32018L0410" TargetMode="External"/><Relationship Id="rId287" Type="http://schemas.openxmlformats.org/officeDocument/2006/relationships/hyperlink" Target="https://eur-lex.europa.eu/legal-content/RO/AUTO/?uri=celex:32023L0959" TargetMode="External"/><Relationship Id="rId30" Type="http://schemas.openxmlformats.org/officeDocument/2006/relationships/hyperlink" Target="https://eur-lex.europa.eu/legal-content/RO/AUTO/?uri=celex:32008L0101" TargetMode="External"/><Relationship Id="rId105" Type="http://schemas.openxmlformats.org/officeDocument/2006/relationships/hyperlink" Target="https://eur-lex.europa.eu/legal-content/RO/AUTO/?uri=celex:32023L0959" TargetMode="External"/><Relationship Id="rId126" Type="http://schemas.openxmlformats.org/officeDocument/2006/relationships/hyperlink" Target="https://eur-lex.europa.eu/legal-content/RO/TXT/?uri=CELEX:02003L0087-20230605" TargetMode="External"/><Relationship Id="rId147" Type="http://schemas.openxmlformats.org/officeDocument/2006/relationships/hyperlink" Target="https://eur-lex.europa.eu/legal-content/RO/AUTO/?uri=celex:32023L0959" TargetMode="External"/><Relationship Id="rId168" Type="http://schemas.openxmlformats.org/officeDocument/2006/relationships/hyperlink" Target="https://eur-lex.europa.eu/legal-content/RO/AUTO/?uri=celex:32023L0959" TargetMode="External"/><Relationship Id="rId312" Type="http://schemas.openxmlformats.org/officeDocument/2006/relationships/hyperlink" Target="https://eur-lex.europa.eu/legal-content/RO/AUTO/?uri=celex:32003L0087" TargetMode="External"/><Relationship Id="rId333" Type="http://schemas.openxmlformats.org/officeDocument/2006/relationships/hyperlink" Target="https://eur-lex.europa.eu/legal-content/RO/AUTO/?uri=celex:32018L0410" TargetMode="External"/><Relationship Id="rId354" Type="http://schemas.openxmlformats.org/officeDocument/2006/relationships/hyperlink" Target="https://eur-lex.europa.eu/legal-content/RO/AUTO/?uri=celex:32023L0959" TargetMode="External"/><Relationship Id="rId51" Type="http://schemas.openxmlformats.org/officeDocument/2006/relationships/hyperlink" Target="https://eur-lex.europa.eu/legal-content/RO/TXT/?uri=CELEX:02003L0087-20230605" TargetMode="External"/><Relationship Id="rId72" Type="http://schemas.openxmlformats.org/officeDocument/2006/relationships/hyperlink" Target="https://eur-lex.europa.eu/legal-content/RO/AUTO/?uri=celex:32003L0087R%2806%29" TargetMode="External"/><Relationship Id="rId93" Type="http://schemas.openxmlformats.org/officeDocument/2006/relationships/hyperlink" Target="https://eur-lex.europa.eu/legal-content/RO/AUTO/?uri=celex:32018L0410" TargetMode="External"/><Relationship Id="rId189" Type="http://schemas.openxmlformats.org/officeDocument/2006/relationships/hyperlink" Target="https://eur-lex.europa.eu/legal-content/RO/AUTO/?uri=celex:32023L0958" TargetMode="External"/><Relationship Id="rId375" Type="http://schemas.openxmlformats.org/officeDocument/2006/relationships/hyperlink" Target="https://eur-lex.europa.eu/legal-content/RO/AUTO/?uri=celex:32009L0029" TargetMode="External"/><Relationship Id="rId396" Type="http://schemas.openxmlformats.org/officeDocument/2006/relationships/hyperlink" Target="https://eur-lex.europa.eu/legal-content/RO/AUTO/?uri=celex:32023L0959" TargetMode="External"/><Relationship Id="rId3" Type="http://schemas.openxmlformats.org/officeDocument/2006/relationships/styles" Target="styles.xml"/><Relationship Id="rId214" Type="http://schemas.openxmlformats.org/officeDocument/2006/relationships/hyperlink" Target="https://eur-lex.europa.eu/legal-content/RO/AUTO/?uri=celex:32009L0029" TargetMode="External"/><Relationship Id="rId235" Type="http://schemas.openxmlformats.org/officeDocument/2006/relationships/hyperlink" Target="https://eur-lex.europa.eu/legal-content/RO/AUTO/?uri=celex:32008L0101" TargetMode="External"/><Relationship Id="rId256" Type="http://schemas.openxmlformats.org/officeDocument/2006/relationships/hyperlink" Target="https://eur-lex.europa.eu/legal-content/RO/AUTO/?uri=celex:32008L0101" TargetMode="External"/><Relationship Id="rId277" Type="http://schemas.openxmlformats.org/officeDocument/2006/relationships/hyperlink" Target="https://eur-lex.europa.eu/legal-content/RO/AUTO/?uri=celex:32018L0410" TargetMode="External"/><Relationship Id="rId298" Type="http://schemas.openxmlformats.org/officeDocument/2006/relationships/hyperlink" Target="https://eur-lex.europa.eu/legal-content/RO/AUTO/?uri=celex:32018L0410" TargetMode="External"/><Relationship Id="rId400" Type="http://schemas.openxmlformats.org/officeDocument/2006/relationships/hyperlink" Target="https://eur-lex.europa.eu/legal-content/RO/AUTO/?uri=celex:32023L0959" TargetMode="External"/><Relationship Id="rId116" Type="http://schemas.openxmlformats.org/officeDocument/2006/relationships/hyperlink" Target="https://eur-lex.europa.eu/legal-content/RO/AUTO/?uri=celex:32023L0959" TargetMode="External"/><Relationship Id="rId137" Type="http://schemas.openxmlformats.org/officeDocument/2006/relationships/hyperlink" Target="https://eur-lex.europa.eu/legal-content/RO/AUTO/?uri=celex:32023L0959" TargetMode="External"/><Relationship Id="rId158" Type="http://schemas.openxmlformats.org/officeDocument/2006/relationships/hyperlink" Target="https://eur-lex.europa.eu/legal-content/RO/AUTO/?uri=celex:32018L0410" TargetMode="External"/><Relationship Id="rId302" Type="http://schemas.openxmlformats.org/officeDocument/2006/relationships/hyperlink" Target="https://eur-lex.europa.eu/legal-content/RO/AUTO/?uri=celex:32003L0087R%2806%29" TargetMode="External"/><Relationship Id="rId323" Type="http://schemas.openxmlformats.org/officeDocument/2006/relationships/hyperlink" Target="https://eur-lex.europa.eu/legal-content/RO/AUTO/?uri=celex:32018L0410" TargetMode="External"/><Relationship Id="rId344" Type="http://schemas.openxmlformats.org/officeDocument/2006/relationships/hyperlink" Target="https://eur-lex.europa.eu/legal-content/RO/AUTO/?uri=celex:32023L0958" TargetMode="External"/><Relationship Id="rId20" Type="http://schemas.openxmlformats.org/officeDocument/2006/relationships/hyperlink" Target="https://eur-lex.europa.eu/legal-content/RO/AUTO/?uri=celex:32008L0101" TargetMode="External"/><Relationship Id="rId41" Type="http://schemas.openxmlformats.org/officeDocument/2006/relationships/hyperlink" Target="https://eur-lex.europa.eu/legal-content/RO/AUTO/?uri=celex:32023L0959" TargetMode="External"/><Relationship Id="rId62" Type="http://schemas.openxmlformats.org/officeDocument/2006/relationships/hyperlink" Target="https://eur-lex.europa.eu/legal-content/RO/AUTO/?uri=celex:32023L0959" TargetMode="External"/><Relationship Id="rId83" Type="http://schemas.openxmlformats.org/officeDocument/2006/relationships/hyperlink" Target="https://eur-lex.europa.eu/legal-content/RO/AUTO/?uri=celex:32009L0029" TargetMode="External"/><Relationship Id="rId179" Type="http://schemas.openxmlformats.org/officeDocument/2006/relationships/hyperlink" Target="https://eur-lex.europa.eu/legal-content/RO/AUTO/?uri=celex:32023L0959" TargetMode="External"/><Relationship Id="rId365" Type="http://schemas.openxmlformats.org/officeDocument/2006/relationships/hyperlink" Target="https://eur-lex.europa.eu/legal-content/RO/AUTO/?uri=celex:32009L0029" TargetMode="External"/><Relationship Id="rId386" Type="http://schemas.openxmlformats.org/officeDocument/2006/relationships/hyperlink" Target="https://eur-lex.europa.eu/legal-content/RO/AUTO/?uri=celex:32023L0959" TargetMode="External"/><Relationship Id="rId190" Type="http://schemas.openxmlformats.org/officeDocument/2006/relationships/hyperlink" Target="https://eur-lex.europa.eu/legal-content/RO/AUTO/?uri=celex:32009L0029R%2804%29" TargetMode="External"/><Relationship Id="rId204" Type="http://schemas.openxmlformats.org/officeDocument/2006/relationships/hyperlink" Target="https://eur-lex.europa.eu/legal-content/RO/AUTO/?uri=celex:32003L0087R%2806%29" TargetMode="External"/><Relationship Id="rId225" Type="http://schemas.openxmlformats.org/officeDocument/2006/relationships/hyperlink" Target="https://eur-lex.europa.eu/legal-content/RO/AUTO/?uri=celex:32023L0959" TargetMode="External"/><Relationship Id="rId246" Type="http://schemas.openxmlformats.org/officeDocument/2006/relationships/hyperlink" Target="https://eur-lex.europa.eu/legal-content/RO/AUTO/?uri=celex:32008L0101" TargetMode="External"/><Relationship Id="rId267" Type="http://schemas.openxmlformats.org/officeDocument/2006/relationships/hyperlink" Target="https://eur-lex.europa.eu/legal-content/RO/AUTO/?uri=celex:32009L0029" TargetMode="External"/><Relationship Id="rId288" Type="http://schemas.openxmlformats.org/officeDocument/2006/relationships/hyperlink" Target="https://eur-lex.europa.eu/legal-content/RO/AUTO/?uri=celex:32009L0029" TargetMode="External"/><Relationship Id="rId106" Type="http://schemas.openxmlformats.org/officeDocument/2006/relationships/hyperlink" Target="https://eur-lex.europa.eu/legal-content/RO/TXT/?uri=CELEX:02003L0087-20230605" TargetMode="External"/><Relationship Id="rId127" Type="http://schemas.openxmlformats.org/officeDocument/2006/relationships/hyperlink" Target="https://eur-lex.europa.eu/legal-content/RO/AUTO/?uri=celex:32023L0959" TargetMode="External"/><Relationship Id="rId313" Type="http://schemas.openxmlformats.org/officeDocument/2006/relationships/hyperlink" Target="https://eur-lex.europa.eu/legal-content/RO/AUTO/?uri=celex:32003L0087R%2806%29" TargetMode="External"/><Relationship Id="rId10" Type="http://schemas.openxmlformats.org/officeDocument/2006/relationships/hyperlink" Target="https://eur-lex.europa.eu/legal-content/RO/AUTO/?uri=celex:32018L0410" TargetMode="External"/><Relationship Id="rId31" Type="http://schemas.openxmlformats.org/officeDocument/2006/relationships/hyperlink" Target="https://eur-lex.europa.eu/legal-content/RO/AUTO/?uri=celex:32018L0410" TargetMode="External"/><Relationship Id="rId52" Type="http://schemas.openxmlformats.org/officeDocument/2006/relationships/hyperlink" Target="https://eur-lex.europa.eu/legal-content/RO/AUTO/?uri=celex:32008L0101R%2804%29" TargetMode="External"/><Relationship Id="rId73" Type="http://schemas.openxmlformats.org/officeDocument/2006/relationships/hyperlink" Target="https://eur-lex.europa.eu/legal-content/RO/AUTO/?uri=celex:32009L0029" TargetMode="External"/><Relationship Id="rId94" Type="http://schemas.openxmlformats.org/officeDocument/2006/relationships/hyperlink" Target="https://eur-lex.europa.eu/legal-content/RO/AUTO/?uri=celex:32018L0410" TargetMode="External"/><Relationship Id="rId148" Type="http://schemas.openxmlformats.org/officeDocument/2006/relationships/hyperlink" Target="https://eur-lex.europa.eu/legal-content/RO/AUTO/?uri=celex:32009L0029R%2804%29" TargetMode="External"/><Relationship Id="rId169" Type="http://schemas.openxmlformats.org/officeDocument/2006/relationships/hyperlink" Target="https://eur-lex.europa.eu/legal-content/RO/AUTO/?uri=celex:32018L0410" TargetMode="External"/><Relationship Id="rId334" Type="http://schemas.openxmlformats.org/officeDocument/2006/relationships/hyperlink" Target="https://eur-lex.europa.eu/legal-content/RO/AUTO/?uri=celex:32018L0410" TargetMode="External"/><Relationship Id="rId355" Type="http://schemas.openxmlformats.org/officeDocument/2006/relationships/hyperlink" Target="https://eur-lex.europa.eu/legal-content/RO/AUTO/?uri=celex:32009L0029" TargetMode="External"/><Relationship Id="rId376" Type="http://schemas.openxmlformats.org/officeDocument/2006/relationships/hyperlink" Target="https://eur-lex.europa.eu/legal-content/RO/AUTO/?uri=celex:32018L0410" TargetMode="External"/><Relationship Id="rId397" Type="http://schemas.openxmlformats.org/officeDocument/2006/relationships/hyperlink" Target="https://eur-lex.europa.eu/legal-content/RO/AUTO/?uri=celex:32023L0958" TargetMode="External"/><Relationship Id="rId4" Type="http://schemas.openxmlformats.org/officeDocument/2006/relationships/settings" Target="settings.xml"/><Relationship Id="rId180" Type="http://schemas.openxmlformats.org/officeDocument/2006/relationships/hyperlink" Target="https://eur-lex.europa.eu/legal-content/RO/AUTO/?uri=celex:32009L0029" TargetMode="External"/><Relationship Id="rId215" Type="http://schemas.openxmlformats.org/officeDocument/2006/relationships/hyperlink" Target="https://eur-lex.europa.eu/legal-content/RO/TXT/?uri=CELEX:02003L0087-20230605" TargetMode="External"/><Relationship Id="rId236" Type="http://schemas.openxmlformats.org/officeDocument/2006/relationships/hyperlink" Target="https://eur-lex.europa.eu/legal-content/RO/AUTO/?uri=celex:32009L0029" TargetMode="External"/><Relationship Id="rId257" Type="http://schemas.openxmlformats.org/officeDocument/2006/relationships/hyperlink" Target="https://eur-lex.europa.eu/legal-content/RO/AUTO/?uri=celex:32023L0958" TargetMode="External"/><Relationship Id="rId278" Type="http://schemas.openxmlformats.org/officeDocument/2006/relationships/hyperlink" Target="https://eur-lex.europa.eu/legal-content/RO/AUTO/?uri=celex:32004L0101" TargetMode="External"/><Relationship Id="rId401" Type="http://schemas.openxmlformats.org/officeDocument/2006/relationships/hyperlink" Target="https://eur-lex.europa.eu/legal-content/RO/AUTO/?uri=celex:32003L0087" TargetMode="External"/><Relationship Id="rId303" Type="http://schemas.openxmlformats.org/officeDocument/2006/relationships/hyperlink" Target="https://eur-lex.europa.eu/legal-content/RO/AUTO/?uri=celex:32018L0410" TargetMode="External"/><Relationship Id="rId42" Type="http://schemas.openxmlformats.org/officeDocument/2006/relationships/hyperlink" Target="https://eur-lex.europa.eu/legal-content/RO/AUTO/?uri=celex:32008L0101" TargetMode="External"/><Relationship Id="rId84" Type="http://schemas.openxmlformats.org/officeDocument/2006/relationships/hyperlink" Target="https://eur-lex.europa.eu/legal-content/RO/AUTO/?uri=celex:32018L0410" TargetMode="External"/><Relationship Id="rId138" Type="http://schemas.openxmlformats.org/officeDocument/2006/relationships/hyperlink" Target="https://eur-lex.europa.eu/legal-content/RO/AUTO/?uri=celex:32023L0959" TargetMode="External"/><Relationship Id="rId345" Type="http://schemas.openxmlformats.org/officeDocument/2006/relationships/hyperlink" Target="https://eur-lex.europa.eu/legal-content/RO/AUTO/?uri=celex:32023L0959" TargetMode="External"/><Relationship Id="rId387" Type="http://schemas.openxmlformats.org/officeDocument/2006/relationships/hyperlink" Target="https://eur-lex.europa.eu/legal-content/RO/AUTO/?uri=celex:32003L0087" TargetMode="External"/><Relationship Id="rId191" Type="http://schemas.openxmlformats.org/officeDocument/2006/relationships/hyperlink" Target="https://eur-lex.europa.eu/legal-content/RO/AUTO/?uri=celex:32018L0410" TargetMode="External"/><Relationship Id="rId205" Type="http://schemas.openxmlformats.org/officeDocument/2006/relationships/hyperlink" Target="https://eur-lex.europa.eu/legal-content/RO/AUTO/?uri=celex:32018L0410" TargetMode="External"/><Relationship Id="rId247" Type="http://schemas.openxmlformats.org/officeDocument/2006/relationships/hyperlink" Target="https://eur-lex.europa.eu/legal-content/RO/AUTO/?uri=celex:32018L0410" TargetMode="External"/><Relationship Id="rId107" Type="http://schemas.openxmlformats.org/officeDocument/2006/relationships/hyperlink" Target="https://eur-lex.europa.eu/legal-content/RO/AUTO/?uri=celex:32009L0029" TargetMode="External"/><Relationship Id="rId289" Type="http://schemas.openxmlformats.org/officeDocument/2006/relationships/hyperlink" Target="https://eur-lex.europa.eu/legal-content/RO/AUTO/?uri=celex:32018L0410" TargetMode="External"/><Relationship Id="rId11" Type="http://schemas.openxmlformats.org/officeDocument/2006/relationships/hyperlink" Target="https://eur-lex.europa.eu/legal-content/RO/AUTO/?uri=celex:32023L0959" TargetMode="External"/><Relationship Id="rId53" Type="http://schemas.openxmlformats.org/officeDocument/2006/relationships/hyperlink" Target="https://eur-lex.europa.eu/legal-content/RO/AUTO/?uri=celex:32023L0958" TargetMode="External"/><Relationship Id="rId149" Type="http://schemas.openxmlformats.org/officeDocument/2006/relationships/hyperlink" Target="https://eur-lex.europa.eu/legal-content/RO/AUTO/?uri=celex:32018L0410" TargetMode="External"/><Relationship Id="rId314" Type="http://schemas.openxmlformats.org/officeDocument/2006/relationships/hyperlink" Target="https://eur-lex.europa.eu/legal-content/RO/TXT/?uri=CELEX:02003L0087-20230605" TargetMode="External"/><Relationship Id="rId356" Type="http://schemas.openxmlformats.org/officeDocument/2006/relationships/hyperlink" Target="https://eur-lex.europa.eu/legal-content/RO/AUTO/?uri=celex:32023L0959" TargetMode="External"/><Relationship Id="rId398" Type="http://schemas.openxmlformats.org/officeDocument/2006/relationships/hyperlink" Target="https://eur-lex.europa.eu/legal-content/RO/AUTO/?uri=celex:32023L0958" TargetMode="External"/><Relationship Id="rId95" Type="http://schemas.openxmlformats.org/officeDocument/2006/relationships/hyperlink" Target="https://eur-lex.europa.eu/legal-content/RO/AUTO/?uri=celex:32009L0029" TargetMode="External"/><Relationship Id="rId160" Type="http://schemas.openxmlformats.org/officeDocument/2006/relationships/hyperlink" Target="https://eur-lex.europa.eu/legal-content/RO/AUTO/?uri=celex:32018L0410" TargetMode="External"/><Relationship Id="rId216" Type="http://schemas.openxmlformats.org/officeDocument/2006/relationships/hyperlink" Target="https://eur-lex.europa.eu/legal-content/RO/AUTO/?uri=celex:32023L0959" TargetMode="External"/><Relationship Id="rId258" Type="http://schemas.openxmlformats.org/officeDocument/2006/relationships/hyperlink" Target="https://eur-lex.europa.eu/legal-content/RO/AUTO/?uri=celex:32008L0101" TargetMode="External"/><Relationship Id="rId22" Type="http://schemas.openxmlformats.org/officeDocument/2006/relationships/hyperlink" Target="https://eur-lex.europa.eu/legal-content/RO/AUTO/?uri=celex:32021R1119" TargetMode="External"/><Relationship Id="rId64" Type="http://schemas.openxmlformats.org/officeDocument/2006/relationships/hyperlink" Target="https://eur-lex.europa.eu/legal-content/RO/AUTO/?uri=celex:32003L0087" TargetMode="External"/><Relationship Id="rId118" Type="http://schemas.openxmlformats.org/officeDocument/2006/relationships/hyperlink" Target="https://eur-lex.europa.eu/legal-content/RO/AUTO/?uri=celex:32023L0959" TargetMode="External"/><Relationship Id="rId325" Type="http://schemas.openxmlformats.org/officeDocument/2006/relationships/hyperlink" Target="https://eur-lex.europa.eu/legal-content/RO/AUTO/?uri=celex:32018L0410" TargetMode="External"/><Relationship Id="rId367" Type="http://schemas.openxmlformats.org/officeDocument/2006/relationships/hyperlink" Target="https://eur-lex.europa.eu/legal-content/RO/AUTO/?uri=celex:32009L0029" TargetMode="External"/><Relationship Id="rId171" Type="http://schemas.openxmlformats.org/officeDocument/2006/relationships/hyperlink" Target="https://eur-lex.europa.eu/legal-content/RO/TXT/?uri=CELEX:02003L0087-20230605" TargetMode="External"/><Relationship Id="rId227" Type="http://schemas.openxmlformats.org/officeDocument/2006/relationships/hyperlink" Target="https://eur-lex.europa.eu/legal-content/RO/AUTO/?uri=celex:32018L0410" TargetMode="External"/><Relationship Id="rId269" Type="http://schemas.openxmlformats.org/officeDocument/2006/relationships/hyperlink" Target="https://eur-lex.europa.eu/legal-content/RO/AUTO/?uri=celex:32003L0087" TargetMode="External"/><Relationship Id="rId33" Type="http://schemas.openxmlformats.org/officeDocument/2006/relationships/hyperlink" Target="https://eur-lex.europa.eu/legal-content/RO/AUTO/?uri=celex:32023L0959" TargetMode="External"/><Relationship Id="rId129" Type="http://schemas.openxmlformats.org/officeDocument/2006/relationships/hyperlink" Target="https://eur-lex.europa.eu/legal-content/RO/AUTO/?uri=celex:32018L0410" TargetMode="External"/><Relationship Id="rId280" Type="http://schemas.openxmlformats.org/officeDocument/2006/relationships/hyperlink" Target="https://eur-lex.europa.eu/legal-content/RO/AUTO/?uri=celex:32018L0410" TargetMode="External"/><Relationship Id="rId336" Type="http://schemas.openxmlformats.org/officeDocument/2006/relationships/hyperlink" Target="https://eur-lex.europa.eu/legal-content/RO/TXT/?uri=CELEX:02003L0087-20230605" TargetMode="External"/><Relationship Id="rId75" Type="http://schemas.openxmlformats.org/officeDocument/2006/relationships/hyperlink" Target="https://eur-lex.europa.eu/legal-content/RO/AUTO/?uri=celex:32023L0959" TargetMode="External"/><Relationship Id="rId140" Type="http://schemas.openxmlformats.org/officeDocument/2006/relationships/hyperlink" Target="https://eur-lex.europa.eu/legal-content/RO/AUTO/?uri=celex:32023L0959" TargetMode="External"/><Relationship Id="rId182" Type="http://schemas.openxmlformats.org/officeDocument/2006/relationships/hyperlink" Target="https://eur-lex.europa.eu/legal-content/RO/AUTO/?uri=celex:32009L0029R%2804%29" TargetMode="External"/><Relationship Id="rId378" Type="http://schemas.openxmlformats.org/officeDocument/2006/relationships/hyperlink" Target="https://eur-lex.europa.eu/legal-content/RO/AUTO/?uri=celex:12012J%2FACT" TargetMode="External"/><Relationship Id="rId403" Type="http://schemas.openxmlformats.org/officeDocument/2006/relationships/hyperlink" Target="https://eur-lex.europa.eu/legal-content/RO/AUTO/?uri=celex:32003L0087" TargetMode="External"/><Relationship Id="rId6" Type="http://schemas.openxmlformats.org/officeDocument/2006/relationships/footnotes" Target="footnotes.xml"/><Relationship Id="rId238" Type="http://schemas.openxmlformats.org/officeDocument/2006/relationships/hyperlink" Target="https://eur-lex.europa.eu/legal-content/RO/AUTO/?uri=celex:32018L0410" TargetMode="External"/><Relationship Id="rId291" Type="http://schemas.openxmlformats.org/officeDocument/2006/relationships/hyperlink" Target="https://eur-lex.europa.eu/legal-content/RO/AUTO/?uri=celex:32009L0029" TargetMode="External"/><Relationship Id="rId305" Type="http://schemas.openxmlformats.org/officeDocument/2006/relationships/hyperlink" Target="https://eur-lex.europa.eu/legal-content/RO/AUTO/?uri=celex:32018L0410" TargetMode="External"/><Relationship Id="rId347" Type="http://schemas.openxmlformats.org/officeDocument/2006/relationships/hyperlink" Target="https://eur-lex.europa.eu/legal-content/RO/TXT/?uri=CELEX:02003L0087-20230605" TargetMode="External"/><Relationship Id="rId44" Type="http://schemas.openxmlformats.org/officeDocument/2006/relationships/hyperlink" Target="https://eur-lex.europa.eu/legal-content/RO/AUTO/?uri=celex:32008L0101R%2804%29" TargetMode="External"/><Relationship Id="rId86" Type="http://schemas.openxmlformats.org/officeDocument/2006/relationships/hyperlink" Target="https://eur-lex.europa.eu/legal-content/RO/AUTO/?uri=celex:32023L0959" TargetMode="External"/><Relationship Id="rId151" Type="http://schemas.openxmlformats.org/officeDocument/2006/relationships/hyperlink" Target="https://eur-lex.europa.eu/legal-content/RO/TXT/?uri=CELEX:02003L0087-20230605" TargetMode="External"/><Relationship Id="rId389" Type="http://schemas.openxmlformats.org/officeDocument/2006/relationships/hyperlink" Target="https://eur-lex.europa.eu/legal-content/RO/AUTO/?uri=celex:32003L0087" TargetMode="External"/><Relationship Id="rId193" Type="http://schemas.openxmlformats.org/officeDocument/2006/relationships/hyperlink" Target="https://eur-lex.europa.eu/legal-content/RO/AUTO/?uri=celex:32018L0410" TargetMode="External"/><Relationship Id="rId207" Type="http://schemas.openxmlformats.org/officeDocument/2006/relationships/hyperlink" Target="https://eur-lex.europa.eu/legal-content/RO/AUTO/?uri=celex:32009L0029" TargetMode="External"/><Relationship Id="rId249" Type="http://schemas.openxmlformats.org/officeDocument/2006/relationships/hyperlink" Target="https://eur-lex.europa.eu/legal-content/RO/AUTO/?uri=celex:32018L0410" TargetMode="External"/><Relationship Id="rId13" Type="http://schemas.openxmlformats.org/officeDocument/2006/relationships/hyperlink" Target="https://eur-lex.europa.eu/legal-content/RO/TXT/?uri=CELEX:02003L0087-20230605" TargetMode="External"/><Relationship Id="rId109" Type="http://schemas.openxmlformats.org/officeDocument/2006/relationships/hyperlink" Target="https://eur-lex.europa.eu/legal-content/RO/AUTO/?uri=celex:32018L0410" TargetMode="External"/><Relationship Id="rId260" Type="http://schemas.openxmlformats.org/officeDocument/2006/relationships/hyperlink" Target="https://eur-lex.europa.eu/legal-content/RO/AUTO/?uri=celex:32018L0410" TargetMode="External"/><Relationship Id="rId316" Type="http://schemas.openxmlformats.org/officeDocument/2006/relationships/hyperlink" Target="https://eur-lex.europa.eu/legal-content/RO/AUTO/?uri=celex:32018L0410" TargetMode="External"/><Relationship Id="rId55" Type="http://schemas.openxmlformats.org/officeDocument/2006/relationships/hyperlink" Target="https://eur-lex.europa.eu/legal-content/RO/AUTO/?uri=celex:32023L0958" TargetMode="External"/><Relationship Id="rId97" Type="http://schemas.openxmlformats.org/officeDocument/2006/relationships/hyperlink" Target="https://eur-lex.europa.eu/legal-content/RO/AUTO/?uri=celex:32018L0410" TargetMode="External"/><Relationship Id="rId120" Type="http://schemas.openxmlformats.org/officeDocument/2006/relationships/hyperlink" Target="https://eur-lex.europa.eu/legal-content/RO/TXT/?uri=CELEX:02003L0087-20230605" TargetMode="External"/><Relationship Id="rId358" Type="http://schemas.openxmlformats.org/officeDocument/2006/relationships/hyperlink" Target="https://eur-lex.europa.eu/legal-content/RO/AUTO/?uri=celex:32023L0959" TargetMode="External"/><Relationship Id="rId162" Type="http://schemas.openxmlformats.org/officeDocument/2006/relationships/hyperlink" Target="https://eur-lex.europa.eu/legal-content/RO/AUTO/?uri=celex:32023L0959" TargetMode="External"/><Relationship Id="rId218" Type="http://schemas.openxmlformats.org/officeDocument/2006/relationships/hyperlink" Target="https://eur-lex.europa.eu/legal-content/RO/AUTO/?uri=celex:32009L0029" TargetMode="External"/><Relationship Id="rId271" Type="http://schemas.openxmlformats.org/officeDocument/2006/relationships/hyperlink" Target="https://eur-lex.europa.eu/legal-content/RO/AUTO/?uri=celex:32003L0087" TargetMode="External"/><Relationship Id="rId24" Type="http://schemas.openxmlformats.org/officeDocument/2006/relationships/hyperlink" Target="https://eur-lex.europa.eu/legal-content/RO/AUTO/?uri=celex:32009L0029" TargetMode="External"/><Relationship Id="rId66" Type="http://schemas.openxmlformats.org/officeDocument/2006/relationships/hyperlink" Target="https://eur-lex.europa.eu/legal-content/RO/AUTO/?uri=celex:32003L0087" TargetMode="External"/><Relationship Id="rId131" Type="http://schemas.openxmlformats.org/officeDocument/2006/relationships/hyperlink" Target="https://eur-lex.europa.eu/legal-content/RO/AUTO/?uri=celex:32023L0959" TargetMode="External"/><Relationship Id="rId327" Type="http://schemas.openxmlformats.org/officeDocument/2006/relationships/hyperlink" Target="https://eur-lex.europa.eu/legal-content/RO/AUTO/?uri=celex:32018L0410" TargetMode="External"/><Relationship Id="rId369" Type="http://schemas.openxmlformats.org/officeDocument/2006/relationships/hyperlink" Target="https://eur-lex.europa.eu/legal-content/RO/AUTO/?uri=celex:32009L0029" TargetMode="External"/><Relationship Id="rId173" Type="http://schemas.openxmlformats.org/officeDocument/2006/relationships/hyperlink" Target="https://eur-lex.europa.eu/legal-content/RO/AUTO/?uri=celex:32023L0959" TargetMode="External"/><Relationship Id="rId229" Type="http://schemas.openxmlformats.org/officeDocument/2006/relationships/hyperlink" Target="https://eur-lex.europa.eu/legal-content/RO/AUTO/?uri=celex:32018L0410" TargetMode="External"/><Relationship Id="rId380" Type="http://schemas.openxmlformats.org/officeDocument/2006/relationships/hyperlink" Target="https://eur-lex.europa.eu/legal-content/RO/AUTO/?uri=celex:32009L0029" TargetMode="External"/><Relationship Id="rId240" Type="http://schemas.openxmlformats.org/officeDocument/2006/relationships/hyperlink" Target="https://eur-lex.europa.eu/legal-content/RO/AUTO/?uri=celex:32003L0087" TargetMode="External"/><Relationship Id="rId35" Type="http://schemas.openxmlformats.org/officeDocument/2006/relationships/hyperlink" Target="https://eur-lex.europa.eu/legal-content/RO/AUTO/?uri=celex:32023L0959" TargetMode="External"/><Relationship Id="rId77" Type="http://schemas.openxmlformats.org/officeDocument/2006/relationships/hyperlink" Target="https://eur-lex.europa.eu/legal-content/RO/AUTO/?uri=celex:32023L0959" TargetMode="External"/><Relationship Id="rId100" Type="http://schemas.openxmlformats.org/officeDocument/2006/relationships/hyperlink" Target="https://eur-lex.europa.eu/legal-content/RO/AUTO/?uri=celex:32009L0029" TargetMode="External"/><Relationship Id="rId282" Type="http://schemas.openxmlformats.org/officeDocument/2006/relationships/hyperlink" Target="https://eur-lex.europa.eu/legal-content/RO/TXT/?uri=CELEX:02003L0087-20230605" TargetMode="External"/><Relationship Id="rId338" Type="http://schemas.openxmlformats.org/officeDocument/2006/relationships/hyperlink" Target="https://eur-lex.europa.eu/legal-content/RO/AUTO/?uri=celex:32023L0959" TargetMode="External"/><Relationship Id="rId8" Type="http://schemas.openxmlformats.org/officeDocument/2006/relationships/hyperlink" Target="https://eur-lex.europa.eu/legal-content/RO/AUTO/?uri=celex:32021R1119" TargetMode="External"/><Relationship Id="rId142" Type="http://schemas.openxmlformats.org/officeDocument/2006/relationships/hyperlink" Target="https://eur-lex.europa.eu/legal-content/RO/AUTO/?uri=celex:32018L0410" TargetMode="External"/><Relationship Id="rId184" Type="http://schemas.openxmlformats.org/officeDocument/2006/relationships/hyperlink" Target="https://eur-lex.europa.eu/legal-content/RO/AUTO/?uri=celex:32008L0101" TargetMode="External"/><Relationship Id="rId391" Type="http://schemas.openxmlformats.org/officeDocument/2006/relationships/hyperlink" Target="https://eur-lex.europa.eu/legal-content/RO/AUTO/?uri=celex:32023L0959" TargetMode="External"/><Relationship Id="rId405" Type="http://schemas.openxmlformats.org/officeDocument/2006/relationships/hyperlink" Target="https://eur-lex.europa.eu/legal-content/RO/AUTO/?uri=celex:32023L0959" TargetMode="External"/><Relationship Id="rId251" Type="http://schemas.openxmlformats.org/officeDocument/2006/relationships/hyperlink" Target="https://eur-lex.europa.eu/legal-content/RO/AUTO/?uri=celex:32003L0087" TargetMode="External"/><Relationship Id="rId46" Type="http://schemas.openxmlformats.org/officeDocument/2006/relationships/hyperlink" Target="https://eur-lex.europa.eu/legal-content/RO/AUTO/?uri=celex:32008L0101R%2804%29" TargetMode="External"/><Relationship Id="rId293" Type="http://schemas.openxmlformats.org/officeDocument/2006/relationships/hyperlink" Target="https://eur-lex.europa.eu/legal-content/RO/AUTO/?uri=celex:32018L0410" TargetMode="External"/><Relationship Id="rId307" Type="http://schemas.openxmlformats.org/officeDocument/2006/relationships/hyperlink" Target="https://eur-lex.europa.eu/legal-content/RO/AUTO/?uri=celex:32018L0410" TargetMode="External"/><Relationship Id="rId349" Type="http://schemas.openxmlformats.org/officeDocument/2006/relationships/hyperlink" Target="https://eur-lex.europa.eu/legal-content/RO/AUTO/?uri=celex:32008L0101" TargetMode="External"/><Relationship Id="rId88" Type="http://schemas.openxmlformats.org/officeDocument/2006/relationships/hyperlink" Target="https://eur-lex.europa.eu/legal-content/RO/AUTO/?uri=celex:32015D1814" TargetMode="External"/><Relationship Id="rId111" Type="http://schemas.openxmlformats.org/officeDocument/2006/relationships/hyperlink" Target="https://eur-lex.europa.eu/legal-content/RO/TXT/?uri=CELEX:02003L0087-20230605" TargetMode="External"/><Relationship Id="rId153" Type="http://schemas.openxmlformats.org/officeDocument/2006/relationships/hyperlink" Target="https://eur-lex.europa.eu/legal-content/RO/AUTO/?uri=celex:32023L0959" TargetMode="External"/><Relationship Id="rId195" Type="http://schemas.openxmlformats.org/officeDocument/2006/relationships/hyperlink" Target="https://eur-lex.europa.eu/legal-content/RO/AUTO/?uri=celex:32018L0410" TargetMode="External"/><Relationship Id="rId209" Type="http://schemas.openxmlformats.org/officeDocument/2006/relationships/hyperlink" Target="https://eur-lex.europa.eu/legal-content/RO/AUTO/?uri=celex:32023L0959" TargetMode="External"/><Relationship Id="rId360" Type="http://schemas.openxmlformats.org/officeDocument/2006/relationships/hyperlink" Target="https://eur-lex.europa.eu/legal-content/RO/AUTO/?uri=celex:32023L0959" TargetMode="External"/><Relationship Id="rId220" Type="http://schemas.openxmlformats.org/officeDocument/2006/relationships/hyperlink" Target="https://eur-lex.europa.eu/legal-content/RO/AUTO/?uri=celex:32023D0136" TargetMode="External"/><Relationship Id="rId15" Type="http://schemas.openxmlformats.org/officeDocument/2006/relationships/hyperlink" Target="https://eur-lex.europa.eu/legal-content/RO/AUTO/?uri=celex:32018L0410" TargetMode="External"/><Relationship Id="rId57" Type="http://schemas.openxmlformats.org/officeDocument/2006/relationships/hyperlink" Target="https://eur-lex.europa.eu/legal-content/RO/AUTO/?uri=celex:32008L0101R%2804%29" TargetMode="External"/><Relationship Id="rId262" Type="http://schemas.openxmlformats.org/officeDocument/2006/relationships/hyperlink" Target="https://eur-lex.europa.eu/legal-content/RO/AUTO/?uri=celex:32003L0087" TargetMode="External"/><Relationship Id="rId318" Type="http://schemas.openxmlformats.org/officeDocument/2006/relationships/hyperlink" Target="https://eur-lex.europa.eu/legal-content/RO/AUTO/?uri=celex:32018L0410" TargetMode="External"/><Relationship Id="rId99" Type="http://schemas.openxmlformats.org/officeDocument/2006/relationships/hyperlink" Target="https://eur-lex.europa.eu/legal-content/RO/AUTO/?uri=celex:32023L0959" TargetMode="External"/><Relationship Id="rId122" Type="http://schemas.openxmlformats.org/officeDocument/2006/relationships/hyperlink" Target="https://eur-lex.europa.eu/legal-content/RO/AUTO/?uri=celex:32009L0029R%2804%29" TargetMode="External"/><Relationship Id="rId164" Type="http://schemas.openxmlformats.org/officeDocument/2006/relationships/hyperlink" Target="https://eur-lex.europa.eu/legal-content/RO/TXT/?uri=CELEX:02003L0087-20230605" TargetMode="External"/><Relationship Id="rId371" Type="http://schemas.openxmlformats.org/officeDocument/2006/relationships/hyperlink" Target="https://eur-lex.europa.eu/legal-content/RO/AUTO/?uri=celex:32021R1416" TargetMode="External"/><Relationship Id="rId26" Type="http://schemas.openxmlformats.org/officeDocument/2006/relationships/hyperlink" Target="https://eur-lex.europa.eu/legal-content/RO/AUTO/?uri=celex:32003L0087" TargetMode="External"/><Relationship Id="rId231" Type="http://schemas.openxmlformats.org/officeDocument/2006/relationships/hyperlink" Target="https://eur-lex.europa.eu/legal-content/RO/AUTO/?uri=celex:32018L0410" TargetMode="External"/><Relationship Id="rId273" Type="http://schemas.openxmlformats.org/officeDocument/2006/relationships/hyperlink" Target="https://eur-lex.europa.eu/legal-content/RO/AUTO/?uri=celex:32009L0029R%2804%29" TargetMode="External"/><Relationship Id="rId329" Type="http://schemas.openxmlformats.org/officeDocument/2006/relationships/hyperlink" Target="https://eur-lex.europa.eu/legal-content/RO/AUTO/?uri=celex:32018L0410" TargetMode="External"/><Relationship Id="rId68" Type="http://schemas.openxmlformats.org/officeDocument/2006/relationships/hyperlink" Target="https://eur-lex.europa.eu/legal-content/RO/AUTO/?uri=celex:32018L0410" TargetMode="External"/><Relationship Id="rId133" Type="http://schemas.openxmlformats.org/officeDocument/2006/relationships/hyperlink" Target="https://eur-lex.europa.eu/legal-content/RO/AUTO/?uri=celex:32018L0410" TargetMode="External"/><Relationship Id="rId175" Type="http://schemas.openxmlformats.org/officeDocument/2006/relationships/hyperlink" Target="https://eur-lex.europa.eu/legal-content/RO/AUTO/?uri=celex:32023R0435" TargetMode="External"/><Relationship Id="rId340" Type="http://schemas.openxmlformats.org/officeDocument/2006/relationships/hyperlink" Target="https://eur-lex.europa.eu/legal-content/RO/AUTO/?uri=celex:32023L0959" TargetMode="External"/><Relationship Id="rId200" Type="http://schemas.openxmlformats.org/officeDocument/2006/relationships/hyperlink" Target="https://eur-lex.europa.eu/legal-content/RO/AUTO/?uri=celex:32018L0410" TargetMode="External"/><Relationship Id="rId382" Type="http://schemas.openxmlformats.org/officeDocument/2006/relationships/hyperlink" Target="https://eur-lex.europa.eu/legal-content/RO/AUTO/?uri=celex:32009L0029" TargetMode="External"/><Relationship Id="rId242" Type="http://schemas.openxmlformats.org/officeDocument/2006/relationships/hyperlink" Target="https://eur-lex.europa.eu/legal-content/RO/AUTO/?uri=celex:32023L0959" TargetMode="External"/><Relationship Id="rId284" Type="http://schemas.openxmlformats.org/officeDocument/2006/relationships/hyperlink" Target="https://eur-lex.europa.eu/legal-content/RO/AUTO/?uri=celex:32023L0959" TargetMode="External"/><Relationship Id="rId37" Type="http://schemas.openxmlformats.org/officeDocument/2006/relationships/hyperlink" Target="https://eur-lex.europa.eu/legal-content/RO/TXT/?uri=CELEX:02003L0087-20230605" TargetMode="External"/><Relationship Id="rId79" Type="http://schemas.openxmlformats.org/officeDocument/2006/relationships/hyperlink" Target="https://eur-lex.europa.eu/legal-content/RO/AUTO/?uri=celex:12012J%2FACT" TargetMode="External"/><Relationship Id="rId102" Type="http://schemas.openxmlformats.org/officeDocument/2006/relationships/hyperlink" Target="https://eur-lex.europa.eu/legal-content/RO/AUTO/?uri=celex:32009L0029" TargetMode="External"/><Relationship Id="rId144" Type="http://schemas.openxmlformats.org/officeDocument/2006/relationships/hyperlink" Target="https://eur-lex.europa.eu/legal-content/RO/AUTO/?uri=celex:32023L0959" TargetMode="External"/><Relationship Id="rId90" Type="http://schemas.openxmlformats.org/officeDocument/2006/relationships/hyperlink" Target="https://eur-lex.europa.eu/legal-content/RO/AUTO/?uri=celex:32009L0029" TargetMode="External"/><Relationship Id="rId186" Type="http://schemas.openxmlformats.org/officeDocument/2006/relationships/hyperlink" Target="https://eur-lex.europa.eu/legal-content/RO/AUTO/?uri=celex:32009L0029R%2804%29" TargetMode="External"/><Relationship Id="rId351" Type="http://schemas.openxmlformats.org/officeDocument/2006/relationships/hyperlink" Target="https://eur-lex.europa.eu/legal-content/RO/AUTO/?uri=celex:32009L0029" TargetMode="External"/><Relationship Id="rId393" Type="http://schemas.openxmlformats.org/officeDocument/2006/relationships/hyperlink" Target="https://eur-lex.europa.eu/legal-content/RO/AUTO/?uri=celex:32018L0410" TargetMode="External"/><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157</Pages>
  <Words>64558</Words>
  <Characters>367985</Characters>
  <Application>Microsoft Office Word</Application>
  <DocSecurity>0</DocSecurity>
  <Lines>3066</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natalizamfir1@icloud.com</cp:lastModifiedBy>
  <cp:revision>44</cp:revision>
  <cp:lastPrinted>2020-08-12T13:02:00Z</cp:lastPrinted>
  <dcterms:created xsi:type="dcterms:W3CDTF">2024-01-22T06:04:00Z</dcterms:created>
  <dcterms:modified xsi:type="dcterms:W3CDTF">2024-01-22T16:29:00Z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7F32AF283E274014A254849D771B7194_13</vt:lpwstr>
  </property>
</Properties>
</file>