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82E93" w14:textId="77777777" w:rsidR="00820D1E" w:rsidRPr="00CC01AC" w:rsidRDefault="00820D1E" w:rsidP="00820D1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>Proiect</w:t>
      </w:r>
    </w:p>
    <w:p w14:paraId="05CF8DF4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0685873C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GUVERNUL REPUBLICII MOLDOVA</w:t>
      </w:r>
    </w:p>
    <w:p w14:paraId="4BA1C81C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1886C6AC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HOTĂRÎRE  nr.______</w:t>
      </w:r>
    </w:p>
    <w:p w14:paraId="05806890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din _________ 2013</w:t>
      </w:r>
    </w:p>
    <w:p w14:paraId="2A381902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Chişinău</w:t>
      </w:r>
    </w:p>
    <w:p w14:paraId="45241A26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150BF508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06C3E37D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Cu privire la aprobarea proiectului de lege pentru modificarea şi completarea Legii nr.1134-XIII din 2 aprilie 1997 privind societățile pe acțiuni</w:t>
      </w:r>
    </w:p>
    <w:p w14:paraId="23FAF300" w14:textId="77777777" w:rsidR="00820D1E" w:rsidRPr="00CC01AC" w:rsidRDefault="00820D1E" w:rsidP="00820D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491081" w14:textId="77777777" w:rsidR="00820D1E" w:rsidRPr="00CC01AC" w:rsidRDefault="00820D1E" w:rsidP="00820D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70B05F9" w14:textId="77777777" w:rsidR="00820D1E" w:rsidRPr="00CC01AC" w:rsidRDefault="00820D1E" w:rsidP="00820D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Guvernul</w:t>
      </w:r>
    </w:p>
    <w:p w14:paraId="6CF0E484" w14:textId="77777777" w:rsidR="00820D1E" w:rsidRPr="00CC01AC" w:rsidRDefault="00820D1E" w:rsidP="00820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>HOTĂRĂŞTE:</w:t>
      </w:r>
    </w:p>
    <w:p w14:paraId="707B8B98" w14:textId="77777777" w:rsidR="00820D1E" w:rsidRPr="00CC01AC" w:rsidRDefault="00820D1E" w:rsidP="00820D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EA738EF" w14:textId="77777777" w:rsidR="00820D1E" w:rsidRPr="00CC01AC" w:rsidRDefault="00820D1E" w:rsidP="00820D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Se aprobă şi se prezintă Parlamentului spre examinare proiectul de lege pentru modificarea şi completarea Legii nr.1134-XIII din 2 aprilie 1997 privind societățile pe acțiuni.</w:t>
      </w:r>
    </w:p>
    <w:p w14:paraId="00400644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333CFF39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4618011B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21EF310B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  <w:t>PRIM-MINISTRU</w:t>
      </w: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b/>
          <w:sz w:val="26"/>
          <w:szCs w:val="26"/>
          <w:lang w:val="ro-RO"/>
        </w:rPr>
        <w:tab/>
        <w:t>Iurie LEANCĂ</w:t>
      </w:r>
    </w:p>
    <w:p w14:paraId="70392A5E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5C1B3AE7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Contrasemnează:</w:t>
      </w:r>
    </w:p>
    <w:p w14:paraId="1BAF9958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3A9A8E40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Viceprim-ministru,</w:t>
      </w:r>
    </w:p>
    <w:p w14:paraId="564FF973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ministrul economiei</w:t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Valeriu Lazăr</w:t>
      </w:r>
    </w:p>
    <w:p w14:paraId="5521A690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06FFD0D6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Ministrul justiţiei</w:t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 xml:space="preserve">Oleg Efrim </w:t>
      </w:r>
    </w:p>
    <w:p w14:paraId="1EFB5226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2A8B3C52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>Ministrul finanţelor</w:t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C01AC">
        <w:rPr>
          <w:rFonts w:ascii="Times New Roman" w:hAnsi="Times New Roman" w:cs="Times New Roman"/>
          <w:sz w:val="26"/>
          <w:szCs w:val="26"/>
          <w:lang w:val="ro-RO"/>
        </w:rPr>
        <w:tab/>
        <w:t xml:space="preserve">Anatol </w:t>
      </w:r>
      <w:proofErr w:type="spellStart"/>
      <w:r w:rsidRPr="00CC01AC">
        <w:rPr>
          <w:rFonts w:ascii="Times New Roman" w:hAnsi="Times New Roman" w:cs="Times New Roman"/>
          <w:sz w:val="26"/>
          <w:szCs w:val="26"/>
          <w:lang w:val="ro-RO"/>
        </w:rPr>
        <w:t>Arapu</w:t>
      </w:r>
      <w:proofErr w:type="spellEnd"/>
    </w:p>
    <w:p w14:paraId="3A95D853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2198CD62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7E0BEB49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2A4E42B0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17611476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025AA107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69E038D2" w14:textId="77777777" w:rsidR="00820D1E" w:rsidRPr="00CC01AC" w:rsidRDefault="00820D1E" w:rsidP="00820D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145545EC" w14:textId="044513EE" w:rsidR="00820D1E" w:rsidRPr="00CC01AC" w:rsidRDefault="00820D1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br w:type="page"/>
      </w:r>
    </w:p>
    <w:p w14:paraId="6C751A3C" w14:textId="4DE29F0C" w:rsidR="00CA5D88" w:rsidRPr="00CC01AC" w:rsidRDefault="00885EAF" w:rsidP="00E34462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p</w:t>
      </w:r>
      <w:r w:rsidR="00CA5D8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roiect</w:t>
      </w:r>
    </w:p>
    <w:p w14:paraId="637C606A" w14:textId="77777777" w:rsidR="00CA5D88" w:rsidRPr="00CC01AC" w:rsidRDefault="00CA5D88" w:rsidP="00CA5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58B9CA6" w14:textId="77777777" w:rsidR="00CA5D88" w:rsidRPr="00CC01AC" w:rsidRDefault="00CA5D88" w:rsidP="00C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 E G E </w:t>
      </w:r>
    </w:p>
    <w:p w14:paraId="4805537D" w14:textId="77777777" w:rsidR="00CA5D88" w:rsidRPr="00CC01AC" w:rsidRDefault="00CA5D88" w:rsidP="00C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pentru modificarea şi completarea Legii nr.1134-XIII </w:t>
      </w:r>
    </w:p>
    <w:p w14:paraId="0F60AB52" w14:textId="77777777" w:rsidR="00CA5D88" w:rsidRPr="00CC01AC" w:rsidRDefault="00CA5D88" w:rsidP="00C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din 2 aprilie 1997 privind societă</w:t>
      </w:r>
      <w:r w:rsidR="00690929"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ile pe ac</w:t>
      </w:r>
      <w:r w:rsidR="00690929"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iuni </w:t>
      </w:r>
    </w:p>
    <w:p w14:paraId="0A991227" w14:textId="77777777" w:rsidR="00CA5D88" w:rsidRPr="00CC01AC" w:rsidRDefault="00CA5D88" w:rsidP="00CA5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  </w:t>
      </w:r>
    </w:p>
    <w:p w14:paraId="2D5A1FD6" w14:textId="77777777" w:rsidR="00CA5D88" w:rsidRPr="00CC01AC" w:rsidRDefault="00CA5D88" w:rsidP="00CA5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Parlamentul adoptă prezenta lege organică. </w:t>
      </w:r>
    </w:p>
    <w:p w14:paraId="75841B06" w14:textId="77777777" w:rsidR="00CA5D88" w:rsidRPr="00CC01AC" w:rsidRDefault="00CA5D88" w:rsidP="00CA5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0D9D8D" w14:textId="5A18C911" w:rsidR="00CA5D88" w:rsidRPr="00CC01AC" w:rsidRDefault="00CA5D88" w:rsidP="00CA5D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Art.I</w:t>
      </w:r>
      <w:proofErr w:type="spellEnd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Legea nr.1134-XIII din 2 aprilie 1997 privind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ile pe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iuni </w:t>
      </w:r>
      <w:r w:rsidR="0027161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(republicată în Monitorul Oficial al Republicii Moldova, 2008, nr.1–4, art.1)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cu modificările ulterioare, se modifică şi s</w:t>
      </w:r>
      <w:r w:rsidR="006D65D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 completează după cum urmează:</w:t>
      </w:r>
    </w:p>
    <w:p w14:paraId="2253BB71" w14:textId="77777777" w:rsidR="00271617" w:rsidRPr="00CC01AC" w:rsidRDefault="00271617" w:rsidP="00271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7C0906" w14:textId="1D212D14" w:rsidR="00A35E66" w:rsidRPr="00CC01AC" w:rsidRDefault="00DF7FE3" w:rsidP="00CA5D8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textul legii</w:t>
      </w:r>
      <w:r w:rsidR="00A35E6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4ACE2CF" w14:textId="1AE0F6C6" w:rsidR="00A35E66" w:rsidRPr="00CC01AC" w:rsidRDefault="004F5CBA" w:rsidP="00A35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„Legea cu privire la pia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valorilor mobiliare” și „legisla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cu privire la valorile mobiliare”</w:t>
      </w:r>
      <w:r w:rsidR="004F45B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la orice formă gramaticală,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</w:t>
      </w:r>
      <w:r w:rsidR="0031037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„Legea </w:t>
      </w:r>
      <w:r w:rsidR="00E51D9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nr.171 din 11 iulie 2012 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pia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de capital” și „legisla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privind pia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 de capital” la </w:t>
      </w:r>
      <w:r w:rsidR="004F45B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forma gramaticală corespunzătoare</w:t>
      </w:r>
      <w:r w:rsidR="00A35E6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6A2AA775" w14:textId="23E95AA8" w:rsidR="00DF7FE3" w:rsidRPr="00CC01AC" w:rsidRDefault="00A35E66" w:rsidP="00A35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deținător nominal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”,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deținător nominal al valorilor mobiliare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”,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deţinătorul nominal de acţiuni”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deţinătorul nominal de acţiuni”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</w:t>
      </w:r>
      <w:r w:rsidR="0031037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cuvintele „persoana care efectuează custodia valorilor mobiliare” </w:t>
      </w:r>
      <w:r w:rsidR="002E527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forma gramaticală corespunzătoare</w:t>
      </w:r>
      <w:r w:rsidR="00DF7FE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01671FEE" w14:textId="77777777" w:rsidR="00DF7FE3" w:rsidRPr="00CC01AC" w:rsidRDefault="00DF7FE3" w:rsidP="00DF7FE3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409A91" w14:textId="77777777" w:rsidR="004821CC" w:rsidRPr="00CC01AC" w:rsidRDefault="004821CC" w:rsidP="00CA5D8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CA5D8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rticolul </w:t>
      </w:r>
      <w:r w:rsidR="00293A7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57693DB" w14:textId="77777777" w:rsidR="00CA5D88" w:rsidRPr="00CC01AC" w:rsidRDefault="00CA5D88" w:rsidP="00482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</w:t>
      </w:r>
      <w:r w:rsidR="00293A7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</w:t>
      </w:r>
      <w:r w:rsidR="00293A7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293A7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3112FC38" w14:textId="4B050CFC" w:rsidR="00293A7E" w:rsidRPr="00CC01AC" w:rsidRDefault="00293A7E" w:rsidP="0029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„(2) Societatea este </w:t>
      </w:r>
      <w:r w:rsidR="004821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considerată societate 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</w:t>
      </w:r>
      <w:r w:rsidR="004821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dacă valorile mobiliare emise de aceasta 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corespund uneia dintre următoarele condi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1453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4062CB02" w14:textId="77777777" w:rsidR="00B56154" w:rsidRPr="00CC01AC" w:rsidRDefault="00B56154" w:rsidP="0029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au constituit obiectul unei oferte publice;</w:t>
      </w:r>
    </w:p>
    <w:p w14:paraId="2912DD53" w14:textId="77777777" w:rsidR="00293A7E" w:rsidRPr="00CC01AC" w:rsidRDefault="00B56154" w:rsidP="0029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</w:t>
      </w:r>
      <w:r w:rsidR="00293A7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proofErr w:type="spellStart"/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admise spre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 pe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reglementată şi/sau în cadrul unui sistem multilateral de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="001453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53C18B93" w14:textId="77777777" w:rsidR="00FB7564" w:rsidRPr="00CC01AC" w:rsidRDefault="00FB7564" w:rsidP="0029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31458C0" w14:textId="43E09026" w:rsidR="004821CC" w:rsidRPr="00CC01AC" w:rsidRDefault="00220E5D" w:rsidP="00293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4821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FB756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alineatele</w:t>
      </w:r>
      <w:r w:rsidR="004821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(3)</w:t>
      </w:r>
      <w:r w:rsidR="003D50C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</w:t>
      </w:r>
      <w:r w:rsidR="00B5615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</w:t>
      </w:r>
      <w:r w:rsidR="003D50C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</w:t>
      </w:r>
      <w:r w:rsidR="00B5615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4821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 următorul cuprins:</w:t>
      </w:r>
    </w:p>
    <w:p w14:paraId="7E9D8920" w14:textId="77777777" w:rsidR="00B56154" w:rsidRPr="00CC01AC" w:rsidRDefault="00B56154" w:rsidP="00B56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„(3) Societatea nu se consideră societate 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dacă:</w:t>
      </w:r>
    </w:p>
    <w:p w14:paraId="7CA2867C" w14:textId="77777777" w:rsidR="00B56154" w:rsidRPr="00CC01AC" w:rsidRDefault="00B56154" w:rsidP="00B56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a) valorile mobiliare emise de societate nu corespund condi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stabilite la alin.(2);</w:t>
      </w:r>
    </w:p>
    <w:p w14:paraId="020E389D" w14:textId="77777777" w:rsidR="00B56154" w:rsidRPr="00CC01AC" w:rsidRDefault="00FB7564" w:rsidP="00B56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valorile mobiliare emise de societate, deşi anterior au constituit obiectul unei oferte publice, în prezent nu întrunesc caracteristicile unei oferte publice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în modul stabilit de alin.(4)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69E925C" w14:textId="77777777" w:rsidR="00B56154" w:rsidRPr="00CC01AC" w:rsidRDefault="00FB7564" w:rsidP="00B561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valorile mobiliare emise de societate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deşi anterior au fost admise spre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 pe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reglementată sau în cadrul </w:t>
      </w:r>
      <w:r w:rsidR="00945E9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unui sistem multilateral de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45E9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prezent </w:t>
      </w:r>
      <w:proofErr w:type="spellStart"/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retrase de pe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5615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r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eglementată sau din cadrul sistemului multilateral de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ionare.</w:t>
      </w:r>
    </w:p>
    <w:p w14:paraId="3C61BD86" w14:textId="239272C0" w:rsidR="003D50C8" w:rsidRPr="00CC01AC" w:rsidRDefault="004821CC" w:rsidP="00FB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</w:t>
      </w:r>
      <w:r w:rsidR="00FB756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164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cazul în care valorile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A164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au constituit obiectul unei oferte publice, s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ocietatea nu se consideră societate 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</w:t>
      </w:r>
      <w:r w:rsidR="00A164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</w:t>
      </w:r>
      <w:r w:rsidR="003D50C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dacă</w:t>
      </w:r>
      <w:r w:rsidR="00A164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la un an de la expirarea perioadei ofertei publice</w:t>
      </w:r>
      <w:r w:rsidR="003D50C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A164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9B6A9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societatea întrunește condițiile care exclud necesitatea efectuării oferte</w:t>
      </w:r>
      <w:r w:rsidR="00B425C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9B6A9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publice și publicării unui prospect conform art.13 alin.(2) din Legea </w:t>
      </w:r>
      <w:r w:rsidR="009B6A9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nr.171 din 11 iulie 2012 privind piața de capital</w:t>
      </w:r>
      <w:r w:rsidR="00FB756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CB09008" w14:textId="382BE00E" w:rsidR="003D50C8" w:rsidRPr="00CC01AC" w:rsidRDefault="003D50C8" w:rsidP="003D5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(5) În cazul stabilit de alin.(</w:t>
      </w:r>
      <w:r w:rsidR="00C350E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), societatea </w:t>
      </w:r>
      <w:r w:rsidR="00945E9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nu </w:t>
      </w:r>
      <w:r w:rsidR="002E664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este considerată </w:t>
      </w:r>
      <w:r w:rsidR="00945E9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societate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45E9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 la data în care va îndeplini integral următoarele activită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45E9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6C9227EB" w14:textId="4CC4FD28" w:rsidR="003D50C8" w:rsidRPr="00CC01AC" w:rsidRDefault="003D50C8" w:rsidP="003D5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="00945E9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</w:t>
      </w:r>
      <w:r w:rsidR="00DF33B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comunica </w:t>
      </w:r>
      <w:r w:rsidR="00AD643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Comisi</w:t>
      </w:r>
      <w:r w:rsidR="00DF33B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="00AD643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D643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ional</w:t>
      </w:r>
      <w:r w:rsidR="00DF33B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D643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Pie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D643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ei Financiare </w:t>
      </w:r>
      <w:r w:rsidR="00712E8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ă societatea nu este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 și motivele din care societatea nu este considerată societate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</w:t>
      </w:r>
      <w:r w:rsidR="009F099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E12583C" w14:textId="42E7C79A" w:rsidR="004821CC" w:rsidRPr="00CC01AC" w:rsidRDefault="003D50C8" w:rsidP="00712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945E9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</w:t>
      </w:r>
      <w:r w:rsidR="00DF33B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face public un aviz, conform art.3 alin.(11)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indicînd</w:t>
      </w:r>
      <w:proofErr w:type="spellEnd"/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C1CA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ă societatea nu este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 și motivele din care societatea nu este considerată societate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30691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821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60CFC4FF" w14:textId="77777777" w:rsidR="00FB7564" w:rsidRPr="00CC01AC" w:rsidRDefault="00FB7564" w:rsidP="00FB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C54441" w14:textId="0EA0B423" w:rsidR="00E3642F" w:rsidRPr="00CC01AC" w:rsidRDefault="00E3642F" w:rsidP="00E3642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Articolul 3 alineatul (10) </w:t>
      </w:r>
      <w:r w:rsidR="003B16B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se exclude.</w:t>
      </w:r>
    </w:p>
    <w:p w14:paraId="33D82E62" w14:textId="77777777" w:rsidR="00FB7564" w:rsidRPr="00CC01AC" w:rsidRDefault="00FB7564" w:rsidP="00E36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FF293A" w14:textId="764AE951" w:rsidR="007A69DA" w:rsidRPr="00CC01AC" w:rsidRDefault="00690929" w:rsidP="00D975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A</w:t>
      </w:r>
      <w:r w:rsidR="007A69D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rticolul 11</w:t>
      </w:r>
      <w:r w:rsidR="00D975E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completează cu alineatele </w:t>
      </w:r>
      <w:r w:rsidR="00D975E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(6)</w:t>
      </w:r>
      <w:r w:rsidR="00C6760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</w:t>
      </w:r>
      <w:r w:rsidR="008C431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(10</w:t>
      </w:r>
      <w:r w:rsidR="007A69D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35DD97C6" w14:textId="77777777" w:rsidR="007A69DA" w:rsidRPr="00CC01AC" w:rsidRDefault="007A69DA" w:rsidP="007A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„(6) Valorile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se înregistrează în mod obligatoriu în Registrul de stat al valorilor mobiliare, 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 de Comisia Na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ională</w:t>
      </w:r>
      <w:r w:rsidR="00E062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Pie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E062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 Financiare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11144A98" w14:textId="1534FCCA" w:rsidR="00E61D9A" w:rsidRPr="00CC01AC" w:rsidRDefault="007A69DA" w:rsidP="007A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(7) Valorile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</w:t>
      </w:r>
      <w:r w:rsidR="00BC1CA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deținute </w:t>
      </w:r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public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înregistrează în Registrul de stat al valorilor mobiliare</w:t>
      </w:r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pînă</w:t>
      </w:r>
      <w:proofErr w:type="spellEnd"/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la înregistrarea prospectului oferte</w:t>
      </w:r>
      <w:r w:rsidR="0085123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publice sau concomitent cu înregistrarea acestuia de către Comisia Na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ională</w:t>
      </w:r>
      <w:r w:rsidR="00E062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Pie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E062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 Financiare</w:t>
      </w:r>
      <w:r w:rsidR="00E61D9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527E5D85" w14:textId="462B53F1" w:rsidR="00E876F3" w:rsidRPr="00CC01AC" w:rsidRDefault="00E61D9A" w:rsidP="007A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(8) Valorile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</w:t>
      </w:r>
      <w:r w:rsidR="00A8610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care nu este 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E207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înregistrează în Registrul de stat al valorilor mobiliare </w:t>
      </w:r>
      <w:r w:rsidR="003557B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cu aplicarea </w:t>
      </w:r>
      <w:r w:rsidR="008C431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unor proceduri simplificate, conform declarației pe proprie răspundere a societății</w:t>
      </w:r>
      <w:r w:rsidR="007A69D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54D688EA" w14:textId="77777777" w:rsidR="008C4318" w:rsidRPr="00CC01AC" w:rsidRDefault="00E876F3" w:rsidP="007A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(9) Valorile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considerate plasate în cazul în care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achitate în întregime de primii achizitori (subscriitori), înregistrate în Registrul de stat al valorilor mobiliare şi în registrul </w:t>
      </w:r>
      <w:r w:rsidR="00E431A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E431A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inătorilor de valori mobiliare ale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ii.</w:t>
      </w:r>
    </w:p>
    <w:p w14:paraId="454F4B6E" w14:textId="27756C9D" w:rsidR="007A69DA" w:rsidRPr="00CC01AC" w:rsidRDefault="008C4318" w:rsidP="007A6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(10) Comisia Națională a Pieței Financiare elaborează și publică pe pagina web proprie documente model care urmează</w:t>
      </w:r>
      <w:r w:rsidR="004376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să fie prezentate de societate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vederea înregistrării de stat </w:t>
      </w:r>
      <w:r w:rsidR="004376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emisiunilor de valori mobiliare și a modificărilor datelor în Registrul de stat al valorilor mobiliare.</w:t>
      </w:r>
      <w:r w:rsidR="007A69D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0E0D8D4F" w14:textId="77777777" w:rsidR="007A69DA" w:rsidRPr="00CC01AC" w:rsidRDefault="007A69DA" w:rsidP="007A69D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F2DB14" w14:textId="77777777" w:rsidR="0006558C" w:rsidRPr="00CC01AC" w:rsidRDefault="0006558C" w:rsidP="00BE4C2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</w:t>
      </w:r>
      <w:r w:rsidR="002B06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rticolul 13 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(8)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introduce o nouă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următorul cuprins:</w:t>
      </w:r>
    </w:p>
    <w:p w14:paraId="57CB5DC3" w14:textId="77777777" w:rsidR="00913586" w:rsidRPr="00CC01AC" w:rsidRDefault="002B06D7" w:rsidP="0006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„Decizia privind înstrăinarea 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acțiunilor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tezaur </w:t>
      </w:r>
      <w:r w:rsidR="0091358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aprobă de:</w:t>
      </w:r>
    </w:p>
    <w:p w14:paraId="2FD8F754" w14:textId="3D645F57" w:rsidR="00913586" w:rsidRPr="00CC01AC" w:rsidRDefault="00913586" w:rsidP="00913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a) consiliul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– în cazul în care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iunile înstrăinat</w:t>
      </w:r>
      <w:r w:rsidR="00BC1CA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reprezintă 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mai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pu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 de 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10% din capitalul social al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; 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sau</w:t>
      </w:r>
    </w:p>
    <w:p w14:paraId="3195242A" w14:textId="4EAA720F" w:rsidR="007B4E5D" w:rsidRPr="00CC01AC" w:rsidRDefault="00913586" w:rsidP="00913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a) adunarea generală a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ionarilor – în cazul în care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iunile înstrăinat</w:t>
      </w:r>
      <w:r w:rsidR="00BC1CA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reprezintă 10% și mai mult din capitalul social al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ii.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41992025" w14:textId="77777777" w:rsidR="002B06D7" w:rsidRPr="00CC01AC" w:rsidRDefault="002B06D7" w:rsidP="002B0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A7310D2" w14:textId="77777777" w:rsidR="007F71D7" w:rsidRPr="00CC01AC" w:rsidRDefault="00825EEC" w:rsidP="00E3642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16:</w:t>
      </w:r>
    </w:p>
    <w:p w14:paraId="1B5918EA" w14:textId="77777777" w:rsidR="007F71D7" w:rsidRPr="00CC01AC" w:rsidRDefault="00825EEC" w:rsidP="007F7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(6) va avea următorul cuprins:</w:t>
      </w:r>
    </w:p>
    <w:p w14:paraId="441D8D91" w14:textId="77777777" w:rsidR="00257369" w:rsidRPr="00CC01AC" w:rsidRDefault="00825EEC" w:rsidP="007F71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25736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(6)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Societatea este în drept să plaseze 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 cu acoperire sau 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iuni fără acoperire, în modul stabilit de Legea 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nr.171 din 11 iulie 2012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capital. Decizia de emitere a 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iunilor </w:t>
      </w:r>
      <w:r w:rsidR="0025736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acoperire va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 date despre</w:t>
      </w:r>
      <w:r w:rsidR="0025736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3CCCD53C" w14:textId="77777777" w:rsidR="00257369" w:rsidRPr="00CC01AC" w:rsidRDefault="00257369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a) </w:t>
      </w:r>
      <w:r w:rsidR="00D7066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lista și valoarea bunurilor </w:t>
      </w:r>
      <w:r w:rsidR="00825E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gajat</w:t>
      </w:r>
      <w:r w:rsidR="00D7066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7F27A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– în cazul gajării patrimoniului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ii;</w:t>
      </w:r>
    </w:p>
    <w:p w14:paraId="191D254F" w14:textId="77777777" w:rsidR="00D70668" w:rsidRPr="00CC01AC" w:rsidRDefault="00D70668" w:rsidP="00D70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 denumirea creditorului gajist, lista și valoarea bunurilor gajate, și clauzele referitoare la rela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pecuniare dintre societate și creditorul gajist – în cazul gajării patrimoniului unei persoane ter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e;</w:t>
      </w:r>
    </w:p>
    <w:p w14:paraId="0E2CF842" w14:textId="77777777" w:rsidR="00D70668" w:rsidRPr="00CC01AC" w:rsidRDefault="00D70668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r w:rsidR="0025736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825E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denumirea fidejusorului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date despre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fidejusorului fa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 de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inătorii de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 și clauzele referitoare la rela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pecuniare dintre societate și fidejusor – în cazul gajării patrimoniului unei persoane ter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e;</w:t>
      </w:r>
    </w:p>
    <w:p w14:paraId="6E3CA410" w14:textId="77777777" w:rsidR="00D70668" w:rsidRPr="00CC01AC" w:rsidRDefault="00D70668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d) denumirea garantului, date despre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garantului fa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 de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inătorii de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 și clauzele referitoare la rela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pecuniare dintre societate și garant – în cazul garan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iei bancare;</w:t>
      </w:r>
    </w:p>
    <w:p w14:paraId="276EDA79" w14:textId="77777777" w:rsidR="003F4873" w:rsidRPr="00CC01AC" w:rsidRDefault="003F4873" w:rsidP="003F4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e) denumirea asigurătorului, date despre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asigurătorului fa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 de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inătorii de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 și clauzele referitoare la rela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iile pecuniare dintre societate și asigurător – în cazul poli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ei de asigurare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 garan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.”</w:t>
      </w:r>
    </w:p>
    <w:p w14:paraId="62C013B8" w14:textId="77777777" w:rsidR="00D70668" w:rsidRPr="00CC01AC" w:rsidRDefault="00D70668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C169C8" w14:textId="77777777" w:rsidR="003F4873" w:rsidRPr="00CC01AC" w:rsidRDefault="003F4873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(9)</w:t>
      </w:r>
      <w:r w:rsidR="00B173D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exclude.</w:t>
      </w:r>
    </w:p>
    <w:p w14:paraId="00042C19" w14:textId="77777777" w:rsidR="003F4873" w:rsidRPr="00CC01AC" w:rsidRDefault="003F4873" w:rsidP="00257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4703F43" w14:textId="5732A45D" w:rsidR="00B173D2" w:rsidRPr="00CC01AC" w:rsidRDefault="00524512" w:rsidP="00B173D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18 </w:t>
      </w:r>
      <w:r w:rsidR="00B173D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</w:t>
      </w:r>
      <w:r w:rsidR="00CD0F8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</w:t>
      </w:r>
      <w:r w:rsidR="00B173D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va avea următorul cuprins:</w:t>
      </w:r>
    </w:p>
    <w:p w14:paraId="2137D6FE" w14:textId="77777777" w:rsidR="007B4E5D" w:rsidRPr="00CC01AC" w:rsidRDefault="00B173D2" w:rsidP="00B17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</w:t>
      </w:r>
      <w:r w:rsidR="00CD0F8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Înscrierea în registrul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inătorilor valorilor mobiliare ale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se efectuează la cererea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ii, achizitorului, proprietarului </w:t>
      </w:r>
      <w:r w:rsidR="007122A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valorilor mobiliare 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sau </w:t>
      </w:r>
      <w:r w:rsidR="007122A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persoanelor care efectuează custodia valorilor mobiliare, 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modul stabilit de Legea 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nr.171 din 11 iulie 2012 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D0F8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capital.”</w:t>
      </w:r>
      <w:r w:rsidR="006D65D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63F8618" w14:textId="77777777" w:rsidR="00957942" w:rsidRPr="00CC01AC" w:rsidRDefault="00957942" w:rsidP="00B17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78145C" w14:textId="77777777" w:rsidR="00651CA3" w:rsidRPr="00CC01AC" w:rsidRDefault="00651CA3" w:rsidP="00651C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25:</w:t>
      </w:r>
    </w:p>
    <w:p w14:paraId="79B0DAF3" w14:textId="79114B9A" w:rsidR="00EB6EC7" w:rsidRPr="00CC01AC" w:rsidRDefault="00EB6EC7" w:rsidP="00651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(7)</w:t>
      </w:r>
      <w:r w:rsidR="002800D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cuvîntul „</w:t>
      </w:r>
      <w:r w:rsidR="00883AE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09013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tatul” se substituie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4F5CB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cuvintele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„În calitate de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 al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ii, statul”;</w:t>
      </w:r>
    </w:p>
    <w:p w14:paraId="10CC87CD" w14:textId="77777777" w:rsidR="00651CA3" w:rsidRPr="00CC01AC" w:rsidRDefault="00651CA3" w:rsidP="00651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CD53EF" w14:textId="77777777" w:rsidR="00EA63C6" w:rsidRPr="00CC01AC" w:rsidRDefault="002314D0" w:rsidP="00EB6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(15) </w:t>
      </w:r>
      <w:r w:rsidR="00EA63C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5D19AA79" w14:textId="77777777" w:rsidR="00EA63C6" w:rsidRPr="00CC01AC" w:rsidRDefault="00EA63C6" w:rsidP="00EB6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A012C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(15) 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ionarul minoritar 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 unei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</w:t>
      </w:r>
      <w:r w:rsidR="00206DF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public este în drept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să ceară 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ionarului</w:t>
      </w:r>
      <w:r w:rsidR="00924B4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care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ine, de sine stătător sau </w:t>
      </w:r>
      <w:r w:rsidR="00641EE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împreună cu persoanele care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41EE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ionează în mod concertat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mai mult de 90% din volumul total de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 cu drept de vot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F6061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(în continuare – </w:t>
      </w:r>
      <w:r w:rsidR="009E7BF9" w:rsidRPr="00CC01A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ionarul majoritar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ca 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acesta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să-i achizi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ioneze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</w:t>
      </w:r>
      <w:r w:rsidR="009D35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modul </w:t>
      </w:r>
      <w:r w:rsidR="00C02D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și condi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iile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stabilit</w:t>
      </w:r>
      <w:r w:rsidR="00C02D0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Legea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nr.171 din 11 iulie 2012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și art.26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="00CC46D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F6061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3CADDC11" w14:textId="77777777" w:rsidR="00F60610" w:rsidRPr="00CC01AC" w:rsidRDefault="00F60610" w:rsidP="00EB6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E05888" w14:textId="60D18EEA" w:rsidR="00F60610" w:rsidRPr="00CC01AC" w:rsidRDefault="00530401" w:rsidP="00EB6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F6061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alineatele (16) și (</w:t>
      </w:r>
      <w:r w:rsidR="009E7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</w:t>
      </w:r>
      <w:r w:rsidR="001453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7</w:t>
      </w:r>
      <w:r w:rsidR="00F6061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5DB149DF" w14:textId="77777777" w:rsidR="009E7BF9" w:rsidRPr="00CC01AC" w:rsidRDefault="00F60610" w:rsidP="009E7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„(16) 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ionarul majoritar este în drept să refuze achizi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iunilor cu drept de vot ale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ionarului minoritar, conform alin.(15), în cazul în care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inute de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ionarul minoritar </w:t>
      </w:r>
      <w:proofErr w:type="spellStart"/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grevate cu 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E7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ii.</w:t>
      </w:r>
    </w:p>
    <w:p w14:paraId="756BE293" w14:textId="51D075D5" w:rsidR="00F60610" w:rsidRPr="00CC01AC" w:rsidRDefault="009E7BF9" w:rsidP="009E7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(17) </w:t>
      </w:r>
      <w:r w:rsidR="00624D9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ionarii minoritari </w:t>
      </w:r>
      <w:proofErr w:type="spellStart"/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să-i </w:t>
      </w:r>
      <w:proofErr w:type="spellStart"/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vîndă</w:t>
      </w:r>
      <w:proofErr w:type="spellEnd"/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ionarul</w:t>
      </w:r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majoritar </w:t>
      </w:r>
      <w:r w:rsidR="00692EF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al unei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16D7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92EF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C1CA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deținute </w:t>
      </w:r>
      <w:r w:rsidR="00692EF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public</w:t>
      </w:r>
      <w:r w:rsidR="00624D9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la cererea acestuia,</w:t>
      </w:r>
      <w:r w:rsidR="00692EF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iunile cu drept de vot pe care le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in, în modul și în condi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iile stabilite de Legea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nr.171 din 11 iulie 2012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de capital, dacă după derularea unei oferte de preluare, </w:t>
      </w:r>
      <w:r w:rsidR="00011CA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11CA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ionarul majoritar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ine, singur sau împreună cu persoanele care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ionează în mod concertat</w:t>
      </w:r>
      <w:r w:rsidR="00924B4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 pu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90% din </w:t>
      </w:r>
      <w:r w:rsidR="00011CA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volumul total de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011CA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 cu drept de vot</w:t>
      </w:r>
      <w:r w:rsidR="00C02D0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F6061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46E01731" w14:textId="77777777" w:rsidR="00651CA3" w:rsidRPr="00CC01AC" w:rsidRDefault="00651CA3" w:rsidP="00EB6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E67AF6" w14:textId="5F8BC395" w:rsidR="00644DA5" w:rsidRPr="00CC01AC" w:rsidRDefault="007E0329" w:rsidP="006909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Articolul </w:t>
      </w:r>
      <w:r w:rsidR="00644DA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28</w:t>
      </w:r>
      <w:r w:rsidR="00803AB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03AB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(2)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2E07DFC6" w14:textId="49FEB07F" w:rsidR="00644DA5" w:rsidRPr="00CC01AC" w:rsidRDefault="007E0329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b) în final se introduc cuvintele „ale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ilor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public”;</w:t>
      </w:r>
    </w:p>
    <w:p w14:paraId="7F206F70" w14:textId="77777777" w:rsidR="00825FB1" w:rsidRPr="00CC01AC" w:rsidRDefault="00825FB1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602AF4" w14:textId="225472A6" w:rsidR="00644DA5" w:rsidRPr="00CC01AC" w:rsidRDefault="007E0329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c) după cuvintele „</w:t>
      </w:r>
      <w:r w:rsidR="00644DA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func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de răspundere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 se introduc cuvintele „ale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ilor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public”</w:t>
      </w:r>
      <w:r w:rsidR="00825FB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765C9181" w14:textId="77777777" w:rsidR="00825FB1" w:rsidRPr="00CC01AC" w:rsidRDefault="00825FB1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A0930E" w14:textId="0068CA49" w:rsidR="00825FB1" w:rsidRPr="00CC01AC" w:rsidRDefault="00D451F4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articolul se completează cu alineatele</w:t>
      </w:r>
      <w:r w:rsidR="00825FB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(4) și (5) cu următorul cuprins:</w:t>
      </w:r>
    </w:p>
    <w:p w14:paraId="2D3680F7" w14:textId="77777777" w:rsidR="00825FB1" w:rsidRPr="00CC01AC" w:rsidRDefault="00825FB1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„(4)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ionarul este în drept să conteste </w:t>
      </w:r>
      <w:r w:rsidR="00DE537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instan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E537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 de judecată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deciziile organelor de conducere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adoptate după efectuarea înscrierilor în registrul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inătorilor valorilor mobiliare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referitoare la </w:t>
      </w:r>
      <w:r w:rsidR="007E1A4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achizi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7E1A4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ionarea sau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dobîndirea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alt mod a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iunilor </w:t>
      </w:r>
      <w:r w:rsidR="007E1A4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7E1A4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 către acest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ionar.</w:t>
      </w:r>
    </w:p>
    <w:p w14:paraId="1EFE4765" w14:textId="295EBFEB" w:rsidR="00825FB1" w:rsidRPr="00CC01AC" w:rsidRDefault="00825FB1" w:rsidP="00644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(5) </w:t>
      </w:r>
      <w:r w:rsidR="002A4A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Acționarul este obligat să repare prejudiciul </w:t>
      </w:r>
      <w:r w:rsidR="00F471A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material </w:t>
      </w:r>
      <w:r w:rsidR="002A4A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cauzat societății și/sau altor acționari ai societății în cazul în care în mod abuziv, cu rea-credință</w:t>
      </w:r>
      <w:r w:rsidR="0049421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și</w:t>
      </w:r>
      <w:r w:rsidR="002A4A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65DC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neîntemeiat</w:t>
      </w:r>
      <w:r w:rsidR="002A4A6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înaintează cereri de chemare în judecată contra societății și/sau altor acționari, sesizează Comisia Națională a Pieței Financiare, organele de drept și/sau alte autorități publice. În acest caz, repararea prejudiciului nu exclude atragerea la răspundere contravențională sau penală, în cazul în care faptele acționarului constituie contravenție sau infracțiune</w:t>
      </w:r>
      <w:r w:rsidR="00123CC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1C05A1FE" w14:textId="77777777" w:rsidR="00644DA5" w:rsidRPr="00CC01AC" w:rsidRDefault="00644DA5" w:rsidP="0064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EB6BAC" w14:textId="431C1109" w:rsidR="00CC3987" w:rsidRPr="00CC01AC" w:rsidRDefault="00E007B5" w:rsidP="00CC398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</w:t>
      </w:r>
      <w:r w:rsidR="00644DA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rticolul 29 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(1)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b)</w:t>
      </w:r>
      <w:r w:rsidR="00B751C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după cuvîntul „achizi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ionarea” se in</w:t>
      </w:r>
      <w:r w:rsidR="00B751C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troduc</w:t>
      </w:r>
      <w:r w:rsidR="00644DA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cuvintele „sau înstrăinarea”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iar 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 final se </w:t>
      </w:r>
      <w:r w:rsidR="004A320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completează cu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cuvintele „ –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ilor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public”.</w:t>
      </w:r>
    </w:p>
    <w:p w14:paraId="508E70DD" w14:textId="77777777" w:rsidR="00CC3987" w:rsidRPr="00CC01AC" w:rsidRDefault="00CC3987" w:rsidP="00CC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8C9DCA" w14:textId="77777777" w:rsidR="00D5447B" w:rsidRPr="00CC01AC" w:rsidRDefault="00CC3987" w:rsidP="006909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38</w:t>
      </w:r>
      <w:r w:rsidR="00D5447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448DF725" w14:textId="2B02A58A" w:rsidR="00CC3987" w:rsidRPr="00CC01AC" w:rsidRDefault="00620976" w:rsidP="00D5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(1)</w:t>
      </w:r>
      <w:r w:rsidR="002800D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după cuvîntul „societatea” se </w:t>
      </w:r>
      <w:r w:rsidR="0096081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introduc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cuvintele „de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CC398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public”</w:t>
      </w:r>
      <w:r w:rsidR="00D5447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154F1917" w14:textId="77777777" w:rsidR="00530114" w:rsidRPr="00CC01AC" w:rsidRDefault="00530114" w:rsidP="00D5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682483F" w14:textId="7C26E8B4" w:rsidR="00D5447B" w:rsidRPr="00CC01AC" w:rsidRDefault="005927D9" w:rsidP="00D5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D5447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alineatul (1</w:t>
      </w:r>
      <w:r w:rsidR="00D5447B"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="00D5447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1F1A57E7" w14:textId="7C51D5EF" w:rsidR="00D5447B" w:rsidRPr="00CC01AC" w:rsidRDefault="00D5447B" w:rsidP="00D5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Pentru înregistrarea de stat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iunilor plasate la înfiin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area sa, societatea care nu este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 este obligată să prezinte Comisiei Na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ionale a Pie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ei Financiare documen</w:t>
      </w:r>
      <w:r w:rsidR="009D29C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tele indicate în alin. (1) </w:t>
      </w:r>
      <w:proofErr w:type="spellStart"/>
      <w:r w:rsidR="009D29C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lit.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), c) și i).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53011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50AB098A" w14:textId="77777777" w:rsidR="00530114" w:rsidRPr="00CC01AC" w:rsidRDefault="00530114" w:rsidP="00D5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C99DE0E" w14:textId="3E5E18BF" w:rsidR="00530114" w:rsidRPr="00CC01AC" w:rsidRDefault="00530114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(4)</w:t>
      </w:r>
      <w:r w:rsidR="002800D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după cuvîntul</w:t>
      </w:r>
      <w:r w:rsidR="00AA439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„zile” se introduc cuvintele „</w:t>
      </w:r>
      <w:r w:rsidR="00B328E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lucrătoare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inute public, sau </w:t>
      </w:r>
      <w:r w:rsidR="00523FC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zile</w:t>
      </w:r>
      <w:r w:rsidR="00B328E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lucrătoare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care nu este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public,”;</w:t>
      </w:r>
    </w:p>
    <w:p w14:paraId="45E8A0A4" w14:textId="77777777" w:rsidR="00CC3987" w:rsidRPr="00CC01AC" w:rsidRDefault="00CC3987" w:rsidP="00CC3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867A074" w14:textId="4C0030D4" w:rsidR="00530114" w:rsidRPr="00CC01AC" w:rsidRDefault="00530114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="002800D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după cuvîntul „societatea” se introduc cuvintele „de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public”;</w:t>
      </w:r>
    </w:p>
    <w:p w14:paraId="0A8332B3" w14:textId="77777777" w:rsidR="00530114" w:rsidRPr="00CC01AC" w:rsidRDefault="00530114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3CA51D" w14:textId="12A6E568" w:rsidR="0006558C" w:rsidRPr="00CC01AC" w:rsidRDefault="00530114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="004B4EA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final se introduce o nouă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următorul cuprins</w:t>
      </w:r>
      <w:r w:rsidR="0006558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3F972A31" w14:textId="77777777" w:rsidR="00530114" w:rsidRPr="00CC01AC" w:rsidRDefault="00530114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cazul constatării unor inexactită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 în documentele depuse, Comisia Na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ională a Pie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ei Financiare notifică despre acest fapt societatea care nu este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inută public la momentul depunerii documentelor sau în termen de cel mult 3 zile </w:t>
      </w:r>
      <w:r w:rsidR="00B328E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lucrătoare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 la primirea lor, în cazul primirii prin intermediul expedi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poștale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”.</w:t>
      </w:r>
    </w:p>
    <w:p w14:paraId="253A7FC8" w14:textId="77777777" w:rsidR="000268AD" w:rsidRPr="00CC01AC" w:rsidRDefault="000268AD" w:rsidP="00530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44D74C" w14:textId="77777777" w:rsidR="002D42DD" w:rsidRPr="00CC01AC" w:rsidRDefault="002D42DD" w:rsidP="002D42D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39:</w:t>
      </w:r>
    </w:p>
    <w:p w14:paraId="7C046EEC" w14:textId="6843290D" w:rsidR="002D42DD" w:rsidRPr="00CC01AC" w:rsidRDefault="002D42DD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(6)</w:t>
      </w:r>
      <w:r w:rsidR="002C53C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după cuvîntul „consecutivi” se </w:t>
      </w:r>
      <w:r w:rsidR="002C53C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introduc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cuvintele „ ,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ilor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public, sau 5 ani financiari consecutivi,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ilor care nu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public,”;</w:t>
      </w:r>
    </w:p>
    <w:p w14:paraId="51205EA7" w14:textId="77777777" w:rsidR="0066379A" w:rsidRPr="00CC01AC" w:rsidRDefault="0066379A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1DBFD84" w14:textId="32EF4ADC" w:rsidR="002D42DD" w:rsidRPr="00CC01AC" w:rsidRDefault="002D42DD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(6)</w:t>
      </w:r>
      <w:r w:rsidR="004E6EB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literele c) și d)</w:t>
      </w:r>
      <w:r w:rsidR="004E6EB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exclud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4F998A6B" w14:textId="77777777" w:rsidR="002D42DD" w:rsidRPr="00CC01AC" w:rsidRDefault="002D42DD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600010" w14:textId="77777777" w:rsidR="002D42DD" w:rsidRPr="00CC01AC" w:rsidRDefault="002D42DD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(8) va avea următorul cuprins:</w:t>
      </w:r>
    </w:p>
    <w:p w14:paraId="0DEF53D0" w14:textId="4C93A240" w:rsidR="002D42DD" w:rsidRPr="00CC01AC" w:rsidRDefault="002D42DD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C43C0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(8)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Dacă, la expirarea a 5 ani financiari consecutivi, cu excep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primului an financiar, valoarea activelor nete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este negativă, orice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 al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este în drept să ceară instan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 judecătoreşti dizolvarea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ii”</w:t>
      </w:r>
    </w:p>
    <w:p w14:paraId="316EF88D" w14:textId="77777777" w:rsidR="000245D4" w:rsidRPr="00CC01AC" w:rsidRDefault="000245D4" w:rsidP="00024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9421696" w14:textId="799B3FF6" w:rsidR="0063494D" w:rsidRPr="00CC01AC" w:rsidRDefault="0063494D" w:rsidP="0063494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42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(5) prima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 se exclud cuvintele „de tezaur”, iar în final se </w:t>
      </w:r>
      <w:r w:rsidR="005927D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introduc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cuvintele „ , în termenul stabilit conform art. 38 alin. (4) și (4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)”.</w:t>
      </w:r>
    </w:p>
    <w:p w14:paraId="47693868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AA5C54D" w14:textId="77777777" w:rsidR="0063494D" w:rsidRPr="00CC01AC" w:rsidRDefault="0063494D" w:rsidP="0063494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45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(7):</w:t>
      </w:r>
    </w:p>
    <w:p w14:paraId="348ED472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b) se exclud cuvintele „ , cu toate anexele prevăzute la art.64 alin.(3)”;</w:t>
      </w:r>
    </w:p>
    <w:p w14:paraId="6678D91A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2DA36B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g) va avea următorul cuprins:</w:t>
      </w:r>
    </w:p>
    <w:p w14:paraId="02E32C12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„g) declara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pe propria răspundere a organului executiv al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precum că datele și documentele prezentate sunt veridice și autentice;”</w:t>
      </w:r>
    </w:p>
    <w:p w14:paraId="601E6D1A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4C71FE" w14:textId="77777777" w:rsidR="0063494D" w:rsidRPr="00CC01AC" w:rsidRDefault="0006558C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introduce o nouă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următorul cuprins</w:t>
      </w:r>
      <w:r w:rsidR="0063494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31BDC4D6" w14:textId="77777777" w:rsidR="0063494D" w:rsidRPr="00CC01AC" w:rsidRDefault="0063494D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inute public vor anexa la procesul-verbal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al adunării generale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 documentele prevăzute la art.64 alin.(3).”</w:t>
      </w:r>
    </w:p>
    <w:p w14:paraId="58351BFC" w14:textId="77777777" w:rsidR="001D64A1" w:rsidRPr="00CC01AC" w:rsidRDefault="001D64A1" w:rsidP="00634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7F6F03" w14:textId="77777777" w:rsidR="00156682" w:rsidRPr="00CC01AC" w:rsidRDefault="00156682" w:rsidP="001566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Articolul 49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(12):</w:t>
      </w:r>
    </w:p>
    <w:p w14:paraId="1BD27F1D" w14:textId="1218916C" w:rsidR="00156682" w:rsidRPr="00CC01AC" w:rsidRDefault="00156682" w:rsidP="00156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prima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textul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care corespunde unuia din criteriile prevăzute la art.2 alin.(2) va fi publicată în termen de 15 zile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09013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textul „de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 va fi dezvăluită în termen de 7 zile lucrătoare”;</w:t>
      </w:r>
    </w:p>
    <w:p w14:paraId="756337C6" w14:textId="77777777" w:rsidR="00156682" w:rsidRPr="00CC01AC" w:rsidRDefault="00156682" w:rsidP="00156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5FA8A1" w14:textId="56607764" w:rsidR="00156682" w:rsidRPr="00CC01AC" w:rsidRDefault="00156682" w:rsidP="00156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a doua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 </w:t>
      </w:r>
      <w:r w:rsidR="000832F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</w:t>
      </w:r>
      <w:r w:rsidR="00083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corespunde unuia din criteriile prevăzute la art.2 alin.(2)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09013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</w:t>
      </w:r>
      <w:r w:rsidR="000832F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„</w:t>
      </w:r>
      <w:r w:rsidR="000832F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este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public”.</w:t>
      </w:r>
    </w:p>
    <w:p w14:paraId="42D51283" w14:textId="77777777" w:rsidR="00156682" w:rsidRPr="00CC01AC" w:rsidRDefault="00156682" w:rsidP="00156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340655" w14:textId="276D5D6D" w:rsidR="001D64A1" w:rsidRPr="00CC01AC" w:rsidRDefault="001D64A1" w:rsidP="001D6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50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(3) litera f) 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ce depăşesc 10% din valoarea activelor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ii, conform ultimului raport financiar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09013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cuvintele „</w:t>
      </w:r>
      <w:r w:rsidR="00C038C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cazurile stabilite de art.86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EE6CB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7DE39D14" w14:textId="77777777" w:rsidR="001D64A1" w:rsidRPr="00CC01AC" w:rsidRDefault="001D64A1" w:rsidP="001D6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0DFCEF" w14:textId="76AAE776" w:rsidR="000245D4" w:rsidRPr="00CC01AC" w:rsidRDefault="000245D4" w:rsidP="006909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articolul 52 alineatul (13)</w:t>
      </w:r>
      <w:r w:rsidR="00D5597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textul „în organele de conducere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şi/sau în Comisia Na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ională a Pie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 Financiare, şi/sau în justi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textul „în:</w:t>
      </w:r>
    </w:p>
    <w:p w14:paraId="53AD202F" w14:textId="77777777" w:rsidR="000245D4" w:rsidRPr="00CC01AC" w:rsidRDefault="000245D4" w:rsidP="001D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a) organele de conducere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şi/sau în Comisia Na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ională a Pie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 Financiare, şi/sau în instan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de judecată –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ilor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public;</w:t>
      </w:r>
    </w:p>
    <w:p w14:paraId="33B8903A" w14:textId="77777777" w:rsidR="000245D4" w:rsidRPr="00CC01AC" w:rsidRDefault="000245D4" w:rsidP="001D04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 organele de conducere ale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şi/sau în instan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de judecată – în cazul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ilor </w:t>
      </w:r>
      <w:r w:rsidR="001D049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care nu </w:t>
      </w:r>
      <w:proofErr w:type="spellStart"/>
      <w:r w:rsidR="001D049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="001D049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public;</w:t>
      </w:r>
      <w:r w:rsidR="001D049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”.</w:t>
      </w:r>
    </w:p>
    <w:p w14:paraId="4A81E327" w14:textId="77777777" w:rsidR="000245D4" w:rsidRPr="00CC01AC" w:rsidRDefault="000245D4" w:rsidP="000245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1CDDD6E" w14:textId="503AFF03" w:rsidR="00E902CB" w:rsidRPr="00CC01AC" w:rsidRDefault="00934907" w:rsidP="00E902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 xml:space="preserve">Articolul </w:t>
      </w:r>
      <w:r w:rsidR="00E902C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55:</w:t>
      </w:r>
    </w:p>
    <w:p w14:paraId="652A81F9" w14:textId="77777777" w:rsidR="00B95276" w:rsidRPr="00CC01AC" w:rsidRDefault="00B95276" w:rsidP="00E9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B01FC9" w14:textId="77777777" w:rsidR="00DD7172" w:rsidRPr="00CC01AC" w:rsidRDefault="00C542BC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(1) </w:t>
      </w:r>
      <w:r w:rsidR="00DD717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3DC03830" w14:textId="207A7F71" w:rsidR="00DD7172" w:rsidRPr="00CC01AC" w:rsidRDefault="00DD7172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„(1) În cazul s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ocietăţilor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care nu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deținute public i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nformaţia despre ţinerea adunării generale a acţionarilor:</w:t>
      </w:r>
    </w:p>
    <w:p w14:paraId="12385EEF" w14:textId="77777777" w:rsidR="00DD7172" w:rsidRPr="00CC01AC" w:rsidRDefault="00DD7172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expediată fiecărui acţionar, reprezentantului lui legal sau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persoanei care efectuează custodia valorilor mobiliare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sub formă de aviz, pe adresa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poștală și/sau electronică, și/sau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numărul de fax indicate în registrul acționarilor; şi/sau</w:t>
      </w:r>
    </w:p>
    <w:p w14:paraId="179EB3F8" w14:textId="77777777" w:rsidR="00DD7172" w:rsidRPr="00CC01AC" w:rsidRDefault="00DD7172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publicată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 pagina web a societății și/sau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organul de presă indicat în statutul societăţii.”</w:t>
      </w:r>
    </w:p>
    <w:p w14:paraId="3E6AECF6" w14:textId="77777777" w:rsidR="00DD7172" w:rsidRPr="00CC01AC" w:rsidRDefault="00DD7172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11783A" w14:textId="07FDB573" w:rsidR="00DD7172" w:rsidRPr="00CC01AC" w:rsidRDefault="00934907" w:rsidP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DD717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alineatul (1</w:t>
      </w:r>
      <w:r w:rsidR="00A868D1"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="00DD717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75C025D2" w14:textId="279170A5" w:rsidR="00AC03BC" w:rsidRPr="00CC01AC" w:rsidRDefault="00DD7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„(1</w:t>
      </w:r>
      <w:r w:rsidR="00A868D1"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În cazul s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ocietăţilor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care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deținute public, i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nformaţia despre ţinerea adunării generale a acţionarilor va fi expediată fiecărui acţionar, reprezentantului lui legal sau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persoanei care efectuează custodia valorilor mobiliare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sub formă de aviz, pe adresa indicată în registrul acționarilor şi va fi publicată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pe pagina web a societății și, dacă statutul sau prospectul ofertei publice prevede astfel,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organul de presă indicat în statutul societăţii.”</w:t>
      </w:r>
    </w:p>
    <w:p w14:paraId="6777E571" w14:textId="77777777" w:rsidR="00AC03BC" w:rsidRPr="00CC01AC" w:rsidRDefault="00AC03BC" w:rsidP="002D42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AA1F80" w14:textId="77777777" w:rsidR="004311A2" w:rsidRPr="00CC01AC" w:rsidRDefault="004311A2" w:rsidP="00431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(2) </w:t>
      </w:r>
      <w:r w:rsidR="00F86FC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02877095" w14:textId="740AC5FD" w:rsidR="00F86FCA" w:rsidRPr="00CC01AC" w:rsidRDefault="00F86FCA" w:rsidP="00F86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„(2)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 despre 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inerea adunării generale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 prin coresponden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ă sau sub formă mixtă se expediază</w:t>
      </w:r>
      <w:r w:rsidR="005F3BD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fiecărui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ionar sau reprezentantului lui legal, sau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persoanei care efectuează custodia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iunilor</w:t>
      </w:r>
      <w:r w:rsidR="005F3BD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conform alin.(1)</w:t>
      </w:r>
      <w:r w:rsidR="00A458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(1</w:t>
      </w:r>
      <w:r w:rsidR="0003249C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A458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5F3BD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împreună cu buletinul de vot.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20F6BA01" w14:textId="77777777" w:rsidR="00EF1ECB" w:rsidRPr="00CC01AC" w:rsidRDefault="00EF1ECB" w:rsidP="00F86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0B797C" w14:textId="29BC4678" w:rsidR="00EF1ECB" w:rsidRPr="00CC01AC" w:rsidRDefault="004D4467" w:rsidP="004D446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rticolul 56</w:t>
      </w:r>
      <w:r w:rsidR="00EC645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alineatul (2) </w:t>
      </w:r>
      <w:r w:rsidR="002F2A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r w:rsidR="00EC645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era </w:t>
      </w:r>
      <w:r w:rsidR="002F2A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cuvintele „</w:t>
      </w:r>
      <w:r w:rsidR="002F2A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raportul anual al 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2F2A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</w:t>
      </w:r>
      <w:r w:rsidR="002F2A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EF1EC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comisiei de cenzori a” se exclud;</w:t>
      </w:r>
    </w:p>
    <w:p w14:paraId="38404EC2" w14:textId="77777777" w:rsidR="00EF1ECB" w:rsidRPr="00CC01AC" w:rsidRDefault="00EF1ECB" w:rsidP="00EF1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61A319C" w14:textId="5737E00E" w:rsidR="00EE6CBA" w:rsidRPr="00CC01AC" w:rsidRDefault="00EE6CBA" w:rsidP="00EE6CB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65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(2) litera c) 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ce nu depăşesc 10% din valoarea activelor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conform ultimului raport financiar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cuvintele „în cazurile stabilite de art.86”.</w:t>
      </w:r>
    </w:p>
    <w:p w14:paraId="05EDEBF1" w14:textId="77777777" w:rsidR="00EE6CBA" w:rsidRPr="00CC01AC" w:rsidRDefault="00EE6CBA" w:rsidP="00EE6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812DDB" w14:textId="06FC2F68" w:rsidR="001C1995" w:rsidRPr="00CC01AC" w:rsidRDefault="001C1995" w:rsidP="001C199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71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(2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care corespunde unuia din criteriile prevăzute la art.2 alin.(2)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cuvintele „de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public”.</w:t>
      </w:r>
    </w:p>
    <w:p w14:paraId="5DC8F1F7" w14:textId="77777777" w:rsidR="001C1995" w:rsidRPr="00CC01AC" w:rsidRDefault="001C1995" w:rsidP="001C1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76E8B" w14:textId="77777777" w:rsidR="0006558C" w:rsidRPr="00CC01AC" w:rsidRDefault="00C2281A" w:rsidP="00C228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72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</w:t>
      </w:r>
      <w:r w:rsidR="002339E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8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2339E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 final se introduce o nouă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2339E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următorul cuprins</w:t>
      </w:r>
      <w:r w:rsidR="0006558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2F588DDC" w14:textId="3AD73EC9" w:rsidR="00C2281A" w:rsidRPr="00CC01AC" w:rsidRDefault="002339EB" w:rsidP="00065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„Societatea este în drept să delege împuternicirile comisiei de cenzori ace</w:t>
      </w:r>
      <w:r w:rsidR="00CD050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eași organiza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de audit care efectuează auditul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conform art.89 sau unei alte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de audit</w:t>
      </w:r>
      <w:r w:rsidR="00C2281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”.</w:t>
      </w:r>
    </w:p>
    <w:p w14:paraId="7346EFB6" w14:textId="77777777" w:rsidR="00EF1ECB" w:rsidRPr="00CC01AC" w:rsidRDefault="00EF1ECB" w:rsidP="00EF1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32A170" w14:textId="1BF3E0B2" w:rsidR="0047684F" w:rsidRPr="00CC01AC" w:rsidRDefault="00A944E5" w:rsidP="004768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47684F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76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47684F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7684F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(5) se exclude.</w:t>
      </w:r>
    </w:p>
    <w:p w14:paraId="5ECF9FCF" w14:textId="77777777" w:rsidR="0047684F" w:rsidRPr="00CC01AC" w:rsidRDefault="0047684F" w:rsidP="00EF1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6706B4" w14:textId="77777777" w:rsidR="00664DF8" w:rsidRPr="00CC01AC" w:rsidRDefault="00BC510C" w:rsidP="00C0070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C0070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rticolul 77 </w:t>
      </w:r>
      <w:r w:rsidR="00C0070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(3) </w:t>
      </w:r>
      <w:r w:rsidR="00664DF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2278E0B7" w14:textId="73487941" w:rsidR="00C0070D" w:rsidRPr="00CC01AC" w:rsidRDefault="00664DF8" w:rsidP="00664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„(3)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Societatea </w:t>
      </w:r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inută public </w:t>
      </w:r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a </w:t>
      </w:r>
      <w:proofErr w:type="spellStart"/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dobîndit</w:t>
      </w:r>
      <w:proofErr w:type="spellEnd"/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a înstrăinat acţiuni cu drept de vot proprii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obligată</w:t>
      </w:r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publice o informație despre acest fapt și să informeze Comisia Națională</w:t>
      </w:r>
      <w:r w:rsidR="00A318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Pieţei Financiare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cît</w:t>
      </w:r>
      <w:proofErr w:type="spellEnd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mai </w:t>
      </w:r>
      <w:proofErr w:type="spellStart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curînd</w:t>
      </w:r>
      <w:proofErr w:type="spellEnd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posibil, dar nu mai </w:t>
      </w:r>
      <w:proofErr w:type="spellStart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tîrziu</w:t>
      </w:r>
      <w:proofErr w:type="spellEnd"/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5 zile lucrătoare de la data efectuării unei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ii, </w:t>
      </w:r>
      <w:r w:rsidR="00BC510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dacă </w:t>
      </w:r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urma acestei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F1278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</w:t>
      </w:r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societatea </w:t>
      </w:r>
      <w:r w:rsidR="00BC510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atinge</w:t>
      </w:r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510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depășește sau coboară sub limita de 5% sau 10% din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C510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iunile </w:t>
      </w:r>
      <w:r w:rsidR="002E530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sale </w:t>
      </w:r>
      <w:r w:rsidR="00BC510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cu drept de vot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.”</w:t>
      </w:r>
    </w:p>
    <w:p w14:paraId="12517E3C" w14:textId="77777777" w:rsidR="00EF1ECB" w:rsidRPr="00CC01AC" w:rsidRDefault="00EF1ECB" w:rsidP="00F86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BC161C1" w14:textId="0D5AC1A7" w:rsidR="00BC510C" w:rsidRPr="00A3182E" w:rsidRDefault="00A3182E" w:rsidP="00BC51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318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articolul 78 </w:t>
      </w:r>
      <w:r w:rsidR="00BC510C" w:rsidRPr="00A3182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(1) se exclud cuvintele „</w:t>
      </w:r>
      <w:r w:rsidR="00BC510C" w:rsidRPr="00A3182E">
        <w:rPr>
          <w:rFonts w:ascii="Times New Roman" w:eastAsia="Times New Roman" w:hAnsi="Times New Roman" w:cs="Times New Roman"/>
          <w:sz w:val="24"/>
          <w:szCs w:val="24"/>
          <w:lang w:val="ro-RO"/>
        </w:rPr>
        <w:t>prin intermediul ofertei publice pe pia</w:t>
      </w:r>
      <w:r w:rsidR="00690929" w:rsidRPr="00A3182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C510C" w:rsidRPr="00A3182E">
        <w:rPr>
          <w:rFonts w:ascii="Times New Roman" w:eastAsia="Times New Roman" w:hAnsi="Times New Roman" w:cs="Times New Roman"/>
          <w:sz w:val="24"/>
          <w:szCs w:val="24"/>
          <w:lang w:val="ro-RO"/>
        </w:rPr>
        <w:t>a secundară,</w:t>
      </w:r>
      <w:r w:rsidR="00BC510C" w:rsidRPr="00A3182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”;</w:t>
      </w:r>
    </w:p>
    <w:p w14:paraId="04CFEEBA" w14:textId="77777777" w:rsidR="00BC510C" w:rsidRPr="00CC01AC" w:rsidRDefault="00BC510C" w:rsidP="00F86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2B539E" w14:textId="6E6A6854" w:rsidR="00BC0C20" w:rsidRPr="00CC01AC" w:rsidRDefault="00902B34" w:rsidP="006909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rticolul 79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C0C20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(5) cuvintele „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mediu ponderat determinat cu utilizarea a cel pu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 două criterii stabilite în art.21 alin.(4</w:t>
      </w:r>
      <w:r w:rsidR="006E3EB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din Legea cu privire la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valorilor mobiliare”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cuvintele „echitabil, stabilit conform art.23 din Legea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nr.171 din 11 iulie 2012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BC0C2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capital”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A33BE45" w14:textId="77777777" w:rsidR="00902B34" w:rsidRPr="00CC01AC" w:rsidRDefault="00902B34" w:rsidP="00902B3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175028" w14:textId="06E2F85D" w:rsidR="00902B34" w:rsidRPr="00CC01AC" w:rsidRDefault="00832902" w:rsidP="00902B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902B3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rticolul 80</w:t>
      </w:r>
      <w:r w:rsidR="007F42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429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(7)</w:t>
      </w:r>
      <w:r w:rsidR="00902B3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4F6AE85F" w14:textId="79796A68" w:rsidR="00902B34" w:rsidRPr="00CC01AC" w:rsidRDefault="007F429C" w:rsidP="00902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902B3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</w:t>
      </w:r>
      <w:r w:rsidR="00902B3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 „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902B3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cu toate anexele prevăzute la art.64 alin.(3)</w:t>
      </w:r>
      <w:r w:rsidR="00902B3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83290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83290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exclud</w:t>
      </w:r>
      <w:r w:rsidR="00902B3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5361562F" w14:textId="77777777" w:rsidR="00902B34" w:rsidRPr="00CC01AC" w:rsidRDefault="00902B34" w:rsidP="00902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342276" w14:textId="00D563EE" w:rsidR="00902B34" w:rsidRPr="00CC01AC" w:rsidRDefault="00317657" w:rsidP="00902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06558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o nouă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06558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următorul cuprins:</w:t>
      </w:r>
    </w:p>
    <w:p w14:paraId="631AFD74" w14:textId="77777777" w:rsidR="0006558C" w:rsidRPr="00CC01AC" w:rsidRDefault="0006558C" w:rsidP="00902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ile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inute public vor anexa la procesul-verbal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al adunării generale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 documentele prevăzute la art.64 alin.(3).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1D7A3D42" w14:textId="77777777" w:rsidR="00902B34" w:rsidRPr="00CC01AC" w:rsidRDefault="00902B34" w:rsidP="00902B3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8CD8F3" w14:textId="54803EBC" w:rsidR="002B33D7" w:rsidRPr="00CC01AC" w:rsidRDefault="002B33D7" w:rsidP="002B33D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82</w:t>
      </w:r>
      <w:r w:rsidR="00BE6A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E6A6F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(1)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376BE986" w14:textId="61AA3F1D" w:rsidR="002B33D7" w:rsidRPr="00CC01AC" w:rsidRDefault="00BE6A6F" w:rsidP="002B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a) cuvintele „</w:t>
      </w:r>
      <w:r w:rsidR="002B33D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asupra lor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9F588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9F588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exclud</w:t>
      </w:r>
      <w:r w:rsidR="002F3D8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iar cuvîntul „bilan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2F3D8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="002F3D8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cuvîntul „raport financiar”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41EA8E46" w14:textId="77777777" w:rsidR="002F3D85" w:rsidRPr="00CC01AC" w:rsidRDefault="002F3D85" w:rsidP="002B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E60F00A" w14:textId="302DAC0E" w:rsidR="002B33D7" w:rsidRPr="00CC01AC" w:rsidRDefault="002B33D7" w:rsidP="002B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litera c) va avea următorul cuprins:</w:t>
      </w:r>
    </w:p>
    <w:p w14:paraId="47E59CF4" w14:textId="3ECC8393" w:rsidR="002B33D7" w:rsidRPr="00CC01AC" w:rsidRDefault="002B33D7" w:rsidP="002B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„c) 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primirea sau achitarea, pe parcursul unui an calendaristic, a unor plă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pentru servicii, care cumulativ au o valoare </w:t>
      </w:r>
      <w:r w:rsidR="00CE5E8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 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depăşe</w:t>
      </w:r>
      <w:r w:rsidR="00CE5E8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25% din valoarea activelor </w:t>
      </w:r>
      <w:r w:rsidR="007C3E3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nete ale 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conform ultimului raport financiar.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4EC31701" w14:textId="77777777" w:rsidR="002B33D7" w:rsidRPr="00CC01AC" w:rsidRDefault="002B33D7" w:rsidP="002B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565D74" w14:textId="77777777" w:rsidR="00EA403E" w:rsidRPr="00440919" w:rsidRDefault="00EA403E" w:rsidP="00EA40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  <w:r w:rsidRPr="00440919"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  <w:t>Articolul 83</w:t>
      </w:r>
      <w:r w:rsidR="00953F61" w:rsidRPr="00440919"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  <w:t xml:space="preserve"> alineatul (2</w:t>
      </w:r>
      <w:r w:rsidR="00953F61" w:rsidRPr="00440919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val="ro-RO"/>
        </w:rPr>
        <w:t>4</w:t>
      </w:r>
      <w:r w:rsidR="00953F61" w:rsidRPr="00440919"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  <w:t>) va avea următorul cuprins:</w:t>
      </w:r>
      <w:r w:rsidRPr="00440919"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  <w:t>:</w:t>
      </w:r>
    </w:p>
    <w:p w14:paraId="654BE7AE" w14:textId="11D5FDAA" w:rsidR="00EA403E" w:rsidRPr="00CC01AC" w:rsidRDefault="00953F61" w:rsidP="00E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„(2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Decizia societăţii deținute public privind încheierea de către societate a unei tranzacţii de proporţii se publică, în termen de 3 zile lucrătoare de la data adoptării,</w:t>
      </w:r>
      <w:r w:rsidR="00C54C0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modul stabilit de art.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91,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dezvăluindu-se următoarele informații:</w:t>
      </w:r>
    </w:p>
    <w:p w14:paraId="2C03F56C" w14:textId="77777777" w:rsidR="00EA403E" w:rsidRPr="00CC01AC" w:rsidRDefault="00EA403E" w:rsidP="00E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a) descrierea și valoarea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de propor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ii;</w:t>
      </w:r>
    </w:p>
    <w:p w14:paraId="2EEB09B3" w14:textId="61271C36" w:rsidR="00EA403E" w:rsidRPr="00CC01AC" w:rsidRDefault="00EA403E" w:rsidP="00E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bunurile, serviciile, drepturile, instrumentele financiare sau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oricăr</w:t>
      </w:r>
      <w:r w:rsidR="00C54C0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alte active aferente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iei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 propor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6D7F8F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09DFED39" w14:textId="77777777" w:rsidR="00EA403E" w:rsidRPr="00CC01AC" w:rsidRDefault="00EA403E" w:rsidP="00E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9C6B56" w14:textId="77777777" w:rsidR="005E261A" w:rsidRPr="00CC01AC" w:rsidRDefault="005E261A" w:rsidP="005E26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84:</w:t>
      </w:r>
    </w:p>
    <w:p w14:paraId="01CEB4F6" w14:textId="77777777" w:rsidR="005E261A" w:rsidRPr="00CC01AC" w:rsidRDefault="005E261A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(4) se exclude;</w:t>
      </w:r>
    </w:p>
    <w:p w14:paraId="7200F870" w14:textId="77777777" w:rsidR="005E261A" w:rsidRPr="00CC01AC" w:rsidRDefault="005E261A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A47CDF0" w14:textId="77777777" w:rsidR="005E261A" w:rsidRPr="00CC01AC" w:rsidRDefault="005E261A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alineatul (5) textul „care corespunde unuia din criteriile prevăzute la art.2 alin.(2) este obligată să propună celorlal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ionari, în termen de 3 luni de la data consemnării în registrul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 a achizi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ionării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iunilor, ca aceştia să îi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vîndă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iunile cu drept de vot pe care le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in, dacă legisla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nu prevede altfel” se substituite cu textul „de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inute public este obligată să efectueze o ofertă de preluare obligatorie în modul stabilit de Legea</w:t>
      </w:r>
      <w:r w:rsidR="00E51D9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nr.171 din 11 iulie 2012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capital.”</w:t>
      </w:r>
      <w:r w:rsidR="00F96D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FB4344D" w14:textId="77777777" w:rsidR="00F96DC8" w:rsidRPr="00CC01AC" w:rsidRDefault="00F96DC8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4725B8" w14:textId="77777777" w:rsidR="00F96DC8" w:rsidRPr="00CC01AC" w:rsidRDefault="00F96DC8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alineatele (6)-(10) se exclud;</w:t>
      </w:r>
    </w:p>
    <w:p w14:paraId="477EE314" w14:textId="77777777" w:rsidR="00F96DC8" w:rsidRPr="00CC01AC" w:rsidRDefault="00F96DC8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DA4AEF" w14:textId="77777777" w:rsidR="00F96DC8" w:rsidRPr="00CC01AC" w:rsidRDefault="00F96DC8" w:rsidP="005E2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la alineatul (11) textul „–(10)” se exclude.</w:t>
      </w:r>
    </w:p>
    <w:p w14:paraId="76799667" w14:textId="77777777" w:rsidR="005E261A" w:rsidRPr="00CC01AC" w:rsidRDefault="005E261A" w:rsidP="00E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18BD69E" w14:textId="77777777" w:rsidR="00EC0B4A" w:rsidRPr="00CC01AC" w:rsidRDefault="00EC0B4A" w:rsidP="00EC0B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Articolul </w:t>
      </w:r>
      <w:r w:rsidR="00A2227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85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5CB54623" w14:textId="6BB02B78" w:rsidR="00764469" w:rsidRPr="00CC01AC" w:rsidRDefault="00764469" w:rsidP="00EC0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Denumirea articolului va avea următorul cuprins: „Dispozi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generale privind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cu conflict de interes”</w:t>
      </w:r>
    </w:p>
    <w:p w14:paraId="31508548" w14:textId="60808E5B" w:rsidR="00764469" w:rsidRPr="00CC01AC" w:rsidRDefault="00764469" w:rsidP="00EC0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915E974" w14:textId="22CB06B1" w:rsidR="00EC0B4A" w:rsidRPr="00CC01AC" w:rsidRDefault="00A2227A" w:rsidP="00EC0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(1) </w:t>
      </w:r>
      <w:r w:rsidR="00CB7C5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va avea următorul cuprins:</w:t>
      </w:r>
    </w:p>
    <w:p w14:paraId="58AA0039" w14:textId="3D690E99" w:rsidR="00CB7C58" w:rsidRPr="00CC01AC" w:rsidRDefault="00CB7C58" w:rsidP="00EC0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„(1)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este o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 sau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cîteva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legate reciproc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efectuate direct sau indirect,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între societate și 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persoana interesată</w:t>
      </w:r>
      <w:r w:rsidR="00A628B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și/sau persoanele afiliate acesteia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se consideră a fi efectuată indirect dacă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 între societate și persoana interesată </w:t>
      </w:r>
      <w:r w:rsidR="00A628B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și/sau persoanele afiliate acesteia 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realizată prin intermediul sau cu participare</w:t>
      </w:r>
      <w:r w:rsidR="001C55F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unor persoane ce nu </w:t>
      </w:r>
      <w:proofErr w:type="spellStart"/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="00FC675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 interesate.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37350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CD778EE" w14:textId="0261C9CB" w:rsidR="00332CD7" w:rsidRPr="00CC01AC" w:rsidRDefault="00332CD7" w:rsidP="0033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146FD5B" w14:textId="77777777" w:rsidR="00A06FE3" w:rsidRPr="00CC01AC" w:rsidRDefault="00A06FE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la alineatul (1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după cuvîntul „ac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iuni” se introduc cuvintele „sau răscumpărarea obliga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iunilor emise de societate”;</w:t>
      </w:r>
    </w:p>
    <w:p w14:paraId="5B725D0E" w14:textId="77777777" w:rsidR="00A06FE3" w:rsidRPr="00CC01AC" w:rsidRDefault="00A06FE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D68C97D" w14:textId="34C9B26E" w:rsidR="00FC6759" w:rsidRPr="00CC01AC" w:rsidRDefault="0006794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FC675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</w:t>
      </w:r>
      <w:r w:rsidR="00A628B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="002B06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FC675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(1</w:t>
      </w:r>
      <w:r w:rsidR="00FC6759"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="00FC675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48068D5D" w14:textId="77777777" w:rsidR="00A63A63" w:rsidRPr="00CC01AC" w:rsidRDefault="00A63A6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Se consideră a fi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 cu conflict de interese:</w:t>
      </w:r>
    </w:p>
    <w:p w14:paraId="3E69F12B" w14:textId="77777777" w:rsidR="00A63A63" w:rsidRPr="00CC01AC" w:rsidRDefault="00A63A6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a) </w:t>
      </w:r>
      <w:r w:rsidR="0039422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cumpărarea, </w:t>
      </w:r>
      <w:proofErr w:type="spellStart"/>
      <w:r w:rsidR="0039422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vînz</w:t>
      </w:r>
      <w:r w:rsidR="008A3F5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area</w:t>
      </w:r>
      <w:proofErr w:type="spellEnd"/>
      <w:r w:rsidR="008A3F5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sau 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transmiterea,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sau </w:t>
      </w:r>
      <w:r w:rsidR="00C8585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primirea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8A3F5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 orice alt mod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 către societate a bunurilor, serviciilor, drepturilor</w:t>
      </w:r>
      <w:r w:rsidR="008A3F56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mijloacelor bănești, instrumentelor financiare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și oricăror alte active;</w:t>
      </w:r>
    </w:p>
    <w:p w14:paraId="0155C3EF" w14:textId="77777777" w:rsidR="00501482" w:rsidRPr="00CC01AC" w:rsidRDefault="00A63A63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acordarea sau primirea 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 către societate a împrumutului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gajului, garan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ei, fidejusiunii sau oricărei</w:t>
      </w:r>
      <w:r w:rsidR="0039422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alte crean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39422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50148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524A5BF9" w14:textId="75DBA948" w:rsidR="00501482" w:rsidRPr="00CC01AC" w:rsidRDefault="00501482" w:rsidP="00FC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acordarea sau primirea </w:t>
      </w:r>
      <w:r w:rsidR="00B700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de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bunuri sau drepturi în 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folosin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ă, loca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iune,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arendă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sau leasing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09B7497C" w14:textId="77777777" w:rsidR="00FC6759" w:rsidRPr="00CC01AC" w:rsidRDefault="00501482" w:rsidP="008E2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d) încheierea antecontractelor sau asumarea unor angajamente cu executare ulterioară</w:t>
      </w:r>
      <w:r w:rsidR="002B33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8B7CE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natura op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B7CE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iunii</w:t>
      </w:r>
      <w:r w:rsidR="00C8585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="00A63A6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FC675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578AD9CF" w14:textId="77777777" w:rsidR="00FC6759" w:rsidRPr="00CC01AC" w:rsidRDefault="00FC6759" w:rsidP="0033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4D2CA25" w14:textId="77777777" w:rsidR="00373508" w:rsidRPr="00CC01AC" w:rsidRDefault="00332CD7" w:rsidP="0033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(2</w:t>
      </w:r>
      <w:r w:rsidR="0037350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):</w:t>
      </w:r>
    </w:p>
    <w:p w14:paraId="25A1AF28" w14:textId="77777777" w:rsidR="00332CD7" w:rsidRPr="00CC01AC" w:rsidRDefault="00373508" w:rsidP="0033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 propozi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 </w:t>
      </w:r>
      <w:r w:rsidR="00332C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exclud 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efectuarea de către societate 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</w:t>
      </w:r>
      <w:r w:rsidR="00332CD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și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totodată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”;</w:t>
      </w:r>
    </w:p>
    <w:p w14:paraId="46C95079" w14:textId="2B9CFDC4" w:rsidR="00000151" w:rsidRPr="00CC01AC" w:rsidRDefault="00154265" w:rsidP="00426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literele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proofErr w:type="spellStart"/>
      <w:r w:rsidR="007C3E3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-g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vor avea 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următorul cuprins:</w:t>
      </w:r>
    </w:p>
    <w:p w14:paraId="3420FB9D" w14:textId="77777777" w:rsidR="00154265" w:rsidRPr="00CC01AC" w:rsidRDefault="00000151" w:rsidP="00426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15426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membru al 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sau al organului executiv al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ionarului persoană juridică care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 de sine stătător sau împreună cu persoanele sale afiliate peste 25% din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iunile cu drept de vot ale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5426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ii;</w:t>
      </w:r>
    </w:p>
    <w:p w14:paraId="70617EB7" w14:textId="77777777" w:rsidR="00000151" w:rsidRPr="00CC01AC" w:rsidRDefault="00154265" w:rsidP="00426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e) persoana fizică care în decursul 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timelor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șase luni </w:t>
      </w:r>
      <w:proofErr w:type="spellStart"/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pînă</w:t>
      </w:r>
      <w:proofErr w:type="spellEnd"/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la data luării deciziei privind </w:t>
      </w:r>
      <w:r w:rsidR="0000015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0015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 cu conflict de interese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cade sub inciden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prevederilor lit. a), b) sau d).</w:t>
      </w:r>
      <w:r w:rsidR="0000015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0D43A6F8" w14:textId="01230633" w:rsidR="00867E0B" w:rsidRPr="00CC01AC" w:rsidRDefault="007C3E35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embrii organului de conducere și consiliului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ii, aleși în această func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 prin votul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unui 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cazul în care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este încheiată între societate și acest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ionar și/sa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 persoanele afiliate acestuia.</w:t>
      </w:r>
    </w:p>
    <w:p w14:paraId="77691E01" w14:textId="278C6CC0" w:rsidR="008E2EF4" w:rsidRPr="00CC01AC" w:rsidRDefault="007C3E35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g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embrii organului executiv, numi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sau aleși în această func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ie prin votul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unui 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consiliului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 cazul în care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ia este încheiată între societate și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acest 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 consiliului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ii,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ionarul care a votat pentru alegerea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acestui 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 consiliului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8E2EF4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și/sau persoanele afiliate acestora.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16B1091F" w14:textId="77777777" w:rsidR="00867E0B" w:rsidRPr="00CC01AC" w:rsidRDefault="00867E0B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B7AE60" w14:textId="59EAC67B" w:rsidR="00867E0B" w:rsidRPr="00CC01AC" w:rsidRDefault="00E2348A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lineat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(3) și 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(4)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vor avea</w:t>
      </w:r>
      <w:r w:rsidR="00867E0B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următorul cuprins:</w:t>
      </w:r>
    </w:p>
    <w:p w14:paraId="41A9509F" w14:textId="1ECD3AB9" w:rsidR="002820AA" w:rsidRPr="00CC01AC" w:rsidRDefault="00867E0B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E2348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Persoana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interesată</w:t>
      </w:r>
      <w:r w:rsidR="00C765F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obligată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comunice 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organului executiv și 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despre conflictul de interes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 dintre societate și persoana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cauză și/sau persoanele afiliate 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acesteia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pînă</w:t>
      </w:r>
      <w:proofErr w:type="spellEnd"/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luarea deciziei privind 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tranza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38646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</w:t>
      </w:r>
      <w:r w:rsidR="008C20E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conflict de interese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prezentînd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820A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următoarele </w:t>
      </w:r>
      <w:r w:rsidR="00E855A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E855A1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2820A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1786C300" w14:textId="77777777" w:rsidR="002820AA" w:rsidRPr="00CC01AC" w:rsidRDefault="002820AA" w:rsidP="00282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descrierea </w:t>
      </w:r>
      <w:r w:rsidR="00DE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valoarea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cu conflict de interese și a situa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care duce la crearea conflictului de interese;</w:t>
      </w:r>
    </w:p>
    <w:p w14:paraId="27F3854F" w14:textId="5BAAFBB8" w:rsidR="002820AA" w:rsidRPr="00CC01AC" w:rsidRDefault="002820AA" w:rsidP="00282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bunurile, serviciile, drepturile, instrumentele financiare sau </w:t>
      </w:r>
      <w:proofErr w:type="spellStart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oricăr</w:t>
      </w:r>
      <w:r w:rsidR="00C51B4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proofErr w:type="spellEnd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alte active aferente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iei cu conflict de interese;</w:t>
      </w:r>
    </w:p>
    <w:p w14:paraId="444DE4EA" w14:textId="77777777" w:rsidR="00E855A1" w:rsidRPr="00CC01AC" w:rsidRDefault="002820AA" w:rsidP="008C2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c) cota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iunilor cu drept de vot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de persoana interesată și/sau persoanele afiliate acesteia</w:t>
      </w:r>
      <w:r w:rsidR="00BC078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7B53CE34" w14:textId="195EC4CF" w:rsidR="00BC078E" w:rsidRPr="00CC01AC" w:rsidRDefault="00764469" w:rsidP="008B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</w:t>
      </w:r>
      <w:r w:rsidR="00E2348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Persoana interesată este obligată să repare prejudiciul cauzat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 și să compenseze venitul ratat al acesteia în cazul în care nu </w:t>
      </w:r>
      <w:r w:rsidR="00CE277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comunicat despre conflictul de interese conform alin.(4) și/sau a votat pentru încheierea unei tra</w:t>
      </w:r>
      <w:r w:rsidR="006811C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6811C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cu conflict de interese cu încălcarea prevederilor prezentei legi.</w:t>
      </w:r>
      <w:r w:rsidR="00FE7B3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Persoana interesată este obligată să transmită societă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FE7B3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profitul ob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FE7B3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 ca urmare a încheierii unei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FE7B3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cu conflict de interese cu încălcarea prevederilor prezentei legi.</w:t>
      </w:r>
    </w:p>
    <w:p w14:paraId="0442C0FA" w14:textId="77777777" w:rsidR="00E2348A" w:rsidRPr="00CC01AC" w:rsidRDefault="00E2348A" w:rsidP="008B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F1E8CD" w14:textId="05CA3AB5" w:rsidR="00E2348A" w:rsidRPr="00CC01AC" w:rsidRDefault="00256004" w:rsidP="00E234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E2348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alineatul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="00E2348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cu următorul cuprins:</w:t>
      </w:r>
    </w:p>
    <w:p w14:paraId="591AA1FE" w14:textId="01F1692B" w:rsidR="00764469" w:rsidRPr="00CC01AC" w:rsidRDefault="00BC078E" w:rsidP="008B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</w:t>
      </w:r>
      <w:r w:rsidR="0025600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ionarul minoritar, persoana interesată și/sau societatea este în drept </w:t>
      </w:r>
      <w:r w:rsidR="0025600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să 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solicite participarea unui mediator în vederea solu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ionării conflictului ce 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ine de încheierea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iei cu conflict de interese, în conformitate cu legisla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546E6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cu privire la mediere.</w:t>
      </w:r>
      <w:r w:rsidR="0076446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14:paraId="6DC565E9" w14:textId="77777777" w:rsidR="002E2370" w:rsidRPr="00CC01AC" w:rsidRDefault="002E2370" w:rsidP="008B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E39747" w14:textId="77777777" w:rsidR="00507547" w:rsidRPr="00CC01AC" w:rsidRDefault="00507547" w:rsidP="0050754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8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5E2F4D8B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alineatul (1) va avea următorul cuprins:</w:t>
      </w:r>
    </w:p>
    <w:p w14:paraId="57BEA3AA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„(1) T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este încheiată sau modificată de societate prin decizia 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ii, cu excep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 cazurilor </w:t>
      </w:r>
      <w:r w:rsidR="008C68C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stabilite de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alin.(1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8C68C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alin.(4)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.”;</w:t>
      </w:r>
    </w:p>
    <w:p w14:paraId="47998640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7C028C1" w14:textId="5083B7DE" w:rsidR="00507547" w:rsidRPr="00CC01AC" w:rsidRDefault="00E0760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125C4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alineatele</w:t>
      </w:r>
      <w:r w:rsidR="0050754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</w:t>
      </w:r>
      <w:r w:rsidR="00507547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50754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125C4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și (1</w:t>
      </w:r>
      <w:r w:rsidR="00125C44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125C4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50754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cu următorul cuprins:</w:t>
      </w:r>
    </w:p>
    <w:p w14:paraId="51E85658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„(1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este încheiată sau modificată de societate prin decizia adunării generale în cazul în care:</w:t>
      </w:r>
    </w:p>
    <w:p w14:paraId="59454CD4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a) valoarea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depăşeşte 10% din valoarea activelor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conform ultimului raport financiar;</w:t>
      </w:r>
    </w:p>
    <w:p w14:paraId="52A13935" w14:textId="77777777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b)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se referă la un bun în valoare ce depăşeşte 10% din valoarea activelor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conform ultimului raport financiar;</w:t>
      </w:r>
    </w:p>
    <w:p w14:paraId="0E1C7814" w14:textId="1B5483EE" w:rsidR="00507547" w:rsidRPr="00CC01AC" w:rsidRDefault="00507547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c)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se referă la primirea sau achitarea, pe parcursul unui an calendaristic, a unor plă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 pentru servicii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cumulativ au o valoare </w:t>
      </w:r>
      <w:r w:rsidR="001C55F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depăşe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</w:t>
      </w:r>
      <w:r w:rsidR="002F3D8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% din valoarea activelor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conform ultimului raport financiar.</w:t>
      </w:r>
    </w:p>
    <w:p w14:paraId="7537583A" w14:textId="0BFA500E" w:rsidR="00384C73" w:rsidRPr="00CC01AC" w:rsidRDefault="00384C73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(1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Societatea care nu este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 public este în drept să încheie sau să modifice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prin decizia 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în cazurile stabilite de alin.(1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dacă </w:t>
      </w:r>
      <w:r w:rsidR="00EA2024">
        <w:rPr>
          <w:rFonts w:ascii="Times New Roman" w:eastAsia="Times New Roman" w:hAnsi="Times New Roman" w:cs="Times New Roman"/>
          <w:sz w:val="24"/>
          <w:szCs w:val="24"/>
          <w:lang w:val="ro-RO"/>
        </w:rPr>
        <w:t>aceasta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prevăzut de statutul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ii.</w:t>
      </w:r>
    </w:p>
    <w:p w14:paraId="6740956A" w14:textId="77777777" w:rsidR="00945FA3" w:rsidRPr="00CC01AC" w:rsidRDefault="00125C44" w:rsidP="0094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(1</w:t>
      </w:r>
      <w:r w:rsidR="00384C73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945FA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Societatea de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945FA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inută</w:t>
      </w:r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45FA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obligată</w:t>
      </w:r>
      <w:r w:rsidR="001A2A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dezvăluie public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A2ACC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privind</w:t>
      </w:r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conflict de interese </w:t>
      </w:r>
      <w:r w:rsidR="0091389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cel mai scurt timp</w:t>
      </w:r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dar nu mai </w:t>
      </w:r>
      <w:proofErr w:type="spellStart"/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tîrziu</w:t>
      </w:r>
      <w:proofErr w:type="spellEnd"/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3 zile </w:t>
      </w:r>
      <w:r w:rsidR="00B328E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lucrătoare </w:t>
      </w:r>
      <w:r w:rsidR="003D50C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 la data luării deciziei</w:t>
      </w:r>
      <w:r w:rsidR="006C234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dezvăluind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C234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</w:t>
      </w:r>
      <w:r w:rsidR="00945FA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privind:</w:t>
      </w:r>
    </w:p>
    <w:p w14:paraId="33B0F686" w14:textId="77777777" w:rsidR="007F27AD" w:rsidRPr="00CC01AC" w:rsidRDefault="00945FA3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="007F27A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descrierea </w:t>
      </w:r>
      <w:r w:rsidR="00DE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valoarea </w:t>
      </w:r>
      <w:r w:rsidR="007F27A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F27A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cu conflict de interese și a situa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F27A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care duce la crearea conflictului de interese;</w:t>
      </w:r>
    </w:p>
    <w:p w14:paraId="26EE458D" w14:textId="0C6D1F0C" w:rsidR="00945FA3" w:rsidRPr="00CC01AC" w:rsidRDefault="007F27AD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b) referin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la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bunurile, serviciile, drepturile, instrumentele</w:t>
      </w:r>
      <w:r w:rsidR="00945FA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financiare sau oric</w:t>
      </w:r>
      <w:r w:rsidR="000A5B8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</w:t>
      </w:r>
      <w:r w:rsidR="00945FA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alte active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aferente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iei</w:t>
      </w:r>
      <w:r w:rsidR="00945FA3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conflict de interese;</w:t>
      </w:r>
    </w:p>
    <w:p w14:paraId="1DEF0805" w14:textId="77777777" w:rsidR="007F27AD" w:rsidRPr="00CC01AC" w:rsidRDefault="007F27AD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c) referin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 la persoana interesată</w:t>
      </w:r>
      <w:r w:rsidR="00BE4C2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cu sau fără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indicarea numelui sau denumirii acesteia;</w:t>
      </w:r>
    </w:p>
    <w:p w14:paraId="76135A77" w14:textId="77777777" w:rsidR="00125C44" w:rsidRPr="00CC01AC" w:rsidRDefault="007F27AD" w:rsidP="00507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cota </w:t>
      </w:r>
      <w:r w:rsidR="001A2A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1A2A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iunilor cu drept de vot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1A2A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de persoana interesată</w:t>
      </w:r>
      <w:r w:rsidR="002820AA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și/sau persoanele afiliate acesteia</w:t>
      </w:r>
      <w:r w:rsidR="001A2AC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5F827F57" w14:textId="77777777" w:rsidR="002E2370" w:rsidRPr="00CC01AC" w:rsidRDefault="002E2370" w:rsidP="008B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C5C0D0A" w14:textId="77777777" w:rsidR="00FB3629" w:rsidRPr="00CC01AC" w:rsidRDefault="00FB3629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(2) va avea următorul cuprins:</w:t>
      </w:r>
    </w:p>
    <w:p w14:paraId="626D09B4" w14:textId="33EB8793" w:rsidR="00C526FB" w:rsidRPr="00CC01AC" w:rsidRDefault="00FB3629" w:rsidP="00980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„(2) </w:t>
      </w:r>
      <w:proofErr w:type="spellStart"/>
      <w:r w:rsidR="009802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Pînă</w:t>
      </w:r>
      <w:proofErr w:type="spellEnd"/>
      <w:r w:rsidR="009802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luarea deciziei privind încheierea tranzacției cu conflict de interese de către societatea deținută public, se va examina modul de încheiere a tranzacției cu conflict de interese de către organizația de audit, consultantul juridic</w:t>
      </w:r>
      <w:r w:rsidR="00767D7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(avocat sau birou de avocați)</w:t>
      </w:r>
      <w:r w:rsidR="009802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independent sau piața reglementată la care sunt admise valorile mobiliare emise de societate.</w:t>
      </w:r>
      <w:r w:rsidR="00EE187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0C1A2CC3" w14:textId="77777777" w:rsidR="00075E4D" w:rsidRPr="00CC01AC" w:rsidRDefault="00075E4D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33FDAB" w14:textId="3A46B9EC" w:rsidR="00075E4D" w:rsidRPr="00CC01AC" w:rsidRDefault="00BD77E3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alineatele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și (2</w:t>
      </w:r>
      <w:r w:rsidR="00F902C5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cu următorul cuprins:</w:t>
      </w:r>
    </w:p>
    <w:p w14:paraId="5C97783D" w14:textId="77777777" w:rsidR="00075E4D" w:rsidRPr="00CC01AC" w:rsidRDefault="00075E4D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„(2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examinarea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efectuată conform alin.2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entitatea 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cauză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emite o 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declara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E174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scrisă,</w:t>
      </w:r>
      <w:r w:rsidR="00C526F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care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vor fi 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indicate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39ECA450" w14:textId="77777777" w:rsidR="004C21F7" w:rsidRPr="00CC01AC" w:rsidRDefault="00075E4D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descrierea</w:t>
      </w:r>
      <w:r w:rsidR="00D57D5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E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și valoarea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cu conflict de interese și a situa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care duce la crearea conflictului de interese;</w:t>
      </w:r>
    </w:p>
    <w:p w14:paraId="466856F8" w14:textId="77777777" w:rsidR="00075E4D" w:rsidRPr="00CC01AC" w:rsidRDefault="004C21F7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opinia privind organul de conducere a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care trebuie să adopte decizia privind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interese;</w:t>
      </w:r>
    </w:p>
    <w:p w14:paraId="2BDD53FE" w14:textId="77777777" w:rsidR="00075E4D" w:rsidRPr="00CC01AC" w:rsidRDefault="004C21F7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opinia privind respectarea modului de determinare a valorii de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ă a bunurilor, conform art.76;</w:t>
      </w:r>
    </w:p>
    <w:p w14:paraId="64EC0054" w14:textId="77777777" w:rsidR="004E1743" w:rsidRPr="00CC01AC" w:rsidRDefault="004C21F7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opinia privind posibilele pierderi sau prejudicii cauzate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5E4D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ii.</w:t>
      </w:r>
    </w:p>
    <w:p w14:paraId="4CD5742D" w14:textId="77777777" w:rsidR="00FB3629" w:rsidRPr="00CC01AC" w:rsidRDefault="004E1743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(2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Declara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scrisă va fi prezentată consiliului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și, în cazul în care decizia privind încheierea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iei cu conflict de interese 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 de competen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acesteia, adunării generale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C21F7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ionarilor.</w:t>
      </w:r>
      <w:r w:rsidR="00FB36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33D6BE23" w14:textId="77777777" w:rsidR="00B54D93" w:rsidRPr="00CC01AC" w:rsidRDefault="00B54D93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490BBF" w14:textId="41182801" w:rsidR="00B54D93" w:rsidRPr="00CC01AC" w:rsidRDefault="00F902C5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 completează cu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alineatul (5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B54D9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cu următorul cuprins:</w:t>
      </w:r>
    </w:p>
    <w:p w14:paraId="1D547FB9" w14:textId="2D536450" w:rsidR="00B54D93" w:rsidRPr="00CC01AC" w:rsidRDefault="00B54D93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„(5) Materiale pentru ordinea de zi a adunării generale a 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ionarilor în cadrul căreia urmează să fie examinată decizia privind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cu conflict de interese vor con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 declara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87419">
        <w:rPr>
          <w:rFonts w:ascii="Times New Roman" w:eastAsia="Times New Roman" w:hAnsi="Times New Roman" w:cs="Times New Roman"/>
          <w:sz w:val="24"/>
          <w:szCs w:val="24"/>
          <w:lang w:val="ro-RO"/>
        </w:rPr>
        <w:t>ia scrisă stabilită de alin.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(2</w:t>
      </w:r>
      <w:r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și documente</w:t>
      </w:r>
      <w:r w:rsidR="002820A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referitoare la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în cauză</w:t>
      </w:r>
      <w:r w:rsidR="002820A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inclusiv proiectul contractului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.”</w:t>
      </w:r>
    </w:p>
    <w:p w14:paraId="4DB48DCF" w14:textId="77777777" w:rsidR="00075E4D" w:rsidRPr="00CC01AC" w:rsidRDefault="00075E4D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B1217B" w14:textId="3EEC7987" w:rsidR="00FD01C2" w:rsidRPr="00CC01AC" w:rsidRDefault="00C139AE" w:rsidP="00FD0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se completează cu</w:t>
      </w:r>
      <w:r w:rsidR="00A0518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alineatul</w:t>
      </w:r>
      <w:r w:rsidR="00FD01C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(11) cu următorul cuprins:</w:t>
      </w:r>
    </w:p>
    <w:p w14:paraId="005E3904" w14:textId="77777777" w:rsidR="00FD01C2" w:rsidRPr="00CC01AC" w:rsidRDefault="00FD01C2" w:rsidP="00A05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„(11) În cazul în care cerin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ele referitoare la </w:t>
      </w:r>
      <w:r w:rsidR="0021031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încheierea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1031A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cu conflicte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interese din legisla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privind băncile comerciale, organismele de plasament colectiv,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ile de investi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ii,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ile de asigurare și alte institu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financiare diferă de prevederile prezentului articol, se vor aplica cerin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ele legisla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în cauză.”</w:t>
      </w:r>
    </w:p>
    <w:p w14:paraId="39BDECF3" w14:textId="77777777" w:rsidR="008C68C7" w:rsidRPr="00CC01AC" w:rsidRDefault="008C68C7" w:rsidP="00FB3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37FD58" w14:textId="77777777" w:rsidR="00F5078E" w:rsidRPr="00CC01AC" w:rsidRDefault="00F5078E" w:rsidP="00F507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89:</w:t>
      </w:r>
    </w:p>
    <w:p w14:paraId="6CFF03BD" w14:textId="22ABBF17" w:rsidR="00F5078E" w:rsidRPr="00CC01AC" w:rsidRDefault="006E2D75" w:rsidP="00F50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la </w:t>
      </w:r>
      <w:r w:rsidR="00F5078E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alineatul (1)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cuvintele „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care corespunde unuia din criteriile prevăzute la art.2 alin.(2)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” se </w:t>
      </w:r>
      <w:r w:rsidR="002F00EC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substituie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cuvintele </w:t>
      </w:r>
      <w:r w:rsidR="00B3591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B35911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inute public”.</w:t>
      </w:r>
    </w:p>
    <w:p w14:paraId="0E3F63A6" w14:textId="77777777" w:rsidR="00B35911" w:rsidRPr="00CC01AC" w:rsidRDefault="00B35911" w:rsidP="00F50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DE7FB1" w14:textId="77777777" w:rsidR="00B35911" w:rsidRPr="00CC01AC" w:rsidRDefault="00B35911" w:rsidP="00F50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(6) se completează cu cuvintele „și/sau contracte referitoare la exercitarea unor activită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stabilite de prezenta lege pentru organiza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de audit”</w:t>
      </w:r>
    </w:p>
    <w:p w14:paraId="62D57F77" w14:textId="77777777" w:rsidR="00F5078E" w:rsidRPr="00CC01AC" w:rsidRDefault="00F5078E" w:rsidP="00F5078E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87F417" w14:textId="77777777" w:rsidR="004F5CBA" w:rsidRPr="00CC01AC" w:rsidRDefault="004F5CBA" w:rsidP="004F5CB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Articolul 91:</w:t>
      </w:r>
    </w:p>
    <w:p w14:paraId="01ABD380" w14:textId="4998ADF5" w:rsidR="004F5CBA" w:rsidRPr="00CC01AC" w:rsidRDefault="004F5CBA" w:rsidP="004F5C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</w:t>
      </w:r>
      <w:r w:rsidR="00532CA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ele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814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(1)</w:t>
      </w:r>
      <w:r w:rsidR="00532CA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-(3)</w:t>
      </w:r>
      <w:r w:rsidR="00814BF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3B16B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</w:t>
      </w:r>
      <w:r w:rsidR="00532CA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</w:t>
      </w:r>
      <w:r w:rsidR="003B16BD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avea următorul cuprins:</w:t>
      </w:r>
    </w:p>
    <w:p w14:paraId="37DD915E" w14:textId="46FA385A" w:rsidR="003B16BD" w:rsidRPr="00CC01AC" w:rsidRDefault="003B16BD" w:rsidP="003B1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„(1) Societatea de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inută public este obligată să dezvăluie public informa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în conformitate cu Legea nr.171 din 11 iulie 2012 privind pia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de capital</w:t>
      </w:r>
      <w:r w:rsidR="00C6625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C66258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prezentului articol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și actele normative ale Comisiei Na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ionale</w:t>
      </w:r>
      <w:r w:rsidR="007E0B5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Pieţei Financiare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1367C77E" w14:textId="3AEE18ED" w:rsidR="0027493E" w:rsidRPr="00CC01AC" w:rsidRDefault="0027493E" w:rsidP="003B1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(2) Suplimentar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stabilite de art.121 și 122 din Legea nr.171 din 11 iulie 2012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de capital, raportul anual și semestrial al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va con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ine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privind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iile de propor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și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iile cu conflict de interese încheiate de societate pe perioada raportată</w:t>
      </w:r>
      <w:r w:rsidR="00DE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cu </w:t>
      </w:r>
      <w:r w:rsidR="002341FF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dezvăluirea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E0B5E">
        <w:rPr>
          <w:rFonts w:ascii="Times New Roman" w:eastAsia="Times New Roman" w:hAnsi="Times New Roman" w:cs="Times New Roman"/>
          <w:sz w:val="24"/>
          <w:szCs w:val="24"/>
          <w:lang w:val="ro-RO"/>
        </w:rPr>
        <w:t>iei stabilite de art.83 alin.</w:t>
      </w:r>
      <w:r w:rsidR="002341FF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(1</w:t>
      </w:r>
      <w:r w:rsidR="002341FF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7E0B5E">
        <w:rPr>
          <w:rFonts w:ascii="Times New Roman" w:eastAsia="Times New Roman" w:hAnsi="Times New Roman" w:cs="Times New Roman"/>
          <w:sz w:val="24"/>
          <w:szCs w:val="24"/>
          <w:lang w:val="ro-RO"/>
        </w:rPr>
        <w:t>) sau art.86 alin.</w:t>
      </w:r>
      <w:r w:rsidR="002341FF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(2</w:t>
      </w:r>
      <w:r w:rsidR="002341FF"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4</w:t>
      </w:r>
      <w:r w:rsidR="002341FF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F5CEE90" w14:textId="6B7FBEC5" w:rsidR="008802F2" w:rsidRPr="00CC01AC" w:rsidRDefault="0027493E" w:rsidP="003B1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(3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Suplimentar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stabilite de art.123 din Legea nr.171 din 11 iulie 2012 privind pia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de capital, societatea </w:t>
      </w:r>
      <w:r w:rsidR="009574B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deținută public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obligată să publice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privind următoarele evenimente care influen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ează activitatea sa:</w:t>
      </w:r>
    </w:p>
    <w:p w14:paraId="7B38D038" w14:textId="77777777" w:rsidR="00782626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proofErr w:type="spellStart"/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hotărîrile</w:t>
      </w:r>
      <w:proofErr w:type="spellEnd"/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adunărilor generale;</w:t>
      </w:r>
    </w:p>
    <w:p w14:paraId="4D98E03D" w14:textId="77777777" w:rsidR="00782626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proofErr w:type="spellStart"/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hotărîrile</w:t>
      </w:r>
      <w:proofErr w:type="spellEnd"/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organelor de conducere privind încheierea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de propor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și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iilor cu conflict de interese;</w:t>
      </w:r>
    </w:p>
    <w:p w14:paraId="7CDF7393" w14:textId="77777777" w:rsidR="00782626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c)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substitu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registratorului sau organiza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de audit;</w:t>
      </w:r>
    </w:p>
    <w:p w14:paraId="2361D26E" w14:textId="77777777" w:rsidR="008802F2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d)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calcularea şi plata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dobînzilor</w:t>
      </w:r>
      <w:proofErr w:type="spellEnd"/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obliga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iunile emise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de societate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7AD27B88" w14:textId="77777777" w:rsidR="008802F2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e)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răscumpărarea sau achizi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ionarea valorilor mobiliare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emise de societate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7DA0BBC" w14:textId="77777777" w:rsidR="008802F2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f)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demisionarea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și numirea unor noi membri ai consiliului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organului executiv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sau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comisiei de cenzori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3012AE7" w14:textId="77777777" w:rsidR="008802F2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g)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orice eveniment care poate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atrage incapacitatea de plată;</w:t>
      </w:r>
    </w:p>
    <w:p w14:paraId="5ED7A048" w14:textId="77777777" w:rsidR="00782626" w:rsidRPr="00CC01AC" w:rsidRDefault="00C3110B" w:rsidP="00880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h) 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ierea sau finalizare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 procedurii de insolvabilitate;</w:t>
      </w:r>
    </w:p>
    <w:p w14:paraId="112CC520" w14:textId="77777777" w:rsidR="00E166F4" w:rsidRPr="00CC01AC" w:rsidRDefault="00C3110B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i)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alte evenimente stabilite de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statutul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și/sau 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regulile pie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ei reglementate sau sistemului multilaterale de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78262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care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sînt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admise spre tranzac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ionare valorile mobiliare emise de societate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166F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7D93145E" w14:textId="77777777" w:rsidR="00E166F4" w:rsidRPr="00CC01AC" w:rsidRDefault="00E166F4" w:rsidP="00E1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815FC0" w14:textId="6BBC37A6" w:rsidR="00E166F4" w:rsidRPr="00CC01AC" w:rsidRDefault="00327265" w:rsidP="00E1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 completează cu</w:t>
      </w:r>
      <w:r w:rsidR="00E166F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alineatele (4)</w:t>
      </w:r>
      <w:r w:rsidR="00C155A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E166F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C155A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E166F4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cu următorul cuprins:</w:t>
      </w:r>
    </w:p>
    <w:p w14:paraId="1442F722" w14:textId="6DBCD8C2" w:rsidR="0027493E" w:rsidRPr="00CC01AC" w:rsidRDefault="006937B0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27493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(4) În cazul în care prezenta lege nu prevede expres modul în care o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493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 urmează a fi făcută publică, se consideră că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27493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respectivă este făcută publică dacă a fost dezvăluită:</w:t>
      </w:r>
    </w:p>
    <w:p w14:paraId="680F9789" w14:textId="77777777" w:rsidR="0027493E" w:rsidRPr="00CC01AC" w:rsidRDefault="0027493E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a) în formă electronică pe pagina web a societă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ii; şi/sau</w:t>
      </w:r>
    </w:p>
    <w:p w14:paraId="393547D9" w14:textId="77777777" w:rsidR="0027493E" w:rsidRPr="00CC01AC" w:rsidRDefault="0027493E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b) în unul sau în mai multe ziare cu difuzare na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ională; şi/sau </w:t>
      </w:r>
    </w:p>
    <w:p w14:paraId="4C122AF2" w14:textId="77777777" w:rsidR="0027493E" w:rsidRPr="00CC01AC" w:rsidRDefault="0027493E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c) prin distribuirea acestei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 către o agen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 de presă şi/sau de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ii, cu condi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că aceasta o va dezvălui public; şi/sau</w:t>
      </w:r>
    </w:p>
    <w:p w14:paraId="70065AF4" w14:textId="77777777" w:rsidR="0027493E" w:rsidRPr="00CC01AC" w:rsidRDefault="0027493E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d) în textul unei decizii a unei autorită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 a administra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iei publice, ce urmează a fi publicată în Monitorul Oficial al Republicii Moldova.</w:t>
      </w:r>
    </w:p>
    <w:p w14:paraId="3EDC4910" w14:textId="7B8ECBF1" w:rsidR="008802F2" w:rsidRPr="00CC01AC" w:rsidRDefault="0027493E" w:rsidP="00274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(5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 În cazul în care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este dezvăluită prin mijloacele indicate în alin.(</w:t>
      </w:r>
      <w:r w:rsidR="00E2487F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lit.b</w:t>
      </w:r>
      <w:proofErr w:type="spellEnd"/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proofErr w:type="spellStart"/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-d</w:t>
      </w:r>
      <w:proofErr w:type="spellEnd"/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), emitentul este obligat să dezvăluie aceeași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ie în formă electronică pe pagina web proprie</w:t>
      </w:r>
      <w:r w:rsidR="00C3110B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aceeași zi</w:t>
      </w:r>
      <w:r w:rsidR="008802F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3EBBF8F" w14:textId="77777777" w:rsidR="00E166F4" w:rsidRPr="00CC01AC" w:rsidRDefault="00E166F4" w:rsidP="00E1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 w:rsidR="0027493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Societatea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este obligat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asigure condi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iile tehnice necesare pentru ca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iile dezvăluite pe pagina web proprie să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rămînă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disponibile publicului pe o perioadă de cel pu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 5 ani.</w:t>
      </w:r>
    </w:p>
    <w:p w14:paraId="26209523" w14:textId="2C5DC73A" w:rsidR="00814BF9" w:rsidRPr="00CC01AC" w:rsidRDefault="00E166F4" w:rsidP="00E1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27493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Societatea este în drept să prevadă în statut </w:t>
      </w:r>
      <w:r w:rsidR="00814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unul sau în mai multe ziare cu difuzare na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14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ională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care va fi dezvăluită informa</w:t>
      </w:r>
      <w:r w:rsidR="0069092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ia de</w:t>
      </w:r>
      <w:r w:rsidR="0062097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spre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societate</w:t>
      </w:r>
      <w:r w:rsidR="00814BF9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937B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4B061E6E" w14:textId="77777777" w:rsidR="008802F2" w:rsidRPr="00CC01AC" w:rsidRDefault="008802F2" w:rsidP="00E16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CA3D13" w14:textId="77777777" w:rsidR="00A27298" w:rsidRPr="00CC01AC" w:rsidRDefault="00A27298" w:rsidP="00BE4C2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articolul 92 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(1), după litera n) se introduce o literă nouă cu următorul cuprins:</w:t>
      </w:r>
    </w:p>
    <w:p w14:paraId="1D95D6F3" w14:textId="77777777" w:rsidR="00075E4D" w:rsidRPr="00CC01AC" w:rsidRDefault="00A27298" w:rsidP="001B1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„(n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 documenta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aferentă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iilor de propor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 și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iilor cu conflict de interese</w:t>
      </w:r>
      <w:r w:rsidR="00D57D5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inclusiv contractul privind tranzac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57D5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ia cu conflict de interese, declara</w:t>
      </w:r>
      <w:r w:rsidR="00690929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="00D57D55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ia scrisă stabilită de art. 86 alin. </w:t>
      </w:r>
      <w:r w:rsidR="00D57D5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(2</w:t>
      </w:r>
      <w:r w:rsidR="00D57D55" w:rsidRPr="00CC0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D57D55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), facturi, ordine de plată</w:t>
      </w:r>
      <w:r w:rsidR="00564153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, extrase bancare</w:t>
      </w: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1863E1FA" w14:textId="77777777" w:rsidR="00DF6512" w:rsidRPr="00CC01AC" w:rsidRDefault="00DF6512" w:rsidP="001B1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E0E20D" w14:textId="77777777" w:rsidR="00DF6512" w:rsidRPr="00CC01AC" w:rsidRDefault="00932509" w:rsidP="00DF651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DF651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rticolul 93</w:t>
      </w:r>
      <w:r w:rsidR="00DF6512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14:paraId="304CE956" w14:textId="77777777" w:rsidR="00DF6512" w:rsidRPr="00CC01AC" w:rsidRDefault="00EC3142" w:rsidP="00DF6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alineatul (9) va avea următorul cuprins:</w:t>
      </w:r>
    </w:p>
    <w:p w14:paraId="11A04F34" w14:textId="2F602FC5" w:rsidR="00EC3142" w:rsidRPr="00CC01AC" w:rsidRDefault="00EC3142" w:rsidP="00DF6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„(9) </w:t>
      </w:r>
      <w:r w:rsidR="0034439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Reorganiz</w:t>
      </w:r>
      <w:r w:rsidR="00A80F5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area societății deținute public</w:t>
      </w:r>
      <w:r w:rsidR="0034439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efectuează în temeiul autorizației eliberate de Comisia Națională a Pieței Financiare.</w:t>
      </w:r>
      <w:bookmarkStart w:id="0" w:name="_GoBack"/>
      <w:bookmarkEnd w:id="0"/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  <w:r w:rsidR="00344397"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4E0B31E4" w14:textId="77777777" w:rsidR="00344397" w:rsidRPr="00CC01AC" w:rsidRDefault="00344397" w:rsidP="00DF6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85D3EB" w14:textId="77777777" w:rsidR="00DF6512" w:rsidRPr="00CC01AC" w:rsidRDefault="00344397" w:rsidP="001B1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alineatul (10), după cuvîntul „societății” se introduc cuvintele „deținute public”.</w:t>
      </w:r>
    </w:p>
    <w:p w14:paraId="0F1F9AEB" w14:textId="77777777" w:rsidR="007D6742" w:rsidRPr="00CC01AC" w:rsidRDefault="007D6742" w:rsidP="001B1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86D3DB" w14:textId="314F531E" w:rsidR="00344397" w:rsidRPr="00CC01AC" w:rsidRDefault="00344397" w:rsidP="003443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În articolul 95 alineatul (11) cuv</w:t>
      </w:r>
      <w:r w:rsidR="00C6625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C6625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„precum” se </w:t>
      </w:r>
      <w:r w:rsidR="00C6625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substituie cu cuvintele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 </w:t>
      </w:r>
      <w:r w:rsidR="00C66258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iar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pentru societățile deținute public”.</w:t>
      </w:r>
    </w:p>
    <w:p w14:paraId="317A5206" w14:textId="77777777" w:rsidR="00344397" w:rsidRPr="00CC01AC" w:rsidRDefault="00344397" w:rsidP="001B1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F2C3519" w14:textId="32F573C3" w:rsidR="00872FC0" w:rsidRPr="00CC01AC" w:rsidRDefault="007D6742" w:rsidP="007D6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Art.II</w:t>
      </w:r>
      <w:proofErr w:type="spellEnd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="0087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Prezenta lege intră în vigoare</w:t>
      </w:r>
      <w:r w:rsidR="001C55F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</w:t>
      </w:r>
      <w:r w:rsidR="000C017E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trei </w:t>
      </w:r>
      <w:r w:rsidR="001C55F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luni de la data publicării</w:t>
      </w:r>
      <w:r w:rsidR="00872FC0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1138816" w14:textId="77777777" w:rsidR="00872FC0" w:rsidRPr="00CC01AC" w:rsidRDefault="00872FC0" w:rsidP="007D6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98FE1D" w14:textId="12AAF324" w:rsidR="00872FC0" w:rsidRPr="00CC01AC" w:rsidRDefault="00872FC0" w:rsidP="00872F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Art.III</w:t>
      </w:r>
      <w:proofErr w:type="spellEnd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="007D674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Comisia Națională a Pieței Financiare își va aduce actele sale normative în conformitate cu prezenta lege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pînă</w:t>
      </w:r>
      <w:proofErr w:type="spellEnd"/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intrării în vigoare a prezentei legi</w:t>
      </w:r>
      <w:r w:rsidR="007D6742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E6E7B82" w14:textId="77777777" w:rsidR="007D6742" w:rsidRPr="00CC01AC" w:rsidRDefault="007D6742" w:rsidP="007D6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F84F693" w14:textId="1A430DC1" w:rsidR="007D6742" w:rsidRPr="00CC01AC" w:rsidRDefault="007D6742" w:rsidP="007D6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proofErr w:type="spellStart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Art.I</w:t>
      </w:r>
      <w:r w:rsidR="00872FC0"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</w:t>
      </w:r>
      <w:proofErr w:type="spellEnd"/>
      <w:r w:rsidRPr="00CC01A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Actele normative ale Comisi</w:t>
      </w:r>
      <w:r w:rsidR="0062097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Național</w:t>
      </w:r>
      <w:r w:rsidR="0062097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Pieței Financiare</w:t>
      </w:r>
      <w:r w:rsidR="0062097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actele de constituire și </w:t>
      </w:r>
      <w:r w:rsidR="00C47586"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actele </w:t>
      </w:r>
      <w:r w:rsidRPr="00CC01AC">
        <w:rPr>
          <w:rFonts w:ascii="Times New Roman" w:eastAsia="Times New Roman" w:hAnsi="Times New Roman" w:cs="Times New Roman"/>
          <w:sz w:val="24"/>
          <w:szCs w:val="24"/>
          <w:lang w:val="ro-RO"/>
        </w:rPr>
        <w:t>interne ale societăților pe acțiuni se aplică în măsura în care nu contravin prezentei legi.</w:t>
      </w:r>
    </w:p>
    <w:sectPr w:rsidR="007D6742" w:rsidRPr="00CC01AC" w:rsidSect="00BD12FF">
      <w:footerReference w:type="default" r:id="rId9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ACAB4" w14:textId="77777777" w:rsidR="00C311FF" w:rsidRDefault="00C311FF" w:rsidP="00386D00">
      <w:pPr>
        <w:spacing w:after="0" w:line="240" w:lineRule="auto"/>
      </w:pPr>
      <w:r>
        <w:separator/>
      </w:r>
    </w:p>
  </w:endnote>
  <w:endnote w:type="continuationSeparator" w:id="0">
    <w:p w14:paraId="4A644552" w14:textId="77777777" w:rsidR="00C311FF" w:rsidRDefault="00C311FF" w:rsidP="00386D00">
      <w:pPr>
        <w:spacing w:after="0" w:line="240" w:lineRule="auto"/>
      </w:pPr>
      <w:r>
        <w:continuationSeparator/>
      </w:r>
    </w:p>
  </w:endnote>
  <w:endnote w:type="continuationNotice" w:id="1">
    <w:p w14:paraId="1937F542" w14:textId="77777777" w:rsidR="00C311FF" w:rsidRDefault="00C31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32215"/>
      <w:docPartObj>
        <w:docPartGallery w:val="Page Numbers (Bottom of Page)"/>
        <w:docPartUnique/>
      </w:docPartObj>
    </w:sdtPr>
    <w:sdtEndPr/>
    <w:sdtContent>
      <w:p w14:paraId="4744AC3F" w14:textId="3A89BD3F" w:rsidR="00725087" w:rsidRDefault="007250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F50" w:rsidRPr="00A80F50">
          <w:rPr>
            <w:noProof/>
            <w:lang w:val="ru-RU"/>
          </w:rPr>
          <w:t>11</w:t>
        </w:r>
        <w:r>
          <w:fldChar w:fldCharType="end"/>
        </w:r>
      </w:p>
    </w:sdtContent>
  </w:sdt>
  <w:p w14:paraId="2CCFCAE4" w14:textId="77777777" w:rsidR="00725087" w:rsidRDefault="007250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9564E" w14:textId="77777777" w:rsidR="00C311FF" w:rsidRDefault="00C311FF" w:rsidP="00386D00">
      <w:pPr>
        <w:spacing w:after="0" w:line="240" w:lineRule="auto"/>
      </w:pPr>
      <w:r>
        <w:separator/>
      </w:r>
    </w:p>
  </w:footnote>
  <w:footnote w:type="continuationSeparator" w:id="0">
    <w:p w14:paraId="321D7D65" w14:textId="77777777" w:rsidR="00C311FF" w:rsidRDefault="00C311FF" w:rsidP="00386D00">
      <w:pPr>
        <w:spacing w:after="0" w:line="240" w:lineRule="auto"/>
      </w:pPr>
      <w:r>
        <w:continuationSeparator/>
      </w:r>
    </w:p>
  </w:footnote>
  <w:footnote w:type="continuationNotice" w:id="1">
    <w:p w14:paraId="7D54C1E0" w14:textId="77777777" w:rsidR="00C311FF" w:rsidRDefault="00C311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4F3D"/>
    <w:multiLevelType w:val="hybridMultilevel"/>
    <w:tmpl w:val="B99E7FD2"/>
    <w:lvl w:ilvl="0" w:tplc="157A52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977245"/>
    <w:multiLevelType w:val="hybridMultilevel"/>
    <w:tmpl w:val="050AC88C"/>
    <w:lvl w:ilvl="0" w:tplc="B3B49D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1D5462"/>
    <w:multiLevelType w:val="hybridMultilevel"/>
    <w:tmpl w:val="E9388FA2"/>
    <w:lvl w:ilvl="0" w:tplc="638C7C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F76785"/>
    <w:multiLevelType w:val="hybridMultilevel"/>
    <w:tmpl w:val="C360BA66"/>
    <w:lvl w:ilvl="0" w:tplc="3166998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967256"/>
    <w:multiLevelType w:val="hybridMultilevel"/>
    <w:tmpl w:val="59AEF8BE"/>
    <w:lvl w:ilvl="0" w:tplc="7ABAB6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48"/>
    <w:rsid w:val="00000151"/>
    <w:rsid w:val="00011CA9"/>
    <w:rsid w:val="0002372B"/>
    <w:rsid w:val="000245D4"/>
    <w:rsid w:val="000268AD"/>
    <w:rsid w:val="0003249C"/>
    <w:rsid w:val="00037F65"/>
    <w:rsid w:val="00054DE2"/>
    <w:rsid w:val="0006558C"/>
    <w:rsid w:val="00067943"/>
    <w:rsid w:val="00074430"/>
    <w:rsid w:val="00075E4D"/>
    <w:rsid w:val="000832F2"/>
    <w:rsid w:val="0009013B"/>
    <w:rsid w:val="000929D7"/>
    <w:rsid w:val="000A5B80"/>
    <w:rsid w:val="000B3C1A"/>
    <w:rsid w:val="000C017E"/>
    <w:rsid w:val="000C399F"/>
    <w:rsid w:val="000F249B"/>
    <w:rsid w:val="0011157F"/>
    <w:rsid w:val="00111704"/>
    <w:rsid w:val="001151EE"/>
    <w:rsid w:val="00123CC5"/>
    <w:rsid w:val="00125C44"/>
    <w:rsid w:val="0014536B"/>
    <w:rsid w:val="00154265"/>
    <w:rsid w:val="00154E48"/>
    <w:rsid w:val="00156682"/>
    <w:rsid w:val="001602A0"/>
    <w:rsid w:val="0016458D"/>
    <w:rsid w:val="00191C91"/>
    <w:rsid w:val="001A2ACC"/>
    <w:rsid w:val="001B1965"/>
    <w:rsid w:val="001C1995"/>
    <w:rsid w:val="001C55F0"/>
    <w:rsid w:val="001D049C"/>
    <w:rsid w:val="001D64A1"/>
    <w:rsid w:val="001F7D2F"/>
    <w:rsid w:val="00202A6C"/>
    <w:rsid w:val="00203DDE"/>
    <w:rsid w:val="00206DF0"/>
    <w:rsid w:val="00207842"/>
    <w:rsid w:val="0021031A"/>
    <w:rsid w:val="00211D07"/>
    <w:rsid w:val="00220838"/>
    <w:rsid w:val="00220E5D"/>
    <w:rsid w:val="002314D0"/>
    <w:rsid w:val="002339EB"/>
    <w:rsid w:val="002341FF"/>
    <w:rsid w:val="00236151"/>
    <w:rsid w:val="00241278"/>
    <w:rsid w:val="00256004"/>
    <w:rsid w:val="00257369"/>
    <w:rsid w:val="00265D4F"/>
    <w:rsid w:val="00271617"/>
    <w:rsid w:val="002727EF"/>
    <w:rsid w:val="0027493E"/>
    <w:rsid w:val="002800D3"/>
    <w:rsid w:val="002820AA"/>
    <w:rsid w:val="0029011F"/>
    <w:rsid w:val="00293A7E"/>
    <w:rsid w:val="002A1115"/>
    <w:rsid w:val="002A4A6B"/>
    <w:rsid w:val="002A4F2A"/>
    <w:rsid w:val="002A7F30"/>
    <w:rsid w:val="002B06D7"/>
    <w:rsid w:val="002B33D7"/>
    <w:rsid w:val="002C53C0"/>
    <w:rsid w:val="002D42DD"/>
    <w:rsid w:val="002E2370"/>
    <w:rsid w:val="002E527E"/>
    <w:rsid w:val="002E5302"/>
    <w:rsid w:val="002E6642"/>
    <w:rsid w:val="002F00EC"/>
    <w:rsid w:val="002F2AD7"/>
    <w:rsid w:val="002F3D85"/>
    <w:rsid w:val="0030177E"/>
    <w:rsid w:val="003027B9"/>
    <w:rsid w:val="00306919"/>
    <w:rsid w:val="00310375"/>
    <w:rsid w:val="00310AFF"/>
    <w:rsid w:val="0031418D"/>
    <w:rsid w:val="003155DC"/>
    <w:rsid w:val="00317657"/>
    <w:rsid w:val="00327265"/>
    <w:rsid w:val="00332CD7"/>
    <w:rsid w:val="00344397"/>
    <w:rsid w:val="003448E4"/>
    <w:rsid w:val="00350E50"/>
    <w:rsid w:val="00352EFA"/>
    <w:rsid w:val="003557B2"/>
    <w:rsid w:val="00373508"/>
    <w:rsid w:val="00384C73"/>
    <w:rsid w:val="003860F3"/>
    <w:rsid w:val="00386463"/>
    <w:rsid w:val="00386D00"/>
    <w:rsid w:val="00394228"/>
    <w:rsid w:val="003B16BD"/>
    <w:rsid w:val="003D50C8"/>
    <w:rsid w:val="003F0012"/>
    <w:rsid w:val="003F4873"/>
    <w:rsid w:val="003F799E"/>
    <w:rsid w:val="00403DF0"/>
    <w:rsid w:val="00411A61"/>
    <w:rsid w:val="0042697A"/>
    <w:rsid w:val="004311A2"/>
    <w:rsid w:val="004357C8"/>
    <w:rsid w:val="00437622"/>
    <w:rsid w:val="00440919"/>
    <w:rsid w:val="00460896"/>
    <w:rsid w:val="004635DF"/>
    <w:rsid w:val="004720DB"/>
    <w:rsid w:val="00472B48"/>
    <w:rsid w:val="0047684F"/>
    <w:rsid w:val="004821CC"/>
    <w:rsid w:val="00487419"/>
    <w:rsid w:val="00492D75"/>
    <w:rsid w:val="00493442"/>
    <w:rsid w:val="0049421E"/>
    <w:rsid w:val="004A3204"/>
    <w:rsid w:val="004B0CDB"/>
    <w:rsid w:val="004B377A"/>
    <w:rsid w:val="004B4EAD"/>
    <w:rsid w:val="004C21F7"/>
    <w:rsid w:val="004C3D3D"/>
    <w:rsid w:val="004D4467"/>
    <w:rsid w:val="004E1743"/>
    <w:rsid w:val="004E6EBD"/>
    <w:rsid w:val="004F45BA"/>
    <w:rsid w:val="004F5CBA"/>
    <w:rsid w:val="00501482"/>
    <w:rsid w:val="00507547"/>
    <w:rsid w:val="00510681"/>
    <w:rsid w:val="00522913"/>
    <w:rsid w:val="00523FCB"/>
    <w:rsid w:val="00524512"/>
    <w:rsid w:val="00530114"/>
    <w:rsid w:val="00530401"/>
    <w:rsid w:val="00530D9F"/>
    <w:rsid w:val="00532CA5"/>
    <w:rsid w:val="00546E6E"/>
    <w:rsid w:val="00561C22"/>
    <w:rsid w:val="00564153"/>
    <w:rsid w:val="005739A9"/>
    <w:rsid w:val="005927D9"/>
    <w:rsid w:val="005978E5"/>
    <w:rsid w:val="005B4FEF"/>
    <w:rsid w:val="005B550F"/>
    <w:rsid w:val="005B61FC"/>
    <w:rsid w:val="005C5B50"/>
    <w:rsid w:val="005C7887"/>
    <w:rsid w:val="005D5D25"/>
    <w:rsid w:val="005E261A"/>
    <w:rsid w:val="005F3BDC"/>
    <w:rsid w:val="005F46F0"/>
    <w:rsid w:val="006101B7"/>
    <w:rsid w:val="0061048C"/>
    <w:rsid w:val="00620976"/>
    <w:rsid w:val="0062483F"/>
    <w:rsid w:val="00624D96"/>
    <w:rsid w:val="006331F8"/>
    <w:rsid w:val="0063494D"/>
    <w:rsid w:val="00641EE0"/>
    <w:rsid w:val="00644DA5"/>
    <w:rsid w:val="00651771"/>
    <w:rsid w:val="00651CA3"/>
    <w:rsid w:val="00653722"/>
    <w:rsid w:val="0066379A"/>
    <w:rsid w:val="00664639"/>
    <w:rsid w:val="00664DF8"/>
    <w:rsid w:val="00672F02"/>
    <w:rsid w:val="006811CD"/>
    <w:rsid w:val="00690929"/>
    <w:rsid w:val="00692EF3"/>
    <w:rsid w:val="006937B0"/>
    <w:rsid w:val="006A71BD"/>
    <w:rsid w:val="006B6410"/>
    <w:rsid w:val="006C234E"/>
    <w:rsid w:val="006C4763"/>
    <w:rsid w:val="006C74A6"/>
    <w:rsid w:val="006D65DE"/>
    <w:rsid w:val="006D7F8F"/>
    <w:rsid w:val="006E2D75"/>
    <w:rsid w:val="006E3EBF"/>
    <w:rsid w:val="0071164C"/>
    <w:rsid w:val="007122A9"/>
    <w:rsid w:val="00712E86"/>
    <w:rsid w:val="00725087"/>
    <w:rsid w:val="00726A17"/>
    <w:rsid w:val="00731446"/>
    <w:rsid w:val="00764469"/>
    <w:rsid w:val="00767D70"/>
    <w:rsid w:val="00782626"/>
    <w:rsid w:val="00785CC1"/>
    <w:rsid w:val="00787D67"/>
    <w:rsid w:val="007908BA"/>
    <w:rsid w:val="007A69DA"/>
    <w:rsid w:val="007A7C89"/>
    <w:rsid w:val="007B4E5D"/>
    <w:rsid w:val="007C3E35"/>
    <w:rsid w:val="007C516E"/>
    <w:rsid w:val="007D1A56"/>
    <w:rsid w:val="007D6742"/>
    <w:rsid w:val="007E0329"/>
    <w:rsid w:val="007E0B5E"/>
    <w:rsid w:val="007E1A47"/>
    <w:rsid w:val="007F27AD"/>
    <w:rsid w:val="007F429C"/>
    <w:rsid w:val="007F71D7"/>
    <w:rsid w:val="00803AB1"/>
    <w:rsid w:val="00805EC5"/>
    <w:rsid w:val="00814BF9"/>
    <w:rsid w:val="00820850"/>
    <w:rsid w:val="00820D1E"/>
    <w:rsid w:val="00825EEC"/>
    <w:rsid w:val="00825FB1"/>
    <w:rsid w:val="00832902"/>
    <w:rsid w:val="0085123B"/>
    <w:rsid w:val="00867E0B"/>
    <w:rsid w:val="00872FC0"/>
    <w:rsid w:val="008802F2"/>
    <w:rsid w:val="00883AE5"/>
    <w:rsid w:val="00885EAF"/>
    <w:rsid w:val="008A1B9D"/>
    <w:rsid w:val="008A3F56"/>
    <w:rsid w:val="008B0B98"/>
    <w:rsid w:val="008B7CE9"/>
    <w:rsid w:val="008C20EC"/>
    <w:rsid w:val="008C4318"/>
    <w:rsid w:val="008C68C7"/>
    <w:rsid w:val="008D6C22"/>
    <w:rsid w:val="008E2EF4"/>
    <w:rsid w:val="00902B34"/>
    <w:rsid w:val="00913586"/>
    <w:rsid w:val="00913890"/>
    <w:rsid w:val="00924B4E"/>
    <w:rsid w:val="00932509"/>
    <w:rsid w:val="0093313A"/>
    <w:rsid w:val="00934907"/>
    <w:rsid w:val="00945E9D"/>
    <w:rsid w:val="00945FA3"/>
    <w:rsid w:val="00953F61"/>
    <w:rsid w:val="0095626B"/>
    <w:rsid w:val="009574B3"/>
    <w:rsid w:val="00957942"/>
    <w:rsid w:val="00960811"/>
    <w:rsid w:val="0098020B"/>
    <w:rsid w:val="0099488C"/>
    <w:rsid w:val="00995D14"/>
    <w:rsid w:val="009B6A94"/>
    <w:rsid w:val="009D29CE"/>
    <w:rsid w:val="009D3587"/>
    <w:rsid w:val="009D599D"/>
    <w:rsid w:val="009E207D"/>
    <w:rsid w:val="009E4D99"/>
    <w:rsid w:val="009E7BF9"/>
    <w:rsid w:val="009F099C"/>
    <w:rsid w:val="009F1046"/>
    <w:rsid w:val="009F5889"/>
    <w:rsid w:val="009F7C78"/>
    <w:rsid w:val="00A012C6"/>
    <w:rsid w:val="00A05184"/>
    <w:rsid w:val="00A06FE3"/>
    <w:rsid w:val="00A12B41"/>
    <w:rsid w:val="00A16405"/>
    <w:rsid w:val="00A2227A"/>
    <w:rsid w:val="00A27298"/>
    <w:rsid w:val="00A3182E"/>
    <w:rsid w:val="00A344D6"/>
    <w:rsid w:val="00A35E66"/>
    <w:rsid w:val="00A4580B"/>
    <w:rsid w:val="00A570D6"/>
    <w:rsid w:val="00A57A95"/>
    <w:rsid w:val="00A628B9"/>
    <w:rsid w:val="00A63A63"/>
    <w:rsid w:val="00A65DC5"/>
    <w:rsid w:val="00A80D13"/>
    <w:rsid w:val="00A80F50"/>
    <w:rsid w:val="00A83D32"/>
    <w:rsid w:val="00A86106"/>
    <w:rsid w:val="00A868D1"/>
    <w:rsid w:val="00A944E5"/>
    <w:rsid w:val="00A96C16"/>
    <w:rsid w:val="00AA4395"/>
    <w:rsid w:val="00AB1046"/>
    <w:rsid w:val="00AB3923"/>
    <w:rsid w:val="00AC03BC"/>
    <w:rsid w:val="00AD1C55"/>
    <w:rsid w:val="00AD5DC3"/>
    <w:rsid w:val="00AD6432"/>
    <w:rsid w:val="00B11CAA"/>
    <w:rsid w:val="00B16D7A"/>
    <w:rsid w:val="00B173D2"/>
    <w:rsid w:val="00B328E0"/>
    <w:rsid w:val="00B3486B"/>
    <w:rsid w:val="00B35911"/>
    <w:rsid w:val="00B425C5"/>
    <w:rsid w:val="00B54D93"/>
    <w:rsid w:val="00B56154"/>
    <w:rsid w:val="00B700CD"/>
    <w:rsid w:val="00B751C7"/>
    <w:rsid w:val="00B90436"/>
    <w:rsid w:val="00B93473"/>
    <w:rsid w:val="00B95276"/>
    <w:rsid w:val="00BB4ACE"/>
    <w:rsid w:val="00BB6851"/>
    <w:rsid w:val="00BC078E"/>
    <w:rsid w:val="00BC0C20"/>
    <w:rsid w:val="00BC19BC"/>
    <w:rsid w:val="00BC1CA1"/>
    <w:rsid w:val="00BC510C"/>
    <w:rsid w:val="00BD12FF"/>
    <w:rsid w:val="00BD77E3"/>
    <w:rsid w:val="00BE4C22"/>
    <w:rsid w:val="00BE6A6F"/>
    <w:rsid w:val="00C0070D"/>
    <w:rsid w:val="00C02D05"/>
    <w:rsid w:val="00C038C0"/>
    <w:rsid w:val="00C139AE"/>
    <w:rsid w:val="00C155A0"/>
    <w:rsid w:val="00C2281A"/>
    <w:rsid w:val="00C3110B"/>
    <w:rsid w:val="00C311FF"/>
    <w:rsid w:val="00C350EE"/>
    <w:rsid w:val="00C41A12"/>
    <w:rsid w:val="00C420D7"/>
    <w:rsid w:val="00C43332"/>
    <w:rsid w:val="00C43C08"/>
    <w:rsid w:val="00C47127"/>
    <w:rsid w:val="00C47586"/>
    <w:rsid w:val="00C4782B"/>
    <w:rsid w:val="00C51B4E"/>
    <w:rsid w:val="00C526FB"/>
    <w:rsid w:val="00C542BC"/>
    <w:rsid w:val="00C54C02"/>
    <w:rsid w:val="00C66258"/>
    <w:rsid w:val="00C67603"/>
    <w:rsid w:val="00C74098"/>
    <w:rsid w:val="00C765F1"/>
    <w:rsid w:val="00C8585D"/>
    <w:rsid w:val="00C877EA"/>
    <w:rsid w:val="00CA4D64"/>
    <w:rsid w:val="00CA5D88"/>
    <w:rsid w:val="00CB7C58"/>
    <w:rsid w:val="00CC01AC"/>
    <w:rsid w:val="00CC2FF1"/>
    <w:rsid w:val="00CC3987"/>
    <w:rsid w:val="00CC46D0"/>
    <w:rsid w:val="00CD050E"/>
    <w:rsid w:val="00CD0F8B"/>
    <w:rsid w:val="00CE2779"/>
    <w:rsid w:val="00CE42AE"/>
    <w:rsid w:val="00CE5E87"/>
    <w:rsid w:val="00D05C42"/>
    <w:rsid w:val="00D10105"/>
    <w:rsid w:val="00D15D0A"/>
    <w:rsid w:val="00D27FC5"/>
    <w:rsid w:val="00D451F4"/>
    <w:rsid w:val="00D5447B"/>
    <w:rsid w:val="00D55977"/>
    <w:rsid w:val="00D57915"/>
    <w:rsid w:val="00D57D55"/>
    <w:rsid w:val="00D7004B"/>
    <w:rsid w:val="00D70668"/>
    <w:rsid w:val="00D9113C"/>
    <w:rsid w:val="00D93085"/>
    <w:rsid w:val="00D975E8"/>
    <w:rsid w:val="00DC1511"/>
    <w:rsid w:val="00DC2EA9"/>
    <w:rsid w:val="00DD7172"/>
    <w:rsid w:val="00DE2FC0"/>
    <w:rsid w:val="00DE537A"/>
    <w:rsid w:val="00DF33BB"/>
    <w:rsid w:val="00DF6512"/>
    <w:rsid w:val="00DF7FE3"/>
    <w:rsid w:val="00E007B5"/>
    <w:rsid w:val="00E02E72"/>
    <w:rsid w:val="00E06222"/>
    <w:rsid w:val="00E07607"/>
    <w:rsid w:val="00E07DC3"/>
    <w:rsid w:val="00E166F4"/>
    <w:rsid w:val="00E21671"/>
    <w:rsid w:val="00E2348A"/>
    <w:rsid w:val="00E2487F"/>
    <w:rsid w:val="00E34462"/>
    <w:rsid w:val="00E3642F"/>
    <w:rsid w:val="00E431AA"/>
    <w:rsid w:val="00E51D98"/>
    <w:rsid w:val="00E61D9A"/>
    <w:rsid w:val="00E65F05"/>
    <w:rsid w:val="00E669AA"/>
    <w:rsid w:val="00E72781"/>
    <w:rsid w:val="00E832B7"/>
    <w:rsid w:val="00E855A1"/>
    <w:rsid w:val="00E876F3"/>
    <w:rsid w:val="00E902CB"/>
    <w:rsid w:val="00E91DC7"/>
    <w:rsid w:val="00E91DD3"/>
    <w:rsid w:val="00E93177"/>
    <w:rsid w:val="00EA2024"/>
    <w:rsid w:val="00EA403E"/>
    <w:rsid w:val="00EA63C6"/>
    <w:rsid w:val="00EB6EC7"/>
    <w:rsid w:val="00EB7395"/>
    <w:rsid w:val="00EC0B4A"/>
    <w:rsid w:val="00EC0F7A"/>
    <w:rsid w:val="00EC3142"/>
    <w:rsid w:val="00EC3942"/>
    <w:rsid w:val="00EC645D"/>
    <w:rsid w:val="00EE187E"/>
    <w:rsid w:val="00EE4E52"/>
    <w:rsid w:val="00EE6CBA"/>
    <w:rsid w:val="00EF1ECB"/>
    <w:rsid w:val="00EF6747"/>
    <w:rsid w:val="00EF76BF"/>
    <w:rsid w:val="00F107AC"/>
    <w:rsid w:val="00F119DB"/>
    <w:rsid w:val="00F1278E"/>
    <w:rsid w:val="00F365D7"/>
    <w:rsid w:val="00F369AB"/>
    <w:rsid w:val="00F42C53"/>
    <w:rsid w:val="00F44569"/>
    <w:rsid w:val="00F471A2"/>
    <w:rsid w:val="00F5078E"/>
    <w:rsid w:val="00F51FEE"/>
    <w:rsid w:val="00F56311"/>
    <w:rsid w:val="00F60610"/>
    <w:rsid w:val="00F770F8"/>
    <w:rsid w:val="00F82B6A"/>
    <w:rsid w:val="00F86FCA"/>
    <w:rsid w:val="00F902C5"/>
    <w:rsid w:val="00F90EAC"/>
    <w:rsid w:val="00F92AE7"/>
    <w:rsid w:val="00F96DC8"/>
    <w:rsid w:val="00FA16CD"/>
    <w:rsid w:val="00FA5BCA"/>
    <w:rsid w:val="00FB3629"/>
    <w:rsid w:val="00FB7564"/>
    <w:rsid w:val="00FB7B07"/>
    <w:rsid w:val="00FC2C1C"/>
    <w:rsid w:val="00FC6759"/>
    <w:rsid w:val="00FD01C2"/>
    <w:rsid w:val="00FD2AF9"/>
    <w:rsid w:val="00FD7DA6"/>
    <w:rsid w:val="00FE7B31"/>
    <w:rsid w:val="00FF589F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paragraph" w:styleId="a3">
    <w:name w:val="List Paragraph"/>
    <w:basedOn w:val="a"/>
    <w:uiPriority w:val="34"/>
    <w:qFormat/>
    <w:rsid w:val="00CA5D8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86D0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86D0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86D0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85C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CC1"/>
  </w:style>
  <w:style w:type="paragraph" w:styleId="a9">
    <w:name w:val="footer"/>
    <w:basedOn w:val="a"/>
    <w:link w:val="aa"/>
    <w:uiPriority w:val="99"/>
    <w:unhideWhenUsed/>
    <w:rsid w:val="00785C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CC1"/>
  </w:style>
  <w:style w:type="paragraph" w:styleId="ab">
    <w:name w:val="Balloon Text"/>
    <w:basedOn w:val="a"/>
    <w:link w:val="ac"/>
    <w:uiPriority w:val="99"/>
    <w:semiHidden/>
    <w:unhideWhenUsed/>
    <w:rsid w:val="0034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43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paragraph" w:styleId="a3">
    <w:name w:val="List Paragraph"/>
    <w:basedOn w:val="a"/>
    <w:uiPriority w:val="34"/>
    <w:qFormat/>
    <w:rsid w:val="00CA5D8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86D0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86D0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86D0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85C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CC1"/>
  </w:style>
  <w:style w:type="paragraph" w:styleId="a9">
    <w:name w:val="footer"/>
    <w:basedOn w:val="a"/>
    <w:link w:val="aa"/>
    <w:uiPriority w:val="99"/>
    <w:unhideWhenUsed/>
    <w:rsid w:val="00785C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CC1"/>
  </w:style>
  <w:style w:type="paragraph" w:styleId="ab">
    <w:name w:val="Balloon Text"/>
    <w:basedOn w:val="a"/>
    <w:link w:val="ac"/>
    <w:uiPriority w:val="99"/>
    <w:semiHidden/>
    <w:unhideWhenUsed/>
    <w:rsid w:val="0034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CFC7-410C-40B2-A8B7-65F3C621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4535</Words>
  <Characters>25854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2013-09-19T15:02:00Z</dcterms:created>
  <dcterms:modified xsi:type="dcterms:W3CDTF">2013-09-27T10:58:00Z</dcterms:modified>
</cp:coreProperties>
</file>