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55" w:rsidRPr="00DE1CEB" w:rsidRDefault="000577FF">
      <w:pPr>
        <w:pStyle w:val="NormalWeb"/>
        <w:tabs>
          <w:tab w:val="left" w:pos="-142"/>
        </w:tabs>
        <w:spacing w:before="0" w:after="0" w:line="276" w:lineRule="auto"/>
        <w:jc w:val="center"/>
        <w:rPr>
          <w:b/>
          <w:lang w:eastAsia="en-GB"/>
        </w:rPr>
      </w:pPr>
      <w:bookmarkStart w:id="0" w:name="_GoBack"/>
      <w:bookmarkEnd w:id="0"/>
      <w:r w:rsidRPr="00DE1CEB">
        <w:rPr>
          <w:b/>
          <w:lang w:eastAsia="en-GB"/>
        </w:rPr>
        <w:t>Notă informativă</w:t>
      </w:r>
    </w:p>
    <w:p w:rsidR="00090455" w:rsidRPr="00DE1CEB" w:rsidRDefault="000577FF" w:rsidP="00E27F80">
      <w:pPr>
        <w:pStyle w:val="NormalWeb"/>
        <w:tabs>
          <w:tab w:val="left" w:pos="-142"/>
        </w:tabs>
        <w:spacing w:before="0" w:after="0" w:line="276" w:lineRule="auto"/>
        <w:jc w:val="center"/>
        <w:rPr>
          <w:rStyle w:val="Fontdeparagrafimplicit"/>
          <w:b/>
          <w:bCs/>
          <w:lang w:eastAsia="en-GB"/>
        </w:rPr>
      </w:pPr>
      <w:r w:rsidRPr="00DE1CEB">
        <w:rPr>
          <w:rStyle w:val="Fontdeparagrafimplicit"/>
          <w:b/>
          <w:lang w:eastAsia="en-GB"/>
        </w:rPr>
        <w:t xml:space="preserve">la proiectul Hotărârii Guvernului </w:t>
      </w:r>
      <w:r w:rsidRPr="00DE1CEB">
        <w:rPr>
          <w:rStyle w:val="Fontdeparagrafimplicit"/>
          <w:b/>
          <w:bCs/>
          <w:lang w:eastAsia="en-GB"/>
        </w:rPr>
        <w:t>cu privire la modificarea</w:t>
      </w:r>
      <w:r w:rsidR="00E27F80" w:rsidRPr="00DE1CEB">
        <w:rPr>
          <w:rStyle w:val="Fontdeparagrafimplicit"/>
          <w:b/>
          <w:bCs/>
          <w:lang w:eastAsia="en-GB"/>
        </w:rPr>
        <w:t xml:space="preserve"> unor</w:t>
      </w:r>
      <w:r w:rsidRPr="00DE1CEB">
        <w:rPr>
          <w:rStyle w:val="Fontdeparagrafimplicit"/>
          <w:b/>
          <w:bCs/>
          <w:lang w:eastAsia="en-GB"/>
        </w:rPr>
        <w:t xml:space="preserve"> Hotărârii </w:t>
      </w:r>
      <w:r w:rsidR="00E27F80" w:rsidRPr="00DE1CEB">
        <w:rPr>
          <w:rStyle w:val="Fontdeparagrafimplicit"/>
          <w:b/>
          <w:bCs/>
          <w:lang w:eastAsia="en-GB"/>
        </w:rPr>
        <w:t xml:space="preserve">de </w:t>
      </w:r>
      <w:r w:rsidRPr="00DE1CEB">
        <w:rPr>
          <w:rStyle w:val="Fontdeparagrafimplicit"/>
          <w:b/>
          <w:bCs/>
          <w:lang w:eastAsia="en-GB"/>
        </w:rPr>
        <w:t>Guvern</w:t>
      </w:r>
      <w:r w:rsidR="00E27F80" w:rsidRPr="00DE1CEB">
        <w:rPr>
          <w:rStyle w:val="Fontdeparagrafimplicit"/>
          <w:b/>
          <w:bCs/>
          <w:lang w:eastAsia="en-GB"/>
        </w:rPr>
        <w:t xml:space="preserve"> (implementarea politicii vamale pentru anul 2024)</w:t>
      </w:r>
    </w:p>
    <w:p w:rsidR="00090455" w:rsidRPr="00DE1CEB" w:rsidRDefault="00090455">
      <w:pPr>
        <w:pStyle w:val="NormalWeb"/>
        <w:tabs>
          <w:tab w:val="left" w:pos="-142"/>
        </w:tabs>
        <w:spacing w:before="0" w:after="0" w:line="276" w:lineRule="auto"/>
        <w:rPr>
          <w:b/>
          <w:lang w:eastAsia="en-GB"/>
        </w:rPr>
      </w:pPr>
    </w:p>
    <w:tbl>
      <w:tblPr>
        <w:tblW w:w="5743" w:type="pct"/>
        <w:tblInd w:w="-434" w:type="dxa"/>
        <w:tblLayout w:type="fixed"/>
        <w:tblCellMar>
          <w:left w:w="10" w:type="dxa"/>
          <w:right w:w="10" w:type="dxa"/>
        </w:tblCellMar>
        <w:tblLook w:val="0000" w:firstRow="0" w:lastRow="0" w:firstColumn="0" w:lastColumn="0" w:noHBand="0" w:noVBand="0"/>
      </w:tblPr>
      <w:tblGrid>
        <w:gridCol w:w="10349"/>
      </w:tblGrid>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090455" w:rsidRPr="00DE1CEB" w:rsidRDefault="000577FF">
            <w:pPr>
              <w:tabs>
                <w:tab w:val="left" w:pos="366"/>
              </w:tabs>
              <w:spacing w:after="0" w:line="276" w:lineRule="auto"/>
              <w:rPr>
                <w:rFonts w:ascii="Times New Roman" w:hAnsi="Times New Roman"/>
                <w:sz w:val="24"/>
                <w:szCs w:val="24"/>
                <w:lang w:val="fr-FR"/>
              </w:rPr>
            </w:pPr>
            <w:r w:rsidRPr="00DE1CEB">
              <w:rPr>
                <w:rStyle w:val="Fontdeparagrafimplicit"/>
                <w:rFonts w:ascii="Times New Roman" w:eastAsia="Times New Roman" w:hAnsi="Times New Roman"/>
                <w:b/>
                <w:bCs/>
                <w:sz w:val="24"/>
                <w:szCs w:val="24"/>
                <w:lang w:val="ro-RO" w:eastAsia="en-GB"/>
              </w:rPr>
              <w:t>1.</w:t>
            </w:r>
            <w:r w:rsidRPr="00DE1CEB">
              <w:rPr>
                <w:rStyle w:val="Fontdeparagrafimplicit"/>
                <w:rFonts w:ascii="Times New Roman" w:eastAsia="Times New Roman" w:hAnsi="Times New Roman"/>
                <w:b/>
                <w:sz w:val="24"/>
                <w:szCs w:val="24"/>
                <w:lang w:val="ro-RO" w:eastAsia="en-GB"/>
              </w:rPr>
              <w:t xml:space="preserve"> Denumirea autorului şi, după caz, a participanților la elaborarea proiectului</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rsidP="00E27F80">
            <w:pPr>
              <w:spacing w:after="0" w:line="276" w:lineRule="auto"/>
              <w:jc w:val="both"/>
              <w:rPr>
                <w:rFonts w:ascii="Times New Roman" w:eastAsia="Times New Roman" w:hAnsi="Times New Roman"/>
                <w:sz w:val="24"/>
                <w:szCs w:val="24"/>
                <w:lang w:val="ro-RO" w:eastAsia="en-GB"/>
              </w:rPr>
            </w:pPr>
            <w:r w:rsidRPr="00DE1CEB">
              <w:rPr>
                <w:rFonts w:ascii="Times New Roman" w:eastAsia="Times New Roman" w:hAnsi="Times New Roman"/>
                <w:sz w:val="24"/>
                <w:szCs w:val="24"/>
                <w:lang w:val="ro-RO" w:eastAsia="en-GB"/>
              </w:rPr>
              <w:t>Prezentul proiect de hotărâre este elaborat</w:t>
            </w:r>
            <w:r w:rsidR="00E27F80" w:rsidRPr="00DE1CEB">
              <w:rPr>
                <w:rFonts w:ascii="Times New Roman" w:eastAsia="Times New Roman" w:hAnsi="Times New Roman"/>
                <w:sz w:val="24"/>
                <w:szCs w:val="24"/>
                <w:lang w:val="ro-RO" w:eastAsia="en-GB"/>
              </w:rPr>
              <w:t xml:space="preserve"> de către Ministerul Finanțelor.</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090455" w:rsidRPr="00DE1CEB" w:rsidRDefault="000577FF">
            <w:pPr>
              <w:spacing w:after="0" w:line="276" w:lineRule="auto"/>
              <w:jc w:val="both"/>
              <w:rPr>
                <w:rFonts w:ascii="Times New Roman" w:hAnsi="Times New Roman"/>
                <w:sz w:val="24"/>
                <w:szCs w:val="24"/>
                <w:lang w:val="fr-FR"/>
              </w:rPr>
            </w:pPr>
            <w:r w:rsidRPr="00DE1CEB">
              <w:rPr>
                <w:rStyle w:val="Fontdeparagrafimplicit"/>
                <w:rFonts w:ascii="Times New Roman" w:eastAsia="Times New Roman" w:hAnsi="Times New Roman"/>
                <w:b/>
                <w:bCs/>
                <w:sz w:val="24"/>
                <w:szCs w:val="24"/>
                <w:lang w:val="ro-RO" w:eastAsia="en-GB"/>
              </w:rPr>
              <w:t>2.</w:t>
            </w:r>
            <w:r w:rsidRPr="00DE1CEB">
              <w:rPr>
                <w:rStyle w:val="Fontdeparagrafimplicit"/>
                <w:rFonts w:ascii="Times New Roman" w:eastAsia="Times New Roman" w:hAnsi="Times New Roman"/>
                <w:b/>
                <w:sz w:val="24"/>
                <w:szCs w:val="24"/>
                <w:lang w:val="ro-RO" w:eastAsia="en-GB"/>
              </w:rPr>
              <w:t xml:space="preserve"> Condițiile ce au impus elaborarea proiectului de act normativ şi finalităţile urmărite</w:t>
            </w:r>
          </w:p>
        </w:tc>
      </w:tr>
      <w:tr w:rsidR="00090455" w:rsidRPr="00DE1CEB">
        <w:trPr>
          <w:trHeight w:val="663"/>
        </w:trPr>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tabs>
                <w:tab w:val="left" w:pos="90"/>
                <w:tab w:val="left" w:pos="567"/>
                <w:tab w:val="left" w:pos="1080"/>
              </w:tabs>
              <w:autoSpaceDE w:val="0"/>
              <w:spacing w:after="0" w:line="276" w:lineRule="auto"/>
              <w:ind w:firstLine="562"/>
              <w:jc w:val="both"/>
              <w:rPr>
                <w:rFonts w:ascii="Times New Roman" w:eastAsia="Times New Roman" w:hAnsi="Times New Roman"/>
                <w:sz w:val="24"/>
                <w:szCs w:val="24"/>
                <w:lang w:val="ro-RO" w:eastAsia="ru-RU"/>
              </w:rPr>
            </w:pPr>
            <w:r w:rsidRPr="00DE1CEB">
              <w:rPr>
                <w:rFonts w:ascii="Times New Roman" w:eastAsia="Times New Roman" w:hAnsi="Times New Roman"/>
                <w:sz w:val="24"/>
                <w:szCs w:val="24"/>
                <w:lang w:val="ro-RO" w:eastAsia="ru-RU"/>
              </w:rPr>
              <w:t>Elaborarea proiectului respectiv este argumentat de necesitatea dezvoltării cadrului normativ secundar pentru punerea în aplicare a Codului vamal nr.95/2021.</w:t>
            </w:r>
          </w:p>
          <w:p w:rsidR="00090455" w:rsidRPr="00DE1CEB" w:rsidRDefault="000577FF">
            <w:pPr>
              <w:tabs>
                <w:tab w:val="left" w:pos="90"/>
                <w:tab w:val="left" w:pos="567"/>
                <w:tab w:val="left" w:pos="1080"/>
              </w:tabs>
              <w:autoSpaceDE w:val="0"/>
              <w:spacing w:after="0" w:line="276" w:lineRule="auto"/>
              <w:ind w:firstLine="562"/>
              <w:jc w:val="both"/>
              <w:rPr>
                <w:rFonts w:ascii="Times New Roman" w:eastAsia="Times New Roman" w:hAnsi="Times New Roman"/>
                <w:sz w:val="24"/>
                <w:szCs w:val="24"/>
                <w:lang w:val="ro-RO" w:eastAsia="ru-RU"/>
              </w:rPr>
            </w:pPr>
            <w:r w:rsidRPr="00DE1CEB">
              <w:rPr>
                <w:rFonts w:ascii="Times New Roman" w:eastAsia="Times New Roman" w:hAnsi="Times New Roman"/>
                <w:sz w:val="24"/>
                <w:szCs w:val="24"/>
                <w:lang w:val="ro-RO" w:eastAsia="ru-RU"/>
              </w:rPr>
              <w:t>Prin prisma prevederilor art. 426 alin.(2) din Cod, precum și a altor prevederi descrise în textul legii, Guvernul se împuternicește cu competențe pentru reglementarea proceselor și procedurilor de aplicare a dispozițiilor acestuia, care urmează să intre în vigoare începând cu 1 ianuarie 2024, ca urmare a abrogării Codului vamal nr.1149/2000, Legii nr.1380/1997 cu privire la tariful vamal, etc.</w:t>
            </w:r>
          </w:p>
          <w:p w:rsidR="00090455" w:rsidRPr="00DE1CEB" w:rsidRDefault="000577FF">
            <w:pPr>
              <w:tabs>
                <w:tab w:val="left" w:pos="90"/>
                <w:tab w:val="left" w:pos="567"/>
                <w:tab w:val="left" w:pos="1080"/>
              </w:tabs>
              <w:autoSpaceDE w:val="0"/>
              <w:spacing w:after="0" w:line="276" w:lineRule="auto"/>
              <w:ind w:firstLine="562"/>
              <w:jc w:val="both"/>
              <w:rPr>
                <w:rFonts w:ascii="Times New Roman" w:eastAsia="Times New Roman" w:hAnsi="Times New Roman"/>
                <w:sz w:val="24"/>
                <w:szCs w:val="24"/>
                <w:lang w:val="ro-RO" w:eastAsia="ru-RU"/>
              </w:rPr>
            </w:pPr>
            <w:r w:rsidRPr="00DE1CEB">
              <w:rPr>
                <w:rFonts w:ascii="Times New Roman" w:eastAsia="Times New Roman" w:hAnsi="Times New Roman"/>
                <w:sz w:val="24"/>
                <w:szCs w:val="24"/>
                <w:lang w:val="ro-RO" w:eastAsia="ru-RU"/>
              </w:rPr>
              <w:t>Respectiv, aprobarea modificărilor propuse va asigura racordarea prevederilor Hotărârii Guvernului nr.92/2023 cu privire la punerea în aplicare a Codului vamal nr.95/2021 la ultimele ajustări efectuate asupra Codului vamal nr.95/2021.</w:t>
            </w:r>
          </w:p>
          <w:p w:rsidR="00090455" w:rsidRPr="00DE1CEB" w:rsidRDefault="000577FF">
            <w:pPr>
              <w:tabs>
                <w:tab w:val="left" w:pos="90"/>
                <w:tab w:val="left" w:pos="567"/>
                <w:tab w:val="left" w:pos="1080"/>
              </w:tabs>
              <w:autoSpaceDE w:val="0"/>
              <w:spacing w:after="0" w:line="276" w:lineRule="auto"/>
              <w:ind w:firstLine="562"/>
              <w:jc w:val="both"/>
              <w:rPr>
                <w:rFonts w:ascii="Times New Roman" w:eastAsia="Times New Roman" w:hAnsi="Times New Roman"/>
                <w:sz w:val="24"/>
                <w:szCs w:val="24"/>
                <w:lang w:val="ro-RO" w:eastAsia="ru-RU"/>
              </w:rPr>
            </w:pPr>
            <w:r w:rsidRPr="00DE1CEB">
              <w:rPr>
                <w:rFonts w:ascii="Times New Roman" w:eastAsia="Times New Roman" w:hAnsi="Times New Roman"/>
                <w:sz w:val="24"/>
                <w:szCs w:val="24"/>
                <w:lang w:val="ro-RO" w:eastAsia="ru-RU"/>
              </w:rPr>
              <w:t>La fel, elaborarea proiectului de  hotărîre este condiționată de necesitatea ajustării tehnice a Regulamentului de punere în aplicare a Codului vamal nr.95/2021 și a anexelor la aceste, ca urmare a carențelor identificate în procesul de elaborare a actelor normative aprobate de Ministerul Finanțelor și Serviciul Vamal.</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090455" w:rsidRPr="00DE1CEB" w:rsidRDefault="000577FF">
            <w:pPr>
              <w:tabs>
                <w:tab w:val="left" w:pos="224"/>
              </w:tabs>
              <w:spacing w:after="0" w:line="276" w:lineRule="auto"/>
              <w:jc w:val="both"/>
              <w:rPr>
                <w:rFonts w:ascii="Times New Roman" w:hAnsi="Times New Roman"/>
                <w:sz w:val="24"/>
                <w:szCs w:val="24"/>
              </w:rPr>
            </w:pPr>
            <w:r w:rsidRPr="00DE1CEB">
              <w:rPr>
                <w:rStyle w:val="Fontdeparagrafimplicit"/>
                <w:rFonts w:ascii="Times New Roman" w:eastAsia="Times New Roman" w:hAnsi="Times New Roman"/>
                <w:b/>
                <w:bCs/>
                <w:sz w:val="24"/>
                <w:szCs w:val="24"/>
                <w:lang w:val="ro-RO" w:eastAsia="en-GB"/>
              </w:rPr>
              <w:t xml:space="preserve">3. </w:t>
            </w:r>
            <w:r w:rsidRPr="00DE1CEB">
              <w:rPr>
                <w:rStyle w:val="Fontdeparagrafimplicit"/>
                <w:rFonts w:ascii="Times New Roman" w:eastAsia="Times New Roman" w:hAnsi="Times New Roman"/>
                <w:b/>
                <w:sz w:val="24"/>
                <w:szCs w:val="24"/>
                <w:lang w:val="ro-RO" w:eastAsia="en-GB"/>
              </w:rPr>
              <w:t>Descrierea gradului de compatibilitate pentru proiectele care au ca scop armonizarea legislației naționale cu legislația Uniunii Europene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tabs>
                <w:tab w:val="left" w:pos="0"/>
              </w:tabs>
              <w:spacing w:after="0" w:line="276" w:lineRule="auto"/>
              <w:ind w:firstLine="517"/>
              <w:jc w:val="both"/>
              <w:rPr>
                <w:rFonts w:ascii="Times New Roman" w:hAnsi="Times New Roman"/>
                <w:sz w:val="24"/>
                <w:szCs w:val="24"/>
              </w:rPr>
            </w:pPr>
            <w:r w:rsidRPr="00DE1CEB">
              <w:rPr>
                <w:rStyle w:val="Fontdeparagrafimplicit"/>
                <w:rFonts w:ascii="Times New Roman" w:eastAsia="Times New Roman" w:hAnsi="Times New Roman"/>
                <w:sz w:val="24"/>
                <w:szCs w:val="24"/>
                <w:lang w:val="ro-RO" w:eastAsia="en-GB"/>
              </w:rPr>
              <w:t>Prezentul proiect nu urmărește racordarea acestuia la cadrul normativ al Uniunii Europene.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090455" w:rsidRPr="00DE1CEB" w:rsidRDefault="000577FF">
            <w:pPr>
              <w:spacing w:after="0" w:line="276" w:lineRule="auto"/>
              <w:rPr>
                <w:rFonts w:ascii="Times New Roman" w:hAnsi="Times New Roman"/>
                <w:sz w:val="24"/>
                <w:szCs w:val="24"/>
              </w:rPr>
            </w:pPr>
            <w:r w:rsidRPr="00DE1CEB">
              <w:rPr>
                <w:rStyle w:val="Fontdeparagrafimplicit"/>
                <w:rFonts w:ascii="Times New Roman" w:eastAsia="Times New Roman" w:hAnsi="Times New Roman"/>
                <w:b/>
                <w:bCs/>
                <w:sz w:val="24"/>
                <w:szCs w:val="24"/>
                <w:lang w:val="ro-RO" w:eastAsia="en-GB"/>
              </w:rPr>
              <w:t>4.</w:t>
            </w:r>
            <w:r w:rsidRPr="00DE1CEB">
              <w:rPr>
                <w:rStyle w:val="Fontdeparagrafimplicit"/>
                <w:rFonts w:ascii="Times New Roman" w:eastAsia="Times New Roman" w:hAnsi="Times New Roman"/>
                <w:b/>
                <w:sz w:val="24"/>
                <w:szCs w:val="24"/>
                <w:lang w:val="ro-RO" w:eastAsia="en-GB"/>
              </w:rPr>
              <w:t xml:space="preserve"> Principalele prevederi ale proiectului şi evidențierea elementelor noi</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tabs>
                <w:tab w:val="center" w:pos="4677"/>
                <w:tab w:val="right" w:pos="9355"/>
              </w:tabs>
              <w:spacing w:after="0" w:line="276" w:lineRule="auto"/>
              <w:ind w:firstLine="474"/>
              <w:jc w:val="both"/>
              <w:rPr>
                <w:rFonts w:ascii="Times New Roman" w:hAnsi="Times New Roman"/>
                <w:b/>
                <w:sz w:val="24"/>
                <w:szCs w:val="24"/>
                <w:lang w:val="ro-RO"/>
              </w:rPr>
            </w:pPr>
            <w:r w:rsidRPr="00DE1CEB">
              <w:rPr>
                <w:rFonts w:ascii="Times New Roman" w:hAnsi="Times New Roman"/>
                <w:b/>
                <w:sz w:val="24"/>
                <w:szCs w:val="24"/>
                <w:lang w:val="ro-RO"/>
              </w:rPr>
              <w:t>Regulamentul de punere în aplicare a Codului vamal nr.95/2021</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rPr>
              <w:t xml:space="preserve">Completarea Regulamentului cu </w:t>
            </w:r>
            <w:r w:rsidRPr="00DE1CEB">
              <w:rPr>
                <w:rStyle w:val="Fontdeparagrafimplicit"/>
                <w:rFonts w:ascii="Times New Roman" w:hAnsi="Times New Roman"/>
                <w:b/>
                <w:i/>
                <w:sz w:val="24"/>
                <w:szCs w:val="24"/>
                <w:lang w:val="ro-RO"/>
              </w:rPr>
              <w:t>pct.3</w:t>
            </w:r>
            <w:r w:rsidRPr="00DE1CEB">
              <w:rPr>
                <w:rStyle w:val="Fontdeparagrafimplicit"/>
                <w:rFonts w:ascii="Times New Roman" w:hAnsi="Times New Roman"/>
                <w:b/>
                <w:i/>
                <w:sz w:val="24"/>
                <w:szCs w:val="24"/>
                <w:vertAlign w:val="superscript"/>
                <w:lang w:val="ro-RO"/>
              </w:rPr>
              <w:t>1</w:t>
            </w:r>
            <w:r w:rsidRPr="00DE1CEB">
              <w:rPr>
                <w:rStyle w:val="Fontdeparagrafimplicit"/>
                <w:rFonts w:ascii="Times New Roman" w:hAnsi="Times New Roman"/>
                <w:sz w:val="24"/>
                <w:szCs w:val="24"/>
                <w:lang w:val="ro-RO"/>
              </w:rPr>
              <w:t xml:space="preserve"> asigură buna desfășurare a activității vamale, este necesară enumerarea tipurilor de decizii care vor fi emise prin Sistemul Informațional de ”Decizii Vamale”.</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rPr>
              <w:t xml:space="preserve">Completarea Regulamentului </w:t>
            </w:r>
            <w:r w:rsidRPr="00DE1CEB">
              <w:rPr>
                <w:rStyle w:val="Fontdeparagrafimplicit"/>
                <w:rFonts w:ascii="Times New Roman" w:hAnsi="Times New Roman"/>
                <w:b/>
                <w:i/>
                <w:sz w:val="24"/>
                <w:szCs w:val="24"/>
                <w:lang w:val="ro-RO"/>
              </w:rPr>
              <w:t>cu pct.18</w:t>
            </w:r>
            <w:r w:rsidRPr="00DE1CEB">
              <w:rPr>
                <w:rStyle w:val="Fontdeparagrafimplicit"/>
                <w:rFonts w:ascii="Times New Roman" w:hAnsi="Times New Roman"/>
                <w:b/>
                <w:i/>
                <w:sz w:val="24"/>
                <w:szCs w:val="24"/>
                <w:vertAlign w:val="superscript"/>
                <w:lang w:val="ro-RO"/>
              </w:rPr>
              <w:t>1</w:t>
            </w:r>
            <w:r w:rsidRPr="00DE1CEB">
              <w:rPr>
                <w:rStyle w:val="Fontdeparagrafimplicit"/>
                <w:rFonts w:ascii="Times New Roman" w:hAnsi="Times New Roman"/>
                <w:sz w:val="24"/>
                <w:szCs w:val="24"/>
                <w:lang w:val="ro-RO"/>
              </w:rPr>
              <w:t xml:space="preserve"> asigură reglementarea procedurii de recunoaștere și acreditare de către Serviciul Vamal a instituțiilor de învățământ pentru a furniza astfel de calificări în domeniul vamal care să confirme că un agentul economic corespunde standardelor practice de competență sau calificările profesionale. Respectiv, potrivit redacției menționate se propune ca acestea să fie acreditate în baza unui Acord de recunoaștere încheiat între Serviciul Vamal  și instituțiile de învămînt sau asociațiile profesionale. </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rPr>
              <w:t xml:space="preserve">Modificarea </w:t>
            </w:r>
            <w:r w:rsidRPr="00DE1CEB">
              <w:rPr>
                <w:rStyle w:val="Fontdeparagrafimplicit"/>
                <w:rFonts w:ascii="Times New Roman" w:hAnsi="Times New Roman"/>
                <w:b/>
                <w:bCs/>
                <w:i/>
                <w:iCs/>
                <w:sz w:val="24"/>
                <w:szCs w:val="24"/>
                <w:lang w:val="ro-RO"/>
              </w:rPr>
              <w:t>pct.57</w:t>
            </w:r>
            <w:r w:rsidRPr="00DE1CEB">
              <w:rPr>
                <w:rStyle w:val="Fontdeparagrafimplicit"/>
                <w:rFonts w:ascii="Times New Roman" w:hAnsi="Times New Roman"/>
                <w:sz w:val="24"/>
                <w:szCs w:val="24"/>
                <w:lang w:val="ro-RO"/>
              </w:rPr>
              <w:t xml:space="preserve">, precum și a </w:t>
            </w:r>
            <w:r w:rsidRPr="00DE1CEB">
              <w:rPr>
                <w:rStyle w:val="Fontdeparagrafimplicit"/>
                <w:rFonts w:ascii="Times New Roman" w:hAnsi="Times New Roman"/>
                <w:b/>
                <w:bCs/>
                <w:i/>
                <w:iCs/>
                <w:sz w:val="24"/>
                <w:szCs w:val="24"/>
                <w:lang w:val="ro-RO"/>
              </w:rPr>
              <w:t>Anexelor nr.6 și 7</w:t>
            </w:r>
            <w:r w:rsidRPr="00DE1CEB">
              <w:rPr>
                <w:rStyle w:val="Fontdeparagrafimplicit"/>
                <w:rFonts w:ascii="Times New Roman" w:hAnsi="Times New Roman"/>
                <w:sz w:val="24"/>
                <w:szCs w:val="24"/>
                <w:lang w:val="ro-RO"/>
              </w:rPr>
              <w:t xml:space="preserve"> este necesară în contextul în care furnizorul care pune la dispoziție exportatorului informațiile necesare pentru a determina originea preferențială a mărfurilor în sensul prevederilor cuprinse în acordurile pe care Republica Moldova le-a încheiat cu anumite țări sau teritorii, trebuie să dețină documentația necesară care să confirme cele declarate în declarația furnizorului. Astfel, exportatorul trebuie să cunoască ce materii prime au fost utilizate de furnizor la producere, precum și care au fost operațiunile de prelucrare, pentru a se asigura că mărfurile pentru care solicită/întocmește o dovadă de origine preferențială sunt originare și corespund cerințelor acordului de comerț liber corespunzător.</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rPr>
              <w:t xml:space="preserve">Modificarea </w:t>
            </w:r>
            <w:r w:rsidRPr="00DE1CEB">
              <w:rPr>
                <w:rStyle w:val="Fontdeparagrafimplicit"/>
                <w:rFonts w:ascii="Times New Roman" w:hAnsi="Times New Roman"/>
                <w:b/>
                <w:i/>
                <w:sz w:val="24"/>
                <w:szCs w:val="24"/>
                <w:lang w:val="ro-RO"/>
              </w:rPr>
              <w:t>pct.65</w:t>
            </w:r>
            <w:r w:rsidRPr="00DE1CEB">
              <w:rPr>
                <w:rStyle w:val="Fontdeparagrafimplicit"/>
                <w:rFonts w:ascii="Times New Roman" w:hAnsi="Times New Roman"/>
                <w:sz w:val="24"/>
                <w:szCs w:val="24"/>
                <w:lang w:val="ro-RO"/>
              </w:rPr>
              <w:t xml:space="preserve"> are drept scop reglementarea modalității de stabilire a prețului efectiv plătit sau de plătit în cazul în care mărfurile declarate pentru un regim vamal fac parte dintr-o cantitate mai mare de aceleași mărfuri cumpărate într-o tranzacție unică, cu documentarea acestei tranzacții printr-un singur document primar, dar sunt introduse pe teritoriul vamal în perioade diferite, sau prin intermediul diferitor mijloace de transport.</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rPr>
              <w:lastRenderedPageBreak/>
              <w:t xml:space="preserve">Completarea </w:t>
            </w:r>
            <w:r w:rsidRPr="00DE1CEB">
              <w:rPr>
                <w:rStyle w:val="Fontdeparagrafimplicit"/>
                <w:rFonts w:ascii="Times New Roman" w:hAnsi="Times New Roman"/>
                <w:b/>
                <w:i/>
                <w:sz w:val="24"/>
                <w:szCs w:val="24"/>
                <w:lang w:val="ro-RO"/>
              </w:rPr>
              <w:t>pct.80</w:t>
            </w:r>
            <w:r w:rsidRPr="00DE1CEB">
              <w:rPr>
                <w:rStyle w:val="Fontdeparagrafimplicit"/>
                <w:rFonts w:ascii="Times New Roman" w:hAnsi="Times New Roman"/>
                <w:sz w:val="24"/>
                <w:szCs w:val="24"/>
                <w:lang w:val="ro-RO"/>
              </w:rPr>
              <w:t xml:space="preserve"> urmărește acordarea dreptului declarantului de utilizare a declarației vamale simplificate în cazul în care, redevenţele sau taxa de licenţă se includ în valoarea în vamă potrivit art.74 alin.(1) pct.3) din Cod, în cazul în care la momentul vămuirii, potrivit clauzelor contractuale aceste plăți nu pot fi stabilite.</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rPr>
              <w:t xml:space="preserve">Ajustarea </w:t>
            </w:r>
            <w:r w:rsidRPr="00DE1CEB">
              <w:rPr>
                <w:rStyle w:val="Fontdeparagrafimplicit"/>
                <w:rFonts w:ascii="Times New Roman" w:hAnsi="Times New Roman"/>
                <w:b/>
                <w:i/>
                <w:sz w:val="24"/>
                <w:szCs w:val="24"/>
                <w:lang w:val="ro-RO"/>
              </w:rPr>
              <w:t>pct.90</w:t>
            </w:r>
            <w:r w:rsidRPr="00DE1CEB">
              <w:rPr>
                <w:rStyle w:val="Fontdeparagrafimplicit"/>
                <w:rFonts w:ascii="Times New Roman" w:hAnsi="Times New Roman"/>
                <w:sz w:val="24"/>
                <w:szCs w:val="24"/>
                <w:lang w:val="ro-RO"/>
              </w:rPr>
              <w:t xml:space="preserve"> asigură reglementarea cazului de nedepune a declarației pentru valoarea în vamă a mărfurilor importat în cazul în care valoarea în vamă e nu depășește echivalentul  de 20 000 euro.</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rPr>
              <w:t xml:space="preserve">Completarea Regulamentului cu </w:t>
            </w:r>
            <w:r w:rsidRPr="00DE1CEB">
              <w:rPr>
                <w:rStyle w:val="Fontdeparagrafimplicit"/>
                <w:rFonts w:ascii="Times New Roman" w:hAnsi="Times New Roman"/>
                <w:b/>
                <w:i/>
                <w:sz w:val="24"/>
                <w:szCs w:val="24"/>
                <w:lang w:val="ro-RO"/>
              </w:rPr>
              <w:t>pct.95</w:t>
            </w:r>
            <w:r w:rsidRPr="00DE1CEB">
              <w:rPr>
                <w:rStyle w:val="Fontdeparagrafimplicit"/>
                <w:rFonts w:ascii="Times New Roman" w:hAnsi="Times New Roman"/>
                <w:b/>
                <w:i/>
                <w:sz w:val="24"/>
                <w:szCs w:val="24"/>
                <w:vertAlign w:val="superscript"/>
                <w:lang w:val="ro-RO"/>
              </w:rPr>
              <w:t>1</w:t>
            </w:r>
            <w:r w:rsidRPr="00DE1CEB">
              <w:rPr>
                <w:rStyle w:val="Fontdeparagrafimplicit"/>
                <w:rFonts w:ascii="Times New Roman" w:hAnsi="Times New Roman"/>
                <w:sz w:val="24"/>
                <w:szCs w:val="24"/>
                <w:lang w:val="ro-RO"/>
              </w:rPr>
              <w:t xml:space="preserve">- </w:t>
            </w:r>
            <w:r w:rsidRPr="00DE1CEB">
              <w:rPr>
                <w:rStyle w:val="Fontdeparagrafimplicit"/>
                <w:rFonts w:ascii="Times New Roman" w:hAnsi="Times New Roman"/>
                <w:b/>
                <w:bCs/>
                <w:i/>
                <w:iCs/>
                <w:sz w:val="24"/>
                <w:szCs w:val="24"/>
                <w:lang w:val="ro-RO"/>
              </w:rPr>
              <w:t>95</w:t>
            </w:r>
            <w:r w:rsidRPr="00DE1CEB">
              <w:rPr>
                <w:rStyle w:val="Fontdeparagrafimplicit"/>
                <w:rFonts w:ascii="Times New Roman" w:hAnsi="Times New Roman"/>
                <w:b/>
                <w:bCs/>
                <w:i/>
                <w:iCs/>
                <w:sz w:val="24"/>
                <w:szCs w:val="24"/>
                <w:vertAlign w:val="superscript"/>
                <w:lang w:val="ro-RO"/>
              </w:rPr>
              <w:t>10</w:t>
            </w:r>
            <w:r w:rsidRPr="00DE1CEB">
              <w:rPr>
                <w:rStyle w:val="Fontdeparagrafimplicit"/>
                <w:rFonts w:ascii="Times New Roman" w:hAnsi="Times New Roman"/>
                <w:sz w:val="24"/>
                <w:szCs w:val="24"/>
                <w:lang w:val="ro-RO"/>
              </w:rPr>
              <w:t xml:space="preserve"> prevede definirea acţiunilor care trebuie să fie întreprinse atît de organul vamal, cît şi de agentul economic în cadrul procedurii de verificare și, respectiv, confirmare a prețului declarat pentru mărfurile importate, atunci cînd acestea sunt selectate spre control în baza analizei de risc.</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Fonts w:ascii="Times New Roman" w:hAnsi="Times New Roman"/>
                <w:sz w:val="24"/>
                <w:szCs w:val="24"/>
                <w:lang w:val="ro-RO"/>
              </w:rPr>
              <w:t xml:space="preserve">De asemenea, necesitatea respectării dreptului agentului economic de a dispune de mărfuri cu condiţia de a prezenta ulterior documentele concludente pentru confirmarea valorii în vamă a mărfurilor importate şi depunerii unei garanții ce ar acoperi diferența la plata drepturilor de import aferente valorii în vamă declarate și celei stabilite provizoriu de către organul vamal. Procedură, care va asigura diminuarea cheltuielilor legate de staționarea mijloacelor de transport în terminalele vamale, va acorda posibilitate declaranților de a livra mărfurile la destinație, evitând întârzierile legate de perfectarea vamală a acestora. va asigura accelerarea traficului de mărfuri, va defini concret mecanismul de verificare și declarare a valorii în vamă, inclusiv pe elemente de structură, fapt care va asigura aplicarea unei proceduri uniforme și transparente. </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fr-FR"/>
              </w:rPr>
            </w:pPr>
            <w:r w:rsidRPr="00DE1CEB">
              <w:rPr>
                <w:rStyle w:val="Fontdeparagrafimplicit"/>
                <w:rFonts w:ascii="Times New Roman" w:hAnsi="Times New Roman"/>
                <w:sz w:val="24"/>
                <w:szCs w:val="24"/>
                <w:lang w:val="ro-RO"/>
              </w:rPr>
              <w:t xml:space="preserve">Completarea Regulamentului cu Capitolul II Secțiunea 3-a ”Gestionarea contingentelor tarifare” se efectuează deoarece conform acordurilor internaționale și legislației Republicii Moldova sunt stabilite limite cantitative </w:t>
            </w:r>
            <w:r w:rsidRPr="00DE1CEB">
              <w:rPr>
                <w:rStyle w:val="Fontdeparagrafimplicit"/>
                <w:rFonts w:ascii="Times New Roman" w:hAnsi="Times New Roman"/>
                <w:color w:val="000000"/>
                <w:sz w:val="24"/>
                <w:szCs w:val="24"/>
                <w:lang w:val="ro-RO"/>
              </w:rPr>
              <w:t xml:space="preserve">și valorice pentru unele categorii de mărfuri care pot fi importate în regim preferențial cu reducerea sau exonerarea de taxe vamale. Conform prevederilor Regulamentului </w:t>
            </w:r>
            <w:r w:rsidRPr="00DE1CEB">
              <w:rPr>
                <w:rStyle w:val="Fontdeparagrafimplicit"/>
                <w:rFonts w:ascii="Times New Roman" w:hAnsi="Times New Roman"/>
                <w:bCs/>
                <w:sz w:val="24"/>
                <w:szCs w:val="24"/>
                <w:lang w:val="ro-RO"/>
              </w:rPr>
              <w:t>privind administrarea contingentelor tarifare la importul/exportul mărfurilor în/din Republica Moldova, aprobat prin Hotărârea Guvernului nr. 791/2014 se reglementează doar contingentele stabilite în baza acordului de liber schimb cu Uniunea Europeană.</w:t>
            </w:r>
            <w:r w:rsidRPr="00DE1CEB">
              <w:rPr>
                <w:rStyle w:val="Fontdeparagrafimplicit"/>
                <w:rFonts w:ascii="Times New Roman" w:hAnsi="Times New Roman"/>
                <w:color w:val="000000"/>
                <w:sz w:val="24"/>
                <w:szCs w:val="24"/>
                <w:lang w:val="ro-RO"/>
              </w:rPr>
              <w:t xml:space="preserve"> </w:t>
            </w:r>
            <w:r w:rsidRPr="00DE1CEB">
              <w:rPr>
                <w:rStyle w:val="Fontdeparagrafimplicit"/>
                <w:rFonts w:ascii="Times New Roman" w:hAnsi="Times New Roman"/>
                <w:bCs/>
                <w:sz w:val="24"/>
                <w:szCs w:val="24"/>
                <w:lang w:val="fr-FR"/>
              </w:rPr>
              <w:t>Cu toate aceste în prezent Republica Moldova are semnate acorduri prin care au fost stabilite contingente cu mai multe state, pentru care nu există o acoperire legală în partea ce ține de gestionare.</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rPr>
            </w:pPr>
            <w:r w:rsidRPr="00DE1CEB">
              <w:rPr>
                <w:rStyle w:val="Fontdeparagrafimplicit"/>
                <w:rFonts w:ascii="Times New Roman" w:hAnsi="Times New Roman"/>
                <w:color w:val="000000"/>
                <w:sz w:val="24"/>
                <w:szCs w:val="24"/>
                <w:lang w:val="fr-FR"/>
              </w:rPr>
              <w:t xml:space="preserve">În acest sens este imperios să fie reglementat domeniul care vizează contingentele într-un singur act normativ, reglementări care vor fi aplicabile pentru toate contingentele. </w:t>
            </w:r>
            <w:r w:rsidRPr="00DE1CEB">
              <w:rPr>
                <w:rStyle w:val="Fontdeparagrafimplicit"/>
                <w:rFonts w:ascii="Times New Roman" w:hAnsi="Times New Roman"/>
                <w:color w:val="000000"/>
                <w:sz w:val="24"/>
                <w:szCs w:val="24"/>
              </w:rPr>
              <w:t xml:space="preserve">Astfel au fost transpuse prevederile art. 49-54 din </w:t>
            </w:r>
            <w:r w:rsidRPr="00DE1CEB">
              <w:rPr>
                <w:rStyle w:val="Fontdeparagrafimplicit"/>
                <w:rFonts w:ascii="Times New Roman" w:hAnsi="Times New Roman"/>
                <w:sz w:val="24"/>
                <w:szCs w:val="24"/>
                <w:lang w:eastAsia="ro-RO"/>
              </w:rPr>
              <w:t>Regulamentul UE 2447/2015</w:t>
            </w:r>
            <w:r w:rsidRPr="00DE1CEB">
              <w:rPr>
                <w:rStyle w:val="Fontdeparagrafimplicit"/>
                <w:rFonts w:ascii="Times New Roman" w:hAnsi="Times New Roman"/>
                <w:color w:val="000000"/>
                <w:sz w:val="24"/>
                <w:szCs w:val="24"/>
              </w:rPr>
              <w:t>, racordînd HG 92/2023 la legislația și practica Uniunii Europene.</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fr-FR"/>
              </w:rPr>
            </w:pPr>
            <w:r w:rsidRPr="00DE1CEB">
              <w:rPr>
                <w:rStyle w:val="Fontdeparagrafimplicit"/>
                <w:rFonts w:ascii="Times New Roman" w:hAnsi="Times New Roman"/>
                <w:sz w:val="24"/>
                <w:szCs w:val="24"/>
                <w:lang w:val="ro-RO"/>
              </w:rPr>
              <w:t xml:space="preserve">Intervenția făcută la </w:t>
            </w:r>
            <w:r w:rsidRPr="00DE1CEB">
              <w:rPr>
                <w:rStyle w:val="Fontdeparagrafimplicit"/>
                <w:rFonts w:ascii="Times New Roman" w:hAnsi="Times New Roman"/>
                <w:b/>
                <w:i/>
                <w:iCs/>
                <w:sz w:val="24"/>
                <w:szCs w:val="24"/>
                <w:lang w:val="ro-RO"/>
              </w:rPr>
              <w:t>pct.140, 140</w:t>
            </w:r>
            <w:r w:rsidRPr="00DE1CEB">
              <w:rPr>
                <w:rStyle w:val="Fontdeparagrafimplicit"/>
                <w:rFonts w:ascii="Times New Roman" w:hAnsi="Times New Roman"/>
                <w:b/>
                <w:i/>
                <w:iCs/>
                <w:sz w:val="24"/>
                <w:szCs w:val="24"/>
                <w:vertAlign w:val="superscript"/>
                <w:lang w:val="ro-RO"/>
              </w:rPr>
              <w:t>1</w:t>
            </w:r>
            <w:r w:rsidRPr="00DE1CEB">
              <w:rPr>
                <w:rStyle w:val="Fontdeparagrafimplicit"/>
                <w:rFonts w:ascii="Times New Roman" w:hAnsi="Times New Roman"/>
                <w:sz w:val="24"/>
                <w:szCs w:val="24"/>
                <w:lang w:val="ro-RO"/>
              </w:rPr>
              <w:t xml:space="preserve"> asigură racordarea spectrului de garanții la cel prevăzut în Codul vamal, precum și reglementarea procedurii de aprobarea a garantului.</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fr-FR"/>
              </w:rPr>
            </w:pPr>
            <w:r w:rsidRPr="00DE1CEB">
              <w:rPr>
                <w:rStyle w:val="Fontdeparagrafimplicit"/>
                <w:rFonts w:ascii="Times New Roman" w:hAnsi="Times New Roman"/>
                <w:sz w:val="24"/>
                <w:szCs w:val="24"/>
                <w:lang w:val="ro-RO"/>
              </w:rPr>
              <w:t xml:space="preserve">Ajustarea </w:t>
            </w:r>
            <w:r w:rsidRPr="00DE1CEB">
              <w:rPr>
                <w:rStyle w:val="Fontdeparagrafimplicit"/>
                <w:rFonts w:ascii="Times New Roman" w:hAnsi="Times New Roman"/>
                <w:b/>
                <w:i/>
                <w:iCs/>
                <w:sz w:val="24"/>
                <w:szCs w:val="24"/>
                <w:lang w:val="ro-RO"/>
              </w:rPr>
              <w:t>pct.175 lit.c)</w:t>
            </w:r>
            <w:r w:rsidRPr="00DE1CEB">
              <w:rPr>
                <w:rStyle w:val="Fontdeparagrafimplicit"/>
                <w:rFonts w:ascii="Times New Roman" w:hAnsi="Times New Roman"/>
                <w:sz w:val="24"/>
                <w:szCs w:val="24"/>
                <w:lang w:val="ro-RO"/>
              </w:rPr>
              <w:t xml:space="preserve"> are drept scop concretizarea tipului deciziei, și anume – decizia privind stingerea prin scădere a datoriei vamale, a majorărilor de întârziere (penalităţilor), a amenzilor şi contravalorii mărfurilor.</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fr-FR"/>
              </w:rPr>
            </w:pPr>
            <w:r w:rsidRPr="00DE1CEB">
              <w:rPr>
                <w:rStyle w:val="Fontdeparagrafimplicit"/>
                <w:rFonts w:ascii="Times New Roman" w:hAnsi="Times New Roman"/>
                <w:sz w:val="24"/>
                <w:szCs w:val="24"/>
                <w:lang w:val="ro-RO"/>
              </w:rPr>
              <w:t xml:space="preserve">Modificările propuse la </w:t>
            </w:r>
            <w:r w:rsidRPr="00DE1CEB">
              <w:rPr>
                <w:rStyle w:val="Fontdeparagrafimplicit"/>
                <w:rFonts w:ascii="Times New Roman" w:hAnsi="Times New Roman"/>
                <w:b/>
                <w:i/>
                <w:sz w:val="24"/>
                <w:szCs w:val="24"/>
                <w:lang w:val="ro-RO"/>
              </w:rPr>
              <w:t>Capitolul III, secțiunea a 4-a, secțiunii 6</w:t>
            </w:r>
            <w:r w:rsidRPr="00DE1CEB">
              <w:rPr>
                <w:rStyle w:val="Fontdeparagrafimplicit"/>
                <w:rFonts w:ascii="Times New Roman" w:hAnsi="Times New Roman"/>
                <w:sz w:val="24"/>
                <w:szCs w:val="24"/>
                <w:lang w:val="ro-RO"/>
              </w:rPr>
              <w:t xml:space="preserve"> urmăresc racordarea prevederilor la redacția a actualizată a Codului vamal, stabilirea procedurilor și modalităților de plată, de stingere a obligațiilor vamale, a majorărilor de întârziere (penalităţilor), a amenzilor şi contravalorii mărfurilor, precum și procedura de înscriere a acestora în fișa de evidență a debitorului.</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fr-FR"/>
              </w:rPr>
            </w:pPr>
            <w:r w:rsidRPr="00DE1CEB">
              <w:rPr>
                <w:rStyle w:val="Fontdeparagrafimplicit"/>
                <w:rFonts w:ascii="Times New Roman" w:hAnsi="Times New Roman"/>
                <w:sz w:val="24"/>
                <w:szCs w:val="24"/>
                <w:lang w:val="ro-RO"/>
              </w:rPr>
              <w:t xml:space="preserve">Completarea Regulamentului cu </w:t>
            </w:r>
            <w:r w:rsidRPr="00DE1CEB">
              <w:rPr>
                <w:rStyle w:val="Fontdeparagrafimplicit"/>
                <w:rFonts w:ascii="Times New Roman" w:hAnsi="Times New Roman"/>
                <w:b/>
                <w:i/>
                <w:sz w:val="24"/>
                <w:szCs w:val="24"/>
                <w:lang w:val="ro-RO"/>
              </w:rPr>
              <w:t>pct.421</w:t>
            </w:r>
            <w:r w:rsidRPr="00DE1CEB">
              <w:rPr>
                <w:rStyle w:val="Fontdeparagrafimplicit"/>
                <w:rFonts w:ascii="Times New Roman" w:hAnsi="Times New Roman"/>
                <w:b/>
                <w:i/>
                <w:sz w:val="24"/>
                <w:szCs w:val="24"/>
                <w:vertAlign w:val="superscript"/>
                <w:lang w:val="ro-RO"/>
              </w:rPr>
              <w:t>2</w:t>
            </w:r>
            <w:r w:rsidRPr="00DE1CEB">
              <w:rPr>
                <w:rStyle w:val="Fontdeparagrafimplicit"/>
                <w:rFonts w:ascii="Times New Roman" w:hAnsi="Times New Roman"/>
                <w:sz w:val="24"/>
                <w:szCs w:val="24"/>
                <w:lang w:val="ro-RO"/>
              </w:rPr>
              <w:t xml:space="preserve"> urmărește reglementarea competențelor  </w:t>
            </w:r>
            <w:r w:rsidRPr="00DE1CEB">
              <w:rPr>
                <w:rStyle w:val="Fontdeparagrafimplicit"/>
                <w:rFonts w:ascii="Times New Roman" w:hAnsi="Times New Roman"/>
                <w:color w:val="000000"/>
                <w:sz w:val="24"/>
                <w:szCs w:val="24"/>
                <w:lang w:val="ro-RO" w:eastAsia="ru-RU"/>
              </w:rPr>
              <w:t xml:space="preserve">postului vamal de plecare în cazurile verificării veridicității informațiilor conținute într-o declarație de tranzit </w:t>
            </w:r>
            <w:r w:rsidRPr="00DE1CEB">
              <w:rPr>
                <w:rStyle w:val="Fontdeparagrafimplicit"/>
                <w:rFonts w:ascii="Times New Roman" w:hAnsi="Times New Roman"/>
                <w:sz w:val="24"/>
                <w:szCs w:val="24"/>
                <w:lang w:val="ro-RO" w:eastAsia="ru-RU"/>
              </w:rPr>
              <w:t>care a fost acceptată.</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eastAsia="ru-RU"/>
              </w:rPr>
            </w:pPr>
            <w:r w:rsidRPr="00DE1CEB">
              <w:rPr>
                <w:rFonts w:ascii="Times New Roman" w:hAnsi="Times New Roman"/>
                <w:sz w:val="24"/>
                <w:szCs w:val="24"/>
                <w:lang w:val="ro-RO" w:eastAsia="ru-RU"/>
              </w:rPr>
              <w:lastRenderedPageBreak/>
              <w:t>Ajustarea pct.458 are drept scop precizarea condiției ce ține de aplicarea regulată a regimului de tranzit, condiție stabilită pentru toate simplificările în tranzit, este necesar de reglementat numărul de operațiuni de tranzit.</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shd w:val="clear" w:color="auto" w:fill="FFFFFF"/>
                <w:lang w:val="ro-RO"/>
              </w:rPr>
              <w:t xml:space="preserve">Introducerea modificărilor la </w:t>
            </w:r>
            <w:r w:rsidRPr="00DE1CEB">
              <w:rPr>
                <w:rStyle w:val="Fontdeparagrafimplicit"/>
                <w:rFonts w:ascii="Times New Roman" w:hAnsi="Times New Roman"/>
                <w:b/>
                <w:bCs/>
                <w:i/>
                <w:iCs/>
                <w:sz w:val="24"/>
                <w:szCs w:val="24"/>
                <w:shd w:val="clear" w:color="auto" w:fill="FFFFFF"/>
                <w:lang w:val="ro-RO"/>
              </w:rPr>
              <w:t>pct.699</w:t>
            </w:r>
            <w:r w:rsidRPr="00DE1CEB">
              <w:rPr>
                <w:rStyle w:val="Fontdeparagrafimplicit"/>
                <w:rFonts w:ascii="Times New Roman" w:hAnsi="Times New Roman"/>
                <w:sz w:val="24"/>
                <w:szCs w:val="24"/>
                <w:shd w:val="clear" w:color="auto" w:fill="FFFFFF"/>
                <w:lang w:val="ro-RO"/>
              </w:rPr>
              <w:t xml:space="preserve"> și introducerea </w:t>
            </w:r>
            <w:r w:rsidRPr="00DE1CEB">
              <w:rPr>
                <w:rStyle w:val="Fontdeparagrafimplicit"/>
                <w:rFonts w:ascii="Times New Roman" w:hAnsi="Times New Roman"/>
                <w:b/>
                <w:bCs/>
                <w:i/>
                <w:iCs/>
                <w:sz w:val="24"/>
                <w:szCs w:val="24"/>
                <w:shd w:val="clear" w:color="auto" w:fill="FFFFFF"/>
                <w:lang w:val="ro-RO"/>
              </w:rPr>
              <w:t>Anexei nr.61</w:t>
            </w:r>
            <w:r w:rsidRPr="00DE1CEB">
              <w:rPr>
                <w:rStyle w:val="Fontdeparagrafimplicit"/>
                <w:rFonts w:ascii="Times New Roman" w:hAnsi="Times New Roman"/>
                <w:sz w:val="24"/>
                <w:szCs w:val="24"/>
                <w:shd w:val="clear" w:color="auto" w:fill="FFFFFF"/>
                <w:lang w:val="ro-RO"/>
              </w:rPr>
              <w:t xml:space="preserve"> are drept scop aprobarea cerințelor pe care trebuie să le îndeplinească un spațiu care se solicită a fi aprobat pentru efectuarea prezentării și depozitării temporare a mărfurilor conform pct.249 și 252 care sunt necesare pentru efectuarea unui control vamal fizic fără tergiversări și în siguranță asupra mărfurilor, cât și aprobarea formularului Autorizației de prezentare a mărfurilor în vamă într-un loc aprobat care va fi eliberat de către biroul vamal solicitantului ca document ce atestă dreptul de prezentare și depozitare a mărfurilor în acel spațiu.</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rPr>
            </w:pPr>
            <w:r w:rsidRPr="00DE1CEB">
              <w:rPr>
                <w:rStyle w:val="Fontdeparagrafimplicit"/>
                <w:rFonts w:ascii="Times New Roman" w:hAnsi="Times New Roman"/>
                <w:sz w:val="24"/>
                <w:szCs w:val="24"/>
                <w:lang w:val="ro-RO" w:eastAsia="ru-RU"/>
              </w:rPr>
              <w:t xml:space="preserve">Noua redacție a </w:t>
            </w:r>
            <w:r w:rsidRPr="00DE1CEB">
              <w:rPr>
                <w:rStyle w:val="Fontdeparagrafimplicit"/>
                <w:rFonts w:ascii="Times New Roman" w:hAnsi="Times New Roman"/>
                <w:b/>
                <w:i/>
                <w:sz w:val="24"/>
                <w:szCs w:val="24"/>
                <w:lang w:val="ro-RO" w:eastAsia="ru-RU"/>
              </w:rPr>
              <w:t>pct.840 și pct.842</w:t>
            </w:r>
            <w:r w:rsidRPr="00DE1CEB">
              <w:rPr>
                <w:rStyle w:val="Fontdeparagrafimplicit"/>
                <w:rFonts w:ascii="Times New Roman" w:hAnsi="Times New Roman"/>
                <w:sz w:val="24"/>
                <w:szCs w:val="24"/>
                <w:lang w:val="ro-RO" w:eastAsia="ru-RU"/>
              </w:rPr>
              <w:t xml:space="preserve"> are drept scop revizuirea condițiilor de declarare a valorilor valutare la introducerea în/scoaterea din Republica Moldova a acestora, în suma ce depășește 10 mii de euro.</w:t>
            </w:r>
          </w:p>
          <w:p w:rsidR="00090455" w:rsidRPr="00DE1CEB" w:rsidRDefault="000577FF">
            <w:pPr>
              <w:tabs>
                <w:tab w:val="center" w:pos="4677"/>
                <w:tab w:val="right" w:pos="9355"/>
              </w:tabs>
              <w:spacing w:after="0" w:line="276" w:lineRule="auto"/>
              <w:ind w:firstLine="474"/>
              <w:jc w:val="both"/>
              <w:rPr>
                <w:rFonts w:ascii="Times New Roman" w:hAnsi="Times New Roman"/>
                <w:sz w:val="24"/>
                <w:szCs w:val="24"/>
                <w:lang w:val="ro-RO" w:eastAsia="ru-RU"/>
              </w:rPr>
            </w:pPr>
            <w:r w:rsidRPr="00DE1CEB">
              <w:rPr>
                <w:rFonts w:ascii="Times New Roman" w:hAnsi="Times New Roman"/>
                <w:sz w:val="24"/>
                <w:szCs w:val="24"/>
                <w:lang w:val="ro-RO" w:eastAsia="ru-RU"/>
              </w:rPr>
              <w:t xml:space="preserve"> Suplimentar, prin prisma proiectului se urmărește ajustarea și/sau completarea acestuia cu modelul:</w:t>
            </w:r>
          </w:p>
          <w:p w:rsidR="00090455" w:rsidRPr="00DE1CEB" w:rsidRDefault="000577FF">
            <w:pPr>
              <w:pStyle w:val="Listparagraf"/>
              <w:numPr>
                <w:ilvl w:val="1"/>
                <w:numId w:val="1"/>
              </w:numPr>
              <w:tabs>
                <w:tab w:val="center" w:pos="294"/>
                <w:tab w:val="right" w:pos="9355"/>
              </w:tabs>
              <w:spacing w:after="0"/>
              <w:ind w:left="0" w:firstLine="90"/>
              <w:jc w:val="both"/>
              <w:rPr>
                <w:rFonts w:ascii="Times New Roman" w:hAnsi="Times New Roman"/>
                <w:sz w:val="24"/>
                <w:szCs w:val="24"/>
                <w:lang w:val="ro-RO"/>
              </w:rPr>
            </w:pPr>
            <w:r w:rsidRPr="00DE1CEB">
              <w:rPr>
                <w:rFonts w:ascii="Times New Roman" w:hAnsi="Times New Roman"/>
                <w:sz w:val="24"/>
                <w:szCs w:val="24"/>
                <w:lang w:val="ro-RO"/>
              </w:rPr>
              <w:t>Cererii de autorizare pentru utilizarea simplificărilor;</w:t>
            </w:r>
          </w:p>
          <w:p w:rsidR="00090455" w:rsidRPr="00DE1CEB" w:rsidRDefault="000577FF">
            <w:pPr>
              <w:pStyle w:val="Listparagraf"/>
              <w:numPr>
                <w:ilvl w:val="1"/>
                <w:numId w:val="1"/>
              </w:numPr>
              <w:tabs>
                <w:tab w:val="center" w:pos="294"/>
                <w:tab w:val="right" w:pos="9355"/>
              </w:tabs>
              <w:spacing w:after="0"/>
              <w:ind w:left="0" w:firstLine="90"/>
              <w:jc w:val="both"/>
              <w:rPr>
                <w:rFonts w:ascii="Times New Roman" w:hAnsi="Times New Roman"/>
                <w:sz w:val="24"/>
                <w:szCs w:val="24"/>
                <w:lang w:val="ro-RO"/>
              </w:rPr>
            </w:pPr>
            <w:r w:rsidRPr="00DE1CEB">
              <w:rPr>
                <w:rFonts w:ascii="Times New Roman" w:hAnsi="Times New Roman"/>
                <w:sz w:val="24"/>
                <w:szCs w:val="24"/>
                <w:lang w:val="ro-RO"/>
              </w:rPr>
              <w:t>Cererii de autorizație pentru utilizarea regimului de admitere temporară;</w:t>
            </w:r>
          </w:p>
          <w:p w:rsidR="00090455" w:rsidRPr="00DE1CEB" w:rsidRDefault="000577FF">
            <w:pPr>
              <w:pStyle w:val="Listparagraf"/>
              <w:numPr>
                <w:ilvl w:val="1"/>
                <w:numId w:val="1"/>
              </w:numPr>
              <w:tabs>
                <w:tab w:val="center" w:pos="294"/>
                <w:tab w:val="right" w:pos="9355"/>
              </w:tabs>
              <w:spacing w:after="0"/>
              <w:ind w:left="0"/>
              <w:jc w:val="both"/>
              <w:rPr>
                <w:rFonts w:ascii="Times New Roman" w:hAnsi="Times New Roman"/>
                <w:sz w:val="24"/>
                <w:szCs w:val="24"/>
                <w:lang w:val="ro-RO"/>
              </w:rPr>
            </w:pPr>
            <w:r w:rsidRPr="00DE1CEB">
              <w:rPr>
                <w:rFonts w:ascii="Times New Roman" w:hAnsi="Times New Roman"/>
                <w:sz w:val="24"/>
                <w:szCs w:val="24"/>
                <w:lang w:val="ro-RO"/>
              </w:rPr>
              <w:t>- Cererii de autorizație pentru utilizarea regimului de destinație finală;</w:t>
            </w:r>
          </w:p>
          <w:p w:rsidR="00090455" w:rsidRPr="00DE1CEB" w:rsidRDefault="000577FF">
            <w:pPr>
              <w:pStyle w:val="Listparagraf"/>
              <w:numPr>
                <w:ilvl w:val="1"/>
                <w:numId w:val="1"/>
              </w:numPr>
              <w:spacing w:after="0"/>
              <w:ind w:left="0"/>
              <w:rPr>
                <w:rFonts w:ascii="Times New Roman" w:hAnsi="Times New Roman"/>
                <w:sz w:val="24"/>
                <w:szCs w:val="24"/>
                <w:lang w:val="ro-RO"/>
              </w:rPr>
            </w:pPr>
            <w:r w:rsidRPr="00DE1CEB">
              <w:rPr>
                <w:rFonts w:ascii="Times New Roman" w:hAnsi="Times New Roman"/>
                <w:sz w:val="24"/>
                <w:szCs w:val="24"/>
                <w:lang w:val="ro-RO"/>
              </w:rPr>
              <w:t>- Cererii de autorizație pentru utilizarea regimului de perfecţionare activă;</w:t>
            </w:r>
          </w:p>
          <w:p w:rsidR="00090455" w:rsidRPr="00DE1CEB" w:rsidRDefault="000577FF">
            <w:pPr>
              <w:pStyle w:val="Listparagraf"/>
              <w:numPr>
                <w:ilvl w:val="1"/>
                <w:numId w:val="1"/>
              </w:numPr>
              <w:tabs>
                <w:tab w:val="center" w:pos="294"/>
                <w:tab w:val="right" w:pos="9355"/>
              </w:tabs>
              <w:spacing w:after="0"/>
              <w:ind w:left="0"/>
              <w:jc w:val="both"/>
              <w:rPr>
                <w:rFonts w:ascii="Times New Roman" w:hAnsi="Times New Roman"/>
                <w:sz w:val="24"/>
                <w:szCs w:val="24"/>
                <w:lang w:val="ro-RO"/>
              </w:rPr>
            </w:pPr>
            <w:r w:rsidRPr="00DE1CEB">
              <w:rPr>
                <w:rFonts w:ascii="Times New Roman" w:hAnsi="Times New Roman"/>
                <w:sz w:val="24"/>
                <w:szCs w:val="24"/>
                <w:lang w:val="ro-RO"/>
              </w:rPr>
              <w:t>- Cererii de autorizație pentru utilizarea regimului de perfecţionare pasivă;</w:t>
            </w:r>
          </w:p>
          <w:p w:rsidR="00090455" w:rsidRPr="00DE1CEB" w:rsidRDefault="000577FF">
            <w:pPr>
              <w:pStyle w:val="Listparagraf"/>
              <w:numPr>
                <w:ilvl w:val="1"/>
                <w:numId w:val="1"/>
              </w:numPr>
              <w:tabs>
                <w:tab w:val="center" w:pos="294"/>
                <w:tab w:val="right" w:pos="9355"/>
              </w:tabs>
              <w:spacing w:after="0"/>
              <w:ind w:left="0"/>
              <w:jc w:val="both"/>
              <w:rPr>
                <w:rFonts w:ascii="Times New Roman" w:hAnsi="Times New Roman"/>
                <w:sz w:val="24"/>
                <w:szCs w:val="24"/>
                <w:lang w:val="ro-RO"/>
              </w:rPr>
            </w:pPr>
            <w:r w:rsidRPr="00DE1CEB">
              <w:rPr>
                <w:rFonts w:ascii="Times New Roman" w:hAnsi="Times New Roman"/>
                <w:sz w:val="24"/>
                <w:szCs w:val="24"/>
                <w:lang w:val="ro-RO"/>
              </w:rPr>
              <w:t>- Cererii de autorizație pentru exploatarea spaţiilor de depozitare în scopul antrepozitării vamale a mărfurilor;</w:t>
            </w:r>
          </w:p>
          <w:p w:rsidR="00090455" w:rsidRPr="00DE1CEB" w:rsidRDefault="000577FF">
            <w:pPr>
              <w:pStyle w:val="Listparagraf"/>
              <w:numPr>
                <w:ilvl w:val="1"/>
                <w:numId w:val="1"/>
              </w:numPr>
              <w:tabs>
                <w:tab w:val="center" w:pos="294"/>
                <w:tab w:val="right" w:pos="9355"/>
              </w:tabs>
              <w:spacing w:after="0"/>
              <w:ind w:left="0"/>
              <w:jc w:val="both"/>
              <w:rPr>
                <w:rFonts w:ascii="Times New Roman" w:hAnsi="Times New Roman"/>
                <w:sz w:val="24"/>
                <w:szCs w:val="24"/>
                <w:lang w:val="ro-RO"/>
              </w:rPr>
            </w:pPr>
            <w:r w:rsidRPr="00DE1CEB">
              <w:rPr>
                <w:rFonts w:ascii="Times New Roman" w:hAnsi="Times New Roman"/>
                <w:sz w:val="24"/>
                <w:szCs w:val="24"/>
                <w:lang w:val="ro-RO"/>
              </w:rPr>
              <w:t>- Autorizaţiei pentru exploatarea spaţiilor de depozitare în scopul antrepozitării vamale a mărfurilor;</w:t>
            </w:r>
          </w:p>
          <w:p w:rsidR="00090455" w:rsidRPr="00DE1CEB" w:rsidRDefault="000577FF">
            <w:pPr>
              <w:pStyle w:val="Listparagraf"/>
              <w:numPr>
                <w:ilvl w:val="1"/>
                <w:numId w:val="1"/>
              </w:numPr>
              <w:tabs>
                <w:tab w:val="center" w:pos="294"/>
                <w:tab w:val="right" w:pos="9355"/>
              </w:tabs>
              <w:spacing w:after="0"/>
              <w:ind w:left="0"/>
              <w:jc w:val="both"/>
              <w:rPr>
                <w:rFonts w:ascii="Times New Roman" w:hAnsi="Times New Roman"/>
                <w:sz w:val="24"/>
                <w:szCs w:val="24"/>
                <w:lang w:val="ro-RO"/>
              </w:rPr>
            </w:pPr>
            <w:r w:rsidRPr="00DE1CEB">
              <w:rPr>
                <w:rFonts w:ascii="Times New Roman" w:hAnsi="Times New Roman"/>
                <w:sz w:val="24"/>
                <w:szCs w:val="24"/>
                <w:lang w:val="ro-RO"/>
              </w:rPr>
              <w:t>- Autorizaţiei pentru utilizarea regimului de admitere temporară;</w:t>
            </w:r>
          </w:p>
          <w:p w:rsidR="00090455" w:rsidRPr="00DE1CEB" w:rsidRDefault="000577FF">
            <w:pPr>
              <w:pStyle w:val="Listparagraf"/>
              <w:numPr>
                <w:ilvl w:val="1"/>
                <w:numId w:val="1"/>
              </w:numPr>
              <w:tabs>
                <w:tab w:val="center" w:pos="294"/>
                <w:tab w:val="right" w:pos="9355"/>
              </w:tabs>
              <w:spacing w:after="0"/>
              <w:ind w:left="0"/>
              <w:jc w:val="both"/>
              <w:rPr>
                <w:rFonts w:ascii="Times New Roman" w:hAnsi="Times New Roman"/>
                <w:sz w:val="24"/>
                <w:szCs w:val="24"/>
                <w:lang w:val="ro-RO"/>
              </w:rPr>
            </w:pPr>
            <w:r w:rsidRPr="00DE1CEB">
              <w:rPr>
                <w:rFonts w:ascii="Times New Roman" w:hAnsi="Times New Roman"/>
                <w:sz w:val="24"/>
                <w:szCs w:val="24"/>
                <w:lang w:val="ro-RO"/>
              </w:rPr>
              <w:t>- Autorizaţiei pentru utilizarea regimului de destinație finală;</w:t>
            </w:r>
          </w:p>
          <w:p w:rsidR="00090455" w:rsidRPr="00DE1CEB" w:rsidRDefault="000577FF">
            <w:pPr>
              <w:pStyle w:val="Listparagraf"/>
              <w:numPr>
                <w:ilvl w:val="1"/>
                <w:numId w:val="1"/>
              </w:numPr>
              <w:tabs>
                <w:tab w:val="center" w:pos="294"/>
                <w:tab w:val="right" w:pos="9355"/>
              </w:tabs>
              <w:spacing w:after="0"/>
              <w:ind w:left="0"/>
              <w:jc w:val="both"/>
              <w:rPr>
                <w:rFonts w:ascii="Times New Roman" w:hAnsi="Times New Roman"/>
                <w:sz w:val="24"/>
                <w:szCs w:val="24"/>
                <w:lang w:val="fr-FR"/>
              </w:rPr>
            </w:pPr>
            <w:r w:rsidRPr="00DE1CEB">
              <w:rPr>
                <w:rStyle w:val="Fontdeparagrafimplicit"/>
                <w:rFonts w:ascii="Times New Roman" w:hAnsi="Times New Roman"/>
                <w:sz w:val="24"/>
                <w:szCs w:val="24"/>
                <w:lang w:val="ro-RO"/>
              </w:rPr>
              <w:t>- Autorizaţiei pentru utilizarea regimului de perfecţionare activă/pasivă.</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tcPr>
          <w:p w:rsidR="00090455" w:rsidRPr="00DE1CEB" w:rsidRDefault="000577FF">
            <w:pPr>
              <w:spacing w:after="0" w:line="276" w:lineRule="auto"/>
              <w:rPr>
                <w:rFonts w:ascii="Times New Roman" w:hAnsi="Times New Roman"/>
                <w:sz w:val="24"/>
                <w:szCs w:val="24"/>
              </w:rPr>
            </w:pPr>
            <w:r w:rsidRPr="00DE1CEB">
              <w:rPr>
                <w:rStyle w:val="Fontdeparagrafimplicit"/>
                <w:rFonts w:ascii="Times New Roman" w:eastAsia="Times New Roman" w:hAnsi="Times New Roman"/>
                <w:b/>
                <w:bCs/>
                <w:sz w:val="24"/>
                <w:szCs w:val="24"/>
                <w:lang w:val="ro-RO" w:eastAsia="en-GB"/>
              </w:rPr>
              <w:lastRenderedPageBreak/>
              <w:t>5. Fundamentarea economico-financiară</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spacing w:after="0" w:line="276" w:lineRule="auto"/>
              <w:ind w:firstLine="522"/>
              <w:jc w:val="both"/>
              <w:rPr>
                <w:rFonts w:ascii="Times New Roman" w:eastAsia="Times New Roman" w:hAnsi="Times New Roman"/>
                <w:bCs/>
                <w:sz w:val="24"/>
                <w:szCs w:val="24"/>
                <w:lang w:val="ro-RO" w:eastAsia="en-GB"/>
              </w:rPr>
            </w:pPr>
            <w:r w:rsidRPr="00DE1CEB">
              <w:rPr>
                <w:rFonts w:ascii="Times New Roman" w:eastAsia="Times New Roman" w:hAnsi="Times New Roman"/>
                <w:bCs/>
                <w:sz w:val="24"/>
                <w:szCs w:val="24"/>
                <w:lang w:val="ro-RO" w:eastAsia="en-GB"/>
              </w:rPr>
              <w:t xml:space="preserve">Modificările efectuate sunt axate în special pe proceduri și administrări vamale și nu implică costuri bugetare. </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tcPr>
          <w:p w:rsidR="00090455" w:rsidRPr="00DE1CEB" w:rsidRDefault="000577FF">
            <w:pPr>
              <w:spacing w:after="0" w:line="276" w:lineRule="auto"/>
              <w:rPr>
                <w:rFonts w:ascii="Times New Roman" w:eastAsia="Times New Roman" w:hAnsi="Times New Roman"/>
                <w:b/>
                <w:bCs/>
                <w:sz w:val="24"/>
                <w:szCs w:val="24"/>
                <w:lang w:val="ro-RO" w:eastAsia="en-GB"/>
              </w:rPr>
            </w:pPr>
            <w:r w:rsidRPr="00DE1CEB">
              <w:rPr>
                <w:rFonts w:ascii="Times New Roman" w:eastAsia="Times New Roman" w:hAnsi="Times New Roman"/>
                <w:b/>
                <w:bCs/>
                <w:sz w:val="24"/>
                <w:szCs w:val="24"/>
                <w:lang w:val="ro-RO" w:eastAsia="en-GB"/>
              </w:rPr>
              <w:t>6. Modul de încorporare a actului în cadrul normativ în vigoare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spacing w:after="0" w:line="276" w:lineRule="auto"/>
              <w:ind w:firstLine="522"/>
              <w:jc w:val="both"/>
              <w:rPr>
                <w:rFonts w:ascii="Times New Roman" w:eastAsia="Times New Roman" w:hAnsi="Times New Roman"/>
                <w:bCs/>
                <w:sz w:val="24"/>
                <w:szCs w:val="24"/>
                <w:lang w:val="ro-RO" w:eastAsia="en-GB"/>
              </w:rPr>
            </w:pPr>
            <w:r w:rsidRPr="00DE1CEB">
              <w:rPr>
                <w:rFonts w:ascii="Times New Roman" w:eastAsia="Times New Roman" w:hAnsi="Times New Roman"/>
                <w:bCs/>
                <w:sz w:val="24"/>
                <w:szCs w:val="24"/>
                <w:lang w:val="ro-RO" w:eastAsia="en-GB"/>
              </w:rPr>
              <w:t>Prezentul Regulament este elaborat în conformitate cu legislația în vigoare. Întru implementarea definitivă a unor propuneri enunțate supra va fi ajustat/elaborat cadrul normativ secundar aprobat de Serviciul Vamal.</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tcPr>
          <w:p w:rsidR="00090455" w:rsidRPr="00DE1CEB" w:rsidRDefault="000577FF">
            <w:pPr>
              <w:spacing w:after="0" w:line="276" w:lineRule="auto"/>
              <w:rPr>
                <w:rFonts w:ascii="Times New Roman" w:hAnsi="Times New Roman"/>
                <w:sz w:val="24"/>
                <w:szCs w:val="24"/>
              </w:rPr>
            </w:pPr>
            <w:r w:rsidRPr="00DE1CEB">
              <w:rPr>
                <w:rStyle w:val="Fontdeparagrafimplicit"/>
                <w:rFonts w:ascii="Times New Roman" w:eastAsia="Times New Roman" w:hAnsi="Times New Roman"/>
                <w:b/>
                <w:bCs/>
                <w:sz w:val="24"/>
                <w:szCs w:val="24"/>
                <w:lang w:val="ro-RO" w:eastAsia="en-GB"/>
              </w:rPr>
              <w:t>7. Avizarea şi consultarea publică a proiectului</w:t>
            </w:r>
          </w:p>
        </w:tc>
      </w:tr>
      <w:tr w:rsidR="00090455" w:rsidRPr="00DE1CEB">
        <w:trPr>
          <w:trHeight w:val="672"/>
        </w:trPr>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spacing w:after="0" w:line="276" w:lineRule="auto"/>
              <w:ind w:firstLine="522"/>
              <w:jc w:val="both"/>
              <w:rPr>
                <w:rFonts w:ascii="Times New Roman" w:hAnsi="Times New Roman"/>
                <w:sz w:val="24"/>
                <w:szCs w:val="24"/>
                <w:lang w:val="ro-RO"/>
              </w:rPr>
            </w:pPr>
            <w:r w:rsidRPr="00DE1CEB">
              <w:rPr>
                <w:rStyle w:val="Fontdeparagrafimplicit"/>
                <w:rFonts w:ascii="Times New Roman" w:eastAsia="Times New Roman" w:hAnsi="Times New Roman"/>
                <w:bCs/>
                <w:sz w:val="24"/>
                <w:szCs w:val="24"/>
                <w:lang w:val="ro-RO" w:eastAsia="en-GB"/>
              </w:rPr>
              <w:t xml:space="preserve">În conformitate cu art. 15 din Legea nr. 239/2008 privind transparența în procesul decizional, la data de 1 decembrie 2023, pe pagina web a Ministerului Finanțelor a fost plasat anunț privind inițierea procesului de elaborare a proiectului hotărârii de Guvern cu privire la modificarea Hotărârii Guvernului nr.92/2023 cu privire la punerea în aplicare a Codului vamal nr.95/2021,  </w:t>
            </w:r>
            <w:hyperlink r:id="rId7" w:history="1">
              <w:r w:rsidRPr="00DE1CEB">
                <w:rPr>
                  <w:rStyle w:val="Hyperlink"/>
                  <w:rFonts w:ascii="Times New Roman" w:eastAsia="Times New Roman" w:hAnsi="Times New Roman"/>
                  <w:bCs/>
                  <w:sz w:val="24"/>
                  <w:szCs w:val="24"/>
                  <w:lang w:val="ro-RO" w:eastAsia="en-GB"/>
                </w:rPr>
                <w:t>https://mf.gov.md/ro/content/anun%C8%9B-privind-ini%C8%9Bierea-elabor%C4%83rii-proiectului-hot%C4%83r%C3%A2rii-guvernului-pentru-modificarea</w:t>
              </w:r>
            </w:hyperlink>
            <w:r w:rsidRPr="00DE1CEB">
              <w:rPr>
                <w:rStyle w:val="Fontdeparagrafimplicit"/>
                <w:rFonts w:ascii="Times New Roman" w:eastAsia="Times New Roman" w:hAnsi="Times New Roman"/>
                <w:bCs/>
                <w:sz w:val="24"/>
                <w:szCs w:val="24"/>
                <w:lang w:val="ro-RO" w:eastAsia="en-GB"/>
              </w:rPr>
              <w:t>, la compartimentul Transparența decizională/Consultări publice și urmează a fi asigurată avizarea acestuia de către instituțiile interesate.</w:t>
            </w:r>
            <w:r w:rsidRPr="00DE1CEB">
              <w:rPr>
                <w:rStyle w:val="Fontdeparagrafimplicit"/>
                <w:rFonts w:ascii="Times New Roman" w:hAnsi="Times New Roman"/>
                <w:sz w:val="24"/>
                <w:szCs w:val="24"/>
                <w:lang w:val="ro-RO"/>
              </w:rPr>
              <w:t xml:space="preserve"> În conformitate cu prevederile Regulamentului Guvernului, aprobat prin Hotărârea Guvernului nr. 610/2018, prezentul proiect urmează a fi avizat de Ministerul Afacerilor Externe și Integrării Europene, Ministerul Dezvoltării Economice și Digitalizării,</w:t>
            </w:r>
            <w:r w:rsidRPr="00DE1CEB">
              <w:rPr>
                <w:rStyle w:val="Fontdeparagrafimplicit"/>
                <w:rFonts w:ascii="Times New Roman" w:eastAsia="Times New Roman" w:hAnsi="Times New Roman"/>
                <w:bCs/>
                <w:sz w:val="24"/>
                <w:szCs w:val="24"/>
                <w:lang w:val="ro-RO" w:eastAsia="en-GB"/>
              </w:rPr>
              <w:t xml:space="preserve"> </w:t>
            </w:r>
            <w:r w:rsidRPr="00DE1CEB">
              <w:rPr>
                <w:rStyle w:val="Fontdeparagrafimplicit"/>
                <w:rFonts w:ascii="Times New Roman" w:hAnsi="Times New Roman"/>
                <w:sz w:val="24"/>
                <w:szCs w:val="24"/>
                <w:lang w:val="ro-RO"/>
              </w:rPr>
              <w:t>Ministerul Justiției, Ministerul Infrastructurii și Dezvoltării Regionale, Ministerul Muncii și Protecției Sociale, Ministerul Agriculturii și Industriei Alimentare, Ministerul Culturii, Centrul Național Anticorupție.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tcPr>
          <w:p w:rsidR="00090455" w:rsidRPr="00DE1CEB" w:rsidRDefault="000577FF">
            <w:pPr>
              <w:spacing w:after="0" w:line="276" w:lineRule="auto"/>
              <w:rPr>
                <w:rFonts w:ascii="Times New Roman" w:hAnsi="Times New Roman"/>
                <w:sz w:val="24"/>
                <w:szCs w:val="24"/>
              </w:rPr>
            </w:pPr>
            <w:r w:rsidRPr="00DE1CEB">
              <w:rPr>
                <w:rStyle w:val="Fontdeparagrafimplicit"/>
                <w:rFonts w:ascii="Times New Roman" w:eastAsia="Times New Roman" w:hAnsi="Times New Roman"/>
                <w:b/>
                <w:bCs/>
                <w:sz w:val="24"/>
                <w:szCs w:val="24"/>
                <w:lang w:val="ro-RO" w:eastAsia="en-GB"/>
              </w:rPr>
              <w:t>8. Constatările expertizei anticorupţie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spacing w:after="0" w:line="276" w:lineRule="auto"/>
              <w:ind w:firstLine="522"/>
              <w:jc w:val="both"/>
              <w:rPr>
                <w:rFonts w:ascii="Times New Roman" w:hAnsi="Times New Roman"/>
                <w:sz w:val="24"/>
                <w:szCs w:val="24"/>
              </w:rPr>
            </w:pPr>
            <w:r w:rsidRPr="00DE1CEB">
              <w:rPr>
                <w:rStyle w:val="Fontdeparagrafimplicit"/>
                <w:rFonts w:ascii="Times New Roman" w:eastAsia="Times New Roman" w:hAnsi="Times New Roman"/>
                <w:sz w:val="24"/>
                <w:szCs w:val="24"/>
                <w:lang w:val="ro-RO" w:eastAsia="ru-RU"/>
              </w:rPr>
              <w:t>Informația privind rezultatele expertizei anticorupție urmează a fi inclusă în sinteza obiecțiilor şi propunerilor/recomandărilor la proiect.</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tcPr>
          <w:p w:rsidR="00090455" w:rsidRPr="00DE1CEB" w:rsidRDefault="000577FF">
            <w:pPr>
              <w:spacing w:after="0" w:line="276" w:lineRule="auto"/>
              <w:rPr>
                <w:rFonts w:ascii="Times New Roman" w:hAnsi="Times New Roman"/>
                <w:sz w:val="24"/>
                <w:szCs w:val="24"/>
              </w:rPr>
            </w:pPr>
            <w:r w:rsidRPr="00DE1CEB">
              <w:rPr>
                <w:rStyle w:val="Fontdeparagrafimplicit"/>
                <w:rFonts w:ascii="Times New Roman" w:eastAsia="Times New Roman" w:hAnsi="Times New Roman"/>
                <w:b/>
                <w:bCs/>
                <w:sz w:val="24"/>
                <w:szCs w:val="24"/>
                <w:lang w:val="ro-RO" w:eastAsia="en-GB"/>
              </w:rPr>
              <w:lastRenderedPageBreak/>
              <w:t>9. Constatările expertizei de compatibilitate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spacing w:after="0" w:line="276" w:lineRule="auto"/>
              <w:ind w:firstLine="522"/>
              <w:jc w:val="both"/>
              <w:rPr>
                <w:rFonts w:ascii="Times New Roman" w:eastAsia="Times New Roman" w:hAnsi="Times New Roman"/>
                <w:bCs/>
                <w:sz w:val="24"/>
                <w:szCs w:val="24"/>
                <w:lang w:val="ro-RO" w:eastAsia="en-GB"/>
              </w:rPr>
            </w:pPr>
            <w:r w:rsidRPr="00DE1CEB">
              <w:rPr>
                <w:rFonts w:ascii="Times New Roman" w:eastAsia="Times New Roman" w:hAnsi="Times New Roman"/>
                <w:bCs/>
                <w:sz w:val="24"/>
                <w:szCs w:val="24"/>
                <w:lang w:val="ro-RO" w:eastAsia="en-GB"/>
              </w:rPr>
              <w:t>Proiectul nu urmărește racordarea acestuia la cadrul normativ al Uniunii Europene.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tcPr>
          <w:p w:rsidR="00090455" w:rsidRPr="00DE1CEB" w:rsidRDefault="000577FF">
            <w:pPr>
              <w:spacing w:after="0" w:line="276" w:lineRule="auto"/>
              <w:jc w:val="both"/>
              <w:rPr>
                <w:rFonts w:ascii="Times New Roman" w:hAnsi="Times New Roman"/>
                <w:sz w:val="24"/>
                <w:szCs w:val="24"/>
              </w:rPr>
            </w:pPr>
            <w:r w:rsidRPr="00DE1CEB">
              <w:rPr>
                <w:rStyle w:val="Fontdeparagrafimplicit"/>
                <w:rFonts w:ascii="Times New Roman" w:eastAsia="Times New Roman" w:hAnsi="Times New Roman"/>
                <w:b/>
                <w:bCs/>
                <w:sz w:val="24"/>
                <w:szCs w:val="24"/>
                <w:lang w:val="ro-RO" w:eastAsia="en-GB"/>
              </w:rPr>
              <w:t>10. Constatările expertizei juridice</w:t>
            </w:r>
          </w:p>
        </w:tc>
      </w:tr>
      <w:tr w:rsidR="00090455" w:rsidRPr="00DE1CEB">
        <w:tc>
          <w:tcPr>
            <w:tcW w:w="1034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090455" w:rsidRPr="00DE1CEB" w:rsidRDefault="000577FF">
            <w:pPr>
              <w:spacing w:after="0" w:line="276" w:lineRule="auto"/>
              <w:ind w:firstLine="522"/>
              <w:jc w:val="both"/>
              <w:rPr>
                <w:rFonts w:ascii="Times New Roman" w:hAnsi="Times New Roman"/>
                <w:sz w:val="24"/>
                <w:szCs w:val="24"/>
              </w:rPr>
            </w:pPr>
            <w:r w:rsidRPr="00DE1CEB">
              <w:rPr>
                <w:rStyle w:val="Fontdeparagrafimplicit"/>
                <w:rFonts w:ascii="Times New Roman" w:eastAsia="Times New Roman" w:hAnsi="Times New Roman"/>
                <w:bCs/>
                <w:sz w:val="24"/>
                <w:szCs w:val="24"/>
                <w:lang w:val="ro-RO" w:eastAsia="en-GB"/>
              </w:rPr>
              <w:t xml:space="preserve">Informația privind rezultatele expertizei juridice </w:t>
            </w:r>
            <w:r w:rsidRPr="00DE1CEB">
              <w:rPr>
                <w:rStyle w:val="Fontdeparagrafimplicit"/>
                <w:rFonts w:ascii="Times New Roman" w:eastAsia="Times New Roman" w:hAnsi="Times New Roman"/>
                <w:sz w:val="24"/>
                <w:szCs w:val="24"/>
                <w:lang w:val="ro-RO" w:eastAsia="ru-RU"/>
              </w:rPr>
              <w:t>urmează a fi inclusă</w:t>
            </w:r>
            <w:r w:rsidRPr="00DE1CEB">
              <w:rPr>
                <w:rStyle w:val="Fontdeparagrafimplicit"/>
                <w:rFonts w:ascii="Times New Roman" w:eastAsia="Times New Roman" w:hAnsi="Times New Roman"/>
                <w:bCs/>
                <w:sz w:val="24"/>
                <w:szCs w:val="24"/>
                <w:lang w:val="ro-RO" w:eastAsia="en-GB"/>
              </w:rPr>
              <w:t xml:space="preserve"> în sinteza obiecțiilor şi propunerilor/recomandărilor la proiect.</w:t>
            </w:r>
          </w:p>
        </w:tc>
      </w:tr>
    </w:tbl>
    <w:p w:rsidR="00090455" w:rsidRPr="00DE1CEB" w:rsidRDefault="00090455" w:rsidP="00E941D9">
      <w:pPr>
        <w:spacing w:after="0" w:line="276" w:lineRule="auto"/>
        <w:jc w:val="center"/>
        <w:rPr>
          <w:rFonts w:ascii="Times New Roman" w:hAnsi="Times New Roman"/>
          <w:b/>
          <w:bCs/>
          <w:sz w:val="24"/>
          <w:szCs w:val="24"/>
          <w:lang w:val="ro-RO"/>
        </w:rPr>
      </w:pPr>
    </w:p>
    <w:p w:rsidR="00090455" w:rsidRPr="00DE1CEB" w:rsidRDefault="00090455" w:rsidP="00E941D9">
      <w:pPr>
        <w:spacing w:after="0" w:line="276" w:lineRule="auto"/>
        <w:jc w:val="center"/>
        <w:rPr>
          <w:rFonts w:ascii="Times New Roman" w:hAnsi="Times New Roman"/>
          <w:b/>
          <w:bCs/>
          <w:sz w:val="24"/>
          <w:szCs w:val="24"/>
          <w:lang w:val="ro-RO"/>
        </w:rPr>
      </w:pPr>
    </w:p>
    <w:p w:rsidR="00090455" w:rsidRPr="00DE1CEB" w:rsidRDefault="00090455" w:rsidP="00E941D9">
      <w:pPr>
        <w:spacing w:after="0" w:line="276" w:lineRule="auto"/>
        <w:jc w:val="center"/>
        <w:rPr>
          <w:rFonts w:ascii="Times New Roman" w:hAnsi="Times New Roman"/>
          <w:b/>
          <w:bCs/>
          <w:sz w:val="24"/>
          <w:szCs w:val="24"/>
          <w:lang w:val="ro-RO"/>
        </w:rPr>
      </w:pPr>
    </w:p>
    <w:tbl>
      <w:tblPr>
        <w:tblW w:w="9072" w:type="dxa"/>
        <w:jc w:val="center"/>
        <w:tblCellMar>
          <w:left w:w="10" w:type="dxa"/>
          <w:right w:w="10" w:type="dxa"/>
        </w:tblCellMar>
        <w:tblLook w:val="0000" w:firstRow="0" w:lastRow="0" w:firstColumn="0" w:lastColumn="0" w:noHBand="0" w:noVBand="0"/>
      </w:tblPr>
      <w:tblGrid>
        <w:gridCol w:w="2977"/>
        <w:gridCol w:w="2551"/>
        <w:gridCol w:w="3544"/>
      </w:tblGrid>
      <w:tr w:rsidR="00090455" w:rsidRPr="00DE1CEB">
        <w:trPr>
          <w:trHeight w:val="129"/>
          <w:jc w:val="center"/>
        </w:trPr>
        <w:tc>
          <w:tcPr>
            <w:tcW w:w="2977" w:type="dxa"/>
            <w:shd w:val="clear" w:color="auto" w:fill="auto"/>
            <w:tcMar>
              <w:top w:w="0" w:type="dxa"/>
              <w:left w:w="108" w:type="dxa"/>
              <w:bottom w:w="0" w:type="dxa"/>
              <w:right w:w="108" w:type="dxa"/>
            </w:tcMar>
          </w:tcPr>
          <w:p w:rsidR="00090455" w:rsidRPr="00DE1CEB" w:rsidRDefault="000577FF" w:rsidP="00E941D9">
            <w:pPr>
              <w:spacing w:after="0" w:line="276" w:lineRule="auto"/>
              <w:jc w:val="center"/>
              <w:rPr>
                <w:rFonts w:ascii="Times New Roman" w:eastAsia="Times New Roman" w:hAnsi="Times New Roman"/>
                <w:b/>
                <w:sz w:val="24"/>
                <w:szCs w:val="24"/>
                <w:lang w:val="ro-RO" w:eastAsia="ru-RU"/>
              </w:rPr>
            </w:pPr>
            <w:r w:rsidRPr="00DE1CEB">
              <w:rPr>
                <w:rFonts w:ascii="Times New Roman" w:eastAsia="Times New Roman" w:hAnsi="Times New Roman"/>
                <w:b/>
                <w:sz w:val="24"/>
                <w:szCs w:val="24"/>
                <w:lang w:val="ro-RO" w:eastAsia="ru-RU"/>
              </w:rPr>
              <w:t>Ministru</w:t>
            </w:r>
          </w:p>
        </w:tc>
        <w:tc>
          <w:tcPr>
            <w:tcW w:w="2551" w:type="dxa"/>
            <w:shd w:val="clear" w:color="auto" w:fill="auto"/>
            <w:tcMar>
              <w:top w:w="0" w:type="dxa"/>
              <w:left w:w="108" w:type="dxa"/>
              <w:bottom w:w="0" w:type="dxa"/>
              <w:right w:w="108" w:type="dxa"/>
            </w:tcMar>
            <w:vAlign w:val="bottom"/>
          </w:tcPr>
          <w:p w:rsidR="00090455" w:rsidRPr="00DE1CEB" w:rsidRDefault="00090455" w:rsidP="00E941D9">
            <w:pPr>
              <w:spacing w:after="0" w:line="276" w:lineRule="auto"/>
              <w:jc w:val="center"/>
              <w:rPr>
                <w:rFonts w:ascii="Times New Roman" w:eastAsia="Times New Roman" w:hAnsi="Times New Roman"/>
                <w:i/>
                <w:sz w:val="24"/>
                <w:szCs w:val="24"/>
                <w:lang w:val="ro-RO" w:eastAsia="ru-RU"/>
              </w:rPr>
            </w:pPr>
          </w:p>
        </w:tc>
        <w:tc>
          <w:tcPr>
            <w:tcW w:w="3544" w:type="dxa"/>
            <w:shd w:val="clear" w:color="auto" w:fill="auto"/>
            <w:tcMar>
              <w:top w:w="0" w:type="dxa"/>
              <w:left w:w="108" w:type="dxa"/>
              <w:bottom w:w="0" w:type="dxa"/>
              <w:right w:w="108" w:type="dxa"/>
            </w:tcMar>
          </w:tcPr>
          <w:p w:rsidR="00090455" w:rsidRPr="00DE1CEB" w:rsidRDefault="000577FF" w:rsidP="00E941D9">
            <w:pPr>
              <w:spacing w:after="0" w:line="276" w:lineRule="auto"/>
              <w:jc w:val="center"/>
              <w:rPr>
                <w:rFonts w:ascii="Times New Roman" w:eastAsia="Times New Roman" w:hAnsi="Times New Roman"/>
                <w:b/>
                <w:sz w:val="24"/>
                <w:szCs w:val="24"/>
                <w:lang w:val="ro-RO" w:eastAsia="ru-RU"/>
              </w:rPr>
            </w:pPr>
            <w:r w:rsidRPr="00DE1CEB">
              <w:rPr>
                <w:rFonts w:ascii="Times New Roman" w:eastAsia="Times New Roman" w:hAnsi="Times New Roman"/>
                <w:b/>
                <w:sz w:val="24"/>
                <w:szCs w:val="24"/>
                <w:lang w:val="ro-RO" w:eastAsia="ru-RU"/>
              </w:rPr>
              <w:t>Petru ROTARU</w:t>
            </w:r>
          </w:p>
        </w:tc>
      </w:tr>
    </w:tbl>
    <w:p w:rsidR="00090455" w:rsidRPr="00DE1CEB" w:rsidRDefault="00090455">
      <w:pPr>
        <w:spacing w:after="0" w:line="276" w:lineRule="auto"/>
        <w:jc w:val="both"/>
        <w:rPr>
          <w:rFonts w:ascii="Times New Roman" w:hAnsi="Times New Roman"/>
          <w:sz w:val="24"/>
          <w:szCs w:val="24"/>
          <w:lang w:val="ro-RO"/>
        </w:rPr>
      </w:pPr>
    </w:p>
    <w:p w:rsidR="00090455" w:rsidRPr="00DE1CEB" w:rsidRDefault="00090455">
      <w:pPr>
        <w:spacing w:after="0"/>
        <w:ind w:firstLine="709"/>
        <w:jc w:val="both"/>
        <w:rPr>
          <w:rFonts w:ascii="Times New Roman" w:hAnsi="Times New Roman"/>
          <w:sz w:val="24"/>
          <w:szCs w:val="24"/>
          <w:lang w:val="ro-RO"/>
        </w:rPr>
      </w:pPr>
    </w:p>
    <w:sectPr w:rsidR="00090455" w:rsidRPr="00DE1CEB">
      <w:footerReference w:type="default" r:id="rId8"/>
      <w:pgSz w:w="11906" w:h="16838"/>
      <w:pgMar w:top="851" w:right="1440" w:bottom="1080" w:left="1440" w:header="142" w:footer="17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6E5" w:rsidRDefault="00FC26E5">
      <w:pPr>
        <w:spacing w:after="0" w:line="240" w:lineRule="auto"/>
      </w:pPr>
      <w:r>
        <w:separator/>
      </w:r>
    </w:p>
  </w:endnote>
  <w:endnote w:type="continuationSeparator" w:id="0">
    <w:p w:rsidR="00FC26E5" w:rsidRDefault="00FC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BE" w:rsidRDefault="000577FF">
    <w:pPr>
      <w:pStyle w:val="Subsol"/>
      <w:jc w:val="right"/>
    </w:pPr>
    <w:r>
      <w:fldChar w:fldCharType="begin"/>
    </w:r>
    <w:r>
      <w:instrText xml:space="preserve"> PAGE </w:instrText>
    </w:r>
    <w:r>
      <w:fldChar w:fldCharType="separate"/>
    </w:r>
    <w:r w:rsidR="00D033AC">
      <w:rPr>
        <w:noProof/>
      </w:rPr>
      <w:t>1</w:t>
    </w:r>
    <w:r>
      <w:fldChar w:fldCharType="end"/>
    </w:r>
  </w:p>
  <w:p w:rsidR="005729BE" w:rsidRDefault="00FC26E5">
    <w:pPr>
      <w:pStyle w:val="Subsol"/>
      <w:ind w:hanging="127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6E5" w:rsidRDefault="00FC26E5">
      <w:pPr>
        <w:spacing w:after="0" w:line="240" w:lineRule="auto"/>
      </w:pPr>
      <w:r>
        <w:rPr>
          <w:color w:val="000000"/>
        </w:rPr>
        <w:separator/>
      </w:r>
    </w:p>
  </w:footnote>
  <w:footnote w:type="continuationSeparator" w:id="0">
    <w:p w:rsidR="00FC26E5" w:rsidRDefault="00FC2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6408"/>
    <w:multiLevelType w:val="multilevel"/>
    <w:tmpl w:val="9EFA6B0A"/>
    <w:lvl w:ilvl="0">
      <w:start w:val="1"/>
      <w:numFmt w:val="decimal"/>
      <w:lvlText w:val="%1."/>
      <w:lvlJc w:val="left"/>
      <w:pPr>
        <w:ind w:left="1282" w:hanging="360"/>
      </w:pPr>
    </w:lvl>
    <w:lvl w:ilvl="1">
      <w:numFmt w:val="bullet"/>
      <w:lvlText w:val="-"/>
      <w:lvlJc w:val="left"/>
      <w:pPr>
        <w:ind w:left="2002" w:hanging="360"/>
      </w:pPr>
      <w:rPr>
        <w:rFonts w:ascii="Times New Roman" w:eastAsia="Times New Roman" w:hAnsi="Times New Roman" w:cs="Times New Roman"/>
      </w:r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55"/>
    <w:rsid w:val="00047E49"/>
    <w:rsid w:val="000577FF"/>
    <w:rsid w:val="00090455"/>
    <w:rsid w:val="003706D1"/>
    <w:rsid w:val="005732F1"/>
    <w:rsid w:val="009859D8"/>
    <w:rsid w:val="00D033AC"/>
    <w:rsid w:val="00DE1CEB"/>
    <w:rsid w:val="00E27F80"/>
    <w:rsid w:val="00E941D9"/>
    <w:rsid w:val="00FC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3AB64-1BE2-4B02-B1CB-DC3BE9B2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ru-RU" w:eastAsia="en-US" w:bidi="ar-SA"/>
      </w:rPr>
    </w:rPrDefault>
    <w:pPrDefault>
      <w:pPr>
        <w:autoSpaceDN w:val="0"/>
        <w:spacing w:after="160" w:line="247"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4">
    <w:name w:val="Titlu 4"/>
    <w:basedOn w:val="Normal"/>
    <w:next w:val="Normal"/>
    <w:pPr>
      <w:keepNext/>
      <w:keepLines/>
      <w:suppressAutoHyphens w:val="0"/>
      <w:spacing w:before="40" w:after="0" w:line="251" w:lineRule="auto"/>
      <w:outlineLvl w:val="3"/>
    </w:pPr>
    <w:rPr>
      <w:rFonts w:ascii="Calibri Light" w:eastAsia="Times New Roman" w:hAnsi="Calibri Light"/>
      <w:i/>
      <w:iCs/>
      <w:color w:val="2E74B5"/>
      <w:lang w:val="ro-RO"/>
    </w:rPr>
  </w:style>
  <w:style w:type="character" w:customStyle="1" w:styleId="Fontdeparagrafimplicit">
    <w:name w:val="Font de paragraf implicit"/>
  </w:style>
  <w:style w:type="paragraph" w:styleId="NormalWeb">
    <w:name w:val="Normal (Web)"/>
    <w:basedOn w:val="Normal"/>
    <w:pPr>
      <w:spacing w:before="100" w:after="100" w:line="240" w:lineRule="auto"/>
    </w:pPr>
    <w:rPr>
      <w:rFonts w:ascii="Times New Roman" w:eastAsia="Times New Roman" w:hAnsi="Times New Roman"/>
      <w:sz w:val="24"/>
      <w:szCs w:val="24"/>
      <w:lang w:val="ro-RO" w:eastAsia="ro-RO"/>
    </w:rPr>
  </w:style>
  <w:style w:type="character" w:customStyle="1" w:styleId="NormalWebCaracter">
    <w:name w:val="Normal (Web) Caracter"/>
    <w:rPr>
      <w:rFonts w:ascii="Times New Roman" w:eastAsia="Times New Roman" w:hAnsi="Times New Roman" w:cs="Times New Roman"/>
      <w:kern w:val="0"/>
      <w:sz w:val="24"/>
      <w:szCs w:val="24"/>
      <w:lang w:val="ro-RO" w:eastAsia="ro-RO"/>
    </w:rPr>
  </w:style>
  <w:style w:type="paragraph" w:customStyle="1" w:styleId="Listparagraf">
    <w:name w:val="Listă paragraf"/>
    <w:basedOn w:val="Normal"/>
    <w:pPr>
      <w:spacing w:after="200" w:line="276" w:lineRule="auto"/>
      <w:ind w:left="720"/>
    </w:pPr>
    <w:rPr>
      <w:lang w:val="en-US"/>
    </w:rPr>
  </w:style>
  <w:style w:type="paragraph" w:customStyle="1" w:styleId="Subsol">
    <w:name w:val="Subsol"/>
    <w:basedOn w:val="Normal"/>
    <w:pPr>
      <w:tabs>
        <w:tab w:val="center" w:pos="4513"/>
        <w:tab w:val="right" w:pos="9026"/>
      </w:tabs>
      <w:spacing w:after="0" w:line="240" w:lineRule="auto"/>
    </w:pPr>
  </w:style>
  <w:style w:type="character" w:customStyle="1" w:styleId="SubsolCaracter">
    <w:name w:val="Subsol Caracter"/>
    <w:basedOn w:val="Fontdeparagrafimplicit"/>
    <w:rPr>
      <w:kern w:val="0"/>
      <w:lang w:val="en-GB"/>
    </w:rPr>
  </w:style>
  <w:style w:type="character" w:styleId="Hyperlink">
    <w:name w:val="Hyperlink"/>
    <w:basedOn w:val="Fontdeparagrafimplicit"/>
    <w:rPr>
      <w:color w:val="0000FF"/>
      <w:u w:val="single"/>
    </w:rPr>
  </w:style>
  <w:style w:type="character" w:customStyle="1" w:styleId="ListparagrafCaracter">
    <w:name w:val="Listă paragraf Caracter"/>
    <w:rPr>
      <w:rFonts w:ascii="Calibri" w:eastAsia="Calibri" w:hAnsi="Calibri" w:cs="Times New Roman"/>
      <w:kern w:val="0"/>
      <w:lang w:val="en-US"/>
    </w:rPr>
  </w:style>
  <w:style w:type="paragraph" w:customStyle="1" w:styleId="Textcomentariu">
    <w:name w:val="Text comentariu"/>
    <w:basedOn w:val="Normal"/>
    <w:pPr>
      <w:suppressAutoHyphens w:val="0"/>
      <w:spacing w:line="240" w:lineRule="auto"/>
    </w:pPr>
    <w:rPr>
      <w:sz w:val="20"/>
      <w:szCs w:val="20"/>
      <w:lang w:val="ro-MD"/>
    </w:rPr>
  </w:style>
  <w:style w:type="character" w:customStyle="1" w:styleId="TextcomentariuCaracter">
    <w:name w:val="Text comentariu Caracter"/>
    <w:basedOn w:val="Fontdeparagrafimplicit"/>
    <w:rPr>
      <w:rFonts w:ascii="Calibri" w:eastAsia="Calibri" w:hAnsi="Calibri" w:cs="Times New Roman"/>
      <w:kern w:val="0"/>
      <w:sz w:val="20"/>
      <w:szCs w:val="20"/>
      <w:lang w:val="ro-MD"/>
    </w:rPr>
  </w:style>
  <w:style w:type="character" w:customStyle="1" w:styleId="Titlu4Caracter">
    <w:name w:val="Titlu 4 Caracter"/>
    <w:basedOn w:val="Fontdeparagrafimplicit"/>
    <w:rPr>
      <w:rFonts w:ascii="Calibri Light" w:eastAsia="Times New Roman" w:hAnsi="Calibri Light" w:cs="Times New Roman"/>
      <w:i/>
      <w:iCs/>
      <w:color w:val="2E74B5"/>
      <w:kern w:val="0"/>
      <w:lang w:val="ro-RO"/>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f.gov.md/ro/content/anun&#539;-privind-ini&#539;ierea-elabor&#259;rii-proiectului-hot&#259;r&#226;rii-guvernului-pentru-modificar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Popovici Mariana</dc:creator>
  <dc:description/>
  <cp:lastModifiedBy>Margine, Alexandru</cp:lastModifiedBy>
  <cp:revision>2</cp:revision>
  <dcterms:created xsi:type="dcterms:W3CDTF">2023-12-21T06:04:00Z</dcterms:created>
  <dcterms:modified xsi:type="dcterms:W3CDTF">2023-12-21T06:04:00Z</dcterms:modified>
</cp:coreProperties>
</file>