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96F34" w14:textId="399394D2" w:rsidR="003D636E" w:rsidRPr="005909A5" w:rsidRDefault="003D636E" w:rsidP="00A877FD">
      <w:pPr>
        <w:spacing w:after="0"/>
        <w:ind w:firstLine="709"/>
        <w:jc w:val="center"/>
        <w:rPr>
          <w:rFonts w:ascii="Times New Roman" w:hAnsi="Times New Roman" w:cs="Times New Roman"/>
          <w:b/>
          <w:sz w:val="24"/>
          <w:szCs w:val="24"/>
          <w:lang w:val="ro-RO"/>
        </w:rPr>
      </w:pPr>
      <w:r w:rsidRPr="005909A5">
        <w:rPr>
          <w:rFonts w:ascii="Times New Roman" w:hAnsi="Times New Roman" w:cs="Times New Roman"/>
          <w:b/>
          <w:sz w:val="24"/>
          <w:szCs w:val="24"/>
          <w:lang w:val="ro-RO"/>
        </w:rPr>
        <w:t>NOTĂ INFORMATIVĂ</w:t>
      </w:r>
    </w:p>
    <w:p w14:paraId="0E2CD05F" w14:textId="3BE0200B" w:rsidR="0056437A" w:rsidRPr="005909A5" w:rsidRDefault="00266EA8" w:rsidP="00A877FD">
      <w:pPr>
        <w:spacing w:after="0"/>
        <w:ind w:firstLine="709"/>
        <w:jc w:val="center"/>
        <w:rPr>
          <w:rFonts w:ascii="Times New Roman" w:hAnsi="Times New Roman" w:cs="Times New Roman"/>
          <w:b/>
          <w:sz w:val="24"/>
          <w:szCs w:val="24"/>
          <w:lang w:val="ro-RO"/>
        </w:rPr>
      </w:pPr>
      <w:r w:rsidRPr="005909A5">
        <w:rPr>
          <w:rFonts w:ascii="Times New Roman" w:hAnsi="Times New Roman" w:cs="Times New Roman"/>
          <w:b/>
          <w:sz w:val="24"/>
          <w:szCs w:val="24"/>
          <w:lang w:val="ro-RO"/>
        </w:rPr>
        <w:t>la proiectul de h</w:t>
      </w:r>
      <w:r w:rsidR="003D636E" w:rsidRPr="005909A5">
        <w:rPr>
          <w:rFonts w:ascii="Times New Roman" w:hAnsi="Times New Roman" w:cs="Times New Roman"/>
          <w:b/>
          <w:sz w:val="24"/>
          <w:szCs w:val="24"/>
          <w:lang w:val="ro-RO"/>
        </w:rPr>
        <w:t>otă</w:t>
      </w:r>
      <w:r w:rsidR="00E377F5" w:rsidRPr="005909A5">
        <w:rPr>
          <w:rFonts w:ascii="Times New Roman" w:hAnsi="Times New Roman" w:cs="Times New Roman"/>
          <w:b/>
          <w:sz w:val="24"/>
          <w:szCs w:val="24"/>
          <w:lang w:val="ro-RO"/>
        </w:rPr>
        <w:t>râr</w:t>
      </w:r>
      <w:r w:rsidRPr="005909A5">
        <w:rPr>
          <w:rFonts w:ascii="Times New Roman" w:hAnsi="Times New Roman" w:cs="Times New Roman"/>
          <w:b/>
          <w:sz w:val="24"/>
          <w:szCs w:val="24"/>
          <w:lang w:val="ro-RO"/>
        </w:rPr>
        <w:t>e de Guvern</w:t>
      </w:r>
    </w:p>
    <w:p w14:paraId="116A8172" w14:textId="4044A838" w:rsidR="005816FB" w:rsidRPr="00EB6ACF" w:rsidRDefault="00F347C7" w:rsidP="00A877FD">
      <w:pPr>
        <w:spacing w:after="0"/>
        <w:ind w:firstLine="709"/>
        <w:jc w:val="center"/>
        <w:rPr>
          <w:rFonts w:ascii="Times New Roman" w:hAnsi="Times New Roman" w:cs="Times New Roman"/>
          <w:b/>
          <w:sz w:val="24"/>
          <w:szCs w:val="24"/>
          <w:lang w:val="ro-RO"/>
        </w:rPr>
      </w:pPr>
      <w:r w:rsidRPr="005909A5">
        <w:rPr>
          <w:rFonts w:ascii="Times New Roman" w:hAnsi="Times New Roman" w:cs="Times New Roman"/>
          <w:b/>
          <w:sz w:val="24"/>
          <w:szCs w:val="24"/>
          <w:lang w:val="ro-RO"/>
        </w:rPr>
        <w:t xml:space="preserve">cu privire la reorganizarea Universității de Stat din Moldova prin fuziunea (absorbția) Universității de Stat </w:t>
      </w:r>
      <w:r w:rsidR="00BE4ED9">
        <w:rPr>
          <w:rFonts w:ascii="Times New Roman" w:hAnsi="Times New Roman" w:cs="Times New Roman"/>
          <w:b/>
          <w:sz w:val="24"/>
          <w:szCs w:val="24"/>
          <w:lang w:val="ro-RO"/>
        </w:rPr>
        <w:t xml:space="preserve">de </w:t>
      </w:r>
      <w:bookmarkStart w:id="0" w:name="_GoBack"/>
      <w:bookmarkEnd w:id="0"/>
      <w:r w:rsidRPr="005909A5">
        <w:rPr>
          <w:rFonts w:ascii="Times New Roman" w:hAnsi="Times New Roman" w:cs="Times New Roman"/>
          <w:b/>
          <w:sz w:val="24"/>
          <w:szCs w:val="24"/>
          <w:lang w:val="ro-RO"/>
        </w:rPr>
        <w:t>Educație Fizică și Sport</w:t>
      </w:r>
    </w:p>
    <w:tbl>
      <w:tblPr>
        <w:tblStyle w:val="TableGrid"/>
        <w:tblW w:w="9810" w:type="dxa"/>
        <w:tblInd w:w="108" w:type="dxa"/>
        <w:tblLayout w:type="fixed"/>
        <w:tblLook w:val="04A0" w:firstRow="1" w:lastRow="0" w:firstColumn="1" w:lastColumn="0" w:noHBand="0" w:noVBand="1"/>
      </w:tblPr>
      <w:tblGrid>
        <w:gridCol w:w="9810"/>
      </w:tblGrid>
      <w:tr w:rsidR="003D636E" w:rsidRPr="005909A5" w14:paraId="7FE2E282" w14:textId="77777777" w:rsidTr="00A877FD">
        <w:trPr>
          <w:trHeight w:val="397"/>
        </w:trPr>
        <w:tc>
          <w:tcPr>
            <w:tcW w:w="9810" w:type="dxa"/>
            <w:shd w:val="clear" w:color="auto" w:fill="D9D9D9" w:themeFill="background1" w:themeFillShade="D9"/>
          </w:tcPr>
          <w:p w14:paraId="53B5C8BD" w14:textId="12F6E826" w:rsidR="003D636E" w:rsidRPr="005909A5" w:rsidRDefault="003D636E" w:rsidP="00A877FD">
            <w:pPr>
              <w:spacing w:line="276" w:lineRule="auto"/>
              <w:ind w:firstLine="709"/>
              <w:jc w:val="both"/>
              <w:rPr>
                <w:rFonts w:ascii="Times New Roman" w:hAnsi="Times New Roman" w:cs="Times New Roman"/>
                <w:b/>
                <w:sz w:val="24"/>
                <w:szCs w:val="24"/>
                <w:lang w:val="ro-RO"/>
              </w:rPr>
            </w:pPr>
            <w:r w:rsidRPr="005909A5">
              <w:rPr>
                <w:rFonts w:ascii="Times New Roman" w:hAnsi="Times New Roman" w:cs="Times New Roman"/>
                <w:b/>
                <w:sz w:val="24"/>
                <w:szCs w:val="24"/>
                <w:lang w:val="ro-RO"/>
              </w:rPr>
              <w:t>1. Denumirea autorului și, după caz, a participanților la elaborarea proiectului</w:t>
            </w:r>
          </w:p>
        </w:tc>
      </w:tr>
      <w:tr w:rsidR="003D636E" w:rsidRPr="005909A5" w14:paraId="4EBF3F01" w14:textId="77777777" w:rsidTr="00A877FD">
        <w:tc>
          <w:tcPr>
            <w:tcW w:w="9810" w:type="dxa"/>
          </w:tcPr>
          <w:p w14:paraId="3E188BFD" w14:textId="2516A2C3" w:rsidR="008A12CB" w:rsidRPr="005909A5" w:rsidRDefault="0056437A" w:rsidP="00A877FD">
            <w:pPr>
              <w:spacing w:line="276" w:lineRule="auto"/>
              <w:ind w:firstLine="709"/>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Proiectul Hotă</w:t>
            </w:r>
            <w:r w:rsidR="00E377F5" w:rsidRPr="005909A5">
              <w:rPr>
                <w:rFonts w:ascii="Times New Roman" w:hAnsi="Times New Roman" w:cs="Times New Roman"/>
                <w:bCs/>
                <w:sz w:val="24"/>
                <w:szCs w:val="24"/>
                <w:lang w:val="ro-RO"/>
              </w:rPr>
              <w:t>râr</w:t>
            </w:r>
            <w:r w:rsidRPr="005909A5">
              <w:rPr>
                <w:rFonts w:ascii="Times New Roman" w:hAnsi="Times New Roman" w:cs="Times New Roman"/>
                <w:bCs/>
                <w:sz w:val="24"/>
                <w:szCs w:val="24"/>
                <w:lang w:val="ro-RO"/>
              </w:rPr>
              <w:t xml:space="preserve">ii Guvernului </w:t>
            </w:r>
            <w:r w:rsidRPr="005909A5">
              <w:rPr>
                <w:rFonts w:ascii="Times New Roman" w:hAnsi="Times New Roman" w:cs="Times New Roman"/>
                <w:bCs/>
                <w:sz w:val="24"/>
                <w:szCs w:val="24"/>
                <w:lang w:val="ro-RO" w:eastAsia="ro-RO"/>
              </w:rPr>
              <w:t>este elaborat de Ministerul Educației și Cercetării.</w:t>
            </w:r>
          </w:p>
        </w:tc>
      </w:tr>
      <w:tr w:rsidR="003D636E" w:rsidRPr="005909A5" w14:paraId="2B67DF37" w14:textId="77777777" w:rsidTr="00A877FD">
        <w:tc>
          <w:tcPr>
            <w:tcW w:w="9810" w:type="dxa"/>
            <w:shd w:val="clear" w:color="auto" w:fill="D9D9D9" w:themeFill="background1" w:themeFillShade="D9"/>
          </w:tcPr>
          <w:p w14:paraId="61C70717" w14:textId="12BC7FF7" w:rsidR="003D636E" w:rsidRPr="005909A5" w:rsidRDefault="003D636E" w:rsidP="00A877FD">
            <w:pPr>
              <w:spacing w:line="276" w:lineRule="auto"/>
              <w:ind w:firstLine="709"/>
              <w:jc w:val="both"/>
              <w:rPr>
                <w:rFonts w:ascii="Times New Roman" w:hAnsi="Times New Roman" w:cs="Times New Roman"/>
                <w:b/>
                <w:bCs/>
                <w:sz w:val="24"/>
                <w:szCs w:val="24"/>
                <w:lang w:val="ro-RO"/>
              </w:rPr>
            </w:pPr>
            <w:r w:rsidRPr="005909A5">
              <w:rPr>
                <w:rFonts w:ascii="Times New Roman" w:hAnsi="Times New Roman" w:cs="Times New Roman"/>
                <w:b/>
                <w:bCs/>
                <w:sz w:val="24"/>
                <w:szCs w:val="24"/>
                <w:lang w:val="ro-RO"/>
              </w:rPr>
              <w:t>2. Condițiile ce au impus elaborarea proiectului de act normativ și finalitățile urmărite</w:t>
            </w:r>
          </w:p>
        </w:tc>
      </w:tr>
      <w:tr w:rsidR="003D636E" w:rsidRPr="005909A5" w14:paraId="33F8AF6F" w14:textId="77777777" w:rsidTr="00A877FD">
        <w:tc>
          <w:tcPr>
            <w:tcW w:w="9810" w:type="dxa"/>
          </w:tcPr>
          <w:tbl>
            <w:tblPr>
              <w:tblW w:w="0" w:type="auto"/>
              <w:tblBorders>
                <w:top w:val="nil"/>
                <w:left w:val="nil"/>
                <w:bottom w:val="nil"/>
                <w:right w:val="nil"/>
              </w:tblBorders>
              <w:tblLayout w:type="fixed"/>
              <w:tblLook w:val="0000" w:firstRow="0" w:lastRow="0" w:firstColumn="0" w:lastColumn="0" w:noHBand="0" w:noVBand="0"/>
            </w:tblPr>
            <w:tblGrid>
              <w:gridCol w:w="9418"/>
            </w:tblGrid>
            <w:tr w:rsidR="005816FB" w:rsidRPr="005909A5" w14:paraId="53829B0D" w14:textId="77777777" w:rsidTr="00A877FD">
              <w:trPr>
                <w:trHeight w:val="385"/>
              </w:trPr>
              <w:tc>
                <w:tcPr>
                  <w:tcW w:w="9418" w:type="dxa"/>
                </w:tcPr>
                <w:p w14:paraId="3A83678C" w14:textId="77777777" w:rsidR="005816FB" w:rsidRPr="005909A5" w:rsidRDefault="004E4E63" w:rsidP="00A877FD">
                  <w:pPr>
                    <w:autoSpaceDE w:val="0"/>
                    <w:autoSpaceDN w:val="0"/>
                    <w:adjustRightInd w:val="0"/>
                    <w:spacing w:after="0"/>
                    <w:ind w:firstLine="709"/>
                    <w:jc w:val="both"/>
                    <w:rPr>
                      <w:rFonts w:ascii="Times New Roman" w:hAnsi="Times New Roman" w:cs="Times New Roman"/>
                      <w:sz w:val="24"/>
                      <w:szCs w:val="24"/>
                      <w:lang w:val="ro-RO"/>
                    </w:rPr>
                  </w:pPr>
                  <w:r w:rsidRPr="005909A5">
                    <w:rPr>
                      <w:rFonts w:ascii="Times New Roman" w:hAnsi="Times New Roman" w:cs="Times New Roman"/>
                      <w:sz w:val="24"/>
                      <w:szCs w:val="24"/>
                      <w:lang w:val="ro-RO"/>
                    </w:rPr>
                    <w:t xml:space="preserve">Proiectul este elaborat în temeiul </w:t>
                  </w:r>
                  <w:r w:rsidR="00F96D31" w:rsidRPr="005909A5">
                    <w:rPr>
                      <w:rFonts w:ascii="Times New Roman" w:hAnsi="Times New Roman" w:cs="Times New Roman"/>
                      <w:sz w:val="24"/>
                      <w:szCs w:val="24"/>
                      <w:lang w:val="ro-RO"/>
                    </w:rPr>
                    <w:t xml:space="preserve">art.7 lit. e) din </w:t>
                  </w:r>
                  <w:r w:rsidR="00F96D31" w:rsidRPr="005909A5">
                    <w:rPr>
                      <w:rFonts w:ascii="Times New Roman" w:hAnsi="Times New Roman" w:cs="Times New Roman"/>
                      <w:b/>
                      <w:sz w:val="24"/>
                      <w:szCs w:val="24"/>
                      <w:lang w:val="ro-RO"/>
                    </w:rPr>
                    <w:t>Legea nr.136/2017</w:t>
                  </w:r>
                  <w:r w:rsidR="00F96D31" w:rsidRPr="005909A5">
                    <w:rPr>
                      <w:rFonts w:ascii="Times New Roman" w:hAnsi="Times New Roman" w:cs="Times New Roman"/>
                      <w:sz w:val="24"/>
                      <w:szCs w:val="24"/>
                      <w:lang w:val="ro-RO"/>
                    </w:rPr>
                    <w:t xml:space="preserve"> cu privire la Guvern (Monitorul Oficial, 2017, nr. 252, art.412), al art.32 alin.(2) din </w:t>
                  </w:r>
                  <w:r w:rsidR="00F96D31" w:rsidRPr="005909A5">
                    <w:rPr>
                      <w:rFonts w:ascii="Times New Roman" w:hAnsi="Times New Roman" w:cs="Times New Roman"/>
                      <w:b/>
                      <w:sz w:val="24"/>
                      <w:szCs w:val="24"/>
                      <w:lang w:val="ro-RO"/>
                    </w:rPr>
                    <w:t>Legea nr.98/2012</w:t>
                  </w:r>
                  <w:r w:rsidR="00F96D31" w:rsidRPr="005909A5">
                    <w:rPr>
                      <w:rFonts w:ascii="Times New Roman" w:hAnsi="Times New Roman" w:cs="Times New Roman"/>
                      <w:sz w:val="24"/>
                      <w:szCs w:val="24"/>
                      <w:lang w:val="ro-RO"/>
                    </w:rPr>
                    <w:t xml:space="preserve"> privind administrația publică centrală de specialitate (Monitorul Oficial, 2012, nr.160-164, art. 537), al art.82 alin. (2) și art.139 lit. f) din </w:t>
                  </w:r>
                  <w:r w:rsidR="00F96D31" w:rsidRPr="005909A5">
                    <w:rPr>
                      <w:rFonts w:ascii="Times New Roman" w:hAnsi="Times New Roman" w:cs="Times New Roman"/>
                      <w:b/>
                      <w:sz w:val="24"/>
                      <w:szCs w:val="24"/>
                      <w:lang w:val="ro-RO"/>
                    </w:rPr>
                    <w:t>Codul educației</w:t>
                  </w:r>
                  <w:r w:rsidR="00F96D31" w:rsidRPr="005909A5">
                    <w:rPr>
                      <w:rFonts w:ascii="Times New Roman" w:hAnsi="Times New Roman" w:cs="Times New Roman"/>
                      <w:sz w:val="24"/>
                      <w:szCs w:val="24"/>
                      <w:lang w:val="ro-RO"/>
                    </w:rPr>
                    <w:t xml:space="preserve"> </w:t>
                  </w:r>
                  <w:r w:rsidR="00F96D31" w:rsidRPr="005909A5">
                    <w:rPr>
                      <w:rFonts w:ascii="Times New Roman" w:hAnsi="Times New Roman" w:cs="Times New Roman"/>
                      <w:b/>
                      <w:sz w:val="24"/>
                      <w:szCs w:val="24"/>
                      <w:lang w:val="ro-RO"/>
                    </w:rPr>
                    <w:t>nr.152/2014</w:t>
                  </w:r>
                  <w:r w:rsidR="00F96D31" w:rsidRPr="005909A5">
                    <w:rPr>
                      <w:rFonts w:ascii="Times New Roman" w:hAnsi="Times New Roman" w:cs="Times New Roman"/>
                      <w:sz w:val="24"/>
                      <w:szCs w:val="24"/>
                      <w:lang w:val="ro-RO"/>
                    </w:rPr>
                    <w:t xml:space="preserve"> (Monitorul Oficial, 2014, nr. 319-324, art.634) și al art.14 alin.(1) lit. c) din </w:t>
                  </w:r>
                  <w:r w:rsidR="00F96D31" w:rsidRPr="005909A5">
                    <w:rPr>
                      <w:rFonts w:ascii="Times New Roman" w:hAnsi="Times New Roman" w:cs="Times New Roman"/>
                      <w:b/>
                      <w:sz w:val="24"/>
                      <w:szCs w:val="24"/>
                      <w:lang w:val="ro-RO"/>
                    </w:rPr>
                    <w:t>Legea nr.121/2007</w:t>
                  </w:r>
                  <w:r w:rsidR="00F96D31" w:rsidRPr="005909A5">
                    <w:rPr>
                      <w:rFonts w:ascii="Times New Roman" w:hAnsi="Times New Roman" w:cs="Times New Roman"/>
                      <w:sz w:val="24"/>
                      <w:szCs w:val="24"/>
                      <w:lang w:val="ro-RO"/>
                    </w:rPr>
                    <w:t xml:space="preserve"> privind administrarea și </w:t>
                  </w:r>
                  <w:proofErr w:type="spellStart"/>
                  <w:r w:rsidR="00F96D31" w:rsidRPr="005909A5">
                    <w:rPr>
                      <w:rFonts w:ascii="Times New Roman" w:hAnsi="Times New Roman" w:cs="Times New Roman"/>
                      <w:sz w:val="24"/>
                      <w:szCs w:val="24"/>
                      <w:lang w:val="ro-RO"/>
                    </w:rPr>
                    <w:t>deetatizarea</w:t>
                  </w:r>
                  <w:proofErr w:type="spellEnd"/>
                  <w:r w:rsidR="00F96D31" w:rsidRPr="005909A5">
                    <w:rPr>
                      <w:rFonts w:ascii="Times New Roman" w:hAnsi="Times New Roman" w:cs="Times New Roman"/>
                      <w:sz w:val="24"/>
                      <w:szCs w:val="24"/>
                      <w:lang w:val="ro-RO"/>
                    </w:rPr>
                    <w:t xml:space="preserve"> proprietății publice (Monitorul Oficial, 2007, nr.90-93, art.401). </w:t>
                  </w:r>
                </w:p>
                <w:p w14:paraId="2FF7E114" w14:textId="74F6505A" w:rsidR="005816FB" w:rsidRPr="005909A5" w:rsidRDefault="00CC7BE1" w:rsidP="00A877FD">
                  <w:pPr>
                    <w:autoSpaceDE w:val="0"/>
                    <w:autoSpaceDN w:val="0"/>
                    <w:adjustRightInd w:val="0"/>
                    <w:spacing w:after="0"/>
                    <w:ind w:firstLine="709"/>
                    <w:jc w:val="both"/>
                    <w:rPr>
                      <w:rFonts w:ascii="Times New Roman" w:hAnsi="Times New Roman" w:cs="Times New Roman"/>
                      <w:color w:val="000000"/>
                      <w:sz w:val="24"/>
                      <w:szCs w:val="24"/>
                      <w:lang w:val="ro-MD"/>
                    </w:rPr>
                  </w:pPr>
                  <w:r w:rsidRPr="005909A5">
                    <w:rPr>
                      <w:rFonts w:ascii="Times New Roman" w:hAnsi="Times New Roman" w:cs="Times New Roman"/>
                      <w:sz w:val="24"/>
                      <w:szCs w:val="24"/>
                      <w:lang w:val="ro-RO"/>
                    </w:rPr>
                    <w:t xml:space="preserve">În conformitate cu </w:t>
                  </w:r>
                  <w:r w:rsidRPr="005909A5">
                    <w:rPr>
                      <w:rFonts w:ascii="Times New Roman" w:hAnsi="Times New Roman" w:cs="Times New Roman"/>
                      <w:b/>
                      <w:sz w:val="24"/>
                      <w:szCs w:val="24"/>
                      <w:lang w:val="ro-RO"/>
                    </w:rPr>
                    <w:t xml:space="preserve">Strategia </w:t>
                  </w:r>
                  <w:r w:rsidRPr="005909A5">
                    <w:rPr>
                      <w:rFonts w:ascii="Times New Roman" w:hAnsi="Times New Roman" w:cs="Times New Roman"/>
                      <w:b/>
                      <w:bCs/>
                      <w:sz w:val="24"/>
                      <w:szCs w:val="24"/>
                      <w:lang w:val="ro-RO"/>
                    </w:rPr>
                    <w:t>de dezvoltare</w:t>
                  </w:r>
                  <w:r w:rsidRPr="005909A5">
                    <w:rPr>
                      <w:rFonts w:ascii="Times New Roman" w:hAnsi="Times New Roman" w:cs="Times New Roman"/>
                      <w:b/>
                      <w:bCs/>
                      <w:iCs/>
                      <w:sz w:val="24"/>
                      <w:szCs w:val="24"/>
                      <w:lang w:val="ro-RO"/>
                    </w:rPr>
                    <w:t xml:space="preserve"> </w:t>
                  </w:r>
                  <w:r w:rsidRPr="005909A5">
                    <w:rPr>
                      <w:rFonts w:ascii="Times New Roman" w:hAnsi="Times New Roman" w:cs="Times New Roman"/>
                      <w:b/>
                      <w:bCs/>
                      <w:sz w:val="24"/>
                      <w:szCs w:val="24"/>
                      <w:lang w:val="ro-RO"/>
                    </w:rPr>
                    <w:t>„E</w:t>
                  </w:r>
                  <w:r w:rsidR="00A877FD" w:rsidRPr="005909A5">
                    <w:rPr>
                      <w:rFonts w:ascii="Times New Roman" w:hAnsi="Times New Roman" w:cs="Times New Roman"/>
                      <w:b/>
                      <w:bCs/>
                      <w:sz w:val="24"/>
                      <w:szCs w:val="24"/>
                      <w:lang w:val="ro-RO"/>
                    </w:rPr>
                    <w:t xml:space="preserve">DUCAȚIA </w:t>
                  </w:r>
                  <w:r w:rsidRPr="005909A5">
                    <w:rPr>
                      <w:rFonts w:ascii="Times New Roman" w:hAnsi="Times New Roman" w:cs="Times New Roman"/>
                      <w:b/>
                      <w:bCs/>
                      <w:sz w:val="24"/>
                      <w:szCs w:val="24"/>
                      <w:lang w:val="ro-RO"/>
                    </w:rPr>
                    <w:t>2030”</w:t>
                  </w:r>
                  <w:r w:rsidRPr="005909A5">
                    <w:rPr>
                      <w:rFonts w:ascii="Times New Roman" w:hAnsi="Times New Roman" w:cs="Times New Roman"/>
                      <w:bCs/>
                      <w:sz w:val="24"/>
                      <w:szCs w:val="24"/>
                      <w:lang w:val="ro-RO"/>
                    </w:rPr>
                    <w:t xml:space="preserve"> și Programul</w:t>
                  </w:r>
                  <w:r w:rsidR="005816FB" w:rsidRPr="005909A5">
                    <w:rPr>
                      <w:rFonts w:ascii="Times New Roman" w:hAnsi="Times New Roman" w:cs="Times New Roman"/>
                      <w:bCs/>
                      <w:sz w:val="24"/>
                      <w:szCs w:val="24"/>
                      <w:lang w:val="ro-RO"/>
                    </w:rPr>
                    <w:t>ui</w:t>
                  </w:r>
                  <w:r w:rsidRPr="005909A5">
                    <w:rPr>
                      <w:rFonts w:ascii="Times New Roman" w:hAnsi="Times New Roman" w:cs="Times New Roman"/>
                      <w:bCs/>
                      <w:sz w:val="24"/>
                      <w:szCs w:val="24"/>
                      <w:lang w:val="ro-RO"/>
                    </w:rPr>
                    <w:t xml:space="preserve"> de implementare</w:t>
                  </w:r>
                  <w:r w:rsidRPr="005909A5">
                    <w:rPr>
                      <w:rFonts w:ascii="Times New Roman" w:hAnsi="Times New Roman" w:cs="Times New Roman"/>
                      <w:sz w:val="24"/>
                      <w:szCs w:val="24"/>
                      <w:lang w:val="ro-RO"/>
                    </w:rPr>
                    <w:t xml:space="preserve"> </w:t>
                  </w:r>
                  <w:r w:rsidRPr="005909A5">
                    <w:rPr>
                      <w:rFonts w:ascii="Times New Roman" w:hAnsi="Times New Roman" w:cs="Times New Roman"/>
                      <w:bCs/>
                      <w:sz w:val="24"/>
                      <w:szCs w:val="24"/>
                      <w:lang w:val="ro-RO"/>
                    </w:rPr>
                    <w:t>a acesteia pentru anii 2023-2025</w:t>
                  </w:r>
                  <w:r w:rsidRPr="005909A5">
                    <w:rPr>
                      <w:rFonts w:ascii="Times New Roman" w:hAnsi="Times New Roman" w:cs="Times New Roman"/>
                      <w:bCs/>
                      <w:iCs/>
                      <w:sz w:val="24"/>
                      <w:szCs w:val="24"/>
                      <w:lang w:val="ro-RO"/>
                    </w:rPr>
                    <w:t>, aprobată prin HG nr. 114/2023</w:t>
                  </w:r>
                  <w:r w:rsidR="00667163" w:rsidRPr="005909A5">
                    <w:rPr>
                      <w:rFonts w:ascii="Times New Roman" w:hAnsi="Times New Roman" w:cs="Times New Roman"/>
                      <w:bCs/>
                      <w:iCs/>
                      <w:sz w:val="24"/>
                      <w:szCs w:val="24"/>
                      <w:lang w:val="ro-MD"/>
                    </w:rPr>
                    <w:t xml:space="preserve">, </w:t>
                  </w:r>
                  <w:r w:rsidR="005816FB" w:rsidRPr="005909A5">
                    <w:rPr>
                      <w:rFonts w:ascii="Times New Roman" w:hAnsi="Times New Roman" w:cs="Times New Roman"/>
                      <w:b/>
                      <w:color w:val="000000"/>
                      <w:sz w:val="24"/>
                      <w:szCs w:val="24"/>
                      <w:lang w:val="ro-MD"/>
                    </w:rPr>
                    <w:t>acțiunii 3.4.3,</w:t>
                  </w:r>
                  <w:r w:rsidR="005816FB" w:rsidRPr="005909A5">
                    <w:rPr>
                      <w:rFonts w:ascii="Times New Roman" w:hAnsi="Times New Roman" w:cs="Times New Roman"/>
                      <w:color w:val="000000"/>
                      <w:sz w:val="24"/>
                      <w:szCs w:val="24"/>
                      <w:lang w:val="ro-MD"/>
                    </w:rPr>
                    <w:t xml:space="preserve"> Ministerul Educației și Cercetării este responsabil de </w:t>
                  </w:r>
                  <w:r w:rsidR="005816FB" w:rsidRPr="005909A5">
                    <w:rPr>
                      <w:rFonts w:ascii="Times New Roman" w:hAnsi="Times New Roman" w:cs="Times New Roman"/>
                      <w:b/>
                      <w:color w:val="000000"/>
                      <w:sz w:val="24"/>
                      <w:szCs w:val="24"/>
                      <w:lang w:val="ro-MD"/>
                    </w:rPr>
                    <w:t>consolidarea rețelei de instituții de învățământ superior</w:t>
                  </w:r>
                  <w:r w:rsidR="005816FB" w:rsidRPr="005909A5">
                    <w:rPr>
                      <w:rFonts w:ascii="Times New Roman" w:hAnsi="Times New Roman" w:cs="Times New Roman"/>
                      <w:color w:val="000000"/>
                      <w:sz w:val="24"/>
                      <w:szCs w:val="24"/>
                      <w:lang w:val="ro-MD"/>
                    </w:rPr>
                    <w:t>, bazată pe indicatori de calitate, racordată la necesitățile pieței muncii</w:t>
                  </w:r>
                  <w:r w:rsidR="005816FB" w:rsidRPr="005909A5">
                    <w:rPr>
                      <w:rFonts w:ascii="Times New Roman" w:hAnsi="Times New Roman" w:cs="Times New Roman"/>
                      <w:color w:val="000000"/>
                      <w:sz w:val="24"/>
                      <w:szCs w:val="24"/>
                    </w:rPr>
                    <w:t>.</w:t>
                  </w:r>
                </w:p>
              </w:tc>
            </w:tr>
          </w:tbl>
          <w:p w14:paraId="4AD001F2" w14:textId="77777777" w:rsidR="00A877FD" w:rsidRDefault="00FC4591" w:rsidP="00A877FD">
            <w:pPr>
              <w:tabs>
                <w:tab w:val="left" w:pos="589"/>
              </w:tabs>
              <w:spacing w:line="276" w:lineRule="auto"/>
              <w:ind w:firstLine="709"/>
              <w:jc w:val="both"/>
              <w:rPr>
                <w:rFonts w:ascii="Times New Roman" w:eastAsiaTheme="minorHAnsi" w:hAnsi="Times New Roman" w:cs="Times New Roman"/>
                <w:sz w:val="24"/>
                <w:szCs w:val="24"/>
                <w:lang w:val="ro-RO" w:eastAsia="en-US"/>
              </w:rPr>
            </w:pPr>
            <w:r w:rsidRPr="005909A5">
              <w:rPr>
                <w:rFonts w:ascii="Times New Roman" w:eastAsiaTheme="minorHAnsi" w:hAnsi="Times New Roman" w:cs="Times New Roman"/>
                <w:sz w:val="24"/>
                <w:szCs w:val="24"/>
                <w:lang w:val="ro-RO" w:eastAsia="en-US"/>
              </w:rPr>
              <w:t xml:space="preserve">În </w:t>
            </w:r>
            <w:r w:rsidR="00DC7AD5" w:rsidRPr="005909A5">
              <w:rPr>
                <w:rFonts w:ascii="Times New Roman" w:eastAsiaTheme="minorHAnsi" w:hAnsi="Times New Roman" w:cs="Times New Roman"/>
                <w:sz w:val="24"/>
                <w:szCs w:val="24"/>
                <w:lang w:val="ro-RO" w:eastAsia="en-US"/>
              </w:rPr>
              <w:t>contextul</w:t>
            </w:r>
            <w:r w:rsidRPr="005909A5">
              <w:rPr>
                <w:rFonts w:ascii="Times New Roman" w:eastAsiaTheme="minorHAnsi" w:hAnsi="Times New Roman" w:cs="Times New Roman"/>
                <w:sz w:val="24"/>
                <w:szCs w:val="24"/>
                <w:lang w:val="ro-RO" w:eastAsia="en-US"/>
              </w:rPr>
              <w:t xml:space="preserve"> impl</w:t>
            </w:r>
            <w:r w:rsidR="00DC7AD5" w:rsidRPr="005909A5">
              <w:rPr>
                <w:rFonts w:ascii="Times New Roman" w:eastAsiaTheme="minorHAnsi" w:hAnsi="Times New Roman" w:cs="Times New Roman"/>
                <w:sz w:val="24"/>
                <w:szCs w:val="24"/>
                <w:lang w:val="ro-RO" w:eastAsia="en-US"/>
              </w:rPr>
              <w:t>ementării</w:t>
            </w:r>
            <w:r w:rsidRPr="005909A5">
              <w:rPr>
                <w:rFonts w:ascii="Times New Roman" w:eastAsiaTheme="minorHAnsi" w:hAnsi="Times New Roman" w:cs="Times New Roman"/>
                <w:sz w:val="24"/>
                <w:szCs w:val="24"/>
                <w:lang w:val="ro-RO" w:eastAsia="en-US"/>
              </w:rPr>
              <w:t xml:space="preserve"> reformei</w:t>
            </w:r>
            <w:r w:rsidR="00DC7AD5" w:rsidRPr="005909A5">
              <w:rPr>
                <w:rFonts w:ascii="Times New Roman" w:eastAsiaTheme="minorHAnsi" w:hAnsi="Times New Roman" w:cs="Times New Roman"/>
                <w:sz w:val="24"/>
                <w:szCs w:val="24"/>
                <w:lang w:val="ro-RO" w:eastAsia="en-US"/>
              </w:rPr>
              <w:t xml:space="preserve"> învățământului superior</w:t>
            </w:r>
            <w:r w:rsidRPr="005909A5">
              <w:rPr>
                <w:rFonts w:ascii="Times New Roman" w:eastAsiaTheme="minorHAnsi" w:hAnsi="Times New Roman" w:cs="Times New Roman"/>
                <w:sz w:val="24"/>
                <w:szCs w:val="24"/>
                <w:lang w:val="ro-RO" w:eastAsia="en-US"/>
              </w:rPr>
              <w:t xml:space="preserve">, Ministerul Educației și Cercetării se axează pe consolidarea sistemului universitar prin concentrarea resurselor, atât umane, cât și financiare; alocarea de mijloace financiare suplimentare pentru a susține procesul de modernizare a învățământului superior și a sectorului de cercetare. </w:t>
            </w:r>
          </w:p>
          <w:p w14:paraId="4A66478D" w14:textId="28E76E3E" w:rsidR="0053439F" w:rsidRPr="005909A5" w:rsidRDefault="00FC4591" w:rsidP="00A877FD">
            <w:pPr>
              <w:tabs>
                <w:tab w:val="left" w:pos="589"/>
              </w:tabs>
              <w:spacing w:line="276" w:lineRule="auto"/>
              <w:ind w:firstLine="709"/>
              <w:jc w:val="both"/>
              <w:rPr>
                <w:rFonts w:ascii="Times New Roman" w:eastAsiaTheme="minorHAnsi" w:hAnsi="Times New Roman" w:cs="Times New Roman"/>
                <w:sz w:val="24"/>
                <w:szCs w:val="24"/>
                <w:lang w:val="ro-RO" w:eastAsia="en-US"/>
              </w:rPr>
            </w:pPr>
            <w:r w:rsidRPr="005909A5">
              <w:rPr>
                <w:rFonts w:ascii="Times New Roman" w:eastAsiaTheme="minorHAnsi" w:hAnsi="Times New Roman" w:cs="Times New Roman"/>
                <w:b/>
                <w:sz w:val="24"/>
                <w:szCs w:val="24"/>
                <w:lang w:val="ro-RO" w:eastAsia="en-US"/>
              </w:rPr>
              <w:t>Problema principală</w:t>
            </w:r>
            <w:r w:rsidRPr="005909A5">
              <w:rPr>
                <w:rFonts w:ascii="Times New Roman" w:eastAsiaTheme="minorHAnsi" w:hAnsi="Times New Roman" w:cs="Times New Roman"/>
                <w:sz w:val="24"/>
                <w:szCs w:val="24"/>
                <w:lang w:val="ro-RO" w:eastAsia="en-US"/>
              </w:rPr>
              <w:t xml:space="preserve"> abor</w:t>
            </w:r>
            <w:r w:rsidR="00DC7AD5" w:rsidRPr="005909A5">
              <w:rPr>
                <w:rFonts w:ascii="Times New Roman" w:eastAsiaTheme="minorHAnsi" w:hAnsi="Times New Roman" w:cs="Times New Roman"/>
                <w:sz w:val="24"/>
                <w:szCs w:val="24"/>
                <w:lang w:val="ro-RO" w:eastAsia="en-US"/>
              </w:rPr>
              <w:t>dată prin prezentul proiect de hotărâre</w:t>
            </w:r>
            <w:r w:rsidRPr="005909A5">
              <w:rPr>
                <w:rFonts w:ascii="Times New Roman" w:eastAsiaTheme="minorHAnsi" w:hAnsi="Times New Roman" w:cs="Times New Roman"/>
                <w:sz w:val="24"/>
                <w:szCs w:val="24"/>
                <w:lang w:val="ro-RO" w:eastAsia="en-US"/>
              </w:rPr>
              <w:t xml:space="preserve"> de Guvern constă în </w:t>
            </w:r>
            <w:proofErr w:type="spellStart"/>
            <w:r w:rsidRPr="005909A5">
              <w:rPr>
                <w:rFonts w:ascii="Times New Roman" w:eastAsiaTheme="minorHAnsi" w:hAnsi="Times New Roman" w:cs="Times New Roman"/>
                <w:sz w:val="24"/>
                <w:szCs w:val="24"/>
                <w:lang w:val="ro-RO" w:eastAsia="en-US"/>
              </w:rPr>
              <w:t>superdimensiona</w:t>
            </w:r>
            <w:r w:rsidR="00DC7AD5" w:rsidRPr="005909A5">
              <w:rPr>
                <w:rFonts w:ascii="Times New Roman" w:eastAsiaTheme="minorHAnsi" w:hAnsi="Times New Roman" w:cs="Times New Roman"/>
                <w:sz w:val="24"/>
                <w:szCs w:val="24"/>
                <w:lang w:val="ro-RO" w:eastAsia="en-US"/>
              </w:rPr>
              <w:t>rea</w:t>
            </w:r>
            <w:proofErr w:type="spellEnd"/>
            <w:r w:rsidR="00DC7AD5" w:rsidRPr="005909A5">
              <w:rPr>
                <w:rFonts w:ascii="Times New Roman" w:eastAsiaTheme="minorHAnsi" w:hAnsi="Times New Roman" w:cs="Times New Roman"/>
                <w:sz w:val="24"/>
                <w:szCs w:val="24"/>
                <w:lang w:val="ro-RO" w:eastAsia="en-US"/>
              </w:rPr>
              <w:t xml:space="preserve"> artificială și, implicit, </w:t>
            </w:r>
            <w:r w:rsidRPr="005909A5">
              <w:rPr>
                <w:rFonts w:ascii="Times New Roman" w:eastAsiaTheme="minorHAnsi" w:hAnsi="Times New Roman" w:cs="Times New Roman"/>
                <w:sz w:val="24"/>
                <w:szCs w:val="24"/>
                <w:lang w:val="ro-RO" w:eastAsia="en-US"/>
              </w:rPr>
              <w:t xml:space="preserve">eficiența </w:t>
            </w:r>
            <w:r w:rsidR="00DC7AD5" w:rsidRPr="005909A5">
              <w:rPr>
                <w:rFonts w:ascii="Times New Roman" w:eastAsiaTheme="minorHAnsi" w:hAnsi="Times New Roman" w:cs="Times New Roman"/>
                <w:sz w:val="24"/>
                <w:szCs w:val="24"/>
                <w:lang w:val="ro-RO" w:eastAsia="en-US"/>
              </w:rPr>
              <w:t xml:space="preserve">scăzută a </w:t>
            </w:r>
            <w:r w:rsidRPr="005909A5">
              <w:rPr>
                <w:rFonts w:ascii="Times New Roman" w:eastAsiaTheme="minorHAnsi" w:hAnsi="Times New Roman" w:cs="Times New Roman"/>
                <w:sz w:val="24"/>
                <w:szCs w:val="24"/>
                <w:lang w:val="ro-RO" w:eastAsia="en-US"/>
              </w:rPr>
              <w:t>sistemului actual de funcționare a sistemului de învățământ superior din Republica Moldova</w:t>
            </w:r>
            <w:r w:rsidR="00DC7AD5" w:rsidRPr="005909A5">
              <w:rPr>
                <w:rFonts w:ascii="Times New Roman" w:eastAsiaTheme="minorHAnsi" w:hAnsi="Times New Roman" w:cs="Times New Roman"/>
                <w:sz w:val="24"/>
                <w:szCs w:val="24"/>
                <w:lang w:val="ro-RO" w:eastAsia="en-US"/>
              </w:rPr>
              <w:t>,</w:t>
            </w:r>
            <w:r w:rsidRPr="005909A5">
              <w:rPr>
                <w:rFonts w:ascii="Times New Roman" w:eastAsiaTheme="minorHAnsi" w:hAnsi="Times New Roman" w:cs="Times New Roman"/>
                <w:sz w:val="24"/>
                <w:szCs w:val="24"/>
                <w:lang w:val="ro-RO" w:eastAsia="en-US"/>
              </w:rPr>
              <w:t xml:space="preserve"> în condițiile </w:t>
            </w:r>
            <w:r w:rsidRPr="005909A5">
              <w:rPr>
                <w:rFonts w:ascii="Times New Roman" w:eastAsiaTheme="minorHAnsi" w:hAnsi="Times New Roman" w:cs="Times New Roman"/>
                <w:b/>
                <w:sz w:val="24"/>
                <w:szCs w:val="24"/>
                <w:lang w:val="ro-RO" w:eastAsia="en-US"/>
              </w:rPr>
              <w:t>declinului demografic, exodului și șomajului</w:t>
            </w:r>
            <w:r w:rsidRPr="005909A5">
              <w:rPr>
                <w:rFonts w:ascii="Times New Roman" w:eastAsiaTheme="minorHAnsi" w:hAnsi="Times New Roman" w:cs="Times New Roman"/>
                <w:sz w:val="24"/>
                <w:szCs w:val="24"/>
                <w:lang w:val="ro-RO" w:eastAsia="en-US"/>
              </w:rPr>
              <w:t xml:space="preserve"> în rândul tinerilor, globalizarea și competiția pentru fonduri (europene și internaționale), precum și necesitatea aplicării noilor metode și tehnologii de predare-învățare, care apar ca urmare a dezvoltării noilor tehnologii.</w:t>
            </w:r>
            <w:r w:rsidR="00DC7AD5" w:rsidRPr="005909A5">
              <w:rPr>
                <w:rFonts w:ascii="Times New Roman" w:eastAsiaTheme="minorHAnsi" w:hAnsi="Times New Roman" w:cs="Times New Roman"/>
                <w:sz w:val="24"/>
                <w:szCs w:val="24"/>
                <w:lang w:val="ro-RO" w:eastAsia="en-US"/>
              </w:rPr>
              <w:t xml:space="preserve"> În aceste condiții</w:t>
            </w:r>
            <w:r w:rsidR="000B4065" w:rsidRPr="005909A5">
              <w:rPr>
                <w:rFonts w:ascii="Times New Roman" w:eastAsiaTheme="minorHAnsi" w:hAnsi="Times New Roman" w:cs="Times New Roman"/>
                <w:sz w:val="24"/>
                <w:szCs w:val="24"/>
                <w:lang w:val="ro-RO" w:eastAsia="en-US"/>
              </w:rPr>
              <w:t>, cu infrastructură învechită, slabă dotare a laboratoarelor, personal didactic îmbătrânit</w:t>
            </w:r>
            <w:r w:rsidR="00DC7AD5" w:rsidRPr="005909A5">
              <w:rPr>
                <w:rFonts w:ascii="Times New Roman" w:eastAsiaTheme="minorHAnsi" w:hAnsi="Times New Roman" w:cs="Times New Roman"/>
                <w:sz w:val="24"/>
                <w:szCs w:val="24"/>
                <w:lang w:val="ro-RO" w:eastAsia="en-US"/>
              </w:rPr>
              <w:t>, universitățile din Republica Moldova sunt mai puțin atrac</w:t>
            </w:r>
            <w:r w:rsidR="000B4065" w:rsidRPr="005909A5">
              <w:rPr>
                <w:rFonts w:ascii="Times New Roman" w:eastAsiaTheme="minorHAnsi" w:hAnsi="Times New Roman" w:cs="Times New Roman"/>
                <w:sz w:val="24"/>
                <w:szCs w:val="24"/>
                <w:lang w:val="ro-RO" w:eastAsia="en-US"/>
              </w:rPr>
              <w:t>tive decât cele din UE si SUA.</w:t>
            </w:r>
          </w:p>
          <w:p w14:paraId="517D0562" w14:textId="77777777" w:rsidR="00A877FD" w:rsidRDefault="000B4065" w:rsidP="00A877FD">
            <w:pPr>
              <w:tabs>
                <w:tab w:val="left" w:pos="589"/>
              </w:tabs>
              <w:spacing w:line="276" w:lineRule="auto"/>
              <w:ind w:firstLine="709"/>
              <w:jc w:val="both"/>
              <w:rPr>
                <w:rFonts w:ascii="Times New Roman" w:eastAsia="Times New Roman" w:hAnsi="Times New Roman" w:cs="Times New Roman"/>
                <w:sz w:val="24"/>
                <w:szCs w:val="24"/>
                <w:lang w:val="ro-RO"/>
              </w:rPr>
            </w:pPr>
            <w:r w:rsidRPr="005909A5">
              <w:rPr>
                <w:rFonts w:ascii="Times New Roman" w:eastAsia="Times New Roman" w:hAnsi="Times New Roman" w:cs="Times New Roman"/>
                <w:sz w:val="24"/>
                <w:szCs w:val="24"/>
                <w:lang w:val="ro-RO"/>
              </w:rPr>
              <w:t xml:space="preserve">Evident, multe </w:t>
            </w:r>
            <w:r w:rsidR="000608DF" w:rsidRPr="005909A5">
              <w:rPr>
                <w:rFonts w:ascii="Times New Roman" w:eastAsia="Times New Roman" w:hAnsi="Times New Roman" w:cs="Times New Roman"/>
                <w:sz w:val="24"/>
                <w:szCs w:val="24"/>
                <w:lang w:val="ro-RO"/>
              </w:rPr>
              <w:t>instituții</w:t>
            </w:r>
            <w:r w:rsidRPr="005909A5">
              <w:rPr>
                <w:rFonts w:ascii="Times New Roman" w:eastAsia="Times New Roman" w:hAnsi="Times New Roman" w:cs="Times New Roman"/>
                <w:sz w:val="24"/>
                <w:szCs w:val="24"/>
                <w:lang w:val="ro-RO"/>
              </w:rPr>
              <w:t xml:space="preserve"> de </w:t>
            </w:r>
            <w:r w:rsidR="000608DF" w:rsidRPr="005909A5">
              <w:rPr>
                <w:rFonts w:ascii="Times New Roman" w:eastAsia="Times New Roman" w:hAnsi="Times New Roman" w:cs="Times New Roman"/>
                <w:sz w:val="24"/>
                <w:szCs w:val="24"/>
                <w:lang w:val="ro-RO"/>
              </w:rPr>
              <w:t>învățământ</w:t>
            </w:r>
            <w:r w:rsidRPr="005909A5">
              <w:rPr>
                <w:rFonts w:ascii="Times New Roman" w:eastAsia="Times New Roman" w:hAnsi="Times New Roman" w:cs="Times New Roman"/>
                <w:sz w:val="24"/>
                <w:szCs w:val="24"/>
                <w:lang w:val="ro-RO"/>
              </w:rPr>
              <w:t xml:space="preserve"> superior concurează pentru numărul de </w:t>
            </w:r>
            <w:r w:rsidR="000608DF" w:rsidRPr="005909A5">
              <w:rPr>
                <w:rFonts w:ascii="Times New Roman" w:eastAsia="Times New Roman" w:hAnsi="Times New Roman" w:cs="Times New Roman"/>
                <w:sz w:val="24"/>
                <w:szCs w:val="24"/>
                <w:lang w:val="ro-RO"/>
              </w:rPr>
              <w:t xml:space="preserve">studenți, care este </w:t>
            </w:r>
            <w:r w:rsidRPr="005909A5">
              <w:rPr>
                <w:rFonts w:ascii="Times New Roman" w:eastAsia="Times New Roman" w:hAnsi="Times New Roman" w:cs="Times New Roman"/>
                <w:sz w:val="24"/>
                <w:szCs w:val="24"/>
                <w:lang w:val="ro-RO"/>
              </w:rPr>
              <w:t>în scădere</w:t>
            </w:r>
            <w:r w:rsidR="000608DF" w:rsidRPr="005909A5">
              <w:rPr>
                <w:rFonts w:ascii="Times New Roman" w:eastAsia="Times New Roman" w:hAnsi="Times New Roman" w:cs="Times New Roman"/>
                <w:sz w:val="24"/>
                <w:szCs w:val="24"/>
                <w:lang w:val="ro-RO"/>
              </w:rPr>
              <w:t xml:space="preserve"> anual cu cca 8%</w:t>
            </w:r>
            <w:r w:rsidRPr="005909A5">
              <w:rPr>
                <w:rFonts w:ascii="Times New Roman" w:eastAsia="Times New Roman" w:hAnsi="Times New Roman" w:cs="Times New Roman"/>
                <w:sz w:val="24"/>
                <w:szCs w:val="24"/>
                <w:lang w:val="ro-RO"/>
              </w:rPr>
              <w:t xml:space="preserve">. Majoritatea acestor </w:t>
            </w:r>
            <w:r w:rsidR="000608DF" w:rsidRPr="005909A5">
              <w:rPr>
                <w:rFonts w:ascii="Times New Roman" w:eastAsia="Times New Roman" w:hAnsi="Times New Roman" w:cs="Times New Roman"/>
                <w:sz w:val="24"/>
                <w:szCs w:val="24"/>
                <w:lang w:val="ro-RO"/>
              </w:rPr>
              <w:t>instituții</w:t>
            </w:r>
            <w:r w:rsidRPr="005909A5">
              <w:rPr>
                <w:rFonts w:ascii="Times New Roman" w:eastAsia="Times New Roman" w:hAnsi="Times New Roman" w:cs="Times New Roman"/>
                <w:sz w:val="24"/>
                <w:szCs w:val="24"/>
                <w:lang w:val="ro-RO"/>
              </w:rPr>
              <w:t xml:space="preserve"> sunt prea mici pentru a </w:t>
            </w:r>
            <w:r w:rsidR="000608DF" w:rsidRPr="005909A5">
              <w:rPr>
                <w:rFonts w:ascii="Times New Roman" w:eastAsia="Times New Roman" w:hAnsi="Times New Roman" w:cs="Times New Roman"/>
                <w:sz w:val="24"/>
                <w:szCs w:val="24"/>
                <w:lang w:val="ro-RO"/>
              </w:rPr>
              <w:t>funcționa</w:t>
            </w:r>
            <w:r w:rsidRPr="005909A5">
              <w:rPr>
                <w:rFonts w:ascii="Times New Roman" w:eastAsia="Times New Roman" w:hAnsi="Times New Roman" w:cs="Times New Roman"/>
                <w:sz w:val="24"/>
                <w:szCs w:val="24"/>
                <w:lang w:val="ro-RO"/>
              </w:rPr>
              <w:t xml:space="preserve"> eficient, având la activ </w:t>
            </w:r>
            <w:r w:rsidR="000608DF" w:rsidRPr="005909A5">
              <w:rPr>
                <w:rFonts w:ascii="Times New Roman" w:eastAsia="Times New Roman" w:hAnsi="Times New Roman" w:cs="Times New Roman"/>
                <w:sz w:val="24"/>
                <w:szCs w:val="24"/>
                <w:lang w:val="ro-RO"/>
              </w:rPr>
              <w:t>administrații</w:t>
            </w:r>
            <w:r w:rsidRPr="005909A5">
              <w:rPr>
                <w:rFonts w:ascii="Times New Roman" w:eastAsia="Times New Roman" w:hAnsi="Times New Roman" w:cs="Times New Roman"/>
                <w:sz w:val="24"/>
                <w:szCs w:val="24"/>
                <w:lang w:val="ro-RO"/>
              </w:rPr>
              <w:t xml:space="preserve"> </w:t>
            </w:r>
            <w:r w:rsidR="000608DF" w:rsidRPr="005909A5">
              <w:rPr>
                <w:rFonts w:ascii="Times New Roman" w:eastAsia="Times New Roman" w:hAnsi="Times New Roman" w:cs="Times New Roman"/>
                <w:sz w:val="24"/>
                <w:szCs w:val="24"/>
                <w:lang w:val="ro-RO"/>
              </w:rPr>
              <w:t>și</w:t>
            </w:r>
            <w:r w:rsidRPr="005909A5">
              <w:rPr>
                <w:rFonts w:ascii="Times New Roman" w:eastAsia="Times New Roman" w:hAnsi="Times New Roman" w:cs="Times New Roman"/>
                <w:sz w:val="24"/>
                <w:szCs w:val="24"/>
                <w:lang w:val="ro-RO"/>
              </w:rPr>
              <w:t xml:space="preserve"> infrastructuri vechi, care nu sunt adaptate numărului schimbător de studenți. Mai mult decât atât, calitatea infrastructurii generează </w:t>
            </w:r>
            <w:r w:rsidR="000608DF" w:rsidRPr="005909A5">
              <w:rPr>
                <w:rFonts w:ascii="Times New Roman" w:eastAsia="Times New Roman" w:hAnsi="Times New Roman" w:cs="Times New Roman"/>
                <w:sz w:val="24"/>
                <w:szCs w:val="24"/>
                <w:lang w:val="ro-RO"/>
              </w:rPr>
              <w:t>ineficiențele</w:t>
            </w:r>
            <w:r w:rsidRPr="005909A5">
              <w:rPr>
                <w:rFonts w:ascii="Times New Roman" w:eastAsia="Times New Roman" w:hAnsi="Times New Roman" w:cs="Times New Roman"/>
                <w:sz w:val="24"/>
                <w:szCs w:val="24"/>
                <w:lang w:val="ro-RO"/>
              </w:rPr>
              <w:t xml:space="preserve"> în cadrul sistemului. </w:t>
            </w:r>
          </w:p>
          <w:p w14:paraId="5579BB49" w14:textId="2566AEA5" w:rsidR="000B4065" w:rsidRPr="005909A5" w:rsidRDefault="000B4065" w:rsidP="00A877FD">
            <w:pPr>
              <w:tabs>
                <w:tab w:val="left" w:pos="589"/>
              </w:tabs>
              <w:spacing w:line="276" w:lineRule="auto"/>
              <w:ind w:firstLine="709"/>
              <w:jc w:val="both"/>
              <w:rPr>
                <w:rFonts w:ascii="Times New Roman" w:eastAsia="Times New Roman" w:hAnsi="Times New Roman" w:cs="Times New Roman"/>
                <w:sz w:val="24"/>
                <w:szCs w:val="24"/>
                <w:lang w:val="ro-RO"/>
              </w:rPr>
            </w:pPr>
            <w:r w:rsidRPr="005909A5">
              <w:rPr>
                <w:rFonts w:ascii="Times New Roman" w:eastAsia="Times New Roman" w:hAnsi="Times New Roman" w:cs="Times New Roman"/>
                <w:sz w:val="24"/>
                <w:szCs w:val="24"/>
                <w:lang w:val="ro-RO"/>
              </w:rPr>
              <w:t xml:space="preserve">Aceste </w:t>
            </w:r>
            <w:r w:rsidR="000608DF" w:rsidRPr="005909A5">
              <w:rPr>
                <w:rFonts w:ascii="Times New Roman" w:eastAsia="Times New Roman" w:hAnsi="Times New Roman" w:cs="Times New Roman"/>
                <w:sz w:val="24"/>
                <w:szCs w:val="24"/>
                <w:lang w:val="ro-RO"/>
              </w:rPr>
              <w:t>circumstanțe</w:t>
            </w:r>
            <w:r w:rsidRPr="005909A5">
              <w:rPr>
                <w:rFonts w:ascii="Times New Roman" w:eastAsia="Times New Roman" w:hAnsi="Times New Roman" w:cs="Times New Roman"/>
                <w:sz w:val="24"/>
                <w:szCs w:val="24"/>
                <w:lang w:val="ro-RO"/>
              </w:rPr>
              <w:t xml:space="preserve"> îndeamnă la o </w:t>
            </w:r>
            <w:r w:rsidRPr="005909A5">
              <w:rPr>
                <w:rFonts w:ascii="Times New Roman" w:eastAsia="Times New Roman" w:hAnsi="Times New Roman" w:cs="Times New Roman"/>
                <w:b/>
                <w:sz w:val="24"/>
                <w:szCs w:val="24"/>
                <w:lang w:val="ro-RO"/>
              </w:rPr>
              <w:t xml:space="preserve">consolidare a </w:t>
            </w:r>
            <w:r w:rsidR="000608DF" w:rsidRPr="005909A5">
              <w:rPr>
                <w:rFonts w:ascii="Times New Roman" w:eastAsia="Times New Roman" w:hAnsi="Times New Roman" w:cs="Times New Roman"/>
                <w:b/>
                <w:sz w:val="24"/>
                <w:szCs w:val="24"/>
                <w:lang w:val="ro-RO"/>
              </w:rPr>
              <w:t>rețelei</w:t>
            </w:r>
            <w:r w:rsidRPr="005909A5">
              <w:rPr>
                <w:rFonts w:ascii="Times New Roman" w:eastAsia="Times New Roman" w:hAnsi="Times New Roman" w:cs="Times New Roman"/>
                <w:b/>
                <w:sz w:val="24"/>
                <w:szCs w:val="24"/>
                <w:lang w:val="ro-RO"/>
              </w:rPr>
              <w:t xml:space="preserve"> de </w:t>
            </w:r>
            <w:r w:rsidR="000608DF" w:rsidRPr="005909A5">
              <w:rPr>
                <w:rFonts w:ascii="Times New Roman" w:eastAsia="Times New Roman" w:hAnsi="Times New Roman" w:cs="Times New Roman"/>
                <w:b/>
                <w:sz w:val="24"/>
                <w:szCs w:val="24"/>
                <w:lang w:val="ro-RO"/>
              </w:rPr>
              <w:t>instituții</w:t>
            </w:r>
            <w:r w:rsidR="00D55C61" w:rsidRPr="005909A5">
              <w:rPr>
                <w:rFonts w:ascii="Times New Roman" w:eastAsia="Times New Roman" w:hAnsi="Times New Roman" w:cs="Times New Roman"/>
                <w:b/>
                <w:sz w:val="24"/>
                <w:szCs w:val="24"/>
                <w:lang w:val="ro-RO"/>
              </w:rPr>
              <w:t xml:space="preserve"> </w:t>
            </w:r>
            <w:r w:rsidRPr="005909A5">
              <w:rPr>
                <w:rFonts w:ascii="Times New Roman" w:eastAsia="Times New Roman" w:hAnsi="Times New Roman" w:cs="Times New Roman"/>
                <w:b/>
                <w:sz w:val="24"/>
                <w:szCs w:val="24"/>
                <w:lang w:val="ro-RO"/>
              </w:rPr>
              <w:t xml:space="preserve">de </w:t>
            </w:r>
            <w:r w:rsidR="000608DF" w:rsidRPr="005909A5">
              <w:rPr>
                <w:rFonts w:ascii="Times New Roman" w:eastAsia="Times New Roman" w:hAnsi="Times New Roman" w:cs="Times New Roman"/>
                <w:b/>
                <w:sz w:val="24"/>
                <w:szCs w:val="24"/>
                <w:lang w:val="ro-RO"/>
              </w:rPr>
              <w:t>învățământ</w:t>
            </w:r>
            <w:r w:rsidRPr="005909A5">
              <w:rPr>
                <w:rFonts w:ascii="Times New Roman" w:eastAsia="Times New Roman" w:hAnsi="Times New Roman" w:cs="Times New Roman"/>
                <w:b/>
                <w:sz w:val="24"/>
                <w:szCs w:val="24"/>
                <w:lang w:val="ro-RO"/>
              </w:rPr>
              <w:t xml:space="preserve"> superior</w:t>
            </w:r>
            <w:r w:rsidR="000608DF" w:rsidRPr="005909A5">
              <w:rPr>
                <w:rFonts w:ascii="Times New Roman" w:eastAsia="Times New Roman" w:hAnsi="Times New Roman" w:cs="Times New Roman"/>
                <w:sz w:val="24"/>
                <w:szCs w:val="24"/>
                <w:lang w:val="ro-RO"/>
              </w:rPr>
              <w:t>. Numărul</w:t>
            </w:r>
            <w:r w:rsidRPr="005909A5">
              <w:rPr>
                <w:rFonts w:ascii="Times New Roman" w:eastAsia="Times New Roman" w:hAnsi="Times New Roman" w:cs="Times New Roman"/>
                <w:sz w:val="24"/>
                <w:szCs w:val="24"/>
                <w:lang w:val="ro-RO"/>
              </w:rPr>
              <w:t xml:space="preserve"> mare al acestor </w:t>
            </w:r>
            <w:r w:rsidR="000608DF" w:rsidRPr="005909A5">
              <w:rPr>
                <w:rFonts w:ascii="Times New Roman" w:eastAsia="Times New Roman" w:hAnsi="Times New Roman" w:cs="Times New Roman"/>
                <w:sz w:val="24"/>
                <w:szCs w:val="24"/>
                <w:lang w:val="ro-RO"/>
              </w:rPr>
              <w:t>instituții</w:t>
            </w:r>
            <w:r w:rsidRPr="005909A5">
              <w:rPr>
                <w:rFonts w:ascii="Times New Roman" w:eastAsia="Times New Roman" w:hAnsi="Times New Roman" w:cs="Times New Roman"/>
                <w:sz w:val="24"/>
                <w:szCs w:val="24"/>
                <w:lang w:val="ro-RO"/>
              </w:rPr>
              <w:t xml:space="preserve"> denotă </w:t>
            </w:r>
            <w:r w:rsidR="000608DF" w:rsidRPr="005909A5">
              <w:rPr>
                <w:rFonts w:ascii="Times New Roman" w:eastAsia="Times New Roman" w:hAnsi="Times New Roman" w:cs="Times New Roman"/>
                <w:sz w:val="24"/>
                <w:szCs w:val="24"/>
                <w:lang w:val="ro-RO"/>
              </w:rPr>
              <w:t>existenta</w:t>
            </w:r>
            <w:r w:rsidRPr="005909A5">
              <w:rPr>
                <w:rFonts w:ascii="Times New Roman" w:eastAsia="Times New Roman" w:hAnsi="Times New Roman" w:cs="Times New Roman"/>
                <w:sz w:val="24"/>
                <w:szCs w:val="24"/>
                <w:lang w:val="ro-RO"/>
              </w:rPr>
              <w:t xml:space="preserve"> unor disponibilizări financiare în cadrul </w:t>
            </w:r>
            <w:r w:rsidR="000608DF" w:rsidRPr="005909A5">
              <w:rPr>
                <w:rFonts w:ascii="Times New Roman" w:eastAsia="Times New Roman" w:hAnsi="Times New Roman" w:cs="Times New Roman"/>
                <w:sz w:val="24"/>
                <w:szCs w:val="24"/>
                <w:lang w:val="ro-RO"/>
              </w:rPr>
              <w:t>și</w:t>
            </w:r>
            <w:r w:rsidRPr="005909A5">
              <w:rPr>
                <w:rFonts w:ascii="Times New Roman" w:eastAsia="Times New Roman" w:hAnsi="Times New Roman" w:cs="Times New Roman"/>
                <w:sz w:val="24"/>
                <w:szCs w:val="24"/>
                <w:lang w:val="ro-RO"/>
              </w:rPr>
              <w:t xml:space="preserve"> între </w:t>
            </w:r>
            <w:r w:rsidR="000608DF" w:rsidRPr="005909A5">
              <w:rPr>
                <w:rFonts w:ascii="Times New Roman" w:eastAsia="Times New Roman" w:hAnsi="Times New Roman" w:cs="Times New Roman"/>
                <w:sz w:val="24"/>
                <w:szCs w:val="24"/>
                <w:lang w:val="ro-RO"/>
              </w:rPr>
              <w:t>instituții</w:t>
            </w:r>
            <w:r w:rsidRPr="005909A5">
              <w:rPr>
                <w:rFonts w:ascii="Times New Roman" w:eastAsia="Times New Roman" w:hAnsi="Times New Roman" w:cs="Times New Roman"/>
                <w:sz w:val="24"/>
                <w:szCs w:val="24"/>
                <w:lang w:val="ro-RO"/>
              </w:rPr>
              <w:t xml:space="preserve">, dat fiind numărul mic de </w:t>
            </w:r>
            <w:r w:rsidR="000608DF" w:rsidRPr="005909A5">
              <w:rPr>
                <w:rFonts w:ascii="Times New Roman" w:eastAsia="Times New Roman" w:hAnsi="Times New Roman" w:cs="Times New Roman"/>
                <w:sz w:val="24"/>
                <w:szCs w:val="24"/>
                <w:lang w:val="ro-RO"/>
              </w:rPr>
              <w:t>studenți</w:t>
            </w:r>
            <w:r w:rsidRPr="005909A5">
              <w:rPr>
                <w:rFonts w:ascii="Times New Roman" w:eastAsia="Times New Roman" w:hAnsi="Times New Roman" w:cs="Times New Roman"/>
                <w:sz w:val="24"/>
                <w:szCs w:val="24"/>
                <w:lang w:val="ro-RO"/>
              </w:rPr>
              <w:t xml:space="preserve"> din fiecare </w:t>
            </w:r>
            <w:r w:rsidR="000608DF" w:rsidRPr="005909A5">
              <w:rPr>
                <w:rFonts w:ascii="Times New Roman" w:eastAsia="Times New Roman" w:hAnsi="Times New Roman" w:cs="Times New Roman"/>
                <w:sz w:val="24"/>
                <w:szCs w:val="24"/>
                <w:lang w:val="ro-RO"/>
              </w:rPr>
              <w:t>instituție</w:t>
            </w:r>
            <w:r w:rsidR="00A877FD">
              <w:rPr>
                <w:rFonts w:ascii="Times New Roman" w:eastAsia="Times New Roman" w:hAnsi="Times New Roman" w:cs="Times New Roman"/>
                <w:sz w:val="24"/>
                <w:szCs w:val="24"/>
                <w:lang w:val="ro-RO"/>
              </w:rPr>
              <w:t>. De ex.</w:t>
            </w:r>
            <w:r w:rsidRPr="005909A5">
              <w:rPr>
                <w:rFonts w:ascii="Times New Roman" w:eastAsia="Times New Roman" w:hAnsi="Times New Roman" w:cs="Times New Roman"/>
                <w:sz w:val="24"/>
                <w:szCs w:val="24"/>
                <w:lang w:val="ro-RO"/>
              </w:rPr>
              <w:t xml:space="preserve">, fiecare </w:t>
            </w:r>
            <w:r w:rsidR="000608DF" w:rsidRPr="005909A5">
              <w:rPr>
                <w:rFonts w:ascii="Times New Roman" w:eastAsia="Times New Roman" w:hAnsi="Times New Roman" w:cs="Times New Roman"/>
                <w:sz w:val="24"/>
                <w:szCs w:val="24"/>
                <w:lang w:val="ro-RO"/>
              </w:rPr>
              <w:t>instituție</w:t>
            </w:r>
            <w:r w:rsidRPr="005909A5">
              <w:rPr>
                <w:rFonts w:ascii="Times New Roman" w:eastAsia="Times New Roman" w:hAnsi="Times New Roman" w:cs="Times New Roman"/>
                <w:sz w:val="24"/>
                <w:szCs w:val="24"/>
                <w:lang w:val="ro-RO"/>
              </w:rPr>
              <w:t xml:space="preserve"> de </w:t>
            </w:r>
            <w:r w:rsidR="000608DF" w:rsidRPr="005909A5">
              <w:rPr>
                <w:rFonts w:ascii="Times New Roman" w:eastAsia="Times New Roman" w:hAnsi="Times New Roman" w:cs="Times New Roman"/>
                <w:sz w:val="24"/>
                <w:szCs w:val="24"/>
                <w:lang w:val="ro-RO"/>
              </w:rPr>
              <w:t>învățământ</w:t>
            </w:r>
            <w:r w:rsidRPr="005909A5">
              <w:rPr>
                <w:rFonts w:ascii="Times New Roman" w:eastAsia="Times New Roman" w:hAnsi="Times New Roman" w:cs="Times New Roman"/>
                <w:sz w:val="24"/>
                <w:szCs w:val="24"/>
                <w:lang w:val="ro-RO"/>
              </w:rPr>
              <w:t xml:space="preserve"> superior din sistem este obligată să dispună de o infrastructură administrativă </w:t>
            </w:r>
            <w:r w:rsidR="000608DF" w:rsidRPr="005909A5">
              <w:rPr>
                <w:rFonts w:ascii="Times New Roman" w:eastAsia="Times New Roman" w:hAnsi="Times New Roman" w:cs="Times New Roman"/>
                <w:sz w:val="24"/>
                <w:szCs w:val="24"/>
                <w:lang w:val="ro-RO"/>
              </w:rPr>
              <w:t>și</w:t>
            </w:r>
            <w:r w:rsidRPr="005909A5">
              <w:rPr>
                <w:rFonts w:ascii="Times New Roman" w:eastAsia="Times New Roman" w:hAnsi="Times New Roman" w:cs="Times New Roman"/>
                <w:sz w:val="24"/>
                <w:szCs w:val="24"/>
                <w:lang w:val="ro-RO"/>
              </w:rPr>
              <w:t xml:space="preserve"> didactică proprie, o bună parte din care nu se reduce în conformitate cu numărul de </w:t>
            </w:r>
            <w:r w:rsidR="000608DF" w:rsidRPr="005909A5">
              <w:rPr>
                <w:rFonts w:ascii="Times New Roman" w:eastAsia="Times New Roman" w:hAnsi="Times New Roman" w:cs="Times New Roman"/>
                <w:sz w:val="24"/>
                <w:szCs w:val="24"/>
                <w:lang w:val="ro-RO"/>
              </w:rPr>
              <w:t>studenți</w:t>
            </w:r>
            <w:r w:rsidRPr="005909A5">
              <w:rPr>
                <w:rFonts w:ascii="Times New Roman" w:eastAsia="Times New Roman" w:hAnsi="Times New Roman" w:cs="Times New Roman"/>
                <w:sz w:val="24"/>
                <w:szCs w:val="24"/>
                <w:lang w:val="ro-RO"/>
              </w:rPr>
              <w:t xml:space="preserve"> </w:t>
            </w:r>
            <w:r w:rsidR="000608DF" w:rsidRPr="005909A5">
              <w:rPr>
                <w:rFonts w:ascii="Times New Roman" w:eastAsia="Times New Roman" w:hAnsi="Times New Roman" w:cs="Times New Roman"/>
                <w:sz w:val="24"/>
                <w:szCs w:val="24"/>
                <w:lang w:val="ro-RO"/>
              </w:rPr>
              <w:t>înmatriculați</w:t>
            </w:r>
            <w:r w:rsidRPr="005909A5">
              <w:rPr>
                <w:rFonts w:ascii="Times New Roman" w:eastAsia="Times New Roman" w:hAnsi="Times New Roman" w:cs="Times New Roman"/>
                <w:sz w:val="24"/>
                <w:szCs w:val="24"/>
                <w:lang w:val="ro-RO"/>
              </w:rPr>
              <w:t xml:space="preserve">. </w:t>
            </w:r>
            <w:r w:rsidR="000608DF" w:rsidRPr="005909A5">
              <w:rPr>
                <w:rFonts w:ascii="Times New Roman" w:eastAsia="Times New Roman" w:hAnsi="Times New Roman" w:cs="Times New Roman"/>
                <w:sz w:val="24"/>
                <w:szCs w:val="24"/>
                <w:lang w:val="ro-RO"/>
              </w:rPr>
              <w:t>Instituțiile</w:t>
            </w:r>
            <w:r w:rsidRPr="005909A5">
              <w:rPr>
                <w:rFonts w:ascii="Times New Roman" w:eastAsia="Times New Roman" w:hAnsi="Times New Roman" w:cs="Times New Roman"/>
                <w:sz w:val="24"/>
                <w:szCs w:val="24"/>
                <w:lang w:val="ro-RO"/>
              </w:rPr>
              <w:t xml:space="preserve"> de </w:t>
            </w:r>
            <w:r w:rsidR="000608DF" w:rsidRPr="005909A5">
              <w:rPr>
                <w:rFonts w:ascii="Times New Roman" w:eastAsia="Times New Roman" w:hAnsi="Times New Roman" w:cs="Times New Roman"/>
                <w:sz w:val="24"/>
                <w:szCs w:val="24"/>
                <w:lang w:val="ro-RO"/>
              </w:rPr>
              <w:t>învățământ</w:t>
            </w:r>
            <w:r w:rsidRPr="005909A5">
              <w:rPr>
                <w:rFonts w:ascii="Times New Roman" w:eastAsia="Times New Roman" w:hAnsi="Times New Roman" w:cs="Times New Roman"/>
                <w:sz w:val="24"/>
                <w:szCs w:val="24"/>
                <w:lang w:val="ro-RO"/>
              </w:rPr>
              <w:t xml:space="preserve"> superior au nevoie de un număr similar de rectori, prorectori </w:t>
            </w:r>
            <w:r w:rsidR="000608DF" w:rsidRPr="005909A5">
              <w:rPr>
                <w:rFonts w:ascii="Times New Roman" w:eastAsia="Times New Roman" w:hAnsi="Times New Roman" w:cs="Times New Roman"/>
                <w:sz w:val="24"/>
                <w:szCs w:val="24"/>
                <w:lang w:val="ro-RO"/>
              </w:rPr>
              <w:t>și</w:t>
            </w:r>
            <w:r w:rsidRPr="005909A5">
              <w:rPr>
                <w:rFonts w:ascii="Times New Roman" w:eastAsia="Times New Roman" w:hAnsi="Times New Roman" w:cs="Times New Roman"/>
                <w:sz w:val="24"/>
                <w:szCs w:val="24"/>
                <w:lang w:val="ro-RO"/>
              </w:rPr>
              <w:t xml:space="preserve"> decani, indiferent de faptul dacă în programele lor s-au înmatriculat 200 sau 10 000 de </w:t>
            </w:r>
            <w:r w:rsidR="000608DF" w:rsidRPr="005909A5">
              <w:rPr>
                <w:rFonts w:ascii="Times New Roman" w:eastAsia="Times New Roman" w:hAnsi="Times New Roman" w:cs="Times New Roman"/>
                <w:sz w:val="24"/>
                <w:szCs w:val="24"/>
                <w:lang w:val="ro-RO"/>
              </w:rPr>
              <w:t>studenți</w:t>
            </w:r>
            <w:r w:rsidRPr="005909A5">
              <w:rPr>
                <w:rFonts w:ascii="Times New Roman" w:eastAsia="Times New Roman" w:hAnsi="Times New Roman" w:cs="Times New Roman"/>
                <w:sz w:val="24"/>
                <w:szCs w:val="24"/>
                <w:lang w:val="ro-RO"/>
              </w:rPr>
              <w:t xml:space="preserve">. Mai mult decât atât, </w:t>
            </w:r>
            <w:r w:rsidR="000608DF" w:rsidRPr="005909A5">
              <w:rPr>
                <w:rFonts w:ascii="Times New Roman" w:eastAsia="Times New Roman" w:hAnsi="Times New Roman" w:cs="Times New Roman"/>
                <w:sz w:val="24"/>
                <w:szCs w:val="24"/>
                <w:lang w:val="ro-RO"/>
              </w:rPr>
              <w:t>și</w:t>
            </w:r>
            <w:r w:rsidRPr="005909A5">
              <w:rPr>
                <w:rFonts w:ascii="Times New Roman" w:eastAsia="Times New Roman" w:hAnsi="Times New Roman" w:cs="Times New Roman"/>
                <w:sz w:val="24"/>
                <w:szCs w:val="24"/>
                <w:lang w:val="ro-RO"/>
              </w:rPr>
              <w:t xml:space="preserve"> infrastructurile, inclusiv TIC sunt costisitoare per student </w:t>
            </w:r>
            <w:r w:rsidR="000608DF" w:rsidRPr="005909A5">
              <w:rPr>
                <w:rFonts w:ascii="Times New Roman" w:eastAsia="Times New Roman" w:hAnsi="Times New Roman" w:cs="Times New Roman"/>
                <w:sz w:val="24"/>
                <w:szCs w:val="24"/>
                <w:lang w:val="ro-RO"/>
              </w:rPr>
              <w:t>și</w:t>
            </w:r>
            <w:r w:rsidRPr="005909A5">
              <w:rPr>
                <w:rFonts w:ascii="Times New Roman" w:eastAsia="Times New Roman" w:hAnsi="Times New Roman" w:cs="Times New Roman"/>
                <w:sz w:val="24"/>
                <w:szCs w:val="24"/>
                <w:lang w:val="ro-RO"/>
              </w:rPr>
              <w:t xml:space="preserve"> </w:t>
            </w:r>
            <w:r w:rsidR="000608DF" w:rsidRPr="005909A5">
              <w:rPr>
                <w:rFonts w:ascii="Times New Roman" w:eastAsia="Times New Roman" w:hAnsi="Times New Roman" w:cs="Times New Roman"/>
                <w:sz w:val="24"/>
                <w:szCs w:val="24"/>
                <w:lang w:val="ro-RO"/>
              </w:rPr>
              <w:t>funcționează</w:t>
            </w:r>
            <w:r w:rsidRPr="005909A5">
              <w:rPr>
                <w:rFonts w:ascii="Times New Roman" w:eastAsia="Times New Roman" w:hAnsi="Times New Roman" w:cs="Times New Roman"/>
                <w:sz w:val="24"/>
                <w:szCs w:val="24"/>
                <w:lang w:val="ro-RO"/>
              </w:rPr>
              <w:t xml:space="preserve"> sub capacitate, ceea ce reprezintă un alt gen de </w:t>
            </w:r>
            <w:r w:rsidR="000608DF" w:rsidRPr="005909A5">
              <w:rPr>
                <w:rFonts w:ascii="Times New Roman" w:eastAsia="Times New Roman" w:hAnsi="Times New Roman" w:cs="Times New Roman"/>
                <w:sz w:val="24"/>
                <w:szCs w:val="24"/>
                <w:lang w:val="ro-RO"/>
              </w:rPr>
              <w:t>ineficiență</w:t>
            </w:r>
            <w:r w:rsidRPr="005909A5">
              <w:rPr>
                <w:rFonts w:ascii="Times New Roman" w:eastAsia="Times New Roman" w:hAnsi="Times New Roman" w:cs="Times New Roman"/>
                <w:sz w:val="24"/>
                <w:szCs w:val="24"/>
                <w:lang w:val="ro-RO"/>
              </w:rPr>
              <w:t xml:space="preserve"> structurală. O </w:t>
            </w:r>
            <w:r w:rsidR="000608DF" w:rsidRPr="005909A5">
              <w:rPr>
                <w:rFonts w:ascii="Times New Roman" w:eastAsia="Times New Roman" w:hAnsi="Times New Roman" w:cs="Times New Roman"/>
                <w:sz w:val="24"/>
                <w:szCs w:val="24"/>
                <w:lang w:val="ro-RO"/>
              </w:rPr>
              <w:t>instituție</w:t>
            </w:r>
            <w:r w:rsidRPr="005909A5">
              <w:rPr>
                <w:rFonts w:ascii="Times New Roman" w:eastAsia="Times New Roman" w:hAnsi="Times New Roman" w:cs="Times New Roman"/>
                <w:sz w:val="24"/>
                <w:szCs w:val="24"/>
                <w:lang w:val="ro-RO"/>
              </w:rPr>
              <w:t xml:space="preserve"> de </w:t>
            </w:r>
            <w:r w:rsidR="000608DF" w:rsidRPr="005909A5">
              <w:rPr>
                <w:rFonts w:ascii="Times New Roman" w:eastAsia="Times New Roman" w:hAnsi="Times New Roman" w:cs="Times New Roman"/>
                <w:sz w:val="24"/>
                <w:szCs w:val="24"/>
                <w:lang w:val="ro-RO"/>
              </w:rPr>
              <w:t>învățământ</w:t>
            </w:r>
            <w:r w:rsidRPr="005909A5">
              <w:rPr>
                <w:rFonts w:ascii="Times New Roman" w:eastAsia="Times New Roman" w:hAnsi="Times New Roman" w:cs="Times New Roman"/>
                <w:sz w:val="24"/>
                <w:szCs w:val="24"/>
                <w:lang w:val="ro-RO"/>
              </w:rPr>
              <w:t xml:space="preserve"> superior este nevoită să cheltuiască </w:t>
            </w:r>
            <w:r w:rsidR="000608DF" w:rsidRPr="005909A5">
              <w:rPr>
                <w:rFonts w:ascii="Times New Roman" w:eastAsia="Times New Roman" w:hAnsi="Times New Roman" w:cs="Times New Roman"/>
                <w:sz w:val="24"/>
                <w:szCs w:val="24"/>
                <w:lang w:val="ro-RO"/>
              </w:rPr>
              <w:t>aceiași</w:t>
            </w:r>
            <w:r w:rsidRPr="005909A5">
              <w:rPr>
                <w:rFonts w:ascii="Times New Roman" w:eastAsia="Times New Roman" w:hAnsi="Times New Roman" w:cs="Times New Roman"/>
                <w:sz w:val="24"/>
                <w:szCs w:val="24"/>
                <w:lang w:val="ro-RO"/>
              </w:rPr>
              <w:t xml:space="preserve"> bani pentru </w:t>
            </w:r>
            <w:r w:rsidR="000608DF" w:rsidRPr="005909A5">
              <w:rPr>
                <w:rFonts w:ascii="Times New Roman" w:eastAsia="Times New Roman" w:hAnsi="Times New Roman" w:cs="Times New Roman"/>
                <w:sz w:val="24"/>
                <w:szCs w:val="24"/>
                <w:lang w:val="ro-RO"/>
              </w:rPr>
              <w:t>întreținerea</w:t>
            </w:r>
            <w:r w:rsidRPr="005909A5">
              <w:rPr>
                <w:rFonts w:ascii="Times New Roman" w:eastAsia="Times New Roman" w:hAnsi="Times New Roman" w:cs="Times New Roman"/>
                <w:sz w:val="24"/>
                <w:szCs w:val="24"/>
                <w:lang w:val="ro-RO"/>
              </w:rPr>
              <w:t xml:space="preserve"> unui metru pătrat de sală de clasă sau de laborator pentru a instrui 5, 10 sau 25 de </w:t>
            </w:r>
            <w:r w:rsidR="000608DF" w:rsidRPr="005909A5">
              <w:rPr>
                <w:rFonts w:ascii="Times New Roman" w:eastAsia="Times New Roman" w:hAnsi="Times New Roman" w:cs="Times New Roman"/>
                <w:sz w:val="24"/>
                <w:szCs w:val="24"/>
                <w:lang w:val="ro-RO"/>
              </w:rPr>
              <w:t>studenți</w:t>
            </w:r>
            <w:r w:rsidRPr="005909A5">
              <w:rPr>
                <w:rFonts w:ascii="Times New Roman" w:eastAsia="Times New Roman" w:hAnsi="Times New Roman" w:cs="Times New Roman"/>
                <w:sz w:val="24"/>
                <w:szCs w:val="24"/>
                <w:lang w:val="ro-RO"/>
              </w:rPr>
              <w:t xml:space="preserve">. </w:t>
            </w:r>
          </w:p>
          <w:p w14:paraId="6409C9A7" w14:textId="77777777" w:rsidR="000608DF" w:rsidRPr="005909A5" w:rsidRDefault="000B4065" w:rsidP="00A877FD">
            <w:pPr>
              <w:tabs>
                <w:tab w:val="left" w:pos="589"/>
              </w:tabs>
              <w:spacing w:line="276" w:lineRule="auto"/>
              <w:ind w:firstLine="709"/>
              <w:jc w:val="both"/>
              <w:rPr>
                <w:rFonts w:ascii="Times New Roman" w:eastAsia="Times New Roman" w:hAnsi="Times New Roman" w:cs="Times New Roman"/>
                <w:b/>
                <w:sz w:val="24"/>
                <w:szCs w:val="24"/>
                <w:lang w:val="ro-RO"/>
              </w:rPr>
            </w:pPr>
            <w:r w:rsidRPr="005909A5">
              <w:rPr>
                <w:rFonts w:ascii="Times New Roman" w:eastAsia="Times New Roman" w:hAnsi="Times New Roman" w:cs="Times New Roman"/>
                <w:sz w:val="24"/>
                <w:szCs w:val="24"/>
                <w:lang w:val="ro-RO"/>
              </w:rPr>
              <w:t xml:space="preserve">Analiza de sistem a cheltuielilor publice pentru învățământul superior pentru perioada anilor 2018-2023, ne demonstrează că volumul alocațiilor aferente instituțiilor publice de învățământ superior este în creștere de la an la an. Astfel, în anul 2018 alocațiile respective au fost 912,5 mil.lei, </w:t>
            </w:r>
            <w:r w:rsidRPr="005909A5">
              <w:rPr>
                <w:rFonts w:ascii="Times New Roman" w:eastAsia="Times New Roman" w:hAnsi="Times New Roman" w:cs="Times New Roman"/>
                <w:sz w:val="24"/>
                <w:szCs w:val="24"/>
                <w:lang w:val="ro-RO"/>
              </w:rPr>
              <w:lastRenderedPageBreak/>
              <w:t xml:space="preserve">pe când în anul 2023 acesta atinge cota de 1.387.324,7 lei, în creștere cu 25,5% la un număr de studenți bugetari în </w:t>
            </w:r>
            <w:r w:rsidRPr="005909A5">
              <w:rPr>
                <w:rFonts w:ascii="Times New Roman" w:eastAsia="Times New Roman" w:hAnsi="Times New Roman" w:cs="Times New Roman"/>
                <w:b/>
                <w:sz w:val="24"/>
                <w:szCs w:val="24"/>
                <w:lang w:val="ro-RO"/>
              </w:rPr>
              <w:t>descreștere cu 3716 studenți (15,1%).</w:t>
            </w:r>
            <w:r w:rsidR="000608DF" w:rsidRPr="005909A5">
              <w:rPr>
                <w:rFonts w:ascii="Times New Roman" w:eastAsia="Times New Roman" w:hAnsi="Times New Roman" w:cs="Times New Roman"/>
                <w:b/>
                <w:sz w:val="24"/>
                <w:szCs w:val="24"/>
                <w:lang w:val="ro-RO"/>
              </w:rPr>
              <w:t xml:space="preserve"> </w:t>
            </w:r>
          </w:p>
          <w:p w14:paraId="4AEAFCFF" w14:textId="428239A1" w:rsidR="00A71D00" w:rsidRPr="005909A5" w:rsidRDefault="00A83239" w:rsidP="00A877FD">
            <w:pPr>
              <w:tabs>
                <w:tab w:val="left" w:pos="589"/>
              </w:tabs>
              <w:spacing w:line="276" w:lineRule="auto"/>
              <w:ind w:firstLine="709"/>
              <w:jc w:val="both"/>
              <w:rPr>
                <w:rFonts w:ascii="Times New Roman" w:hAnsi="Times New Roman" w:cs="Times New Roman"/>
                <w:sz w:val="24"/>
                <w:szCs w:val="24"/>
                <w:lang w:val="ro-RO"/>
              </w:rPr>
            </w:pPr>
            <w:r w:rsidRPr="005909A5">
              <w:rPr>
                <w:rFonts w:ascii="Times New Roman" w:hAnsi="Times New Roman" w:cs="Times New Roman"/>
                <w:sz w:val="24"/>
                <w:szCs w:val="24"/>
                <w:lang w:val="ro-RO"/>
              </w:rPr>
              <w:t>Astfel</w:t>
            </w:r>
            <w:r w:rsidR="00A64CD5" w:rsidRPr="005909A5">
              <w:rPr>
                <w:rFonts w:ascii="Times New Roman" w:hAnsi="Times New Roman" w:cs="Times New Roman"/>
                <w:sz w:val="24"/>
                <w:szCs w:val="24"/>
                <w:lang w:val="ro-RO"/>
              </w:rPr>
              <w:t>, Ministerul Educa</w:t>
            </w:r>
            <w:r w:rsidR="00B51A34" w:rsidRPr="005909A5">
              <w:rPr>
                <w:rFonts w:ascii="Times New Roman" w:hAnsi="Times New Roman" w:cs="Times New Roman"/>
                <w:sz w:val="24"/>
                <w:szCs w:val="24"/>
                <w:lang w:val="ro-RO"/>
              </w:rPr>
              <w:t>ției și Cercetării vine cu</w:t>
            </w:r>
            <w:r w:rsidR="00A64CD5" w:rsidRPr="005909A5">
              <w:rPr>
                <w:rFonts w:ascii="Times New Roman" w:hAnsi="Times New Roman" w:cs="Times New Roman"/>
                <w:sz w:val="24"/>
                <w:szCs w:val="24"/>
                <w:lang w:val="ro-RO"/>
              </w:rPr>
              <w:t xml:space="preserve"> propunerea de </w:t>
            </w:r>
            <w:r w:rsidR="000608DF" w:rsidRPr="005909A5">
              <w:rPr>
                <w:rFonts w:ascii="Times New Roman" w:hAnsi="Times New Roman" w:cs="Times New Roman"/>
                <w:sz w:val="24"/>
                <w:szCs w:val="24"/>
                <w:lang w:val="ro-RO"/>
              </w:rPr>
              <w:t xml:space="preserve">continuare a procesului de </w:t>
            </w:r>
            <w:r w:rsidR="000608DF" w:rsidRPr="005909A5">
              <w:rPr>
                <w:rFonts w:ascii="Times New Roman" w:hAnsi="Times New Roman" w:cs="Times New Roman"/>
                <w:b/>
                <w:sz w:val="24"/>
                <w:szCs w:val="24"/>
                <w:lang w:val="ro-RO"/>
              </w:rPr>
              <w:t xml:space="preserve">consolidare a rețelei de instituții de învățământ superior </w:t>
            </w:r>
            <w:r w:rsidR="000608DF" w:rsidRPr="005909A5">
              <w:rPr>
                <w:rFonts w:ascii="Times New Roman" w:hAnsi="Times New Roman" w:cs="Times New Roman"/>
                <w:sz w:val="24"/>
                <w:szCs w:val="24"/>
                <w:lang w:val="ro-RO"/>
              </w:rPr>
              <w:t>(începută în anii 2013/14),</w:t>
            </w:r>
            <w:r w:rsidR="000608DF" w:rsidRPr="005909A5">
              <w:rPr>
                <w:rFonts w:ascii="Times New Roman" w:hAnsi="Times New Roman" w:cs="Times New Roman"/>
                <w:b/>
                <w:sz w:val="24"/>
                <w:szCs w:val="24"/>
                <w:lang w:val="ro-RO"/>
              </w:rPr>
              <w:t xml:space="preserve"> bazată pe indicatori de calitate, racordată la necesitățile pieței muncii.</w:t>
            </w:r>
          </w:p>
        </w:tc>
      </w:tr>
      <w:tr w:rsidR="00D92C9E" w:rsidRPr="005909A5" w14:paraId="4FAA69CC" w14:textId="77777777" w:rsidTr="00A877FD">
        <w:tc>
          <w:tcPr>
            <w:tcW w:w="9810" w:type="dxa"/>
            <w:shd w:val="clear" w:color="auto" w:fill="D9D9D9" w:themeFill="background1" w:themeFillShade="D9"/>
          </w:tcPr>
          <w:p w14:paraId="3C16BF01" w14:textId="6689FAA2" w:rsidR="00D92C9E" w:rsidRPr="005909A5" w:rsidRDefault="00D92C9E" w:rsidP="00A877FD">
            <w:pPr>
              <w:spacing w:line="276" w:lineRule="auto"/>
              <w:ind w:firstLine="709"/>
              <w:jc w:val="both"/>
              <w:rPr>
                <w:rFonts w:ascii="Times New Roman" w:hAnsi="Times New Roman" w:cs="Times New Roman"/>
                <w:b/>
                <w:bCs/>
                <w:sz w:val="24"/>
                <w:szCs w:val="24"/>
                <w:lang w:val="ro-RO"/>
              </w:rPr>
            </w:pPr>
            <w:r w:rsidRPr="005909A5">
              <w:rPr>
                <w:rFonts w:ascii="Times New Roman" w:hAnsi="Times New Roman" w:cs="Times New Roman"/>
                <w:b/>
                <w:bCs/>
                <w:sz w:val="24"/>
                <w:szCs w:val="24"/>
                <w:lang w:val="ro-RO"/>
              </w:rPr>
              <w:lastRenderedPageBreak/>
              <w:t>3. Descrierea gradului de compatibilitate pentru proiectele care au scop armonizarea legislației naționale cu legislația Uniunii Europene</w:t>
            </w:r>
          </w:p>
        </w:tc>
      </w:tr>
      <w:tr w:rsidR="00D92C9E" w:rsidRPr="005909A5" w14:paraId="58195D75" w14:textId="77777777" w:rsidTr="00A877FD">
        <w:tc>
          <w:tcPr>
            <w:tcW w:w="9810" w:type="dxa"/>
          </w:tcPr>
          <w:p w14:paraId="1DDA3B15" w14:textId="6C67EE12" w:rsidR="00D92C9E" w:rsidRPr="005909A5" w:rsidRDefault="00D92C9E" w:rsidP="00A877FD">
            <w:pPr>
              <w:spacing w:line="276" w:lineRule="auto"/>
              <w:ind w:firstLine="709"/>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Proiectul hotărârii de Guvern nu conține norme privind armonizarea legislației naționale cu legislația Uniunii Europene.</w:t>
            </w:r>
          </w:p>
        </w:tc>
      </w:tr>
      <w:tr w:rsidR="003D636E" w:rsidRPr="005909A5" w14:paraId="4C2A2100" w14:textId="77777777" w:rsidTr="00A877FD">
        <w:trPr>
          <w:trHeight w:val="286"/>
        </w:trPr>
        <w:tc>
          <w:tcPr>
            <w:tcW w:w="9810" w:type="dxa"/>
            <w:shd w:val="clear" w:color="auto" w:fill="D9D9D9" w:themeFill="background1" w:themeFillShade="D9"/>
          </w:tcPr>
          <w:p w14:paraId="666F0545" w14:textId="32EACDE8" w:rsidR="003D636E" w:rsidRPr="005909A5" w:rsidRDefault="00D92C9E" w:rsidP="00A877FD">
            <w:pPr>
              <w:spacing w:line="276" w:lineRule="auto"/>
              <w:ind w:firstLine="709"/>
              <w:jc w:val="both"/>
              <w:rPr>
                <w:rFonts w:ascii="Times New Roman" w:hAnsi="Times New Roman" w:cs="Times New Roman"/>
                <w:b/>
                <w:bCs/>
                <w:sz w:val="24"/>
                <w:szCs w:val="24"/>
                <w:lang w:val="ro-RO"/>
              </w:rPr>
            </w:pPr>
            <w:r w:rsidRPr="005909A5">
              <w:rPr>
                <w:rFonts w:ascii="Times New Roman" w:hAnsi="Times New Roman" w:cs="Times New Roman"/>
                <w:b/>
                <w:bCs/>
                <w:sz w:val="24"/>
                <w:szCs w:val="24"/>
                <w:lang w:val="ro-RO"/>
              </w:rPr>
              <w:t>4</w:t>
            </w:r>
            <w:r w:rsidR="003D636E" w:rsidRPr="005909A5">
              <w:rPr>
                <w:rFonts w:ascii="Times New Roman" w:hAnsi="Times New Roman" w:cs="Times New Roman"/>
                <w:b/>
                <w:bCs/>
                <w:sz w:val="24"/>
                <w:szCs w:val="24"/>
                <w:lang w:val="ro-RO"/>
              </w:rPr>
              <w:t>. Principalele prevederi ale proiectului și evidențierea elementelor noi</w:t>
            </w:r>
          </w:p>
        </w:tc>
      </w:tr>
      <w:tr w:rsidR="003D636E" w:rsidRPr="005909A5" w14:paraId="4B1C8F1C" w14:textId="77777777" w:rsidTr="00A877FD">
        <w:tc>
          <w:tcPr>
            <w:tcW w:w="9810" w:type="dxa"/>
          </w:tcPr>
          <w:p w14:paraId="4E0CEC97" w14:textId="4C94B99B" w:rsidR="008C6DA1" w:rsidRPr="005909A5" w:rsidRDefault="008C6DA1" w:rsidP="00A877FD">
            <w:pPr>
              <w:spacing w:line="276" w:lineRule="auto"/>
              <w:ind w:firstLine="709"/>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Astfel, în condițiile </w:t>
            </w:r>
            <w:r w:rsidR="000608DF" w:rsidRPr="005909A5">
              <w:rPr>
                <w:rFonts w:ascii="Times New Roman" w:hAnsi="Times New Roman" w:cs="Times New Roman"/>
                <w:bCs/>
                <w:sz w:val="24"/>
                <w:szCs w:val="24"/>
                <w:lang w:val="ro-RO"/>
              </w:rPr>
              <w:t>provocărilor cu care se confruntă instituțiile de învățământ super</w:t>
            </w:r>
            <w:r w:rsidRPr="005909A5">
              <w:rPr>
                <w:rFonts w:ascii="Times New Roman" w:hAnsi="Times New Roman" w:cs="Times New Roman"/>
                <w:bCs/>
                <w:sz w:val="24"/>
                <w:szCs w:val="24"/>
                <w:lang w:val="ro-RO"/>
              </w:rPr>
              <w:t>ior publice referitor</w:t>
            </w:r>
            <w:r w:rsidR="000608DF" w:rsidRPr="005909A5">
              <w:rPr>
                <w:rFonts w:ascii="Times New Roman" w:hAnsi="Times New Roman" w:cs="Times New Roman"/>
                <w:bCs/>
                <w:sz w:val="24"/>
                <w:szCs w:val="24"/>
                <w:lang w:val="ro-RO"/>
              </w:rPr>
              <w:t xml:space="preserve"> la guvernanța universitară, finanțare, relevanța programelor de studiu pentru piața muncii și infrastructura instituțională supradimensionată (scăderea numărului anual de studenți;</w:t>
            </w:r>
            <w:r w:rsidRPr="005909A5">
              <w:rPr>
                <w:rFonts w:ascii="Times New Roman" w:hAnsi="Times New Roman" w:cs="Times New Roman"/>
                <w:bCs/>
                <w:sz w:val="24"/>
                <w:szCs w:val="24"/>
                <w:lang w:val="ro-RO"/>
              </w:rPr>
              <w:t xml:space="preserve"> </w:t>
            </w:r>
            <w:r w:rsidR="000608DF" w:rsidRPr="005909A5">
              <w:rPr>
                <w:rFonts w:ascii="Times New Roman" w:hAnsi="Times New Roman" w:cs="Times New Roman"/>
                <w:bCs/>
                <w:sz w:val="24"/>
                <w:szCs w:val="24"/>
                <w:lang w:val="ro-RO"/>
              </w:rPr>
              <w:t xml:space="preserve">exodul de cadre didactice și </w:t>
            </w:r>
            <w:proofErr w:type="spellStart"/>
            <w:r w:rsidR="000608DF" w:rsidRPr="005909A5">
              <w:rPr>
                <w:rFonts w:ascii="Times New Roman" w:hAnsi="Times New Roman" w:cs="Times New Roman"/>
                <w:bCs/>
                <w:sz w:val="24"/>
                <w:szCs w:val="24"/>
                <w:lang w:val="ro-RO"/>
              </w:rPr>
              <w:t>științifico</w:t>
            </w:r>
            <w:proofErr w:type="spellEnd"/>
            <w:r w:rsidR="000608DF" w:rsidRPr="005909A5">
              <w:rPr>
                <w:rFonts w:ascii="Times New Roman" w:hAnsi="Times New Roman" w:cs="Times New Roman"/>
                <w:bCs/>
                <w:sz w:val="24"/>
                <w:szCs w:val="24"/>
                <w:lang w:val="ro-RO"/>
              </w:rPr>
              <w:t>-didactice;</w:t>
            </w:r>
            <w:r w:rsidRPr="005909A5">
              <w:rPr>
                <w:rFonts w:ascii="Times New Roman" w:hAnsi="Times New Roman" w:cs="Times New Roman"/>
                <w:bCs/>
                <w:sz w:val="24"/>
                <w:szCs w:val="24"/>
                <w:lang w:val="ro-RO"/>
              </w:rPr>
              <w:t xml:space="preserve"> </w:t>
            </w:r>
            <w:r w:rsidR="000608DF" w:rsidRPr="005909A5">
              <w:rPr>
                <w:rFonts w:ascii="Times New Roman" w:hAnsi="Times New Roman" w:cs="Times New Roman"/>
                <w:bCs/>
                <w:sz w:val="24"/>
                <w:szCs w:val="24"/>
                <w:lang w:val="ro-RO"/>
              </w:rPr>
              <w:t>subfinanțarea sectorului la general și alocarea nerațională a resurselor financiare per instituție;</w:t>
            </w:r>
            <w:r w:rsidRPr="005909A5">
              <w:rPr>
                <w:rFonts w:ascii="Times New Roman" w:hAnsi="Times New Roman" w:cs="Times New Roman"/>
                <w:bCs/>
                <w:sz w:val="24"/>
                <w:szCs w:val="24"/>
                <w:lang w:val="ro-RO"/>
              </w:rPr>
              <w:t xml:space="preserve"> </w:t>
            </w:r>
            <w:r w:rsidR="000608DF" w:rsidRPr="005909A5">
              <w:rPr>
                <w:rFonts w:ascii="Times New Roman" w:hAnsi="Times New Roman" w:cs="Times New Roman"/>
                <w:bCs/>
                <w:sz w:val="24"/>
                <w:szCs w:val="24"/>
                <w:lang w:val="ro-RO"/>
              </w:rPr>
              <w:t xml:space="preserve">neasigurarea respectării </w:t>
            </w:r>
            <w:r w:rsidRPr="005909A5">
              <w:rPr>
                <w:rFonts w:ascii="Times New Roman" w:hAnsi="Times New Roman" w:cs="Times New Roman"/>
                <w:bCs/>
                <w:sz w:val="24"/>
                <w:szCs w:val="24"/>
                <w:lang w:val="ro-RO"/>
              </w:rPr>
              <w:t>obligațiilor</w:t>
            </w:r>
            <w:r w:rsidR="000608DF" w:rsidRPr="005909A5">
              <w:rPr>
                <w:rFonts w:ascii="Times New Roman" w:hAnsi="Times New Roman" w:cs="Times New Roman"/>
                <w:bCs/>
                <w:sz w:val="24"/>
                <w:szCs w:val="24"/>
                <w:lang w:val="ro-RO"/>
              </w:rPr>
              <w:t xml:space="preserve"> ce derivă din principiul de responsabilitate publică de către managementul unor instituții de învățământ superior</w:t>
            </w:r>
            <w:r w:rsidRPr="005909A5">
              <w:rPr>
                <w:rFonts w:ascii="Times New Roman" w:hAnsi="Times New Roman" w:cs="Times New Roman"/>
                <w:bCs/>
                <w:sz w:val="24"/>
                <w:szCs w:val="24"/>
                <w:lang w:val="ro-RO"/>
              </w:rPr>
              <w:t xml:space="preserve"> etc.), Ministerul Educației și Cercetării vi</w:t>
            </w:r>
            <w:r w:rsidR="00D55C61" w:rsidRPr="005909A5">
              <w:rPr>
                <w:rFonts w:ascii="Times New Roman" w:hAnsi="Times New Roman" w:cs="Times New Roman"/>
                <w:bCs/>
                <w:sz w:val="24"/>
                <w:szCs w:val="24"/>
                <w:lang w:val="ro-RO"/>
              </w:rPr>
              <w:t>ne cu un proiect de consolidare a rețelei universitare</w:t>
            </w:r>
            <w:r w:rsidRPr="005909A5">
              <w:rPr>
                <w:rFonts w:ascii="Times New Roman" w:hAnsi="Times New Roman" w:cs="Times New Roman"/>
                <w:bCs/>
                <w:sz w:val="24"/>
                <w:szCs w:val="24"/>
                <w:lang w:val="ro-RO"/>
              </w:rPr>
              <w:t xml:space="preserve"> si anume de fuzionare a Universității de Stat din Moldova prin absorbția Universității de Stat de Educație Fizică și Sport.</w:t>
            </w:r>
          </w:p>
          <w:p w14:paraId="1DEA165F" w14:textId="49BBE33B" w:rsidR="008C6DA1" w:rsidRPr="005909A5" w:rsidRDefault="008C6DA1" w:rsidP="00A877FD">
            <w:pPr>
              <w:spacing w:line="276" w:lineRule="auto"/>
              <w:ind w:firstLine="709"/>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Proiectul de hotărâre de Guvern se înscrie </w:t>
            </w:r>
            <w:r w:rsidR="00D55C61" w:rsidRPr="005909A5">
              <w:rPr>
                <w:rFonts w:ascii="Times New Roman" w:hAnsi="Times New Roman" w:cs="Times New Roman"/>
                <w:bCs/>
                <w:sz w:val="24"/>
                <w:szCs w:val="24"/>
                <w:lang w:val="ro-RO"/>
              </w:rPr>
              <w:t>în programul MEC de</w:t>
            </w:r>
            <w:r w:rsidRPr="005909A5">
              <w:rPr>
                <w:rFonts w:ascii="Times New Roman" w:hAnsi="Times New Roman" w:cs="Times New Roman"/>
                <w:bCs/>
                <w:sz w:val="24"/>
                <w:szCs w:val="24"/>
                <w:lang w:val="ro-RO"/>
              </w:rPr>
              <w:t xml:space="preserve"> restructurare și modernizare a instituțiilor de învățământ superior. Lipsa intervențiilor la nivel de sector, adică nerealizarea reformei propuse de către Guvern, va conduce la distrugerea întregului sector de învățământ superior, din cauza următorilor factori:</w:t>
            </w:r>
          </w:p>
          <w:p w14:paraId="3868F88E" w14:textId="4C36C62C" w:rsidR="008C6DA1" w:rsidRPr="005909A5" w:rsidRDefault="008C6DA1" w:rsidP="00A877FD">
            <w:pPr>
              <w:pStyle w:val="ListParagraph"/>
              <w:numPr>
                <w:ilvl w:val="0"/>
                <w:numId w:val="11"/>
              </w:numPr>
              <w:spacing w:line="276" w:lineRule="auto"/>
              <w:ind w:left="0" w:firstLine="0"/>
              <w:jc w:val="both"/>
              <w:rPr>
                <w:rFonts w:ascii="Times New Roman" w:hAnsi="Times New Roman" w:cs="Times New Roman"/>
                <w:bCs/>
                <w:sz w:val="24"/>
                <w:szCs w:val="24"/>
                <w:lang w:val="ro-RO"/>
              </w:rPr>
            </w:pPr>
            <w:r w:rsidRPr="005909A5">
              <w:rPr>
                <w:rFonts w:ascii="Times New Roman" w:hAnsi="Times New Roman" w:cs="Times New Roman"/>
                <w:b/>
                <w:bCs/>
                <w:sz w:val="24"/>
                <w:szCs w:val="24"/>
                <w:lang w:val="ro-RO"/>
              </w:rPr>
              <w:t>Concurența neloială</w:t>
            </w:r>
            <w:r w:rsidRPr="005909A5">
              <w:rPr>
                <w:rFonts w:ascii="Times New Roman" w:hAnsi="Times New Roman" w:cs="Times New Roman"/>
                <w:bCs/>
                <w:sz w:val="24"/>
                <w:szCs w:val="24"/>
                <w:lang w:val="ro-RO"/>
              </w:rPr>
              <w:t xml:space="preserve"> între instituții relativ puternice și cele neperformante;</w:t>
            </w:r>
          </w:p>
          <w:p w14:paraId="3DA29E98" w14:textId="40D69FB6" w:rsidR="00D55C61" w:rsidRPr="005909A5" w:rsidRDefault="00D55C61" w:rsidP="00A877FD">
            <w:pPr>
              <w:pStyle w:val="ListParagraph"/>
              <w:numPr>
                <w:ilvl w:val="0"/>
                <w:numId w:val="11"/>
              </w:numPr>
              <w:spacing w:line="276" w:lineRule="auto"/>
              <w:ind w:left="0" w:firstLine="0"/>
              <w:jc w:val="both"/>
              <w:rPr>
                <w:rFonts w:ascii="Times New Roman" w:hAnsi="Times New Roman" w:cs="Times New Roman"/>
                <w:bCs/>
                <w:sz w:val="24"/>
                <w:szCs w:val="24"/>
                <w:lang w:val="ro-MD"/>
              </w:rPr>
            </w:pPr>
            <w:r w:rsidRPr="005909A5">
              <w:rPr>
                <w:rFonts w:ascii="Times New Roman" w:hAnsi="Times New Roman" w:cs="Times New Roman"/>
                <w:bCs/>
                <w:sz w:val="24"/>
                <w:szCs w:val="24"/>
                <w:lang w:val="ro-RO"/>
              </w:rPr>
              <w:t xml:space="preserve">Înmatricularea </w:t>
            </w:r>
            <w:r w:rsidRPr="005909A5">
              <w:rPr>
                <w:rFonts w:ascii="Times New Roman" w:hAnsi="Times New Roman" w:cs="Times New Roman"/>
                <w:b/>
                <w:bCs/>
                <w:sz w:val="24"/>
                <w:szCs w:val="24"/>
                <w:lang w:val="ro-RO"/>
              </w:rPr>
              <w:t xml:space="preserve">tuturor </w:t>
            </w:r>
            <w:r w:rsidRPr="005909A5">
              <w:rPr>
                <w:rFonts w:ascii="Times New Roman" w:hAnsi="Times New Roman" w:cs="Times New Roman"/>
                <w:bCs/>
                <w:sz w:val="24"/>
                <w:szCs w:val="24"/>
                <w:lang w:val="ro-RO"/>
              </w:rPr>
              <w:t>candidaților la studii (numărul cărora scade continuu), fără a desfășura concursuri autentice, în rezultat, avem studenți admiși cu note de 5-6, chiar la specialitățile prestigioase;</w:t>
            </w:r>
          </w:p>
          <w:p w14:paraId="2E142259" w14:textId="54EA168E" w:rsidR="008C6DA1" w:rsidRPr="005909A5" w:rsidRDefault="008C6DA1" w:rsidP="00A877FD">
            <w:pPr>
              <w:pStyle w:val="ListParagraph"/>
              <w:numPr>
                <w:ilvl w:val="0"/>
                <w:numId w:val="11"/>
              </w:numPr>
              <w:spacing w:line="276" w:lineRule="auto"/>
              <w:ind w:left="0" w:firstLine="0"/>
              <w:jc w:val="both"/>
              <w:rPr>
                <w:rFonts w:ascii="Times New Roman" w:hAnsi="Times New Roman" w:cs="Times New Roman"/>
                <w:bCs/>
                <w:sz w:val="24"/>
                <w:szCs w:val="24"/>
                <w:lang w:val="ro-RO"/>
              </w:rPr>
            </w:pPr>
            <w:r w:rsidRPr="005909A5">
              <w:rPr>
                <w:rFonts w:ascii="Times New Roman" w:hAnsi="Times New Roman" w:cs="Times New Roman"/>
                <w:b/>
                <w:bCs/>
                <w:sz w:val="24"/>
                <w:szCs w:val="24"/>
                <w:lang w:val="ro-RO"/>
              </w:rPr>
              <w:t>Inechitate în alocarea fondurilor publice</w:t>
            </w:r>
            <w:r w:rsidRPr="005909A5">
              <w:rPr>
                <w:rFonts w:ascii="Times New Roman" w:hAnsi="Times New Roman" w:cs="Times New Roman"/>
                <w:bCs/>
                <w:sz w:val="24"/>
                <w:szCs w:val="24"/>
                <w:lang w:val="ro-RO"/>
              </w:rPr>
              <w:t>;</w:t>
            </w:r>
          </w:p>
          <w:p w14:paraId="5576841A" w14:textId="5847AF89" w:rsidR="008C6DA1" w:rsidRPr="005909A5" w:rsidRDefault="008C6DA1" w:rsidP="00A877FD">
            <w:pPr>
              <w:pStyle w:val="ListParagraph"/>
              <w:numPr>
                <w:ilvl w:val="0"/>
                <w:numId w:val="11"/>
              </w:numPr>
              <w:spacing w:line="276" w:lineRule="auto"/>
              <w:ind w:left="0" w:firstLine="0"/>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Efectuarea unor </w:t>
            </w:r>
            <w:r w:rsidRPr="005909A5">
              <w:rPr>
                <w:rFonts w:ascii="Times New Roman" w:hAnsi="Times New Roman" w:cs="Times New Roman"/>
                <w:b/>
                <w:bCs/>
                <w:sz w:val="24"/>
                <w:szCs w:val="24"/>
                <w:lang w:val="ro-RO"/>
              </w:rPr>
              <w:t>cheltuieli</w:t>
            </w:r>
            <w:r w:rsidRPr="005909A5">
              <w:rPr>
                <w:rFonts w:ascii="Times New Roman" w:hAnsi="Times New Roman" w:cs="Times New Roman"/>
                <w:bCs/>
                <w:sz w:val="24"/>
                <w:szCs w:val="24"/>
                <w:lang w:val="ro-RO"/>
              </w:rPr>
              <w:t xml:space="preserve"> din bugetul de stat </w:t>
            </w:r>
            <w:r w:rsidRPr="005909A5">
              <w:rPr>
                <w:rFonts w:ascii="Times New Roman" w:hAnsi="Times New Roman" w:cs="Times New Roman"/>
                <w:b/>
                <w:bCs/>
                <w:sz w:val="24"/>
                <w:szCs w:val="24"/>
                <w:lang w:val="ro-RO"/>
              </w:rPr>
              <w:t>nejustificate</w:t>
            </w:r>
            <w:r w:rsidRPr="005909A5">
              <w:rPr>
                <w:rFonts w:ascii="Times New Roman" w:hAnsi="Times New Roman" w:cs="Times New Roman"/>
                <w:bCs/>
                <w:sz w:val="24"/>
                <w:szCs w:val="24"/>
                <w:lang w:val="ro-RO"/>
              </w:rPr>
              <w:t>;</w:t>
            </w:r>
          </w:p>
          <w:p w14:paraId="3EB6B622" w14:textId="5125F31C" w:rsidR="008C6DA1" w:rsidRPr="005909A5" w:rsidRDefault="008C6DA1" w:rsidP="00A877FD">
            <w:pPr>
              <w:pStyle w:val="ListParagraph"/>
              <w:numPr>
                <w:ilvl w:val="0"/>
                <w:numId w:val="11"/>
              </w:numPr>
              <w:spacing w:line="276" w:lineRule="auto"/>
              <w:ind w:left="0" w:firstLine="0"/>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Programe de studii </w:t>
            </w:r>
            <w:r w:rsidRPr="005909A5">
              <w:rPr>
                <w:rFonts w:ascii="Times New Roman" w:hAnsi="Times New Roman" w:cs="Times New Roman"/>
                <w:b/>
                <w:bCs/>
                <w:sz w:val="24"/>
                <w:szCs w:val="24"/>
                <w:lang w:val="ro-RO"/>
              </w:rPr>
              <w:t>fără accent pe calitate</w:t>
            </w:r>
            <w:r w:rsidRPr="005909A5">
              <w:rPr>
                <w:rFonts w:ascii="Times New Roman" w:hAnsi="Times New Roman" w:cs="Times New Roman"/>
                <w:bCs/>
                <w:sz w:val="24"/>
                <w:szCs w:val="24"/>
                <w:lang w:val="ro-RO"/>
              </w:rPr>
              <w:t>, care nu reușesc să pregătească specialiști relevanți pentru cerințele actuale ale pieței muncii;</w:t>
            </w:r>
          </w:p>
          <w:p w14:paraId="02760448" w14:textId="6EE9DDFC" w:rsidR="008C6DA1" w:rsidRPr="005909A5" w:rsidRDefault="008C6DA1" w:rsidP="00A877FD">
            <w:pPr>
              <w:pStyle w:val="ListParagraph"/>
              <w:numPr>
                <w:ilvl w:val="0"/>
                <w:numId w:val="11"/>
              </w:numPr>
              <w:spacing w:line="276" w:lineRule="auto"/>
              <w:ind w:left="0" w:firstLine="0"/>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Activitate de </w:t>
            </w:r>
            <w:r w:rsidRPr="005909A5">
              <w:rPr>
                <w:rFonts w:ascii="Times New Roman" w:hAnsi="Times New Roman" w:cs="Times New Roman"/>
                <w:b/>
                <w:bCs/>
                <w:sz w:val="24"/>
                <w:szCs w:val="24"/>
                <w:lang w:val="ro-RO"/>
              </w:rPr>
              <w:t>cercetare neperformantă</w:t>
            </w:r>
            <w:r w:rsidRPr="005909A5">
              <w:rPr>
                <w:rFonts w:ascii="Times New Roman" w:hAnsi="Times New Roman" w:cs="Times New Roman"/>
                <w:bCs/>
                <w:sz w:val="24"/>
                <w:szCs w:val="24"/>
                <w:lang w:val="ro-RO"/>
              </w:rPr>
              <w:t xml:space="preserve"> </w:t>
            </w:r>
            <w:r w:rsidR="00D55C61" w:rsidRPr="005909A5">
              <w:rPr>
                <w:rFonts w:ascii="Times New Roman" w:hAnsi="Times New Roman" w:cs="Times New Roman"/>
                <w:bCs/>
                <w:sz w:val="24"/>
                <w:szCs w:val="24"/>
                <w:lang w:val="ro-RO"/>
              </w:rPr>
              <w:t>(doar ”pe hârtie”),</w:t>
            </w:r>
            <w:r w:rsidRPr="005909A5">
              <w:rPr>
                <w:rFonts w:ascii="Times New Roman" w:hAnsi="Times New Roman" w:cs="Times New Roman"/>
                <w:bCs/>
                <w:sz w:val="24"/>
                <w:szCs w:val="24"/>
                <w:lang w:val="ro-RO"/>
              </w:rPr>
              <w:t xml:space="preserve"> care nu aduce plus valoare economiei naționale;</w:t>
            </w:r>
          </w:p>
          <w:p w14:paraId="371F1B50" w14:textId="3ECA13A8" w:rsidR="008C6DA1" w:rsidRPr="00EB6ACF" w:rsidRDefault="008C6DA1" w:rsidP="00A877FD">
            <w:pPr>
              <w:pStyle w:val="ListParagraph"/>
              <w:numPr>
                <w:ilvl w:val="0"/>
                <w:numId w:val="11"/>
              </w:numPr>
              <w:spacing w:line="276" w:lineRule="auto"/>
              <w:ind w:left="0" w:firstLine="0"/>
              <w:jc w:val="both"/>
              <w:rPr>
                <w:rFonts w:ascii="Times New Roman" w:hAnsi="Times New Roman" w:cs="Times New Roman"/>
                <w:bCs/>
                <w:sz w:val="24"/>
                <w:szCs w:val="24"/>
                <w:lang w:val="ru-RU"/>
              </w:rPr>
            </w:pPr>
            <w:r w:rsidRPr="005909A5">
              <w:rPr>
                <w:rFonts w:ascii="Times New Roman" w:hAnsi="Times New Roman" w:cs="Times New Roman"/>
                <w:bCs/>
                <w:sz w:val="24"/>
                <w:szCs w:val="24"/>
                <w:lang w:val="ro-RO"/>
              </w:rPr>
              <w:t>Exodul capitalului uman din sistem și din țară etc.</w:t>
            </w:r>
          </w:p>
          <w:p w14:paraId="630AB922" w14:textId="77777777" w:rsidR="00A877FD" w:rsidRDefault="00A877FD" w:rsidP="00A877FD">
            <w:pPr>
              <w:spacing w:line="276" w:lineRule="auto"/>
              <w:ind w:firstLine="709"/>
              <w:jc w:val="both"/>
              <w:rPr>
                <w:rFonts w:ascii="Times New Roman" w:hAnsi="Times New Roman" w:cs="Times New Roman"/>
                <w:bCs/>
                <w:sz w:val="24"/>
                <w:szCs w:val="24"/>
                <w:lang w:val="ro-RO"/>
              </w:rPr>
            </w:pPr>
          </w:p>
          <w:p w14:paraId="52B39ECB" w14:textId="3A9837B3" w:rsidR="00A83239" w:rsidRPr="005909A5" w:rsidRDefault="00A83239" w:rsidP="00A877FD">
            <w:pPr>
              <w:spacing w:line="276" w:lineRule="auto"/>
              <w:ind w:firstLine="709"/>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În scopul organizării și asigurării funcționării învățământului superior, Codul Educației prin art.82 alin.(2), cu modificările ulterioare, prevede dreptul înființării, reorganizării și lichidării de către Guvern la inițiativa fondatorului a Instituțiilor de învățământ superior. </w:t>
            </w:r>
          </w:p>
          <w:p w14:paraId="49EF5727" w14:textId="77777777" w:rsidR="00A877FD" w:rsidRDefault="00A83239" w:rsidP="00A877FD">
            <w:pPr>
              <w:spacing w:line="276" w:lineRule="auto"/>
              <w:ind w:firstLine="709"/>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Modalitățile și procedura de reorganizare prin fuziune (absorbție) a persoanelor juridice sunt reglementate de art. 208-213 din Codul Civil al Republicii Moldova nr.1107 din 06.06.2002, cu modificările ulterioare, iar aplicarea acestora se face ținând cont de prevederile art.174 alin.(4) din Cod. Angajarea prin transfer a salariaților instituțiilor fuzionate se efectuează în conformitate cu prevederile Codului Muncii al Republicii Moldova nr.154 din 28.03.2003 cu modificările ulterioare.</w:t>
            </w:r>
          </w:p>
          <w:p w14:paraId="2D6D47DC" w14:textId="77777777" w:rsidR="00A877FD" w:rsidRDefault="00A877FD" w:rsidP="00A877FD">
            <w:pPr>
              <w:spacing w:line="276" w:lineRule="auto"/>
              <w:ind w:firstLine="709"/>
              <w:jc w:val="both"/>
              <w:rPr>
                <w:rFonts w:ascii="Times New Roman" w:hAnsi="Times New Roman" w:cs="Times New Roman"/>
                <w:bCs/>
                <w:sz w:val="24"/>
                <w:szCs w:val="24"/>
                <w:lang w:val="ro-RO"/>
              </w:rPr>
            </w:pPr>
          </w:p>
          <w:p w14:paraId="08243B1B" w14:textId="7DEF5E89" w:rsidR="00A83239" w:rsidRPr="005909A5" w:rsidRDefault="005909A5" w:rsidP="00A877FD">
            <w:pPr>
              <w:spacing w:line="276" w:lineRule="auto"/>
              <w:ind w:firstLine="709"/>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Având în vedere </w:t>
            </w:r>
            <w:r w:rsidRPr="005909A5">
              <w:rPr>
                <w:rFonts w:ascii="Times New Roman" w:hAnsi="Times New Roman" w:cs="Times New Roman"/>
                <w:b/>
                <w:bCs/>
                <w:sz w:val="24"/>
                <w:szCs w:val="24"/>
                <w:lang w:val="ro-RO"/>
              </w:rPr>
              <w:t>numărul descrescând de candidați la admitere</w:t>
            </w:r>
            <w:r w:rsidRPr="005909A5">
              <w:rPr>
                <w:rFonts w:ascii="Times New Roman" w:hAnsi="Times New Roman" w:cs="Times New Roman"/>
                <w:bCs/>
                <w:sz w:val="24"/>
                <w:szCs w:val="24"/>
                <w:lang w:val="ro-RO"/>
              </w:rPr>
              <w:t>, dar</w:t>
            </w:r>
            <w:r>
              <w:rPr>
                <w:rFonts w:ascii="Times New Roman" w:hAnsi="Times New Roman" w:cs="Times New Roman"/>
                <w:b/>
                <w:bCs/>
                <w:sz w:val="24"/>
                <w:szCs w:val="24"/>
                <w:lang w:val="ro-RO"/>
              </w:rPr>
              <w:t xml:space="preserve"> </w:t>
            </w:r>
            <w:r w:rsidRPr="005909A5">
              <w:rPr>
                <w:rFonts w:ascii="Times New Roman" w:hAnsi="Times New Roman" w:cs="Times New Roman"/>
                <w:b/>
                <w:bCs/>
                <w:sz w:val="24"/>
                <w:szCs w:val="24"/>
                <w:lang w:val="ro-RO"/>
              </w:rPr>
              <w:t>numărul de locuri bugetare limitat</w:t>
            </w:r>
            <w:r w:rsidRPr="005909A5">
              <w:rPr>
                <w:rFonts w:ascii="Times New Roman" w:hAnsi="Times New Roman" w:cs="Times New Roman"/>
                <w:bCs/>
                <w:sz w:val="24"/>
                <w:szCs w:val="24"/>
                <w:lang w:val="ro-RO"/>
              </w:rPr>
              <w:t>, numărul m</w:t>
            </w:r>
            <w:r>
              <w:rPr>
                <w:rFonts w:ascii="Times New Roman" w:hAnsi="Times New Roman" w:cs="Times New Roman"/>
                <w:bCs/>
                <w:sz w:val="24"/>
                <w:szCs w:val="24"/>
                <w:lang w:val="ro-RO"/>
              </w:rPr>
              <w:t>are de universități publice</w:t>
            </w:r>
            <w:r w:rsidRPr="005909A5">
              <w:rPr>
                <w:rFonts w:ascii="Times New Roman" w:hAnsi="Times New Roman" w:cs="Times New Roman"/>
                <w:bCs/>
                <w:sz w:val="24"/>
                <w:szCs w:val="24"/>
                <w:lang w:val="ro-RO"/>
              </w:rPr>
              <w:t xml:space="preserve"> și competiția acerbă și neloială pentru fiecare candidat</w:t>
            </w:r>
            <w:r w:rsidR="00A83239" w:rsidRPr="005909A5">
              <w:rPr>
                <w:rFonts w:ascii="Times New Roman" w:hAnsi="Times New Roman" w:cs="Times New Roman"/>
                <w:bCs/>
                <w:sz w:val="24"/>
                <w:szCs w:val="24"/>
                <w:lang w:val="ro-RO"/>
              </w:rPr>
              <w:t xml:space="preserve">, proiectul de HG </w:t>
            </w:r>
            <w:r w:rsidRPr="005909A5">
              <w:rPr>
                <w:rFonts w:ascii="Times New Roman" w:hAnsi="Times New Roman" w:cs="Times New Roman"/>
                <w:bCs/>
                <w:sz w:val="24"/>
                <w:szCs w:val="24"/>
                <w:lang w:val="ro-RO"/>
              </w:rPr>
              <w:t xml:space="preserve">are următoarele </w:t>
            </w:r>
            <w:r w:rsidRPr="005909A5">
              <w:rPr>
                <w:rFonts w:ascii="Times New Roman" w:hAnsi="Times New Roman" w:cs="Times New Roman"/>
                <w:b/>
                <w:bCs/>
                <w:sz w:val="24"/>
                <w:szCs w:val="24"/>
                <w:lang w:val="ro-RO"/>
              </w:rPr>
              <w:t>obiective majore</w:t>
            </w:r>
            <w:r w:rsidR="00A83239" w:rsidRPr="005909A5">
              <w:rPr>
                <w:rFonts w:ascii="Times New Roman" w:hAnsi="Times New Roman" w:cs="Times New Roman"/>
                <w:b/>
                <w:bCs/>
                <w:sz w:val="24"/>
                <w:szCs w:val="24"/>
                <w:lang w:val="ro-RO"/>
              </w:rPr>
              <w:t>:</w:t>
            </w:r>
          </w:p>
          <w:p w14:paraId="5C62FF42" w14:textId="4F9A57DF" w:rsidR="008B1D23" w:rsidRPr="005909A5" w:rsidRDefault="00A83239" w:rsidP="00A877FD">
            <w:pPr>
              <w:pStyle w:val="ListParagraph"/>
              <w:numPr>
                <w:ilvl w:val="0"/>
                <w:numId w:val="14"/>
              </w:numPr>
              <w:spacing w:line="276" w:lineRule="auto"/>
              <w:ind w:left="0" w:firstLine="709"/>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lastRenderedPageBreak/>
              <w:t xml:space="preserve">Consolidarea rețelei de universități prin </w:t>
            </w:r>
            <w:r w:rsidRPr="005909A5">
              <w:rPr>
                <w:rFonts w:ascii="Times New Roman" w:hAnsi="Times New Roman" w:cs="Times New Roman"/>
                <w:b/>
                <w:bCs/>
                <w:sz w:val="24"/>
                <w:szCs w:val="24"/>
                <w:lang w:val="ro-RO"/>
              </w:rPr>
              <w:t>absorbția unei universități mici de către una mare, clasică</w:t>
            </w:r>
            <w:r w:rsidRPr="005909A5">
              <w:rPr>
                <w:rFonts w:ascii="Times New Roman" w:hAnsi="Times New Roman" w:cs="Times New Roman"/>
                <w:bCs/>
                <w:sz w:val="24"/>
                <w:szCs w:val="24"/>
                <w:lang w:val="ro-RO"/>
              </w:rPr>
              <w:t xml:space="preserve">, </w:t>
            </w:r>
            <w:r w:rsidR="005909A5" w:rsidRPr="005909A5">
              <w:rPr>
                <w:rFonts w:ascii="Times New Roman" w:hAnsi="Times New Roman" w:cs="Times New Roman"/>
                <w:bCs/>
                <w:sz w:val="24"/>
                <w:szCs w:val="24"/>
                <w:lang w:val="ro-RO"/>
              </w:rPr>
              <w:t xml:space="preserve">astfel </w:t>
            </w:r>
            <w:r w:rsidR="008B1D23" w:rsidRPr="005909A5">
              <w:rPr>
                <w:rFonts w:ascii="Times New Roman" w:eastAsia="Times New Roman" w:hAnsi="Times New Roman" w:cs="Times New Roman"/>
                <w:b/>
                <w:color w:val="050505"/>
                <w:sz w:val="24"/>
                <w:szCs w:val="24"/>
                <w:lang w:val="ro-MD"/>
              </w:rPr>
              <w:t>studenții</w:t>
            </w:r>
            <w:r w:rsidR="008B1D23" w:rsidRPr="005909A5">
              <w:rPr>
                <w:rFonts w:ascii="Times New Roman" w:eastAsia="Times New Roman" w:hAnsi="Times New Roman" w:cs="Times New Roman"/>
                <w:color w:val="050505"/>
                <w:sz w:val="24"/>
                <w:szCs w:val="24"/>
                <w:lang w:val="ro-MD"/>
              </w:rPr>
              <w:t xml:space="preserve">: </w:t>
            </w:r>
          </w:p>
          <w:p w14:paraId="678B0432" w14:textId="50671716" w:rsidR="008B1D23" w:rsidRPr="005909A5" w:rsidRDefault="008B1D23" w:rsidP="00A877FD">
            <w:pPr>
              <w:spacing w:line="276" w:lineRule="auto"/>
              <w:jc w:val="both"/>
              <w:rPr>
                <w:rFonts w:ascii="Times New Roman" w:hAnsi="Times New Roman" w:cs="Times New Roman"/>
                <w:bCs/>
                <w:sz w:val="24"/>
                <w:szCs w:val="24"/>
                <w:lang w:val="ro-RO"/>
              </w:rPr>
            </w:pPr>
            <w:r w:rsidRPr="005909A5">
              <w:rPr>
                <w:rFonts w:ascii="Times New Roman" w:eastAsia="Times New Roman" w:hAnsi="Times New Roman" w:cs="Times New Roman"/>
                <w:color w:val="050505"/>
                <w:sz w:val="24"/>
                <w:szCs w:val="24"/>
                <w:lang w:val="ro-MD"/>
              </w:rPr>
              <w:t xml:space="preserve">- vor obține o diplomă de la o instituție de învățământ superior </w:t>
            </w:r>
            <w:r w:rsidRPr="005909A5">
              <w:rPr>
                <w:rFonts w:ascii="Times New Roman" w:eastAsia="Times New Roman" w:hAnsi="Times New Roman" w:cs="Times New Roman"/>
                <w:b/>
                <w:color w:val="050505"/>
                <w:sz w:val="24"/>
                <w:szCs w:val="24"/>
                <w:lang w:val="ro-MD"/>
              </w:rPr>
              <w:t>performantă, mai puternică, cunoscută pe plan național și internațional</w:t>
            </w:r>
            <w:r w:rsidRPr="005909A5">
              <w:rPr>
                <w:rFonts w:ascii="Times New Roman" w:hAnsi="Times New Roman" w:cs="Times New Roman"/>
                <w:bCs/>
                <w:sz w:val="24"/>
                <w:szCs w:val="24"/>
                <w:lang w:val="ro-RO"/>
              </w:rPr>
              <w:t>;</w:t>
            </w:r>
          </w:p>
          <w:p w14:paraId="7C19A505" w14:textId="1DED7A04" w:rsidR="008B1D23" w:rsidRPr="005909A5" w:rsidRDefault="008B1D23" w:rsidP="00A877FD">
            <w:pPr>
              <w:spacing w:line="276" w:lineRule="auto"/>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 vor avea mai multe </w:t>
            </w:r>
            <w:r w:rsidRPr="005909A5">
              <w:rPr>
                <w:rFonts w:ascii="Times New Roman" w:hAnsi="Times New Roman" w:cs="Times New Roman"/>
                <w:b/>
                <w:bCs/>
                <w:sz w:val="24"/>
                <w:szCs w:val="24"/>
                <w:lang w:val="ro-RO"/>
              </w:rPr>
              <w:t>oportunități de alegere a cursurilor</w:t>
            </w:r>
            <w:r w:rsidRPr="005909A5">
              <w:rPr>
                <w:rFonts w:ascii="Times New Roman" w:hAnsi="Times New Roman" w:cs="Times New Roman"/>
                <w:bCs/>
                <w:sz w:val="24"/>
                <w:szCs w:val="24"/>
                <w:lang w:val="ro-RO"/>
              </w:rPr>
              <w:t xml:space="preserve"> și programelor de studii, pentru dezvoltarea lor profesională;</w:t>
            </w:r>
          </w:p>
          <w:p w14:paraId="16D39762" w14:textId="424F5110" w:rsidR="008B1D23" w:rsidRPr="005909A5" w:rsidRDefault="008B1D23" w:rsidP="00A877FD">
            <w:pPr>
              <w:spacing w:line="276" w:lineRule="auto"/>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 vor beneficia de </w:t>
            </w:r>
            <w:r w:rsidRPr="005909A5">
              <w:rPr>
                <w:rFonts w:ascii="Times New Roman" w:hAnsi="Times New Roman" w:cs="Times New Roman"/>
                <w:b/>
                <w:bCs/>
                <w:sz w:val="24"/>
                <w:szCs w:val="24"/>
                <w:lang w:val="ro-RO"/>
              </w:rPr>
              <w:t>mai multe facilități</w:t>
            </w:r>
            <w:r w:rsidRPr="005909A5">
              <w:rPr>
                <w:rFonts w:ascii="Times New Roman" w:hAnsi="Times New Roman" w:cs="Times New Roman"/>
                <w:bCs/>
                <w:sz w:val="24"/>
                <w:szCs w:val="24"/>
                <w:lang w:val="ro-RO"/>
              </w:rPr>
              <w:t>: laboratoare bine dotate cu echipamente moderne, cămine renovate, săli și terenuri de sport modernizate etc.</w:t>
            </w:r>
          </w:p>
          <w:p w14:paraId="3ACAC3DD" w14:textId="0B2F1CE8" w:rsidR="008B1D23" w:rsidRPr="005909A5" w:rsidRDefault="00A877FD" w:rsidP="00A877FD">
            <w:pPr>
              <w:spacing w:line="276" w:lineRule="auto"/>
              <w:jc w:val="both"/>
              <w:rPr>
                <w:rFonts w:ascii="Times New Roman" w:hAnsi="Times New Roman" w:cs="Times New Roman"/>
                <w:b/>
                <w:bCs/>
                <w:sz w:val="24"/>
                <w:szCs w:val="24"/>
                <w:lang w:val="ro-RO"/>
              </w:rPr>
            </w:pPr>
            <w:r>
              <w:rPr>
                <w:rFonts w:ascii="Times New Roman" w:hAnsi="Times New Roman" w:cs="Times New Roman"/>
                <w:bCs/>
                <w:sz w:val="24"/>
                <w:szCs w:val="24"/>
                <w:lang w:val="ro-RO"/>
              </w:rPr>
              <w:t xml:space="preserve">                  </w:t>
            </w:r>
            <w:r w:rsidR="008B1D23" w:rsidRPr="005909A5">
              <w:rPr>
                <w:rFonts w:ascii="Times New Roman" w:hAnsi="Times New Roman" w:cs="Times New Roman"/>
                <w:bCs/>
                <w:sz w:val="24"/>
                <w:szCs w:val="24"/>
                <w:lang w:val="ro-RO"/>
              </w:rPr>
              <w:t xml:space="preserve"> </w:t>
            </w:r>
            <w:r w:rsidR="005909A5" w:rsidRPr="005909A5">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      </w:t>
            </w:r>
            <w:r w:rsidR="005909A5" w:rsidRPr="005909A5">
              <w:rPr>
                <w:rFonts w:ascii="Times New Roman" w:hAnsi="Times New Roman" w:cs="Times New Roman"/>
                <w:bCs/>
                <w:sz w:val="24"/>
                <w:szCs w:val="24"/>
                <w:lang w:val="ro-RO"/>
              </w:rPr>
              <w:t xml:space="preserve"> </w:t>
            </w:r>
            <w:r w:rsidR="008B1D23" w:rsidRPr="005909A5">
              <w:rPr>
                <w:rFonts w:ascii="Times New Roman" w:hAnsi="Times New Roman" w:cs="Times New Roman"/>
                <w:bCs/>
                <w:sz w:val="24"/>
                <w:szCs w:val="24"/>
                <w:lang w:val="ro-RO"/>
              </w:rPr>
              <w:t xml:space="preserve">  </w:t>
            </w:r>
            <w:r w:rsidR="008B1D23" w:rsidRPr="005909A5">
              <w:rPr>
                <w:rFonts w:ascii="Times New Roman" w:hAnsi="Times New Roman" w:cs="Times New Roman"/>
                <w:b/>
                <w:bCs/>
                <w:sz w:val="24"/>
                <w:szCs w:val="24"/>
                <w:lang w:val="ro-RO"/>
              </w:rPr>
              <w:t>cadrele didactice:</w:t>
            </w:r>
          </w:p>
          <w:p w14:paraId="0FC8D4F9" w14:textId="1BCD9139" w:rsidR="008B1D23" w:rsidRPr="005909A5" w:rsidRDefault="001A1885" w:rsidP="00A877FD">
            <w:pPr>
              <w:spacing w:line="276" w:lineRule="auto"/>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v</w:t>
            </w:r>
            <w:r w:rsidR="008B1D23" w:rsidRPr="005909A5">
              <w:rPr>
                <w:rFonts w:ascii="Times New Roman" w:hAnsi="Times New Roman" w:cs="Times New Roman"/>
                <w:bCs/>
                <w:sz w:val="24"/>
                <w:szCs w:val="24"/>
                <w:lang w:val="ro-RO"/>
              </w:rPr>
              <w:t xml:space="preserve">or fi membri ai unei </w:t>
            </w:r>
            <w:r w:rsidR="008B1D23" w:rsidRPr="005909A5">
              <w:rPr>
                <w:rFonts w:ascii="Times New Roman" w:hAnsi="Times New Roman" w:cs="Times New Roman"/>
                <w:b/>
                <w:bCs/>
                <w:sz w:val="24"/>
                <w:szCs w:val="24"/>
                <w:lang w:val="ro-RO"/>
              </w:rPr>
              <w:t>comunități academice de elită</w:t>
            </w:r>
            <w:r w:rsidR="008B1D23" w:rsidRPr="005909A5">
              <w:rPr>
                <w:rFonts w:ascii="Times New Roman" w:hAnsi="Times New Roman" w:cs="Times New Roman"/>
                <w:bCs/>
                <w:sz w:val="24"/>
                <w:szCs w:val="24"/>
                <w:lang w:val="ro-RO"/>
              </w:rPr>
              <w:t>, mai bine clasată internațional, mai stabilă, mai puternică, dar și mai bine remunerată.</w:t>
            </w:r>
          </w:p>
          <w:p w14:paraId="269F0636" w14:textId="65166655" w:rsidR="008B1D23" w:rsidRPr="005909A5" w:rsidRDefault="001A1885" w:rsidP="00A877FD">
            <w:pPr>
              <w:spacing w:line="276" w:lineRule="auto"/>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v</w:t>
            </w:r>
            <w:r w:rsidR="008B1D23" w:rsidRPr="005909A5">
              <w:rPr>
                <w:rFonts w:ascii="Times New Roman" w:hAnsi="Times New Roman" w:cs="Times New Roman"/>
                <w:bCs/>
                <w:sz w:val="24"/>
                <w:szCs w:val="24"/>
                <w:lang w:val="ro-RO"/>
              </w:rPr>
              <w:t xml:space="preserve">or avea </w:t>
            </w:r>
            <w:r w:rsidR="008B1D23" w:rsidRPr="005909A5">
              <w:rPr>
                <w:rFonts w:ascii="Times New Roman" w:hAnsi="Times New Roman" w:cs="Times New Roman"/>
                <w:b/>
                <w:bCs/>
                <w:sz w:val="24"/>
                <w:szCs w:val="24"/>
                <w:lang w:val="ro-RO"/>
              </w:rPr>
              <w:t>acces mai liber la infrastructura</w:t>
            </w:r>
            <w:r w:rsidR="008B1D23" w:rsidRPr="005909A5">
              <w:rPr>
                <w:rFonts w:ascii="Times New Roman" w:hAnsi="Times New Roman" w:cs="Times New Roman"/>
                <w:bCs/>
                <w:sz w:val="24"/>
                <w:szCs w:val="24"/>
                <w:lang w:val="ro-RO"/>
              </w:rPr>
              <w:t xml:space="preserve"> de cercetare și la rezultatele cercetării.</w:t>
            </w:r>
          </w:p>
          <w:p w14:paraId="3DBE1079" w14:textId="4530EF43" w:rsidR="008B1D23" w:rsidRPr="005909A5" w:rsidRDefault="001A1885" w:rsidP="00A877FD">
            <w:pPr>
              <w:spacing w:line="276" w:lineRule="auto"/>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v</w:t>
            </w:r>
            <w:r w:rsidR="008B1D23" w:rsidRPr="005909A5">
              <w:rPr>
                <w:rFonts w:ascii="Times New Roman" w:hAnsi="Times New Roman" w:cs="Times New Roman"/>
                <w:bCs/>
                <w:sz w:val="24"/>
                <w:szCs w:val="24"/>
                <w:lang w:val="ro-RO"/>
              </w:rPr>
              <w:t>or beneficia de mai multe resurse pentru ameliorarea și modernizarea programelor de studii oferite.</w:t>
            </w:r>
          </w:p>
          <w:p w14:paraId="720AF072" w14:textId="1E454BA3" w:rsidR="008B1D23" w:rsidRPr="005909A5" w:rsidRDefault="001A1885" w:rsidP="00A877FD">
            <w:pPr>
              <w:spacing w:line="276" w:lineRule="auto"/>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v</w:t>
            </w:r>
            <w:r w:rsidR="008B1D23" w:rsidRPr="005909A5">
              <w:rPr>
                <w:rFonts w:ascii="Times New Roman" w:hAnsi="Times New Roman" w:cs="Times New Roman"/>
                <w:bCs/>
                <w:sz w:val="24"/>
                <w:szCs w:val="24"/>
                <w:lang w:val="ro-RO"/>
              </w:rPr>
              <w:t>or putea îmbina armonios activitate</w:t>
            </w:r>
            <w:r w:rsidRPr="005909A5">
              <w:rPr>
                <w:rFonts w:ascii="Times New Roman" w:hAnsi="Times New Roman" w:cs="Times New Roman"/>
                <w:bCs/>
                <w:sz w:val="24"/>
                <w:szCs w:val="24"/>
                <w:lang w:val="ro-RO"/>
              </w:rPr>
              <w:t>a didactică cu cea de cercetare etc.</w:t>
            </w:r>
          </w:p>
          <w:p w14:paraId="31F96370" w14:textId="77777777" w:rsidR="005909A5" w:rsidRDefault="001A1885" w:rsidP="00A877FD">
            <w:pPr>
              <w:spacing w:line="276" w:lineRule="auto"/>
              <w:ind w:firstLine="709"/>
              <w:jc w:val="both"/>
              <w:rPr>
                <w:rFonts w:ascii="Times New Roman" w:hAnsi="Times New Roman" w:cs="Times New Roman"/>
                <w:bCs/>
                <w:sz w:val="24"/>
                <w:szCs w:val="24"/>
                <w:lang w:val="ro-RO"/>
              </w:rPr>
            </w:pPr>
            <w:r w:rsidRPr="005909A5">
              <w:rPr>
                <w:rFonts w:ascii="Times New Roman" w:hAnsi="Times New Roman" w:cs="Times New Roman"/>
                <w:bCs/>
                <w:sz w:val="24"/>
                <w:szCs w:val="24"/>
                <w:lang w:val="ro-RO"/>
              </w:rPr>
              <w:t xml:space="preserve">2. </w:t>
            </w:r>
            <w:r w:rsidR="00A83239" w:rsidRPr="005909A5">
              <w:rPr>
                <w:rFonts w:ascii="Times New Roman" w:hAnsi="Times New Roman" w:cs="Times New Roman"/>
                <w:b/>
                <w:bCs/>
                <w:sz w:val="24"/>
                <w:szCs w:val="24"/>
                <w:lang w:val="ro-RO"/>
              </w:rPr>
              <w:t>Cheltuieli publice</w:t>
            </w:r>
            <w:r w:rsidR="00A83239" w:rsidRPr="005909A5">
              <w:rPr>
                <w:rFonts w:ascii="Times New Roman" w:hAnsi="Times New Roman" w:cs="Times New Roman"/>
                <w:bCs/>
                <w:sz w:val="24"/>
                <w:szCs w:val="24"/>
                <w:lang w:val="ro-RO"/>
              </w:rPr>
              <w:t xml:space="preserve"> în învățământul superior și cercetare, îndreptate spre </w:t>
            </w:r>
            <w:r w:rsidR="00A83239" w:rsidRPr="00A877FD">
              <w:rPr>
                <w:rFonts w:ascii="Times New Roman" w:hAnsi="Times New Roman" w:cs="Times New Roman"/>
                <w:b/>
                <w:bCs/>
                <w:sz w:val="24"/>
                <w:szCs w:val="24"/>
                <w:lang w:val="ro-RO"/>
              </w:rPr>
              <w:t>creșterea salariilor</w:t>
            </w:r>
            <w:r w:rsidR="00A83239" w:rsidRPr="005909A5">
              <w:rPr>
                <w:rFonts w:ascii="Times New Roman" w:hAnsi="Times New Roman" w:cs="Times New Roman"/>
                <w:bCs/>
                <w:sz w:val="24"/>
                <w:szCs w:val="24"/>
                <w:lang w:val="ro-RO"/>
              </w:rPr>
              <w:t xml:space="preserve"> cadrelor universitare și a cercetătorilor, precum și consolidarea universităților pe plan național și internațional;</w:t>
            </w:r>
          </w:p>
          <w:p w14:paraId="21AC9CB0" w14:textId="77777777" w:rsidR="005909A5" w:rsidRDefault="005909A5" w:rsidP="00A877FD">
            <w:pPr>
              <w:spacing w:line="276" w:lineRule="auto"/>
              <w:ind w:firstLine="709"/>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3. </w:t>
            </w:r>
            <w:r w:rsidR="00A83239" w:rsidRPr="005909A5">
              <w:rPr>
                <w:rFonts w:ascii="Times New Roman" w:hAnsi="Times New Roman" w:cs="Times New Roman"/>
                <w:bCs/>
                <w:sz w:val="24"/>
                <w:szCs w:val="24"/>
                <w:lang w:val="ro-RO"/>
              </w:rPr>
              <w:t xml:space="preserve">Ponderea cadrelor didactice cu titlu științific, </w:t>
            </w:r>
            <w:proofErr w:type="spellStart"/>
            <w:r w:rsidR="00A83239" w:rsidRPr="005909A5">
              <w:rPr>
                <w:rFonts w:ascii="Times New Roman" w:hAnsi="Times New Roman" w:cs="Times New Roman"/>
                <w:bCs/>
                <w:sz w:val="24"/>
                <w:szCs w:val="24"/>
                <w:lang w:val="ro-RO"/>
              </w:rPr>
              <w:t>științifico</w:t>
            </w:r>
            <w:proofErr w:type="spellEnd"/>
            <w:r w:rsidR="00A83239" w:rsidRPr="005909A5">
              <w:rPr>
                <w:rFonts w:ascii="Times New Roman" w:hAnsi="Times New Roman" w:cs="Times New Roman"/>
                <w:bCs/>
                <w:sz w:val="24"/>
                <w:szCs w:val="24"/>
                <w:lang w:val="ro-RO"/>
              </w:rPr>
              <w:t xml:space="preserve">-didactic în învățământul superior majorată până </w:t>
            </w:r>
            <w:r w:rsidR="00A83239" w:rsidRPr="00A877FD">
              <w:rPr>
                <w:rFonts w:ascii="Times New Roman" w:hAnsi="Times New Roman" w:cs="Times New Roman"/>
                <w:b/>
                <w:bCs/>
                <w:sz w:val="24"/>
                <w:szCs w:val="24"/>
                <w:lang w:val="ro-RO"/>
              </w:rPr>
              <w:t>la 80% până în anul 2030</w:t>
            </w:r>
            <w:r w:rsidR="00A83239" w:rsidRPr="005909A5">
              <w:rPr>
                <w:rFonts w:ascii="Times New Roman" w:hAnsi="Times New Roman" w:cs="Times New Roman"/>
                <w:bCs/>
                <w:sz w:val="24"/>
                <w:szCs w:val="24"/>
                <w:lang w:val="ro-RO"/>
              </w:rPr>
              <w:t>;</w:t>
            </w:r>
          </w:p>
          <w:p w14:paraId="56134676" w14:textId="29E6B71C" w:rsidR="005909A5" w:rsidRPr="005909A5" w:rsidRDefault="00A877FD" w:rsidP="00A877FD">
            <w:pPr>
              <w:tabs>
                <w:tab w:val="left" w:pos="851"/>
              </w:tabs>
              <w:spacing w:line="276" w:lineRule="auto"/>
              <w:jc w:val="both"/>
              <w:rPr>
                <w:rFonts w:ascii="Times New Roman" w:eastAsia="Times New Roman" w:hAnsi="Times New Roman" w:cs="Times New Roman"/>
                <w:sz w:val="24"/>
                <w:szCs w:val="24"/>
                <w:lang w:val="ro-RO" w:eastAsia="en-US"/>
              </w:rPr>
            </w:pPr>
            <w:r>
              <w:rPr>
                <w:rFonts w:ascii="Times New Roman" w:eastAsia="Times New Roman" w:hAnsi="Times New Roman" w:cs="Times New Roman"/>
                <w:sz w:val="24"/>
                <w:szCs w:val="24"/>
                <w:lang w:val="ro-RO" w:eastAsia="en-US"/>
              </w:rPr>
              <w:t xml:space="preserve">       </w:t>
            </w:r>
            <w:r w:rsidR="005909A5" w:rsidRPr="005909A5">
              <w:rPr>
                <w:rFonts w:ascii="Times New Roman" w:eastAsia="Times New Roman" w:hAnsi="Times New Roman" w:cs="Times New Roman"/>
                <w:sz w:val="24"/>
                <w:szCs w:val="24"/>
                <w:lang w:val="ro-RO" w:eastAsia="en-US"/>
              </w:rPr>
              <w:t>În acest context, consolidarea rețelei de universități poate avea loc prin fuziunea, prin absorbție, de către o universitate clasică (USM) cu un corp profesoral pregătit a unei instituții de învățământ superior (USEFS), care are un număr mic de studenți, proces bazat pe existența acelorași specialități/domenii.</w:t>
            </w:r>
          </w:p>
          <w:p w14:paraId="3C82F67B" w14:textId="77777777" w:rsidR="005909A5" w:rsidRPr="005909A5" w:rsidRDefault="005909A5" w:rsidP="00A877FD">
            <w:pPr>
              <w:tabs>
                <w:tab w:val="left" w:pos="851"/>
              </w:tabs>
              <w:spacing w:line="276" w:lineRule="auto"/>
              <w:ind w:firstLine="709"/>
              <w:jc w:val="both"/>
              <w:rPr>
                <w:rFonts w:ascii="Times New Roman" w:eastAsia="Times New Roman" w:hAnsi="Times New Roman" w:cs="Times New Roman"/>
                <w:b/>
                <w:sz w:val="24"/>
                <w:szCs w:val="24"/>
                <w:lang w:val="ro-RO" w:eastAsia="en-US"/>
              </w:rPr>
            </w:pPr>
            <w:r w:rsidRPr="005909A5">
              <w:rPr>
                <w:rFonts w:ascii="Times New Roman" w:eastAsia="Times New Roman" w:hAnsi="Times New Roman" w:cs="Times New Roman"/>
                <w:sz w:val="24"/>
                <w:szCs w:val="24"/>
                <w:lang w:val="ro-RO" w:eastAsia="en-US"/>
              </w:rPr>
              <w:t xml:space="preserve">              </w:t>
            </w:r>
            <w:r w:rsidRPr="005909A5">
              <w:rPr>
                <w:rFonts w:ascii="Times New Roman" w:eastAsia="Times New Roman" w:hAnsi="Times New Roman" w:cs="Times New Roman"/>
                <w:b/>
                <w:sz w:val="24"/>
                <w:szCs w:val="24"/>
                <w:lang w:val="ro-RO" w:eastAsia="en-US"/>
              </w:rPr>
              <w:t>Argumente:</w:t>
            </w:r>
          </w:p>
          <w:p w14:paraId="0736AFD1" w14:textId="77777777" w:rsidR="005909A5" w:rsidRPr="005909A5" w:rsidRDefault="005909A5" w:rsidP="00A877FD">
            <w:pPr>
              <w:numPr>
                <w:ilvl w:val="0"/>
                <w:numId w:val="20"/>
              </w:numPr>
              <w:spacing w:line="276" w:lineRule="auto"/>
              <w:ind w:left="0" w:firstLine="0"/>
              <w:contextualSpacing/>
              <w:jc w:val="both"/>
              <w:rPr>
                <w:rFonts w:ascii="Times New Roman" w:eastAsia="Calibri" w:hAnsi="Times New Roman" w:cs="Times New Roman"/>
                <w:sz w:val="24"/>
                <w:szCs w:val="24"/>
                <w:lang w:val="hu-HU" w:eastAsia="en-US"/>
              </w:rPr>
            </w:pPr>
            <w:r w:rsidRPr="005909A5">
              <w:rPr>
                <w:rFonts w:ascii="Times New Roman" w:eastAsia="Calibri" w:hAnsi="Times New Roman" w:cs="Times New Roman"/>
                <w:sz w:val="24"/>
                <w:szCs w:val="24"/>
                <w:lang w:val="hu-HU" w:eastAsia="en-US"/>
              </w:rPr>
              <w:t>USEFS  are puțini studenți (</w:t>
            </w:r>
            <w:r w:rsidRPr="005909A5">
              <w:rPr>
                <w:rFonts w:ascii="Times New Roman" w:eastAsia="Calibri" w:hAnsi="Times New Roman" w:cs="Times New Roman"/>
                <w:sz w:val="24"/>
                <w:szCs w:val="24"/>
                <w:lang w:val="ro-MD" w:eastAsia="en-US"/>
              </w:rPr>
              <w:t>1871</w:t>
            </w:r>
            <w:r w:rsidRPr="005909A5">
              <w:rPr>
                <w:rFonts w:ascii="Times New Roman" w:eastAsia="Calibri" w:hAnsi="Times New Roman" w:cs="Times New Roman"/>
                <w:sz w:val="24"/>
                <w:szCs w:val="24"/>
                <w:lang w:val="hu-HU" w:eastAsia="en-US"/>
              </w:rPr>
              <w:t xml:space="preserve">) și are aceleași </w:t>
            </w:r>
            <w:r w:rsidRPr="005909A5">
              <w:rPr>
                <w:rFonts w:ascii="Times New Roman" w:eastAsia="Calibri" w:hAnsi="Times New Roman" w:cs="Times New Roman"/>
                <w:b/>
                <w:sz w:val="24"/>
                <w:szCs w:val="24"/>
                <w:lang w:val="hu-HU" w:eastAsia="en-US"/>
              </w:rPr>
              <w:t>2 domenii de formare profesională (011 Științe ale educației, 101 Servicii publice</w:t>
            </w:r>
            <w:r w:rsidRPr="005909A5">
              <w:rPr>
                <w:rFonts w:ascii="Times New Roman" w:eastAsia="Calibri" w:hAnsi="Times New Roman" w:cs="Times New Roman"/>
                <w:sz w:val="24"/>
                <w:szCs w:val="24"/>
                <w:lang w:val="hu-HU" w:eastAsia="en-US"/>
              </w:rPr>
              <w:t>) ca și la USM. Pentru că USM are o Facultate de Științe ale Educației care poate îmbunătăți programele de stuii de la USEFS,</w:t>
            </w:r>
          </w:p>
          <w:p w14:paraId="5803A450" w14:textId="77777777" w:rsidR="005909A5" w:rsidRPr="005909A5" w:rsidRDefault="005909A5" w:rsidP="00A877FD">
            <w:pPr>
              <w:numPr>
                <w:ilvl w:val="0"/>
                <w:numId w:val="20"/>
              </w:numPr>
              <w:spacing w:line="276" w:lineRule="auto"/>
              <w:ind w:left="0" w:firstLine="0"/>
              <w:contextualSpacing/>
              <w:jc w:val="both"/>
              <w:rPr>
                <w:rFonts w:ascii="Times New Roman" w:eastAsia="Calibri" w:hAnsi="Times New Roman" w:cs="Times New Roman"/>
                <w:sz w:val="24"/>
                <w:szCs w:val="24"/>
                <w:lang w:val="hu-HU" w:eastAsia="en-US"/>
              </w:rPr>
            </w:pPr>
            <w:r w:rsidRPr="005909A5">
              <w:rPr>
                <w:rFonts w:ascii="Times New Roman" w:eastAsia="Calibri" w:hAnsi="Times New Roman" w:cs="Times New Roman"/>
                <w:sz w:val="24"/>
                <w:szCs w:val="24"/>
                <w:lang w:val="hu-HU" w:eastAsia="en-US"/>
              </w:rPr>
              <w:t>Pentru că în marea majoritate a țărilor europene Facultățile de Sport sunt parte a Universităților clasice.</w:t>
            </w:r>
          </w:p>
          <w:p w14:paraId="1EC38488" w14:textId="77777777" w:rsidR="005909A5" w:rsidRPr="005909A5" w:rsidRDefault="005909A5" w:rsidP="00A877FD">
            <w:pPr>
              <w:numPr>
                <w:ilvl w:val="0"/>
                <w:numId w:val="20"/>
              </w:numPr>
              <w:spacing w:line="276" w:lineRule="auto"/>
              <w:ind w:left="0" w:firstLine="0"/>
              <w:contextualSpacing/>
              <w:jc w:val="both"/>
              <w:rPr>
                <w:rFonts w:ascii="Times New Roman" w:eastAsia="Calibri" w:hAnsi="Times New Roman" w:cs="Times New Roman"/>
                <w:sz w:val="24"/>
                <w:szCs w:val="24"/>
                <w:lang w:val="hu-HU" w:eastAsia="en-US"/>
              </w:rPr>
            </w:pPr>
            <w:r w:rsidRPr="005909A5">
              <w:rPr>
                <w:rFonts w:ascii="Times New Roman" w:eastAsia="Calibri" w:hAnsi="Times New Roman" w:cs="Times New Roman"/>
                <w:sz w:val="24"/>
                <w:szCs w:val="24"/>
                <w:lang w:val="hu-HU" w:eastAsia="en-US"/>
              </w:rPr>
              <w:t>USEFS este o instituție cu un număr mic de studenți, formarea cărora presupune investiții mari în logistică și echipamente sportive. O facultate de Sport la USM va pregăti studenți pentru a deveni profesori de educație fizică și sport, antrenori, instructori sportivi, dar și va elabora programe multidisciplinare, luând în considerare varietatea pregătirii profesionale la USM – 18 domenii.</w:t>
            </w:r>
          </w:p>
          <w:p w14:paraId="4DC0055C" w14:textId="16E94E8F" w:rsidR="005909A5" w:rsidRPr="005909A5" w:rsidRDefault="005909A5" w:rsidP="00A877FD">
            <w:pPr>
              <w:numPr>
                <w:ilvl w:val="0"/>
                <w:numId w:val="20"/>
              </w:numPr>
              <w:spacing w:line="276" w:lineRule="auto"/>
              <w:ind w:left="0" w:firstLine="0"/>
              <w:contextualSpacing/>
              <w:jc w:val="both"/>
              <w:rPr>
                <w:rFonts w:ascii="Times New Roman" w:eastAsia="Calibri" w:hAnsi="Times New Roman" w:cs="Times New Roman"/>
                <w:sz w:val="24"/>
                <w:szCs w:val="24"/>
                <w:lang w:val="hu-HU" w:eastAsia="en-US"/>
              </w:rPr>
            </w:pPr>
            <w:r w:rsidRPr="005909A5">
              <w:rPr>
                <w:rFonts w:ascii="Times New Roman" w:eastAsia="Calibri" w:hAnsi="Times New Roman" w:cs="Times New Roman"/>
                <w:sz w:val="24"/>
                <w:szCs w:val="24"/>
                <w:lang w:val="hu-HU" w:eastAsia="en-US"/>
              </w:rPr>
              <w:t>Mijloacele financiare atra</w:t>
            </w:r>
            <w:r w:rsidR="007E48C4">
              <w:rPr>
                <w:rFonts w:ascii="Times New Roman" w:eastAsia="Calibri" w:hAnsi="Times New Roman" w:cs="Times New Roman"/>
                <w:sz w:val="24"/>
                <w:szCs w:val="24"/>
                <w:lang w:val="hu-HU" w:eastAsia="en-US"/>
              </w:rPr>
              <w:t>se prin proiecte de cercetare: d</w:t>
            </w:r>
            <w:r w:rsidRPr="005909A5">
              <w:rPr>
                <w:rFonts w:ascii="Times New Roman" w:eastAsia="Calibri" w:hAnsi="Times New Roman" w:cs="Times New Roman"/>
                <w:sz w:val="24"/>
                <w:szCs w:val="24"/>
                <w:lang w:val="hu-HU" w:eastAsia="en-US"/>
              </w:rPr>
              <w:t>in proiectele din cadrul Programului de Stat pentru anul 2022 USEFS a atras fonduri în cuantum 963 mii lei, iar USM de 16870 mii lei.</w:t>
            </w:r>
          </w:p>
          <w:p w14:paraId="1C875C4E" w14:textId="5C950DE3" w:rsidR="00A877FD" w:rsidRPr="005909A5" w:rsidRDefault="005909A5" w:rsidP="00A877FD">
            <w:pPr>
              <w:numPr>
                <w:ilvl w:val="0"/>
                <w:numId w:val="20"/>
              </w:numPr>
              <w:spacing w:line="276" w:lineRule="auto"/>
              <w:ind w:left="0" w:firstLine="0"/>
              <w:contextualSpacing/>
              <w:jc w:val="both"/>
              <w:rPr>
                <w:rFonts w:ascii="Times New Roman" w:eastAsia="Calibri" w:hAnsi="Times New Roman" w:cs="Times New Roman"/>
                <w:sz w:val="24"/>
                <w:szCs w:val="24"/>
                <w:lang w:val="hu-HU" w:eastAsia="en-US"/>
              </w:rPr>
            </w:pPr>
            <w:r w:rsidRPr="005909A5">
              <w:rPr>
                <w:rFonts w:ascii="Times New Roman" w:eastAsia="Calibri" w:hAnsi="Times New Roman" w:cs="Times New Roman"/>
                <w:sz w:val="24"/>
                <w:szCs w:val="24"/>
                <w:lang w:val="hu-HU" w:eastAsia="en-US"/>
              </w:rPr>
              <w:t>Pentrtu că USM se găsește în clasificația internațională Webometrics Ranking Web of Universities  pe locul 3612, iar USEFS pe locul 18967 din cele 36000 participante.</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7"/>
              <w:gridCol w:w="5103"/>
            </w:tblGrid>
            <w:tr w:rsidR="005909A5" w:rsidRPr="005909A5" w14:paraId="6366F2F0" w14:textId="77777777" w:rsidTr="00747D4C">
              <w:trPr>
                <w:trHeight w:val="495"/>
              </w:trPr>
              <w:tc>
                <w:tcPr>
                  <w:tcW w:w="4877" w:type="dxa"/>
                  <w:tcBorders>
                    <w:top w:val="single" w:sz="4" w:space="0" w:color="auto"/>
                    <w:left w:val="single" w:sz="4" w:space="0" w:color="auto"/>
                    <w:bottom w:val="single" w:sz="4" w:space="0" w:color="auto"/>
                    <w:right w:val="single" w:sz="4" w:space="0" w:color="auto"/>
                  </w:tcBorders>
                  <w:hideMark/>
                </w:tcPr>
                <w:p w14:paraId="73DAEF75" w14:textId="70943E1E" w:rsidR="005909A5" w:rsidRPr="005909A5" w:rsidRDefault="005909A5" w:rsidP="00A877FD">
                  <w:pPr>
                    <w:spacing w:after="0" w:line="240" w:lineRule="auto"/>
                    <w:ind w:firstLine="709"/>
                    <w:jc w:val="both"/>
                    <w:rPr>
                      <w:rFonts w:ascii="Times New Roman" w:eastAsia="Times New Roman" w:hAnsi="Times New Roman" w:cs="Times New Roman"/>
                      <w:b/>
                      <w:sz w:val="24"/>
                      <w:szCs w:val="24"/>
                      <w:lang w:val="ro-MD" w:eastAsia="en-US"/>
                    </w:rPr>
                  </w:pPr>
                  <w:r w:rsidRPr="005909A5">
                    <w:rPr>
                      <w:rFonts w:ascii="Times New Roman" w:eastAsia="Times New Roman" w:hAnsi="Times New Roman" w:cs="Times New Roman"/>
                      <w:b/>
                      <w:sz w:val="24"/>
                      <w:szCs w:val="24"/>
                      <w:lang w:val="ro-MD" w:eastAsia="en-US"/>
                    </w:rPr>
                    <w:t>U</w:t>
                  </w:r>
                  <w:r w:rsidR="007E48C4" w:rsidRPr="00A877FD">
                    <w:rPr>
                      <w:rFonts w:ascii="Times New Roman" w:eastAsia="Times New Roman" w:hAnsi="Times New Roman" w:cs="Times New Roman"/>
                      <w:b/>
                      <w:sz w:val="24"/>
                      <w:szCs w:val="24"/>
                      <w:lang w:val="ro-MD" w:eastAsia="en-US"/>
                    </w:rPr>
                    <w:t>niversitatea de Stat din Moldova</w:t>
                  </w:r>
                </w:p>
              </w:tc>
              <w:tc>
                <w:tcPr>
                  <w:tcW w:w="5103" w:type="dxa"/>
                  <w:tcBorders>
                    <w:top w:val="single" w:sz="4" w:space="0" w:color="auto"/>
                    <w:left w:val="single" w:sz="4" w:space="0" w:color="auto"/>
                    <w:bottom w:val="single" w:sz="4" w:space="0" w:color="auto"/>
                    <w:right w:val="single" w:sz="4" w:space="0" w:color="auto"/>
                  </w:tcBorders>
                  <w:hideMark/>
                </w:tcPr>
                <w:p w14:paraId="1E229B78" w14:textId="6064AC35" w:rsidR="00747D4C" w:rsidRDefault="005909A5" w:rsidP="00747D4C">
                  <w:pPr>
                    <w:spacing w:after="0" w:line="240" w:lineRule="auto"/>
                    <w:jc w:val="center"/>
                    <w:rPr>
                      <w:rFonts w:ascii="Times New Roman" w:eastAsia="Times New Roman" w:hAnsi="Times New Roman" w:cs="Times New Roman"/>
                      <w:b/>
                      <w:sz w:val="24"/>
                      <w:szCs w:val="24"/>
                      <w:lang w:val="ro-MD" w:eastAsia="en-US"/>
                    </w:rPr>
                  </w:pPr>
                  <w:r w:rsidRPr="005909A5">
                    <w:rPr>
                      <w:rFonts w:ascii="Times New Roman" w:eastAsia="Times New Roman" w:hAnsi="Times New Roman" w:cs="Times New Roman"/>
                      <w:b/>
                      <w:sz w:val="24"/>
                      <w:szCs w:val="24"/>
                      <w:lang w:val="ro-MD" w:eastAsia="en-US"/>
                    </w:rPr>
                    <w:t>U</w:t>
                  </w:r>
                  <w:r w:rsidR="007E48C4" w:rsidRPr="00A877FD">
                    <w:rPr>
                      <w:rFonts w:ascii="Times New Roman" w:eastAsia="Times New Roman" w:hAnsi="Times New Roman" w:cs="Times New Roman"/>
                      <w:b/>
                      <w:sz w:val="24"/>
                      <w:szCs w:val="24"/>
                      <w:lang w:val="ro-MD" w:eastAsia="en-US"/>
                    </w:rPr>
                    <w:t>niversitatea de Stat de Educație</w:t>
                  </w:r>
                </w:p>
                <w:p w14:paraId="31213E7C" w14:textId="30B30F74" w:rsidR="005909A5" w:rsidRPr="005909A5" w:rsidRDefault="007E48C4" w:rsidP="00747D4C">
                  <w:pPr>
                    <w:spacing w:after="0" w:line="240" w:lineRule="auto"/>
                    <w:jc w:val="center"/>
                    <w:rPr>
                      <w:rFonts w:ascii="Times New Roman" w:eastAsia="Times New Roman" w:hAnsi="Times New Roman" w:cs="Times New Roman"/>
                      <w:b/>
                      <w:sz w:val="24"/>
                      <w:szCs w:val="24"/>
                      <w:lang w:val="ro-MD" w:eastAsia="en-US"/>
                    </w:rPr>
                  </w:pPr>
                  <w:r w:rsidRPr="00A877FD">
                    <w:rPr>
                      <w:rFonts w:ascii="Times New Roman" w:eastAsia="Times New Roman" w:hAnsi="Times New Roman" w:cs="Times New Roman"/>
                      <w:b/>
                      <w:sz w:val="24"/>
                      <w:szCs w:val="24"/>
                      <w:lang w:val="ro-MD" w:eastAsia="en-US"/>
                    </w:rPr>
                    <w:t>Fizică și Sport</w:t>
                  </w:r>
                </w:p>
              </w:tc>
            </w:tr>
            <w:tr w:rsidR="005909A5" w:rsidRPr="005909A5" w14:paraId="7387EE22" w14:textId="77777777" w:rsidTr="00747D4C">
              <w:trPr>
                <w:trHeight w:val="274"/>
              </w:trPr>
              <w:tc>
                <w:tcPr>
                  <w:tcW w:w="4877" w:type="dxa"/>
                  <w:tcBorders>
                    <w:top w:val="single" w:sz="4" w:space="0" w:color="auto"/>
                    <w:left w:val="single" w:sz="4" w:space="0" w:color="auto"/>
                    <w:bottom w:val="single" w:sz="4" w:space="0" w:color="auto"/>
                    <w:right w:val="single" w:sz="4" w:space="0" w:color="auto"/>
                  </w:tcBorders>
                </w:tcPr>
                <w:p w14:paraId="7F82BD7F" w14:textId="77777777" w:rsidR="005909A5" w:rsidRPr="005909A5" w:rsidRDefault="005909A5" w:rsidP="00A877FD">
                  <w:pPr>
                    <w:numPr>
                      <w:ilvl w:val="0"/>
                      <w:numId w:val="18"/>
                    </w:numPr>
                    <w:spacing w:after="0" w:line="240" w:lineRule="auto"/>
                    <w:ind w:left="0" w:firstLine="0"/>
                    <w:contextualSpacing/>
                    <w:jc w:val="both"/>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u w:val="single"/>
                      <w:lang w:val="ro-MD" w:eastAsia="en-US"/>
                    </w:rPr>
                    <w:t>Număr total de studenți (licență și master)</w:t>
                  </w:r>
                  <w:r w:rsidRPr="005909A5">
                    <w:rPr>
                      <w:rFonts w:ascii="Times New Roman" w:eastAsia="Calibri" w:hAnsi="Times New Roman" w:cs="Times New Roman"/>
                      <w:sz w:val="24"/>
                      <w:szCs w:val="24"/>
                      <w:lang w:val="ro-MD" w:eastAsia="en-US"/>
                    </w:rPr>
                    <w:t xml:space="preserve"> – 11.148 la 18 domenii de studii</w:t>
                  </w:r>
                </w:p>
                <w:p w14:paraId="55ACA8F2" w14:textId="77777777" w:rsidR="005909A5" w:rsidRPr="005909A5" w:rsidRDefault="005909A5" w:rsidP="00A877FD">
                  <w:pPr>
                    <w:numPr>
                      <w:ilvl w:val="0"/>
                      <w:numId w:val="18"/>
                    </w:numPr>
                    <w:spacing w:after="0" w:line="240" w:lineRule="auto"/>
                    <w:ind w:left="0" w:firstLine="0"/>
                    <w:contextualSpacing/>
                    <w:jc w:val="both"/>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Licență – 8525; Master - 2623</w:t>
                  </w:r>
                </w:p>
                <w:p w14:paraId="5BDA36D6" w14:textId="77777777" w:rsidR="005909A5" w:rsidRPr="005909A5" w:rsidRDefault="005909A5" w:rsidP="00A877FD">
                  <w:pPr>
                    <w:numPr>
                      <w:ilvl w:val="0"/>
                      <w:numId w:val="18"/>
                    </w:numPr>
                    <w:spacing w:after="0" w:line="240" w:lineRule="auto"/>
                    <w:ind w:left="0" w:firstLine="0"/>
                    <w:contextualSpacing/>
                    <w:jc w:val="both"/>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Studenți bugetari – 3685; la contract - 7463</w:t>
                  </w:r>
                </w:p>
                <w:p w14:paraId="5D76914C" w14:textId="77777777" w:rsidR="005909A5" w:rsidRPr="005909A5" w:rsidRDefault="005909A5" w:rsidP="00A877FD">
                  <w:pPr>
                    <w:numPr>
                      <w:ilvl w:val="0"/>
                      <w:numId w:val="18"/>
                    </w:numPr>
                    <w:spacing w:after="0" w:line="240" w:lineRule="auto"/>
                    <w:ind w:left="0" w:firstLine="0"/>
                    <w:contextualSpacing/>
                    <w:jc w:val="both"/>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 xml:space="preserve">Programe de studii (licență și master) – 121; </w:t>
                  </w:r>
                  <w:r w:rsidRPr="005909A5">
                    <w:rPr>
                      <w:rFonts w:ascii="Times New Roman" w:eastAsia="Calibri" w:hAnsi="Times New Roman" w:cs="Times New Roman"/>
                      <w:sz w:val="24"/>
                      <w:szCs w:val="24"/>
                      <w:u w:val="single"/>
                      <w:lang w:val="ro-MD" w:eastAsia="en-US"/>
                    </w:rPr>
                    <w:t>acreditate – 101</w:t>
                  </w:r>
                </w:p>
                <w:p w14:paraId="28B0FD7B" w14:textId="77777777" w:rsidR="005909A5" w:rsidRPr="005909A5" w:rsidRDefault="005909A5" w:rsidP="00A877FD">
                  <w:pPr>
                    <w:numPr>
                      <w:ilvl w:val="0"/>
                      <w:numId w:val="18"/>
                    </w:numPr>
                    <w:spacing w:after="0" w:line="240" w:lineRule="auto"/>
                    <w:ind w:left="0" w:firstLine="0"/>
                    <w:contextualSpacing/>
                    <w:jc w:val="both"/>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Cadre didactice – 672, cu titlu științific -416</w:t>
                  </w:r>
                </w:p>
                <w:p w14:paraId="28F92E9A" w14:textId="62A582A3" w:rsidR="005909A5" w:rsidRPr="005909A5" w:rsidRDefault="005909A5" w:rsidP="00A877FD">
                  <w:pPr>
                    <w:numPr>
                      <w:ilvl w:val="0"/>
                      <w:numId w:val="18"/>
                    </w:numPr>
                    <w:spacing w:after="0" w:line="240" w:lineRule="auto"/>
                    <w:ind w:left="0" w:firstLine="0"/>
                    <w:contextualSpacing/>
                    <w:jc w:val="both"/>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Cămine – 11</w:t>
                  </w:r>
                  <w:r w:rsidR="007E48C4" w:rsidRPr="00A877FD">
                    <w:rPr>
                      <w:rFonts w:ascii="Times New Roman" w:eastAsia="Calibri" w:hAnsi="Times New Roman" w:cs="Times New Roman"/>
                      <w:sz w:val="24"/>
                      <w:szCs w:val="24"/>
                      <w:lang w:val="ro-MD" w:eastAsia="en-US"/>
                    </w:rPr>
                    <w:t>, majoritatea fiind renovate</w:t>
                  </w:r>
                  <w:r w:rsidRPr="005909A5">
                    <w:rPr>
                      <w:rFonts w:ascii="Times New Roman" w:eastAsia="Calibri" w:hAnsi="Times New Roman" w:cs="Times New Roman"/>
                      <w:sz w:val="24"/>
                      <w:szCs w:val="24"/>
                      <w:lang w:val="ro-MD" w:eastAsia="en-US"/>
                    </w:rPr>
                    <w:t>; locuri de cazare - 1470</w:t>
                  </w:r>
                </w:p>
              </w:tc>
              <w:tc>
                <w:tcPr>
                  <w:tcW w:w="5103" w:type="dxa"/>
                  <w:tcBorders>
                    <w:top w:val="single" w:sz="4" w:space="0" w:color="auto"/>
                    <w:left w:val="single" w:sz="4" w:space="0" w:color="auto"/>
                    <w:bottom w:val="single" w:sz="4" w:space="0" w:color="auto"/>
                    <w:right w:val="single" w:sz="4" w:space="0" w:color="auto"/>
                  </w:tcBorders>
                </w:tcPr>
                <w:p w14:paraId="7A7D9864" w14:textId="77777777" w:rsidR="005909A5" w:rsidRPr="005909A5" w:rsidRDefault="005909A5" w:rsidP="00A877FD">
                  <w:pPr>
                    <w:numPr>
                      <w:ilvl w:val="0"/>
                      <w:numId w:val="19"/>
                    </w:numPr>
                    <w:spacing w:after="0" w:line="240" w:lineRule="auto"/>
                    <w:ind w:left="0" w:firstLine="0"/>
                    <w:contextualSpacing/>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u w:val="single"/>
                      <w:lang w:val="ro-MD" w:eastAsia="en-US"/>
                    </w:rPr>
                    <w:t>Număr total de studenți</w:t>
                  </w:r>
                  <w:r w:rsidRPr="005909A5">
                    <w:rPr>
                      <w:rFonts w:ascii="Times New Roman" w:eastAsia="Calibri" w:hAnsi="Times New Roman" w:cs="Times New Roman"/>
                      <w:sz w:val="24"/>
                      <w:szCs w:val="24"/>
                      <w:lang w:val="ro-MD" w:eastAsia="en-US"/>
                    </w:rPr>
                    <w:t xml:space="preserve"> </w:t>
                  </w:r>
                  <w:r w:rsidRPr="005909A5">
                    <w:rPr>
                      <w:rFonts w:ascii="Times New Roman" w:eastAsia="Calibri" w:hAnsi="Times New Roman" w:cs="Times New Roman"/>
                      <w:sz w:val="24"/>
                      <w:szCs w:val="24"/>
                      <w:u w:val="single"/>
                      <w:lang w:val="ro-MD" w:eastAsia="en-US"/>
                    </w:rPr>
                    <w:t>(licență și master)</w:t>
                  </w:r>
                  <w:r w:rsidRPr="005909A5">
                    <w:rPr>
                      <w:rFonts w:ascii="Times New Roman" w:eastAsia="Calibri" w:hAnsi="Times New Roman" w:cs="Times New Roman"/>
                      <w:sz w:val="24"/>
                      <w:szCs w:val="24"/>
                      <w:lang w:val="ro-MD" w:eastAsia="en-US"/>
                    </w:rPr>
                    <w:t xml:space="preserve"> – 1871 la 4 domenii de studii</w:t>
                  </w:r>
                </w:p>
                <w:p w14:paraId="3F4C3B59" w14:textId="77777777" w:rsidR="005909A5" w:rsidRPr="005909A5" w:rsidRDefault="005909A5" w:rsidP="00A877FD">
                  <w:pPr>
                    <w:numPr>
                      <w:ilvl w:val="0"/>
                      <w:numId w:val="19"/>
                    </w:numPr>
                    <w:spacing w:after="0" w:line="240" w:lineRule="auto"/>
                    <w:ind w:left="0" w:firstLine="0"/>
                    <w:contextualSpacing/>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Licență – 1495,  Master - 376</w:t>
                  </w:r>
                </w:p>
                <w:p w14:paraId="6A8DAB75" w14:textId="77777777" w:rsidR="005909A5" w:rsidRPr="005909A5" w:rsidRDefault="005909A5" w:rsidP="00A877FD">
                  <w:pPr>
                    <w:numPr>
                      <w:ilvl w:val="0"/>
                      <w:numId w:val="19"/>
                    </w:numPr>
                    <w:spacing w:after="0" w:line="240" w:lineRule="auto"/>
                    <w:ind w:left="0" w:firstLine="0"/>
                    <w:contextualSpacing/>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Studenți bugetari – 652; la contract – 1213</w:t>
                  </w:r>
                </w:p>
                <w:p w14:paraId="57F79772" w14:textId="77777777" w:rsidR="005909A5" w:rsidRPr="00747D4C" w:rsidRDefault="005909A5" w:rsidP="00A877FD">
                  <w:pPr>
                    <w:numPr>
                      <w:ilvl w:val="0"/>
                      <w:numId w:val="19"/>
                    </w:numPr>
                    <w:spacing w:after="0" w:line="240" w:lineRule="auto"/>
                    <w:ind w:left="0" w:firstLine="0"/>
                    <w:contextualSpacing/>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 xml:space="preserve">Programe de studii (licență si master)  – 14; </w:t>
                  </w:r>
                  <w:r w:rsidRPr="005909A5">
                    <w:rPr>
                      <w:rFonts w:ascii="Times New Roman" w:eastAsia="Calibri" w:hAnsi="Times New Roman" w:cs="Times New Roman"/>
                      <w:sz w:val="24"/>
                      <w:szCs w:val="24"/>
                      <w:u w:val="single"/>
                      <w:lang w:val="ro-MD" w:eastAsia="en-US"/>
                    </w:rPr>
                    <w:t>acreditate – 7, autorizate-7</w:t>
                  </w:r>
                </w:p>
                <w:p w14:paraId="5D42AE9B" w14:textId="77777777" w:rsidR="00747D4C" w:rsidRPr="005909A5" w:rsidRDefault="00747D4C" w:rsidP="00747D4C">
                  <w:pPr>
                    <w:spacing w:after="0" w:line="240" w:lineRule="auto"/>
                    <w:contextualSpacing/>
                    <w:rPr>
                      <w:rFonts w:ascii="Times New Roman" w:eastAsia="Calibri" w:hAnsi="Times New Roman" w:cs="Times New Roman"/>
                      <w:sz w:val="24"/>
                      <w:szCs w:val="24"/>
                      <w:lang w:val="ro-MD" w:eastAsia="en-US"/>
                    </w:rPr>
                  </w:pPr>
                </w:p>
                <w:p w14:paraId="5E28F0FE" w14:textId="77777777" w:rsidR="00747D4C" w:rsidRDefault="005909A5" w:rsidP="00747D4C">
                  <w:pPr>
                    <w:numPr>
                      <w:ilvl w:val="0"/>
                      <w:numId w:val="19"/>
                    </w:numPr>
                    <w:spacing w:after="0" w:line="240" w:lineRule="auto"/>
                    <w:ind w:left="0" w:firstLine="0"/>
                    <w:contextualSpacing/>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Cadre didactice – 152, cu titlu științific – 82</w:t>
                  </w:r>
                </w:p>
                <w:p w14:paraId="6D7318B6" w14:textId="63B22700" w:rsidR="005909A5" w:rsidRPr="005909A5" w:rsidRDefault="005909A5" w:rsidP="00747D4C">
                  <w:pPr>
                    <w:numPr>
                      <w:ilvl w:val="0"/>
                      <w:numId w:val="19"/>
                    </w:numPr>
                    <w:spacing w:after="0" w:line="240" w:lineRule="auto"/>
                    <w:ind w:left="0" w:firstLine="0"/>
                    <w:contextualSpacing/>
                    <w:rPr>
                      <w:rFonts w:ascii="Times New Roman" w:eastAsia="Calibri" w:hAnsi="Times New Roman" w:cs="Times New Roman"/>
                      <w:sz w:val="24"/>
                      <w:szCs w:val="24"/>
                      <w:lang w:val="ro-MD" w:eastAsia="en-US"/>
                    </w:rPr>
                  </w:pPr>
                  <w:r w:rsidRPr="005909A5">
                    <w:rPr>
                      <w:rFonts w:ascii="Times New Roman" w:eastAsia="Calibri" w:hAnsi="Times New Roman" w:cs="Times New Roman"/>
                      <w:sz w:val="24"/>
                      <w:szCs w:val="24"/>
                      <w:lang w:val="ro-MD" w:eastAsia="en-US"/>
                    </w:rPr>
                    <w:t>Cămine</w:t>
                  </w:r>
                  <w:r w:rsidR="007E48C4" w:rsidRPr="00A877FD">
                    <w:rPr>
                      <w:rFonts w:ascii="Times New Roman" w:eastAsia="Calibri" w:hAnsi="Times New Roman" w:cs="Times New Roman"/>
                      <w:sz w:val="24"/>
                      <w:szCs w:val="24"/>
                      <w:lang w:val="ro-MD" w:eastAsia="en-US"/>
                    </w:rPr>
                    <w:t>, condiții deplorabile</w:t>
                  </w:r>
                  <w:r w:rsidRPr="005909A5">
                    <w:rPr>
                      <w:rFonts w:ascii="Times New Roman" w:eastAsia="Calibri" w:hAnsi="Times New Roman" w:cs="Times New Roman"/>
                      <w:sz w:val="24"/>
                      <w:szCs w:val="24"/>
                      <w:lang w:val="ro-MD" w:eastAsia="en-US"/>
                    </w:rPr>
                    <w:t xml:space="preserve"> – 3; locuri de cazare - 567</w:t>
                  </w:r>
                </w:p>
              </w:tc>
            </w:tr>
            <w:tr w:rsidR="005909A5" w:rsidRPr="005909A5" w14:paraId="526752C6" w14:textId="77777777" w:rsidTr="00747D4C">
              <w:trPr>
                <w:trHeight w:val="471"/>
              </w:trPr>
              <w:tc>
                <w:tcPr>
                  <w:tcW w:w="4877" w:type="dxa"/>
                  <w:tcBorders>
                    <w:top w:val="single" w:sz="4" w:space="0" w:color="auto"/>
                    <w:left w:val="single" w:sz="4" w:space="0" w:color="auto"/>
                    <w:bottom w:val="single" w:sz="4" w:space="0" w:color="auto"/>
                    <w:right w:val="single" w:sz="4" w:space="0" w:color="auto"/>
                  </w:tcBorders>
                  <w:hideMark/>
                </w:tcPr>
                <w:p w14:paraId="40C77D78" w14:textId="77777777" w:rsidR="005909A5" w:rsidRPr="005909A5" w:rsidRDefault="005909A5" w:rsidP="00A877FD">
                  <w:pPr>
                    <w:spacing w:after="0" w:line="240" w:lineRule="auto"/>
                    <w:ind w:firstLine="709"/>
                    <w:jc w:val="center"/>
                    <w:rPr>
                      <w:rFonts w:ascii="Times New Roman" w:eastAsia="Times New Roman" w:hAnsi="Times New Roman" w:cs="Times New Roman"/>
                      <w:b/>
                      <w:sz w:val="24"/>
                      <w:szCs w:val="24"/>
                      <w:lang w:val="ro-MD" w:eastAsia="en-US"/>
                    </w:rPr>
                  </w:pPr>
                  <w:r w:rsidRPr="005909A5">
                    <w:rPr>
                      <w:rFonts w:ascii="Times New Roman" w:eastAsia="Times New Roman" w:hAnsi="Times New Roman" w:cs="Times New Roman"/>
                      <w:b/>
                      <w:sz w:val="24"/>
                      <w:szCs w:val="24"/>
                      <w:lang w:val="ro-MD" w:eastAsia="en-US"/>
                    </w:rPr>
                    <w:lastRenderedPageBreak/>
                    <w:t>USM</w:t>
                  </w:r>
                </w:p>
                <w:p w14:paraId="40254CD2" w14:textId="77777777" w:rsidR="005909A5" w:rsidRPr="005909A5" w:rsidRDefault="005909A5" w:rsidP="00A877FD">
                  <w:pPr>
                    <w:spacing w:after="0" w:line="240" w:lineRule="auto"/>
                    <w:ind w:firstLine="709"/>
                    <w:jc w:val="center"/>
                    <w:rPr>
                      <w:rFonts w:ascii="Times New Roman" w:eastAsia="Times New Roman" w:hAnsi="Times New Roman" w:cs="Times New Roman"/>
                      <w:b/>
                      <w:sz w:val="24"/>
                      <w:szCs w:val="24"/>
                      <w:lang w:val="ro-MD" w:eastAsia="en-US"/>
                    </w:rPr>
                  </w:pPr>
                  <w:r w:rsidRPr="005909A5">
                    <w:rPr>
                      <w:rFonts w:ascii="Times New Roman" w:eastAsia="Times New Roman" w:hAnsi="Times New Roman" w:cs="Times New Roman"/>
                      <w:b/>
                      <w:sz w:val="24"/>
                      <w:szCs w:val="24"/>
                      <w:lang w:val="ro-MD" w:eastAsia="en-US"/>
                    </w:rPr>
                    <w:t>18 domenii de studii</w:t>
                  </w:r>
                </w:p>
              </w:tc>
              <w:tc>
                <w:tcPr>
                  <w:tcW w:w="5103" w:type="dxa"/>
                  <w:tcBorders>
                    <w:top w:val="single" w:sz="4" w:space="0" w:color="auto"/>
                    <w:left w:val="single" w:sz="4" w:space="0" w:color="auto"/>
                    <w:bottom w:val="single" w:sz="4" w:space="0" w:color="auto"/>
                    <w:right w:val="single" w:sz="4" w:space="0" w:color="auto"/>
                  </w:tcBorders>
                </w:tcPr>
                <w:p w14:paraId="7200E12A" w14:textId="733100C7" w:rsidR="005909A5" w:rsidRPr="005909A5" w:rsidRDefault="00A877FD" w:rsidP="00A877FD">
                  <w:pPr>
                    <w:spacing w:after="0" w:line="240" w:lineRule="auto"/>
                    <w:rPr>
                      <w:rFonts w:ascii="Times New Roman" w:eastAsia="Times New Roman" w:hAnsi="Times New Roman" w:cs="Times New Roman"/>
                      <w:b/>
                      <w:sz w:val="24"/>
                      <w:szCs w:val="24"/>
                      <w:lang w:val="ro-MD" w:eastAsia="en-US"/>
                    </w:rPr>
                  </w:pPr>
                  <w:r w:rsidRPr="00747D4C">
                    <w:rPr>
                      <w:rFonts w:ascii="Times New Roman" w:eastAsia="Times New Roman" w:hAnsi="Times New Roman" w:cs="Times New Roman"/>
                      <w:b/>
                      <w:sz w:val="24"/>
                      <w:szCs w:val="24"/>
                      <w:lang w:val="ro-MD" w:eastAsia="en-US"/>
                    </w:rPr>
                    <w:t xml:space="preserve">                     </w:t>
                  </w:r>
                  <w:r w:rsidR="005909A5" w:rsidRPr="005909A5">
                    <w:rPr>
                      <w:rFonts w:ascii="Times New Roman" w:eastAsia="Times New Roman" w:hAnsi="Times New Roman" w:cs="Times New Roman"/>
                      <w:b/>
                      <w:sz w:val="24"/>
                      <w:szCs w:val="24"/>
                      <w:lang w:val="ro-MD" w:eastAsia="en-US"/>
                    </w:rPr>
                    <w:t>USEFS – 4 domenii</w:t>
                  </w:r>
                </w:p>
                <w:p w14:paraId="26CAF009" w14:textId="419004FA" w:rsidR="005909A5" w:rsidRPr="005909A5" w:rsidRDefault="00557C0D" w:rsidP="00A877FD">
                  <w:pPr>
                    <w:spacing w:after="0" w:line="240" w:lineRule="auto"/>
                    <w:ind w:firstLine="709"/>
                    <w:rPr>
                      <w:rFonts w:ascii="Times New Roman" w:eastAsia="Times New Roman" w:hAnsi="Times New Roman" w:cs="Times New Roman"/>
                      <w:b/>
                      <w:sz w:val="24"/>
                      <w:szCs w:val="24"/>
                      <w:lang w:val="ro-MD" w:eastAsia="en-US"/>
                    </w:rPr>
                  </w:pPr>
                  <w:r w:rsidRPr="00747D4C">
                    <w:rPr>
                      <w:rFonts w:ascii="Times New Roman" w:eastAsia="Times New Roman" w:hAnsi="Times New Roman" w:cs="Times New Roman"/>
                      <w:b/>
                      <w:sz w:val="24"/>
                      <w:szCs w:val="24"/>
                      <w:lang w:val="ro-MD" w:eastAsia="en-US"/>
                    </w:rPr>
                    <w:t>2 domenii</w:t>
                  </w:r>
                  <w:r w:rsidR="005909A5" w:rsidRPr="005909A5">
                    <w:rPr>
                      <w:rFonts w:ascii="Times New Roman" w:eastAsia="Times New Roman" w:hAnsi="Times New Roman" w:cs="Times New Roman"/>
                      <w:b/>
                      <w:sz w:val="24"/>
                      <w:szCs w:val="24"/>
                      <w:lang w:val="ro-MD" w:eastAsia="en-US"/>
                    </w:rPr>
                    <w:t xml:space="preserve"> se regăsesc la USM</w:t>
                  </w:r>
                </w:p>
              </w:tc>
            </w:tr>
            <w:tr w:rsidR="00557C0D" w:rsidRPr="005909A5" w14:paraId="001E8BA1" w14:textId="77777777" w:rsidTr="00747D4C">
              <w:trPr>
                <w:trHeight w:val="70"/>
              </w:trPr>
              <w:tc>
                <w:tcPr>
                  <w:tcW w:w="4877" w:type="dxa"/>
                  <w:tcBorders>
                    <w:top w:val="single" w:sz="4" w:space="0" w:color="auto"/>
                    <w:left w:val="single" w:sz="4" w:space="0" w:color="auto"/>
                    <w:bottom w:val="single" w:sz="4" w:space="0" w:color="auto"/>
                    <w:right w:val="single" w:sz="4" w:space="0" w:color="auto"/>
                  </w:tcBorders>
                  <w:hideMark/>
                </w:tcPr>
                <w:p w14:paraId="245823A2" w14:textId="77777777" w:rsidR="00557C0D" w:rsidRPr="00747D4C" w:rsidRDefault="00557C0D" w:rsidP="00A877FD">
                  <w:pPr>
                    <w:spacing w:after="0" w:line="240" w:lineRule="auto"/>
                    <w:jc w:val="both"/>
                    <w:rPr>
                      <w:rFonts w:ascii="Times New Roman" w:hAnsi="Times New Roman" w:cs="Times New Roman"/>
                      <w:b/>
                      <w:bCs/>
                      <w:sz w:val="24"/>
                      <w:szCs w:val="24"/>
                      <w:lang w:val="ro-MD"/>
                    </w:rPr>
                  </w:pPr>
                  <w:r w:rsidRPr="00747D4C">
                    <w:rPr>
                      <w:rFonts w:ascii="Times New Roman" w:hAnsi="Times New Roman" w:cs="Times New Roman"/>
                      <w:b/>
                      <w:sz w:val="24"/>
                      <w:szCs w:val="24"/>
                      <w:lang w:val="ro-MD"/>
                    </w:rPr>
                    <w:t xml:space="preserve">011 Științe ale educației </w:t>
                  </w:r>
                  <w:r w:rsidRPr="00747D4C">
                    <w:rPr>
                      <w:rFonts w:ascii="Times New Roman" w:hAnsi="Times New Roman" w:cs="Times New Roman"/>
                      <w:b/>
                      <w:bCs/>
                      <w:sz w:val="24"/>
                      <w:szCs w:val="24"/>
                      <w:lang w:val="ro-MD"/>
                    </w:rPr>
                    <w:t>(16 programe – 793 studenți)</w:t>
                  </w:r>
                </w:p>
                <w:p w14:paraId="645BB79F" w14:textId="77777777" w:rsidR="00557C0D" w:rsidRPr="00747D4C" w:rsidRDefault="00557C0D" w:rsidP="00A877FD">
                  <w:pPr>
                    <w:spacing w:after="0" w:line="240" w:lineRule="auto"/>
                    <w:jc w:val="both"/>
                    <w:rPr>
                      <w:rFonts w:ascii="Times New Roman" w:hAnsi="Times New Roman" w:cs="Times New Roman"/>
                      <w:b/>
                      <w:bCs/>
                      <w:sz w:val="24"/>
                      <w:szCs w:val="24"/>
                      <w:lang w:val="ro-MD"/>
                    </w:rPr>
                  </w:pPr>
                  <w:r w:rsidRPr="00747D4C">
                    <w:rPr>
                      <w:rFonts w:ascii="Times New Roman" w:hAnsi="Times New Roman" w:cs="Times New Roman"/>
                      <w:b/>
                      <w:sz w:val="24"/>
                      <w:szCs w:val="24"/>
                      <w:lang w:val="ro-MD"/>
                    </w:rPr>
                    <w:t xml:space="preserve">101 Servicii publice </w:t>
                  </w:r>
                  <w:r w:rsidRPr="00747D4C">
                    <w:rPr>
                      <w:rFonts w:ascii="Times New Roman" w:hAnsi="Times New Roman" w:cs="Times New Roman"/>
                      <w:b/>
                      <w:bCs/>
                      <w:sz w:val="24"/>
                      <w:szCs w:val="24"/>
                      <w:lang w:val="ro-MD"/>
                    </w:rPr>
                    <w:t>(2 programe – 185 studenți)</w:t>
                  </w:r>
                </w:p>
                <w:p w14:paraId="68B7BEF1" w14:textId="34690B43" w:rsidR="00557C0D" w:rsidRPr="005909A5" w:rsidRDefault="00557C0D" w:rsidP="00A877FD">
                  <w:pPr>
                    <w:spacing w:after="0" w:line="240" w:lineRule="auto"/>
                    <w:jc w:val="both"/>
                    <w:rPr>
                      <w:rFonts w:ascii="Times New Roman" w:eastAsia="Times New Roman" w:hAnsi="Times New Roman" w:cs="Times New Roman"/>
                      <w:bCs/>
                      <w:sz w:val="24"/>
                      <w:szCs w:val="24"/>
                      <w:lang w:val="ro-MD"/>
                    </w:rPr>
                  </w:pPr>
                  <w:r w:rsidRPr="00747D4C">
                    <w:rPr>
                      <w:rFonts w:ascii="Times New Roman" w:hAnsi="Times New Roman" w:cs="Times New Roman"/>
                      <w:sz w:val="24"/>
                      <w:szCs w:val="24"/>
                      <w:lang w:val="ro-MD"/>
                    </w:rPr>
                    <w:t>031 Științe sociale și comportamentale</w:t>
                  </w:r>
                  <w:r w:rsidRPr="00747D4C">
                    <w:rPr>
                      <w:rFonts w:ascii="Times New Roman" w:hAnsi="Times New Roman" w:cs="Times New Roman"/>
                      <w:bCs/>
                      <w:sz w:val="24"/>
                      <w:szCs w:val="24"/>
                      <w:lang w:val="ro-MD"/>
                    </w:rPr>
                    <w:t xml:space="preserve">, </w:t>
                  </w:r>
                  <w:r w:rsidRPr="00747D4C">
                    <w:rPr>
                      <w:rFonts w:ascii="Times New Roman" w:hAnsi="Times New Roman" w:cs="Times New Roman"/>
                      <w:sz w:val="24"/>
                      <w:szCs w:val="24"/>
                      <w:lang w:val="ro-MD"/>
                    </w:rPr>
                    <w:t xml:space="preserve">040 Științe administrative, 041 Științe economice, </w:t>
                  </w:r>
                  <w:r w:rsidRPr="00747D4C">
                    <w:rPr>
                      <w:rFonts w:ascii="Times New Roman" w:hAnsi="Times New Roman" w:cs="Times New Roman"/>
                      <w:iCs/>
                      <w:sz w:val="24"/>
                      <w:szCs w:val="24"/>
                      <w:lang w:val="ro-MD"/>
                    </w:rPr>
                    <w:t xml:space="preserve">042 Drept, </w:t>
                  </w:r>
                  <w:r w:rsidRPr="00747D4C">
                    <w:rPr>
                      <w:rFonts w:ascii="Times New Roman" w:hAnsi="Times New Roman" w:cs="Times New Roman"/>
                      <w:sz w:val="24"/>
                      <w:szCs w:val="24"/>
                      <w:lang w:val="ro-MD"/>
                    </w:rPr>
                    <w:t xml:space="preserve">022 Științe umanistice, 032 Jurnalism și informare, 050 Științe chimice, 051 Științe biologice, 052 Științe ale mediului, 053 Științe fizice, 054 Matematică și statistică, 061 Tehnologii ale informației și comunicațiilor, 07 Inginerie, tehnologii de prelucrare, arhitectură și construcții, </w:t>
                  </w:r>
                  <w:r w:rsidRPr="00747D4C">
                    <w:rPr>
                      <w:rFonts w:ascii="Times New Roman" w:hAnsi="Times New Roman" w:cs="Times New Roman"/>
                      <w:bCs/>
                      <w:sz w:val="24"/>
                      <w:szCs w:val="24"/>
                      <w:lang w:val="ro-MD"/>
                    </w:rPr>
                    <w:t>082 Silvicultură</w:t>
                  </w:r>
                </w:p>
              </w:tc>
              <w:tc>
                <w:tcPr>
                  <w:tcW w:w="5103" w:type="dxa"/>
                  <w:tcBorders>
                    <w:top w:val="single" w:sz="4" w:space="0" w:color="auto"/>
                    <w:left w:val="single" w:sz="4" w:space="0" w:color="auto"/>
                    <w:bottom w:val="single" w:sz="4" w:space="0" w:color="auto"/>
                    <w:right w:val="single" w:sz="4" w:space="0" w:color="auto"/>
                  </w:tcBorders>
                </w:tcPr>
                <w:p w14:paraId="1BC7A347" w14:textId="77777777" w:rsidR="00557C0D" w:rsidRPr="00747D4C" w:rsidRDefault="00557C0D" w:rsidP="00A877FD">
                  <w:pPr>
                    <w:spacing w:after="0" w:line="240" w:lineRule="auto"/>
                    <w:jc w:val="both"/>
                    <w:rPr>
                      <w:rFonts w:ascii="Times New Roman" w:hAnsi="Times New Roman" w:cs="Times New Roman"/>
                      <w:b/>
                      <w:bCs/>
                      <w:sz w:val="24"/>
                      <w:szCs w:val="24"/>
                      <w:lang w:val="ro-MD"/>
                    </w:rPr>
                  </w:pPr>
                  <w:r w:rsidRPr="00747D4C">
                    <w:rPr>
                      <w:rFonts w:ascii="Times New Roman" w:hAnsi="Times New Roman" w:cs="Times New Roman"/>
                      <w:b/>
                      <w:sz w:val="24"/>
                      <w:szCs w:val="24"/>
                      <w:lang w:val="ro-MD"/>
                    </w:rPr>
                    <w:t xml:space="preserve">011 Științe ale educației </w:t>
                  </w:r>
                  <w:r w:rsidRPr="00747D4C">
                    <w:rPr>
                      <w:rFonts w:ascii="Times New Roman" w:hAnsi="Times New Roman" w:cs="Times New Roman"/>
                      <w:b/>
                      <w:bCs/>
                      <w:sz w:val="24"/>
                      <w:szCs w:val="24"/>
                      <w:lang w:val="ro-MD"/>
                    </w:rPr>
                    <w:t>(2 programe – 310 studenți)</w:t>
                  </w:r>
                </w:p>
                <w:p w14:paraId="54CF8B45" w14:textId="77777777" w:rsidR="00557C0D" w:rsidRPr="00747D4C" w:rsidRDefault="00557C0D" w:rsidP="00A877FD">
                  <w:pPr>
                    <w:spacing w:after="0" w:line="240" w:lineRule="auto"/>
                    <w:jc w:val="both"/>
                    <w:rPr>
                      <w:rFonts w:ascii="Times New Roman" w:hAnsi="Times New Roman" w:cs="Times New Roman"/>
                      <w:b/>
                      <w:bCs/>
                      <w:sz w:val="24"/>
                      <w:szCs w:val="24"/>
                      <w:lang w:val="ro-MD"/>
                    </w:rPr>
                  </w:pPr>
                  <w:r w:rsidRPr="00747D4C">
                    <w:rPr>
                      <w:rFonts w:ascii="Times New Roman" w:hAnsi="Times New Roman" w:cs="Times New Roman"/>
                      <w:b/>
                      <w:bCs/>
                      <w:sz w:val="24"/>
                      <w:szCs w:val="24"/>
                      <w:lang w:val="ro-MD"/>
                    </w:rPr>
                    <w:t>101 Servicii publice (2 programe – 140 studenți)</w:t>
                  </w:r>
                </w:p>
                <w:p w14:paraId="391EC3E9" w14:textId="77777777" w:rsidR="00557C0D" w:rsidRPr="00747D4C" w:rsidRDefault="00557C0D" w:rsidP="00A877FD">
                  <w:pPr>
                    <w:spacing w:after="0" w:line="240" w:lineRule="auto"/>
                    <w:jc w:val="both"/>
                    <w:rPr>
                      <w:rFonts w:ascii="Times New Roman" w:hAnsi="Times New Roman" w:cs="Times New Roman"/>
                      <w:b/>
                      <w:bCs/>
                      <w:sz w:val="24"/>
                      <w:szCs w:val="24"/>
                      <w:lang w:val="ro-MD"/>
                    </w:rPr>
                  </w:pPr>
                  <w:r w:rsidRPr="00747D4C">
                    <w:rPr>
                      <w:rFonts w:ascii="Times New Roman" w:hAnsi="Times New Roman" w:cs="Times New Roman"/>
                      <w:sz w:val="24"/>
                      <w:szCs w:val="24"/>
                      <w:lang w:val="ro-MD"/>
                    </w:rPr>
                    <w:t xml:space="preserve">100 Științe ale Sportului </w:t>
                  </w:r>
                  <w:r w:rsidRPr="00747D4C">
                    <w:rPr>
                      <w:rFonts w:ascii="Times New Roman" w:hAnsi="Times New Roman" w:cs="Times New Roman"/>
                      <w:b/>
                      <w:bCs/>
                      <w:sz w:val="24"/>
                      <w:szCs w:val="24"/>
                      <w:lang w:val="ro-MD"/>
                    </w:rPr>
                    <w:t>(9 programe – 1060 studenți</w:t>
                  </w:r>
                </w:p>
                <w:p w14:paraId="2946119D" w14:textId="6C4EA66C" w:rsidR="00557C0D" w:rsidRPr="005909A5" w:rsidRDefault="00557C0D" w:rsidP="00A877FD">
                  <w:pPr>
                    <w:keepNext/>
                    <w:keepLines/>
                    <w:spacing w:after="0" w:line="240" w:lineRule="auto"/>
                    <w:jc w:val="both"/>
                    <w:rPr>
                      <w:rFonts w:ascii="Times New Roman" w:eastAsia="Times New Roman" w:hAnsi="Times New Roman" w:cs="Times New Roman"/>
                      <w:bCs/>
                      <w:iCs/>
                      <w:sz w:val="24"/>
                      <w:szCs w:val="24"/>
                      <w:lang w:val="ro-MD" w:eastAsia="en-US"/>
                    </w:rPr>
                  </w:pPr>
                  <w:r w:rsidRPr="00747D4C">
                    <w:rPr>
                      <w:rFonts w:ascii="Times New Roman" w:hAnsi="Times New Roman" w:cs="Times New Roman"/>
                      <w:bCs/>
                      <w:sz w:val="24"/>
                      <w:szCs w:val="24"/>
                      <w:lang w:val="ro-MD"/>
                    </w:rPr>
                    <w:t xml:space="preserve">103 Științe ale securității </w:t>
                  </w:r>
                  <w:r w:rsidRPr="00747D4C">
                    <w:rPr>
                      <w:rFonts w:ascii="Times New Roman" w:hAnsi="Times New Roman" w:cs="Times New Roman"/>
                      <w:b/>
                      <w:bCs/>
                      <w:sz w:val="24"/>
                      <w:szCs w:val="24"/>
                      <w:lang w:val="ro-MD"/>
                    </w:rPr>
                    <w:t>(3 programe – 361 studenți)</w:t>
                  </w:r>
                </w:p>
              </w:tc>
            </w:tr>
          </w:tbl>
          <w:p w14:paraId="7D4B3A6F" w14:textId="77777777" w:rsidR="00747D4C" w:rsidRDefault="00747D4C" w:rsidP="00A877FD">
            <w:pPr>
              <w:spacing w:line="276" w:lineRule="auto"/>
              <w:ind w:firstLine="709"/>
              <w:contextualSpacing/>
              <w:jc w:val="both"/>
              <w:rPr>
                <w:rFonts w:ascii="Times New Roman" w:eastAsia="Calibri" w:hAnsi="Times New Roman" w:cs="Times New Roman"/>
                <w:b/>
                <w:sz w:val="24"/>
                <w:szCs w:val="24"/>
                <w:lang w:val="ro-RO" w:eastAsia="en-US"/>
              </w:rPr>
            </w:pPr>
          </w:p>
          <w:p w14:paraId="2EDF5FEE" w14:textId="005FE78B" w:rsidR="005909A5" w:rsidRPr="005909A5" w:rsidRDefault="005909A5" w:rsidP="00A877FD">
            <w:pPr>
              <w:spacing w:line="276" w:lineRule="auto"/>
              <w:ind w:firstLine="709"/>
              <w:contextualSpacing/>
              <w:jc w:val="both"/>
              <w:rPr>
                <w:rFonts w:ascii="Times New Roman" w:eastAsia="Calibri" w:hAnsi="Times New Roman" w:cs="Times New Roman"/>
                <w:b/>
                <w:sz w:val="24"/>
                <w:szCs w:val="24"/>
                <w:lang w:val="ro-RO" w:eastAsia="en-US"/>
              </w:rPr>
            </w:pPr>
            <w:r w:rsidRPr="005909A5">
              <w:rPr>
                <w:rFonts w:ascii="Times New Roman" w:eastAsia="Calibri" w:hAnsi="Times New Roman" w:cs="Times New Roman"/>
                <w:b/>
                <w:sz w:val="24"/>
                <w:szCs w:val="24"/>
                <w:lang w:val="ro-RO" w:eastAsia="en-US"/>
              </w:rPr>
              <w:t>Proiectul</w:t>
            </w:r>
            <w:r w:rsidR="007E48C4">
              <w:rPr>
                <w:rFonts w:ascii="Times New Roman" w:eastAsia="Calibri" w:hAnsi="Times New Roman" w:cs="Times New Roman"/>
                <w:b/>
                <w:sz w:val="24"/>
                <w:szCs w:val="24"/>
                <w:lang w:val="ro-RO" w:eastAsia="en-US"/>
              </w:rPr>
              <w:t xml:space="preserve"> de HG </w:t>
            </w:r>
            <w:r w:rsidRPr="005909A5">
              <w:rPr>
                <w:rFonts w:ascii="Times New Roman" w:eastAsia="Calibri" w:hAnsi="Times New Roman" w:cs="Times New Roman"/>
                <w:b/>
                <w:sz w:val="24"/>
                <w:szCs w:val="24"/>
                <w:lang w:val="ro-RO" w:eastAsia="en-US"/>
              </w:rPr>
              <w:t xml:space="preserve"> presupune:</w:t>
            </w:r>
          </w:p>
          <w:p w14:paraId="4A6FE908" w14:textId="77777777" w:rsidR="005909A5" w:rsidRPr="005909A5" w:rsidRDefault="005909A5" w:rsidP="00A877FD">
            <w:pPr>
              <w:numPr>
                <w:ilvl w:val="0"/>
                <w:numId w:val="16"/>
              </w:numPr>
              <w:spacing w:line="276" w:lineRule="auto"/>
              <w:ind w:left="0" w:firstLine="709"/>
              <w:contextualSpacing/>
              <w:jc w:val="both"/>
              <w:rPr>
                <w:rFonts w:ascii="Times New Roman" w:eastAsia="Calibri" w:hAnsi="Times New Roman" w:cs="Times New Roman"/>
                <w:sz w:val="24"/>
                <w:szCs w:val="24"/>
                <w:lang w:val="ro-RO" w:eastAsia="en-US"/>
              </w:rPr>
            </w:pPr>
            <w:r w:rsidRPr="005909A5">
              <w:rPr>
                <w:rFonts w:ascii="Times New Roman" w:eastAsia="Calibri" w:hAnsi="Times New Roman" w:cs="Times New Roman"/>
                <w:sz w:val="24"/>
                <w:szCs w:val="24"/>
                <w:lang w:val="ro-RO" w:eastAsia="en-US"/>
              </w:rPr>
              <w:t>transferul tuturor studenților de la universitățile absorbite în anul 2024;</w:t>
            </w:r>
          </w:p>
          <w:p w14:paraId="424BA947" w14:textId="7A427A9C" w:rsidR="005909A5" w:rsidRPr="005909A5" w:rsidRDefault="005909A5" w:rsidP="00A877FD">
            <w:pPr>
              <w:numPr>
                <w:ilvl w:val="0"/>
                <w:numId w:val="16"/>
              </w:numPr>
              <w:spacing w:line="276" w:lineRule="auto"/>
              <w:ind w:left="0" w:firstLine="709"/>
              <w:contextualSpacing/>
              <w:jc w:val="both"/>
              <w:rPr>
                <w:rFonts w:ascii="Times New Roman" w:eastAsia="Calibri" w:hAnsi="Times New Roman" w:cs="Times New Roman"/>
                <w:sz w:val="24"/>
                <w:szCs w:val="24"/>
                <w:lang w:val="ro-RO" w:eastAsia="en-US"/>
              </w:rPr>
            </w:pPr>
            <w:r w:rsidRPr="005909A5">
              <w:rPr>
                <w:rFonts w:ascii="Times New Roman" w:eastAsia="Calibri" w:hAnsi="Times New Roman" w:cs="Times New Roman"/>
                <w:sz w:val="24"/>
                <w:szCs w:val="24"/>
                <w:lang w:val="ro-RO" w:eastAsia="en-US"/>
              </w:rPr>
              <w:t xml:space="preserve">studenții transferați vor finaliza </w:t>
            </w:r>
            <w:r w:rsidR="007E48C4">
              <w:rPr>
                <w:rFonts w:ascii="Times New Roman" w:eastAsia="Calibri" w:hAnsi="Times New Roman" w:cs="Times New Roman"/>
                <w:sz w:val="24"/>
                <w:szCs w:val="24"/>
                <w:lang w:val="ro-RO" w:eastAsia="en-US"/>
              </w:rPr>
              <w:t xml:space="preserve">studiile </w:t>
            </w:r>
            <w:r w:rsidRPr="005909A5">
              <w:rPr>
                <w:rFonts w:ascii="Times New Roman" w:eastAsia="Calibri" w:hAnsi="Times New Roman" w:cs="Times New Roman"/>
                <w:sz w:val="24"/>
                <w:szCs w:val="24"/>
                <w:lang w:val="ro-RO" w:eastAsia="en-US"/>
              </w:rPr>
              <w:t>la specialitățile la care au fost înmatriculați inițial și cu respectarea acelorași taxe de studii, stabilite anterior;</w:t>
            </w:r>
          </w:p>
          <w:p w14:paraId="6BA9ECAC" w14:textId="77B7E69C" w:rsidR="005909A5" w:rsidRPr="005909A5" w:rsidRDefault="005909A5" w:rsidP="00A877FD">
            <w:pPr>
              <w:numPr>
                <w:ilvl w:val="0"/>
                <w:numId w:val="16"/>
              </w:numPr>
              <w:shd w:val="clear" w:color="auto" w:fill="FFFFFF"/>
              <w:spacing w:line="276" w:lineRule="auto"/>
              <w:ind w:left="0" w:firstLine="709"/>
              <w:contextualSpacing/>
              <w:jc w:val="both"/>
              <w:rPr>
                <w:rFonts w:ascii="Times New Roman" w:eastAsia="Times New Roman" w:hAnsi="Times New Roman" w:cs="Times New Roman"/>
                <w:sz w:val="24"/>
                <w:szCs w:val="24"/>
                <w:lang w:val="ro-RO"/>
              </w:rPr>
            </w:pPr>
            <w:r w:rsidRPr="005909A5">
              <w:rPr>
                <w:rFonts w:ascii="Times New Roman" w:eastAsia="Calibri" w:hAnsi="Times New Roman" w:cs="Times New Roman"/>
                <w:sz w:val="24"/>
                <w:szCs w:val="24"/>
                <w:lang w:val="ro-RO" w:eastAsia="en-US"/>
              </w:rPr>
              <w:t xml:space="preserve">transferul/reangajarea din/în funcție a personalului din universitatea reorganizată se va realiza conform legislației muncii in vigoare, cheltuielile </w:t>
            </w:r>
            <w:r w:rsidRPr="005909A5">
              <w:rPr>
                <w:rFonts w:ascii="Times New Roman" w:eastAsia="Times New Roman" w:hAnsi="Times New Roman" w:cs="Times New Roman"/>
                <w:sz w:val="24"/>
                <w:szCs w:val="24"/>
                <w:lang w:val="ro-RO"/>
              </w:rPr>
              <w:t xml:space="preserve">ce </w:t>
            </w:r>
            <w:r w:rsidR="007E48C4" w:rsidRPr="005909A5">
              <w:rPr>
                <w:rFonts w:ascii="Times New Roman" w:eastAsia="Times New Roman" w:hAnsi="Times New Roman" w:cs="Times New Roman"/>
                <w:sz w:val="24"/>
                <w:szCs w:val="24"/>
                <w:lang w:val="ro-RO"/>
              </w:rPr>
              <w:t>țin</w:t>
            </w:r>
            <w:r w:rsidRPr="005909A5">
              <w:rPr>
                <w:rFonts w:ascii="Times New Roman" w:eastAsia="Times New Roman" w:hAnsi="Times New Roman" w:cs="Times New Roman"/>
                <w:sz w:val="24"/>
                <w:szCs w:val="24"/>
                <w:lang w:val="ro-RO"/>
              </w:rPr>
              <w:t xml:space="preserve"> de personal în legătură cu reorganizarea vor fi asigurate din contul surselor financiare ale persoanelor juridice absorbite.</w:t>
            </w:r>
          </w:p>
          <w:p w14:paraId="70E96131" w14:textId="322CFDF5" w:rsidR="005909A5" w:rsidRPr="005909A5" w:rsidRDefault="005909A5" w:rsidP="00A877FD">
            <w:pPr>
              <w:numPr>
                <w:ilvl w:val="0"/>
                <w:numId w:val="16"/>
              </w:numPr>
              <w:spacing w:line="276" w:lineRule="auto"/>
              <w:ind w:left="0" w:firstLine="709"/>
              <w:contextualSpacing/>
              <w:jc w:val="both"/>
              <w:rPr>
                <w:rFonts w:ascii="Times New Roman" w:eastAsia="Calibri" w:hAnsi="Times New Roman" w:cs="Times New Roman"/>
                <w:sz w:val="24"/>
                <w:szCs w:val="24"/>
                <w:lang w:val="ro-RO" w:eastAsia="en-US"/>
              </w:rPr>
            </w:pPr>
            <w:r w:rsidRPr="005909A5">
              <w:rPr>
                <w:rFonts w:ascii="Times New Roman" w:eastAsia="Calibri" w:hAnsi="Times New Roman" w:cs="Times New Roman"/>
                <w:sz w:val="24"/>
                <w:szCs w:val="24"/>
                <w:lang w:val="ro-RO" w:eastAsia="en-US"/>
              </w:rPr>
              <w:t xml:space="preserve">alegerea organelor de conducere a instituției reorganizate va avea loc conform principiilor autonomiei universitare (art.79 din Codul Educației, </w:t>
            </w:r>
            <w:hyperlink r:id="rId5" w:history="1">
              <w:r w:rsidR="007E48C4">
                <w:rPr>
                  <w:rFonts w:ascii="Times New Roman" w:eastAsia="Calibri" w:hAnsi="Times New Roman" w:cs="Times New Roman"/>
                  <w:sz w:val="24"/>
                  <w:szCs w:val="24"/>
                  <w:bdr w:val="none" w:sz="0" w:space="0" w:color="auto" w:frame="1"/>
                  <w:shd w:val="clear" w:color="auto" w:fill="FFFFFF"/>
                  <w:lang w:val="ro-RO" w:eastAsia="en-US"/>
                </w:rPr>
                <w:t>O</w:t>
              </w:r>
              <w:r w:rsidRPr="007E48C4">
                <w:rPr>
                  <w:rFonts w:ascii="Times New Roman" w:eastAsia="Calibri" w:hAnsi="Times New Roman" w:cs="Times New Roman"/>
                  <w:sz w:val="24"/>
                  <w:szCs w:val="24"/>
                  <w:bdr w:val="none" w:sz="0" w:space="0" w:color="auto" w:frame="1"/>
                  <w:shd w:val="clear" w:color="auto" w:fill="FFFFFF"/>
                  <w:lang w:val="ro-RO" w:eastAsia="en-US"/>
                </w:rPr>
                <w:t xml:space="preserve">rdinului </w:t>
              </w:r>
              <w:r w:rsidR="007E48C4">
                <w:rPr>
                  <w:rFonts w:ascii="Times New Roman" w:eastAsia="Calibri" w:hAnsi="Times New Roman" w:cs="Times New Roman"/>
                  <w:sz w:val="24"/>
                  <w:szCs w:val="24"/>
                  <w:bdr w:val="none" w:sz="0" w:space="0" w:color="auto" w:frame="1"/>
                  <w:shd w:val="clear" w:color="auto" w:fill="FFFFFF"/>
                  <w:lang w:val="ro-RO" w:eastAsia="en-US"/>
                </w:rPr>
                <w:t xml:space="preserve">ME </w:t>
              </w:r>
              <w:r w:rsidRPr="007E48C4">
                <w:rPr>
                  <w:rFonts w:ascii="Times New Roman" w:eastAsia="Calibri" w:hAnsi="Times New Roman" w:cs="Times New Roman"/>
                  <w:sz w:val="24"/>
                  <w:szCs w:val="24"/>
                  <w:bdr w:val="none" w:sz="0" w:space="0" w:color="auto" w:frame="1"/>
                  <w:shd w:val="clear" w:color="auto" w:fill="FFFFFF"/>
                  <w:lang w:val="ro-RO" w:eastAsia="en-US"/>
                </w:rPr>
                <w:t>nr. 10 din 14 ianuarie 2015</w:t>
              </w:r>
            </w:hyperlink>
            <w:r w:rsidR="007E48C4" w:rsidRPr="007E48C4">
              <w:rPr>
                <w:rFonts w:ascii="Times New Roman" w:eastAsia="Calibri" w:hAnsi="Times New Roman" w:cs="Times New Roman"/>
                <w:sz w:val="24"/>
                <w:szCs w:val="24"/>
                <w:bdr w:val="none" w:sz="0" w:space="0" w:color="auto" w:frame="1"/>
                <w:shd w:val="clear" w:color="auto" w:fill="FFFFFF"/>
                <w:lang w:val="ro-RO" w:eastAsia="en-US"/>
              </w:rPr>
              <w:t xml:space="preserve"> </w:t>
            </w:r>
            <w:r w:rsidRPr="005909A5">
              <w:rPr>
                <w:rFonts w:ascii="Times New Roman" w:eastAsia="Calibri" w:hAnsi="Times New Roman" w:cs="Times New Roman"/>
                <w:sz w:val="24"/>
                <w:szCs w:val="24"/>
                <w:bdr w:val="none" w:sz="0" w:space="0" w:color="auto" w:frame="1"/>
                <w:shd w:val="clear" w:color="auto" w:fill="FFFFFF"/>
                <w:lang w:val="ro-RO" w:eastAsia="en-US"/>
              </w:rPr>
              <w:t xml:space="preserve">cu privire la aprobarea și punerea în aplicare a Regulamentului-cadru privind </w:t>
            </w:r>
            <w:r w:rsidR="007E48C4" w:rsidRPr="005909A5">
              <w:rPr>
                <w:rFonts w:ascii="Times New Roman" w:eastAsia="Calibri" w:hAnsi="Times New Roman" w:cs="Times New Roman"/>
                <w:sz w:val="24"/>
                <w:szCs w:val="24"/>
                <w:bdr w:val="none" w:sz="0" w:space="0" w:color="auto" w:frame="1"/>
                <w:shd w:val="clear" w:color="auto" w:fill="FFFFFF"/>
                <w:lang w:val="ro-RO" w:eastAsia="en-US"/>
              </w:rPr>
              <w:t>organizarea</w:t>
            </w:r>
            <w:r w:rsidRPr="005909A5">
              <w:rPr>
                <w:rFonts w:ascii="Times New Roman" w:eastAsia="Calibri" w:hAnsi="Times New Roman" w:cs="Times New Roman"/>
                <w:sz w:val="24"/>
                <w:szCs w:val="24"/>
                <w:bdr w:val="none" w:sz="0" w:space="0" w:color="auto" w:frame="1"/>
                <w:shd w:val="clear" w:color="auto" w:fill="FFFFFF"/>
                <w:lang w:val="ro-RO" w:eastAsia="en-US"/>
              </w:rPr>
              <w:t xml:space="preserve"> și funcționarea organelor de conducere ale instituțiilor de învățământ superior din RM);</w:t>
            </w:r>
          </w:p>
          <w:p w14:paraId="31875F6B" w14:textId="6F78DE0A" w:rsidR="002D5481" w:rsidRPr="00EB6ACF" w:rsidRDefault="005909A5" w:rsidP="00A877FD">
            <w:pPr>
              <w:numPr>
                <w:ilvl w:val="0"/>
                <w:numId w:val="16"/>
              </w:numPr>
              <w:spacing w:line="276" w:lineRule="auto"/>
              <w:ind w:left="0" w:firstLine="709"/>
              <w:contextualSpacing/>
              <w:jc w:val="both"/>
              <w:rPr>
                <w:rFonts w:ascii="Times New Roman" w:eastAsia="Calibri" w:hAnsi="Times New Roman" w:cs="Times New Roman"/>
                <w:sz w:val="24"/>
                <w:szCs w:val="24"/>
                <w:lang w:val="ro-RO" w:eastAsia="en-US"/>
              </w:rPr>
            </w:pPr>
            <w:r w:rsidRPr="005909A5">
              <w:rPr>
                <w:rFonts w:ascii="Times New Roman" w:eastAsia="Calibri" w:hAnsi="Times New Roman" w:cs="Times New Roman"/>
                <w:sz w:val="24"/>
                <w:szCs w:val="24"/>
                <w:lang w:val="ro-RO" w:eastAsia="en-US"/>
              </w:rPr>
              <w:t>activitatea comisiilor de transmitere a bunurilor etc.</w:t>
            </w:r>
          </w:p>
          <w:p w14:paraId="4A0DA8C3" w14:textId="77777777" w:rsidR="00747D4C" w:rsidRDefault="00747D4C" w:rsidP="00A877FD">
            <w:pPr>
              <w:spacing w:line="276" w:lineRule="auto"/>
              <w:ind w:firstLine="709"/>
              <w:jc w:val="both"/>
              <w:rPr>
                <w:rFonts w:ascii="Times New Roman" w:hAnsi="Times New Roman" w:cs="Times New Roman"/>
                <w:b/>
                <w:bCs/>
                <w:sz w:val="24"/>
                <w:szCs w:val="24"/>
                <w:u w:val="single"/>
                <w:lang w:val="ro-RO"/>
              </w:rPr>
            </w:pPr>
          </w:p>
          <w:p w14:paraId="6521573C" w14:textId="6933C357" w:rsidR="005909A5" w:rsidRPr="007E48C4" w:rsidRDefault="007E48C4" w:rsidP="00A877FD">
            <w:pPr>
              <w:spacing w:line="276" w:lineRule="auto"/>
              <w:ind w:firstLine="709"/>
              <w:jc w:val="both"/>
              <w:rPr>
                <w:rFonts w:ascii="Times New Roman" w:hAnsi="Times New Roman" w:cs="Times New Roman"/>
                <w:bCs/>
                <w:sz w:val="24"/>
                <w:szCs w:val="24"/>
                <w:lang w:val="ro-RO"/>
              </w:rPr>
            </w:pPr>
            <w:r w:rsidRPr="00BC168B">
              <w:rPr>
                <w:rFonts w:ascii="Times New Roman" w:hAnsi="Times New Roman" w:cs="Times New Roman"/>
                <w:b/>
                <w:bCs/>
                <w:sz w:val="24"/>
                <w:szCs w:val="24"/>
                <w:u w:val="single"/>
                <w:lang w:val="ro-RO"/>
              </w:rPr>
              <w:t>În concluzie</w:t>
            </w:r>
            <w:r w:rsidRPr="007E48C4">
              <w:rPr>
                <w:rFonts w:ascii="Times New Roman" w:hAnsi="Times New Roman" w:cs="Times New Roman"/>
                <w:b/>
                <w:bCs/>
                <w:sz w:val="24"/>
                <w:szCs w:val="24"/>
                <w:lang w:val="ro-RO"/>
              </w:rPr>
              <w:t>,</w:t>
            </w:r>
            <w:r w:rsidRPr="007E48C4">
              <w:rPr>
                <w:rFonts w:ascii="Times New Roman" w:hAnsi="Times New Roman" w:cs="Times New Roman"/>
                <w:bCs/>
                <w:sz w:val="24"/>
                <w:szCs w:val="24"/>
                <w:lang w:val="ro-RO"/>
              </w:rPr>
              <w:t xml:space="preserve"> esența modernizării universităților constă în </w:t>
            </w:r>
            <w:r w:rsidRPr="007E48C4">
              <w:rPr>
                <w:rFonts w:ascii="Times New Roman" w:hAnsi="Times New Roman" w:cs="Times New Roman"/>
                <w:b/>
                <w:bCs/>
                <w:sz w:val="24"/>
                <w:szCs w:val="24"/>
                <w:lang w:val="ro-RO"/>
              </w:rPr>
              <w:t>integrarea universităților în centrul sistemului de valori naționale</w:t>
            </w:r>
            <w:r w:rsidRPr="007E48C4">
              <w:rPr>
                <w:rFonts w:ascii="Times New Roman" w:hAnsi="Times New Roman" w:cs="Times New Roman"/>
                <w:bCs/>
                <w:sz w:val="24"/>
                <w:szCs w:val="24"/>
                <w:lang w:val="ro-RO"/>
              </w:rPr>
              <w:t>. În universități se formează viitorii profesori, viitorii medici, viitorii judecători, viitorii ingineri, oameni de știință, administratori, specialiști în agronomie, finanțe și în multe alte ramuri ale economiei naționale. Pentru ca tinerii noștri să aibă toate șansele să trăiască mai bine aici, la noi acasă, participând la construirea unei țari într-o lume tot mai competitivă, trebuie ca ei să plece de pe băncile universităților cu o formare de nivel mondial.</w:t>
            </w:r>
          </w:p>
        </w:tc>
      </w:tr>
      <w:tr w:rsidR="003D636E" w:rsidRPr="005909A5" w14:paraId="36EF144F" w14:textId="77777777" w:rsidTr="00A877FD">
        <w:tc>
          <w:tcPr>
            <w:tcW w:w="9810" w:type="dxa"/>
            <w:shd w:val="clear" w:color="auto" w:fill="D9D9D9" w:themeFill="background1" w:themeFillShade="D9"/>
          </w:tcPr>
          <w:p w14:paraId="21AAF7BF" w14:textId="54FF42DE" w:rsidR="003D636E" w:rsidRPr="005909A5" w:rsidRDefault="002A3C3C" w:rsidP="00A877FD">
            <w:pPr>
              <w:spacing w:line="276" w:lineRule="auto"/>
              <w:ind w:firstLine="709"/>
              <w:jc w:val="both"/>
              <w:rPr>
                <w:rFonts w:ascii="Times New Roman" w:hAnsi="Times New Roman" w:cs="Times New Roman"/>
                <w:b/>
                <w:sz w:val="24"/>
                <w:szCs w:val="24"/>
                <w:lang w:val="ro-RO"/>
              </w:rPr>
            </w:pPr>
            <w:r w:rsidRPr="005909A5">
              <w:rPr>
                <w:rFonts w:ascii="Times New Roman" w:hAnsi="Times New Roman" w:cs="Times New Roman"/>
                <w:b/>
                <w:sz w:val="24"/>
                <w:szCs w:val="24"/>
                <w:lang w:val="ro-RO"/>
              </w:rPr>
              <w:lastRenderedPageBreak/>
              <w:t>5</w:t>
            </w:r>
            <w:r w:rsidR="003D636E" w:rsidRPr="005909A5">
              <w:rPr>
                <w:rFonts w:ascii="Times New Roman" w:hAnsi="Times New Roman" w:cs="Times New Roman"/>
                <w:b/>
                <w:sz w:val="24"/>
                <w:szCs w:val="24"/>
                <w:lang w:val="ro-RO"/>
              </w:rPr>
              <w:t xml:space="preserve">. Fundamentarea </w:t>
            </w:r>
            <w:proofErr w:type="spellStart"/>
            <w:r w:rsidR="003D636E" w:rsidRPr="005909A5">
              <w:rPr>
                <w:rFonts w:ascii="Times New Roman" w:hAnsi="Times New Roman" w:cs="Times New Roman"/>
                <w:b/>
                <w:sz w:val="24"/>
                <w:szCs w:val="24"/>
                <w:lang w:val="ro-RO"/>
              </w:rPr>
              <w:t>economico</w:t>
            </w:r>
            <w:proofErr w:type="spellEnd"/>
            <w:r w:rsidR="003D636E" w:rsidRPr="005909A5">
              <w:rPr>
                <w:rFonts w:ascii="Times New Roman" w:hAnsi="Times New Roman" w:cs="Times New Roman"/>
                <w:b/>
                <w:sz w:val="24"/>
                <w:szCs w:val="24"/>
                <w:lang w:val="ro-RO"/>
              </w:rPr>
              <w:t>-financiară</w:t>
            </w:r>
          </w:p>
        </w:tc>
      </w:tr>
      <w:tr w:rsidR="003D636E" w:rsidRPr="005909A5" w14:paraId="294D2AFE" w14:textId="77777777" w:rsidTr="00A877FD">
        <w:tc>
          <w:tcPr>
            <w:tcW w:w="9810" w:type="dxa"/>
            <w:shd w:val="clear" w:color="auto" w:fill="FFFFFF" w:themeFill="background1"/>
          </w:tcPr>
          <w:p w14:paraId="0CEADDD7" w14:textId="57C4273E" w:rsidR="00615451" w:rsidRPr="005909A5" w:rsidRDefault="005D0596" w:rsidP="00A877FD">
            <w:pPr>
              <w:spacing w:line="276" w:lineRule="auto"/>
              <w:ind w:firstLine="709"/>
              <w:jc w:val="both"/>
              <w:rPr>
                <w:rFonts w:ascii="Times New Roman" w:hAnsi="Times New Roman" w:cs="Times New Roman"/>
                <w:bCs/>
                <w:sz w:val="24"/>
                <w:szCs w:val="24"/>
                <w:lang w:val="ro-RO"/>
              </w:rPr>
            </w:pPr>
            <w:r w:rsidRPr="005D0596">
              <w:rPr>
                <w:rFonts w:ascii="Times New Roman" w:hAnsi="Times New Roman" w:cs="Times New Roman"/>
                <w:bCs/>
                <w:sz w:val="24"/>
                <w:szCs w:val="24"/>
                <w:lang w:val="ro-RO"/>
              </w:rPr>
              <w:t>Proiectul se  încadrează în limitele alocațiilor bugetare aprobate în acest scop.</w:t>
            </w:r>
          </w:p>
        </w:tc>
      </w:tr>
      <w:tr w:rsidR="003D636E" w:rsidRPr="005909A5" w14:paraId="721F272C" w14:textId="77777777" w:rsidTr="00A877FD">
        <w:tc>
          <w:tcPr>
            <w:tcW w:w="9810" w:type="dxa"/>
            <w:shd w:val="clear" w:color="auto" w:fill="D9D9D9" w:themeFill="background1" w:themeFillShade="D9"/>
          </w:tcPr>
          <w:p w14:paraId="2B979AEC" w14:textId="453C39C2" w:rsidR="003D636E" w:rsidRPr="005909A5" w:rsidRDefault="002A3C3C" w:rsidP="00A877FD">
            <w:pPr>
              <w:spacing w:line="276" w:lineRule="auto"/>
              <w:ind w:firstLine="709"/>
              <w:jc w:val="both"/>
              <w:rPr>
                <w:rFonts w:ascii="Times New Roman" w:hAnsi="Times New Roman" w:cs="Times New Roman"/>
                <w:b/>
                <w:sz w:val="24"/>
                <w:szCs w:val="24"/>
                <w:lang w:val="ro-RO"/>
              </w:rPr>
            </w:pPr>
            <w:r w:rsidRPr="005909A5">
              <w:rPr>
                <w:rFonts w:ascii="Times New Roman" w:hAnsi="Times New Roman" w:cs="Times New Roman"/>
                <w:b/>
                <w:sz w:val="24"/>
                <w:szCs w:val="24"/>
                <w:lang w:val="ro-RO"/>
              </w:rPr>
              <w:t>6</w:t>
            </w:r>
            <w:r w:rsidR="003D636E" w:rsidRPr="005909A5">
              <w:rPr>
                <w:rFonts w:ascii="Times New Roman" w:hAnsi="Times New Roman" w:cs="Times New Roman"/>
                <w:b/>
                <w:sz w:val="24"/>
                <w:szCs w:val="24"/>
                <w:lang w:val="ro-RO"/>
              </w:rPr>
              <w:t xml:space="preserve">. </w:t>
            </w:r>
            <w:r w:rsidR="00907FB0" w:rsidRPr="005909A5">
              <w:rPr>
                <w:rFonts w:ascii="Times New Roman" w:hAnsi="Times New Roman" w:cs="Times New Roman"/>
                <w:b/>
                <w:sz w:val="24"/>
                <w:szCs w:val="24"/>
                <w:lang w:val="ro-RO"/>
              </w:rPr>
              <w:t>Modul de încorporare a actului în cadrul normativ în vigoare</w:t>
            </w:r>
          </w:p>
        </w:tc>
      </w:tr>
      <w:tr w:rsidR="003D636E" w:rsidRPr="005909A5" w14:paraId="0CDD7BF2" w14:textId="77777777" w:rsidTr="00A877FD">
        <w:tc>
          <w:tcPr>
            <w:tcW w:w="9810" w:type="dxa"/>
            <w:shd w:val="clear" w:color="auto" w:fill="FFFFFF" w:themeFill="background1"/>
          </w:tcPr>
          <w:p w14:paraId="302EC237" w14:textId="241C9A25" w:rsidR="004C6111" w:rsidRPr="005909A5" w:rsidRDefault="00A45C75" w:rsidP="00A877FD">
            <w:pPr>
              <w:spacing w:line="276" w:lineRule="auto"/>
              <w:ind w:firstLine="709"/>
              <w:jc w:val="both"/>
              <w:rPr>
                <w:rFonts w:ascii="Times New Roman" w:hAnsi="Times New Roman" w:cs="Times New Roman"/>
                <w:sz w:val="24"/>
                <w:szCs w:val="24"/>
                <w:lang w:val="ro-RO"/>
              </w:rPr>
            </w:pPr>
            <w:r w:rsidRPr="00A45C75">
              <w:rPr>
                <w:rFonts w:ascii="Times New Roman" w:hAnsi="Times New Roman" w:cs="Times New Roman"/>
                <w:bCs/>
                <w:sz w:val="24"/>
                <w:szCs w:val="24"/>
                <w:lang w:val="ro-RO"/>
              </w:rPr>
              <w:t>Proiectul se încorporează în sistemul actelor normative și nu necesita abrogarea unor acte normative. Totodată, a fi  urmează a fi introduse modificări în Hotărârea Guvernului nr.351/2005 cu privire la aprobarea listei bunurilor imobile proprietate publică a statului și la transmiterea unor imobile</w:t>
            </w:r>
            <w:r>
              <w:rPr>
                <w:rFonts w:ascii="Times New Roman" w:hAnsi="Times New Roman" w:cs="Times New Roman"/>
                <w:bCs/>
                <w:sz w:val="24"/>
                <w:szCs w:val="24"/>
                <w:lang w:val="ro-RO"/>
              </w:rPr>
              <w:t>.</w:t>
            </w:r>
          </w:p>
        </w:tc>
      </w:tr>
      <w:tr w:rsidR="00907FB0" w:rsidRPr="005909A5" w14:paraId="0997D475" w14:textId="77777777" w:rsidTr="00A877FD">
        <w:tc>
          <w:tcPr>
            <w:tcW w:w="9810" w:type="dxa"/>
            <w:shd w:val="clear" w:color="auto" w:fill="D9D9D9" w:themeFill="background1" w:themeFillShade="D9"/>
          </w:tcPr>
          <w:p w14:paraId="516E253F" w14:textId="0BBC51F9" w:rsidR="00907FB0" w:rsidRPr="005909A5" w:rsidRDefault="002A3C3C" w:rsidP="00A877FD">
            <w:pPr>
              <w:spacing w:line="276" w:lineRule="auto"/>
              <w:ind w:firstLine="709"/>
              <w:jc w:val="both"/>
              <w:rPr>
                <w:rFonts w:ascii="Times New Roman" w:hAnsi="Times New Roman" w:cs="Times New Roman"/>
                <w:b/>
                <w:sz w:val="24"/>
                <w:szCs w:val="24"/>
                <w:lang w:val="ro-RO"/>
              </w:rPr>
            </w:pPr>
            <w:r w:rsidRPr="005909A5">
              <w:rPr>
                <w:rFonts w:ascii="Times New Roman" w:hAnsi="Times New Roman" w:cs="Times New Roman"/>
                <w:b/>
                <w:sz w:val="24"/>
                <w:szCs w:val="24"/>
                <w:lang w:val="ro-RO"/>
              </w:rPr>
              <w:t>7</w:t>
            </w:r>
            <w:r w:rsidR="00907FB0" w:rsidRPr="005909A5">
              <w:rPr>
                <w:rFonts w:ascii="Times New Roman" w:hAnsi="Times New Roman" w:cs="Times New Roman"/>
                <w:b/>
                <w:sz w:val="24"/>
                <w:szCs w:val="24"/>
                <w:lang w:val="ro-RO"/>
              </w:rPr>
              <w:t>. Avizarea și consultarea publică a proiectului</w:t>
            </w:r>
          </w:p>
        </w:tc>
      </w:tr>
      <w:tr w:rsidR="00907FB0" w:rsidRPr="005909A5" w14:paraId="3C19C3D5" w14:textId="77777777" w:rsidTr="00A877FD">
        <w:tc>
          <w:tcPr>
            <w:tcW w:w="9810" w:type="dxa"/>
          </w:tcPr>
          <w:p w14:paraId="20BE3591" w14:textId="0AEB1C06" w:rsidR="00B41180" w:rsidRPr="005909A5" w:rsidRDefault="00D031A1" w:rsidP="00A877FD">
            <w:pPr>
              <w:spacing w:line="276" w:lineRule="auto"/>
              <w:ind w:firstLine="709"/>
              <w:jc w:val="both"/>
              <w:rPr>
                <w:rFonts w:ascii="Times New Roman" w:hAnsi="Times New Roman" w:cs="Times New Roman"/>
                <w:sz w:val="24"/>
                <w:szCs w:val="24"/>
                <w:lang w:val="ro-RO"/>
              </w:rPr>
            </w:pPr>
            <w:r w:rsidRPr="005909A5">
              <w:rPr>
                <w:rFonts w:ascii="Times New Roman" w:hAnsi="Times New Roman" w:cs="Times New Roman"/>
                <w:sz w:val="24"/>
                <w:szCs w:val="24"/>
                <w:lang w:val="ro-RO"/>
              </w:rPr>
              <w:t xml:space="preserve">În scopul respectării prevederilor Legii nr. 239/2008 privind transparența în procesul decizional, </w:t>
            </w:r>
            <w:r w:rsidR="00093B2A" w:rsidRPr="005909A5">
              <w:rPr>
                <w:rFonts w:ascii="Times New Roman" w:hAnsi="Times New Roman" w:cs="Times New Roman"/>
                <w:sz w:val="24"/>
                <w:szCs w:val="24"/>
                <w:lang w:val="ro-RO"/>
              </w:rPr>
              <w:t xml:space="preserve">pe pagina web oficială a Ministerului Educației și Cercetării www.mec.gov.md, </w:t>
            </w:r>
            <w:r w:rsidR="00EB6ACF">
              <w:rPr>
                <w:rFonts w:ascii="Times New Roman" w:hAnsi="Times New Roman" w:cs="Times New Roman"/>
                <w:sz w:val="24"/>
                <w:szCs w:val="24"/>
                <w:lang w:val="ro-RO"/>
              </w:rPr>
              <w:t xml:space="preserve">la </w:t>
            </w:r>
            <w:r w:rsidR="00093B2A" w:rsidRPr="005909A5">
              <w:rPr>
                <w:rFonts w:ascii="Times New Roman" w:hAnsi="Times New Roman" w:cs="Times New Roman"/>
                <w:sz w:val="24"/>
                <w:szCs w:val="24"/>
                <w:lang w:val="ro-RO"/>
              </w:rPr>
              <w:t xml:space="preserve">compartimentul Transparența decizională </w:t>
            </w:r>
            <w:r w:rsidR="00A45C75">
              <w:rPr>
                <w:rFonts w:ascii="Times New Roman" w:hAnsi="Times New Roman" w:cs="Times New Roman"/>
                <w:sz w:val="24"/>
                <w:szCs w:val="24"/>
                <w:lang w:val="ro-RO"/>
              </w:rPr>
              <w:t>va fi</w:t>
            </w:r>
            <w:r w:rsidR="00093B2A" w:rsidRPr="005909A5">
              <w:rPr>
                <w:rFonts w:ascii="Times New Roman" w:hAnsi="Times New Roman" w:cs="Times New Roman"/>
                <w:sz w:val="24"/>
                <w:szCs w:val="24"/>
                <w:lang w:val="ro-RO"/>
              </w:rPr>
              <w:t xml:space="preserve"> asigurată </w:t>
            </w:r>
            <w:r w:rsidR="00093B2A" w:rsidRPr="005909A5">
              <w:rPr>
                <w:rStyle w:val="Hyperlink"/>
                <w:rFonts w:ascii="Times New Roman" w:hAnsi="Times New Roman" w:cs="Times New Roman"/>
                <w:color w:val="000000" w:themeColor="text1"/>
                <w:sz w:val="24"/>
                <w:szCs w:val="24"/>
                <w:u w:val="none"/>
                <w:lang w:val="ro-RO"/>
              </w:rPr>
              <w:t>consultarea publică a proiectul</w:t>
            </w:r>
            <w:r w:rsidR="00A45C75">
              <w:rPr>
                <w:rStyle w:val="Hyperlink"/>
                <w:rFonts w:ascii="Times New Roman" w:hAnsi="Times New Roman" w:cs="Times New Roman"/>
                <w:color w:val="000000" w:themeColor="text1"/>
                <w:sz w:val="24"/>
                <w:szCs w:val="24"/>
                <w:u w:val="none"/>
                <w:lang w:val="ro-RO"/>
              </w:rPr>
              <w:t>ui însoțit de nota informativă.</w:t>
            </w:r>
            <w:r w:rsidR="00093B2A" w:rsidRPr="005909A5">
              <w:rPr>
                <w:rStyle w:val="Hyperlink"/>
                <w:rFonts w:ascii="Times New Roman" w:hAnsi="Times New Roman" w:cs="Times New Roman"/>
                <w:color w:val="000000" w:themeColor="text1"/>
                <w:sz w:val="24"/>
                <w:szCs w:val="24"/>
                <w:u w:val="none"/>
                <w:lang w:val="ro-RO"/>
              </w:rPr>
              <w:t xml:space="preserve"> </w:t>
            </w:r>
          </w:p>
        </w:tc>
      </w:tr>
      <w:tr w:rsidR="002A3C3C" w:rsidRPr="005909A5" w14:paraId="0D807033" w14:textId="77777777" w:rsidTr="00A877FD">
        <w:tc>
          <w:tcPr>
            <w:tcW w:w="9810" w:type="dxa"/>
            <w:shd w:val="clear" w:color="auto" w:fill="D9D9D9" w:themeFill="background1" w:themeFillShade="D9"/>
          </w:tcPr>
          <w:p w14:paraId="15C6FA63" w14:textId="115DF1D3" w:rsidR="002A3C3C" w:rsidRPr="005909A5" w:rsidRDefault="002A3C3C" w:rsidP="00A877FD">
            <w:pPr>
              <w:spacing w:line="276" w:lineRule="auto"/>
              <w:ind w:firstLine="709"/>
              <w:jc w:val="both"/>
              <w:rPr>
                <w:rFonts w:ascii="Times New Roman" w:hAnsi="Times New Roman" w:cs="Times New Roman"/>
                <w:b/>
                <w:sz w:val="24"/>
                <w:szCs w:val="24"/>
                <w:lang w:val="ro-RO"/>
              </w:rPr>
            </w:pPr>
            <w:r w:rsidRPr="005909A5">
              <w:rPr>
                <w:rFonts w:ascii="Times New Roman" w:hAnsi="Times New Roman" w:cs="Times New Roman"/>
                <w:b/>
                <w:sz w:val="24"/>
                <w:szCs w:val="24"/>
                <w:lang w:val="ro-RO"/>
              </w:rPr>
              <w:t>8. Constatările expertizei anticorupție</w:t>
            </w:r>
          </w:p>
        </w:tc>
      </w:tr>
      <w:tr w:rsidR="002A3C3C" w:rsidRPr="005909A5" w14:paraId="1CD514FA" w14:textId="77777777" w:rsidTr="00A877FD">
        <w:tc>
          <w:tcPr>
            <w:tcW w:w="9810" w:type="dxa"/>
          </w:tcPr>
          <w:p w14:paraId="0910252C" w14:textId="77777777" w:rsidR="00F100B0" w:rsidRDefault="00F100B0" w:rsidP="00A877FD">
            <w:pPr>
              <w:spacing w:line="276" w:lineRule="auto"/>
              <w:ind w:firstLine="709"/>
              <w:jc w:val="both"/>
              <w:rPr>
                <w:rFonts w:ascii="Times New Roman" w:hAnsi="Times New Roman" w:cs="Times New Roman"/>
                <w:sz w:val="24"/>
                <w:szCs w:val="24"/>
                <w:lang w:val="ro-RO"/>
              </w:rPr>
            </w:pPr>
            <w:r w:rsidRPr="005909A5">
              <w:rPr>
                <w:rFonts w:ascii="Times New Roman" w:hAnsi="Times New Roman" w:cs="Times New Roman"/>
                <w:sz w:val="24"/>
                <w:szCs w:val="24"/>
                <w:lang w:val="ro-RO"/>
              </w:rPr>
              <w:t xml:space="preserve">Proiectul </w:t>
            </w:r>
            <w:r w:rsidR="00A45C75">
              <w:rPr>
                <w:rFonts w:ascii="Times New Roman" w:hAnsi="Times New Roman" w:cs="Times New Roman"/>
                <w:sz w:val="24"/>
                <w:szCs w:val="24"/>
                <w:lang w:val="ro-RO"/>
              </w:rPr>
              <w:t>va fi supus expertizei anticorupție, în conformitate cu legislația.</w:t>
            </w:r>
          </w:p>
          <w:p w14:paraId="739E594F" w14:textId="52D6D759" w:rsidR="00747D4C" w:rsidRPr="005909A5" w:rsidRDefault="00747D4C" w:rsidP="00A877FD">
            <w:pPr>
              <w:spacing w:line="276" w:lineRule="auto"/>
              <w:ind w:firstLine="709"/>
              <w:jc w:val="both"/>
              <w:rPr>
                <w:rFonts w:ascii="Times New Roman" w:hAnsi="Times New Roman" w:cs="Times New Roman"/>
                <w:sz w:val="24"/>
                <w:szCs w:val="24"/>
                <w:lang w:val="ro-RO"/>
              </w:rPr>
            </w:pPr>
          </w:p>
        </w:tc>
      </w:tr>
      <w:tr w:rsidR="002A3C3C" w:rsidRPr="005909A5" w14:paraId="418BF3F7" w14:textId="77777777" w:rsidTr="00A877FD">
        <w:tc>
          <w:tcPr>
            <w:tcW w:w="9810" w:type="dxa"/>
            <w:shd w:val="clear" w:color="auto" w:fill="D9D9D9" w:themeFill="background1" w:themeFillShade="D9"/>
          </w:tcPr>
          <w:p w14:paraId="70E5F8F0" w14:textId="5725231C" w:rsidR="002A3C3C" w:rsidRPr="005909A5" w:rsidRDefault="002A3C3C" w:rsidP="00A877FD">
            <w:pPr>
              <w:spacing w:line="276" w:lineRule="auto"/>
              <w:ind w:firstLine="709"/>
              <w:jc w:val="both"/>
              <w:rPr>
                <w:rFonts w:ascii="Times New Roman" w:hAnsi="Times New Roman" w:cs="Times New Roman"/>
                <w:b/>
                <w:sz w:val="24"/>
                <w:szCs w:val="24"/>
                <w:lang w:val="ro-RO"/>
              </w:rPr>
            </w:pPr>
            <w:r w:rsidRPr="005909A5">
              <w:rPr>
                <w:rFonts w:ascii="Times New Roman" w:hAnsi="Times New Roman" w:cs="Times New Roman"/>
                <w:b/>
                <w:sz w:val="24"/>
                <w:szCs w:val="24"/>
                <w:lang w:val="ro-RO"/>
              </w:rPr>
              <w:lastRenderedPageBreak/>
              <w:t>9. Constatările expertizei de compatibilitate cu legislația Uniunii Europene</w:t>
            </w:r>
          </w:p>
        </w:tc>
      </w:tr>
      <w:tr w:rsidR="002A3C3C" w:rsidRPr="005909A5" w14:paraId="59249A1E" w14:textId="77777777" w:rsidTr="00A877FD">
        <w:tc>
          <w:tcPr>
            <w:tcW w:w="9810" w:type="dxa"/>
          </w:tcPr>
          <w:p w14:paraId="207C3C5E" w14:textId="3C4B82CC" w:rsidR="00B41180" w:rsidRPr="005909A5" w:rsidRDefault="00A45C75" w:rsidP="00A877FD">
            <w:pPr>
              <w:spacing w:line="276" w:lineRule="auto"/>
              <w:ind w:firstLine="709"/>
              <w:jc w:val="both"/>
              <w:rPr>
                <w:rFonts w:ascii="Times New Roman" w:hAnsi="Times New Roman" w:cs="Times New Roman"/>
                <w:sz w:val="24"/>
                <w:szCs w:val="24"/>
                <w:lang w:val="ro-RO"/>
              </w:rPr>
            </w:pPr>
            <w:r w:rsidRPr="00A45C75">
              <w:rPr>
                <w:rFonts w:ascii="Times New Roman" w:hAnsi="Times New Roman" w:cs="Times New Roman"/>
                <w:sz w:val="24"/>
                <w:szCs w:val="24"/>
                <w:lang w:val="ro-RO"/>
              </w:rPr>
              <w:t>Nu necesită efectuarea expertizei de compatibilitate, dat fiind faptul că proiectul de hotărâre nu prezintă relevanță UE.</w:t>
            </w:r>
          </w:p>
        </w:tc>
      </w:tr>
      <w:tr w:rsidR="002A3C3C" w:rsidRPr="005909A5" w14:paraId="799F8D0D" w14:textId="77777777" w:rsidTr="00A877FD">
        <w:tc>
          <w:tcPr>
            <w:tcW w:w="9810" w:type="dxa"/>
            <w:shd w:val="clear" w:color="auto" w:fill="D9D9D9" w:themeFill="background1" w:themeFillShade="D9"/>
          </w:tcPr>
          <w:p w14:paraId="135687AC" w14:textId="78DB5C48" w:rsidR="002A3C3C" w:rsidRPr="005909A5" w:rsidRDefault="00B41180" w:rsidP="00A877FD">
            <w:pPr>
              <w:spacing w:line="276" w:lineRule="auto"/>
              <w:ind w:firstLine="709"/>
              <w:jc w:val="both"/>
              <w:rPr>
                <w:rFonts w:ascii="Times New Roman" w:hAnsi="Times New Roman" w:cs="Times New Roman"/>
                <w:b/>
                <w:sz w:val="24"/>
                <w:szCs w:val="24"/>
                <w:lang w:val="ro-RO"/>
              </w:rPr>
            </w:pPr>
            <w:r w:rsidRPr="005909A5">
              <w:rPr>
                <w:rFonts w:ascii="Times New Roman" w:hAnsi="Times New Roman" w:cs="Times New Roman"/>
                <w:b/>
                <w:sz w:val="24"/>
                <w:szCs w:val="24"/>
                <w:lang w:val="ro-RO"/>
              </w:rPr>
              <w:t>10. Constatările expertizei juridice</w:t>
            </w:r>
          </w:p>
        </w:tc>
      </w:tr>
      <w:tr w:rsidR="002A3C3C" w:rsidRPr="005909A5" w14:paraId="3987026B" w14:textId="77777777" w:rsidTr="00A877FD">
        <w:tc>
          <w:tcPr>
            <w:tcW w:w="9810" w:type="dxa"/>
          </w:tcPr>
          <w:p w14:paraId="1FF5F364" w14:textId="01D9B8E8" w:rsidR="00810682" w:rsidRPr="005909A5" w:rsidRDefault="00590746" w:rsidP="00A877FD">
            <w:pPr>
              <w:spacing w:line="276" w:lineRule="auto"/>
              <w:ind w:firstLine="709"/>
              <w:jc w:val="both"/>
              <w:rPr>
                <w:rFonts w:ascii="Times New Roman" w:hAnsi="Times New Roman" w:cs="Times New Roman"/>
                <w:sz w:val="24"/>
                <w:szCs w:val="24"/>
                <w:lang w:val="ro-RO"/>
              </w:rPr>
            </w:pPr>
            <w:r w:rsidRPr="005909A5">
              <w:rPr>
                <w:rFonts w:ascii="Times New Roman" w:hAnsi="Times New Roman" w:cs="Times New Roman"/>
                <w:sz w:val="24"/>
                <w:szCs w:val="24"/>
                <w:lang w:val="ro-RO"/>
              </w:rPr>
              <w:t xml:space="preserve">Proiectul </w:t>
            </w:r>
            <w:r w:rsidR="00A45C75">
              <w:rPr>
                <w:rFonts w:ascii="Times New Roman" w:hAnsi="Times New Roman" w:cs="Times New Roman"/>
                <w:sz w:val="24"/>
                <w:szCs w:val="24"/>
                <w:lang w:val="ro-RO"/>
              </w:rPr>
              <w:t>v</w:t>
            </w:r>
            <w:r w:rsidRPr="005909A5">
              <w:rPr>
                <w:rFonts w:ascii="Times New Roman" w:hAnsi="Times New Roman" w:cs="Times New Roman"/>
                <w:sz w:val="24"/>
                <w:szCs w:val="24"/>
                <w:lang w:val="ro-RO"/>
              </w:rPr>
              <w:t>a fost expertizat, în conformitate cu legislația, de către Ministerul Justiției</w:t>
            </w:r>
          </w:p>
        </w:tc>
      </w:tr>
      <w:tr w:rsidR="002A3C3C" w:rsidRPr="005909A5" w14:paraId="2AD2C8D8" w14:textId="77777777" w:rsidTr="00A877FD">
        <w:tc>
          <w:tcPr>
            <w:tcW w:w="9810" w:type="dxa"/>
            <w:shd w:val="clear" w:color="auto" w:fill="D9D9D9" w:themeFill="background1" w:themeFillShade="D9"/>
          </w:tcPr>
          <w:p w14:paraId="727FC5C3" w14:textId="5C8EB2E7" w:rsidR="002A3C3C" w:rsidRPr="005909A5" w:rsidRDefault="00B41180" w:rsidP="00A877FD">
            <w:pPr>
              <w:spacing w:line="276" w:lineRule="auto"/>
              <w:ind w:firstLine="709"/>
              <w:jc w:val="both"/>
              <w:rPr>
                <w:rFonts w:ascii="Times New Roman" w:hAnsi="Times New Roman" w:cs="Times New Roman"/>
                <w:b/>
                <w:sz w:val="24"/>
                <w:szCs w:val="24"/>
                <w:lang w:val="ro-RO"/>
              </w:rPr>
            </w:pPr>
            <w:r w:rsidRPr="005909A5">
              <w:rPr>
                <w:rFonts w:ascii="Times New Roman" w:hAnsi="Times New Roman" w:cs="Times New Roman"/>
                <w:b/>
                <w:sz w:val="24"/>
                <w:szCs w:val="24"/>
                <w:lang w:val="ro-RO"/>
              </w:rPr>
              <w:t>11.Constatările altor expertize</w:t>
            </w:r>
          </w:p>
        </w:tc>
      </w:tr>
      <w:tr w:rsidR="002A3C3C" w:rsidRPr="005909A5" w14:paraId="1EB62C9D" w14:textId="77777777" w:rsidTr="00A877FD">
        <w:tc>
          <w:tcPr>
            <w:tcW w:w="9810" w:type="dxa"/>
          </w:tcPr>
          <w:p w14:paraId="25509022" w14:textId="509FB51B" w:rsidR="00B41180" w:rsidRPr="005909A5" w:rsidRDefault="00B41180" w:rsidP="00A877FD">
            <w:pPr>
              <w:spacing w:line="276" w:lineRule="auto"/>
              <w:ind w:firstLine="709"/>
              <w:jc w:val="both"/>
              <w:rPr>
                <w:rFonts w:ascii="Times New Roman" w:hAnsi="Times New Roman" w:cs="Times New Roman"/>
                <w:sz w:val="24"/>
                <w:szCs w:val="24"/>
                <w:lang w:val="ro-RO"/>
              </w:rPr>
            </w:pPr>
            <w:r w:rsidRPr="005909A5">
              <w:rPr>
                <w:rFonts w:ascii="Times New Roman" w:hAnsi="Times New Roman" w:cs="Times New Roman"/>
                <w:sz w:val="24"/>
                <w:szCs w:val="24"/>
                <w:lang w:val="ro-RO"/>
              </w:rPr>
              <w:t>Proiectul nu cade sub incidența altor expertize necesare a fi efectuate în condițiile Legii nr.100/2017.</w:t>
            </w:r>
          </w:p>
        </w:tc>
      </w:tr>
    </w:tbl>
    <w:p w14:paraId="42BE0E71" w14:textId="77777777" w:rsidR="00F97ACA" w:rsidRPr="005909A5" w:rsidRDefault="00F97ACA" w:rsidP="00A877FD">
      <w:pPr>
        <w:spacing w:after="0"/>
        <w:ind w:firstLine="709"/>
        <w:jc w:val="both"/>
        <w:rPr>
          <w:rFonts w:ascii="Times New Roman" w:eastAsia="Times New Roman" w:hAnsi="Times New Roman" w:cs="Times New Roman"/>
          <w:b/>
          <w:sz w:val="24"/>
          <w:szCs w:val="24"/>
          <w:lang w:val="ro-RO"/>
        </w:rPr>
      </w:pPr>
      <w:bookmarkStart w:id="1" w:name="_Hlk25140639"/>
      <w:bookmarkStart w:id="2" w:name="_Hlk58310282"/>
    </w:p>
    <w:p w14:paraId="42A3BF5A" w14:textId="77777777" w:rsidR="007D1D09" w:rsidRDefault="007D1D09" w:rsidP="00A877FD">
      <w:pPr>
        <w:spacing w:after="0"/>
        <w:ind w:firstLine="709"/>
        <w:jc w:val="center"/>
        <w:rPr>
          <w:rFonts w:ascii="Times New Roman" w:eastAsia="Times New Roman" w:hAnsi="Times New Roman" w:cs="Times New Roman"/>
          <w:b/>
          <w:sz w:val="24"/>
          <w:szCs w:val="24"/>
          <w:lang w:val="ro-RO"/>
        </w:rPr>
      </w:pPr>
      <w:bookmarkStart w:id="3" w:name="_Hlk92784058"/>
    </w:p>
    <w:p w14:paraId="4B6EC4C7" w14:textId="77777777" w:rsidR="00747D4C" w:rsidRPr="005909A5" w:rsidRDefault="00747D4C" w:rsidP="00A877FD">
      <w:pPr>
        <w:spacing w:after="0"/>
        <w:ind w:firstLine="709"/>
        <w:jc w:val="center"/>
        <w:rPr>
          <w:rFonts w:ascii="Times New Roman" w:eastAsia="Times New Roman" w:hAnsi="Times New Roman" w:cs="Times New Roman"/>
          <w:b/>
          <w:sz w:val="24"/>
          <w:szCs w:val="24"/>
          <w:lang w:val="ro-RO"/>
        </w:rPr>
      </w:pPr>
    </w:p>
    <w:p w14:paraId="7C91EED1" w14:textId="4E0E83E6" w:rsidR="00F97ACA" w:rsidRPr="005909A5" w:rsidRDefault="00F97ACA" w:rsidP="00A877FD">
      <w:pPr>
        <w:spacing w:after="0"/>
        <w:ind w:firstLine="709"/>
        <w:jc w:val="center"/>
        <w:rPr>
          <w:rFonts w:ascii="Times New Roman" w:eastAsia="Times New Roman" w:hAnsi="Times New Roman" w:cs="Times New Roman"/>
          <w:b/>
          <w:sz w:val="24"/>
          <w:szCs w:val="24"/>
          <w:lang w:val="ro-RO"/>
        </w:rPr>
      </w:pPr>
      <w:r w:rsidRPr="005909A5">
        <w:rPr>
          <w:rFonts w:ascii="Times New Roman" w:eastAsia="Times New Roman" w:hAnsi="Times New Roman" w:cs="Times New Roman"/>
          <w:b/>
          <w:sz w:val="24"/>
          <w:szCs w:val="24"/>
          <w:lang w:val="ro-RO"/>
        </w:rPr>
        <w:t xml:space="preserve">Ministru </w:t>
      </w:r>
      <w:r w:rsidRPr="005909A5">
        <w:rPr>
          <w:rFonts w:ascii="Times New Roman" w:eastAsia="Times New Roman" w:hAnsi="Times New Roman" w:cs="Times New Roman"/>
          <w:b/>
          <w:sz w:val="24"/>
          <w:szCs w:val="24"/>
          <w:lang w:val="ro-RO"/>
        </w:rPr>
        <w:tab/>
      </w:r>
      <w:r w:rsidRPr="005909A5">
        <w:rPr>
          <w:rFonts w:ascii="Times New Roman" w:eastAsia="Times New Roman" w:hAnsi="Times New Roman" w:cs="Times New Roman"/>
          <w:b/>
          <w:sz w:val="24"/>
          <w:szCs w:val="24"/>
          <w:lang w:val="ro-RO"/>
        </w:rPr>
        <w:tab/>
      </w:r>
      <w:r w:rsidRPr="005909A5">
        <w:rPr>
          <w:rFonts w:ascii="Times New Roman" w:eastAsia="Times New Roman" w:hAnsi="Times New Roman" w:cs="Times New Roman"/>
          <w:b/>
          <w:sz w:val="24"/>
          <w:szCs w:val="24"/>
          <w:lang w:val="ro-RO"/>
        </w:rPr>
        <w:tab/>
      </w:r>
      <w:r w:rsidRPr="005909A5">
        <w:rPr>
          <w:rFonts w:ascii="Times New Roman" w:eastAsia="Times New Roman" w:hAnsi="Times New Roman" w:cs="Times New Roman"/>
          <w:b/>
          <w:sz w:val="24"/>
          <w:szCs w:val="24"/>
          <w:lang w:val="ro-RO"/>
        </w:rPr>
        <w:tab/>
      </w:r>
      <w:r w:rsidRPr="005909A5">
        <w:rPr>
          <w:rFonts w:ascii="Times New Roman" w:eastAsia="Times New Roman" w:hAnsi="Times New Roman" w:cs="Times New Roman"/>
          <w:b/>
          <w:sz w:val="24"/>
          <w:szCs w:val="24"/>
          <w:lang w:val="ro-RO"/>
        </w:rPr>
        <w:tab/>
      </w:r>
      <w:r w:rsidR="00F12890" w:rsidRPr="005909A5">
        <w:rPr>
          <w:rFonts w:ascii="Times New Roman" w:hAnsi="Times New Roman" w:cs="Times New Roman"/>
          <w:b/>
          <w:sz w:val="24"/>
          <w:szCs w:val="24"/>
          <w:lang w:val="ro-RO"/>
        </w:rPr>
        <w:t>Dan PERCIUN</w:t>
      </w:r>
      <w:bookmarkEnd w:id="1"/>
    </w:p>
    <w:bookmarkEnd w:id="2"/>
    <w:bookmarkEnd w:id="3"/>
    <w:p w14:paraId="715328E0" w14:textId="77777777" w:rsidR="00E872FB" w:rsidRPr="005909A5" w:rsidRDefault="00E872FB" w:rsidP="00A877FD">
      <w:pPr>
        <w:spacing w:after="0"/>
        <w:ind w:firstLine="709"/>
        <w:jc w:val="both"/>
        <w:rPr>
          <w:rFonts w:ascii="Times New Roman" w:hAnsi="Times New Roman" w:cs="Times New Roman"/>
          <w:sz w:val="24"/>
          <w:szCs w:val="24"/>
          <w:lang w:val="ro-RO" w:eastAsia="ro-RO"/>
        </w:rPr>
      </w:pPr>
    </w:p>
    <w:p w14:paraId="2D25D76A" w14:textId="77777777" w:rsidR="00A42292" w:rsidRPr="005909A5" w:rsidRDefault="00A42292" w:rsidP="00A877FD">
      <w:pPr>
        <w:spacing w:after="0"/>
        <w:ind w:firstLine="709"/>
        <w:jc w:val="both"/>
        <w:rPr>
          <w:rFonts w:ascii="Times New Roman" w:hAnsi="Times New Roman" w:cs="Times New Roman"/>
          <w:sz w:val="24"/>
          <w:szCs w:val="24"/>
          <w:lang w:val="ro-RO" w:eastAsia="ro-RO"/>
        </w:rPr>
      </w:pPr>
    </w:p>
    <w:p w14:paraId="7AF5D78D" w14:textId="77777777" w:rsidR="00FD551E" w:rsidRPr="005909A5" w:rsidRDefault="00FD551E" w:rsidP="00A877FD">
      <w:pPr>
        <w:spacing w:after="0"/>
        <w:ind w:firstLine="709"/>
        <w:jc w:val="both"/>
        <w:rPr>
          <w:rFonts w:ascii="Times New Roman" w:hAnsi="Times New Roman" w:cs="Times New Roman"/>
          <w:sz w:val="24"/>
          <w:szCs w:val="24"/>
          <w:lang w:val="ro-RO" w:eastAsia="ro-RO"/>
        </w:rPr>
      </w:pPr>
    </w:p>
    <w:p w14:paraId="445B3D2D" w14:textId="77777777" w:rsidR="00FD551E" w:rsidRPr="005909A5" w:rsidRDefault="00FD551E" w:rsidP="00A877FD">
      <w:pPr>
        <w:spacing w:after="0"/>
        <w:ind w:firstLine="709"/>
        <w:jc w:val="both"/>
        <w:rPr>
          <w:rFonts w:ascii="Times New Roman" w:hAnsi="Times New Roman" w:cs="Times New Roman"/>
          <w:sz w:val="24"/>
          <w:szCs w:val="24"/>
          <w:lang w:val="ro-RO" w:eastAsia="ro-RO"/>
        </w:rPr>
      </w:pPr>
    </w:p>
    <w:p w14:paraId="7B46B20C" w14:textId="77777777" w:rsidR="00FD551E" w:rsidRPr="005909A5" w:rsidRDefault="00FD551E" w:rsidP="00A877FD">
      <w:pPr>
        <w:spacing w:after="0"/>
        <w:ind w:firstLine="709"/>
        <w:jc w:val="both"/>
        <w:rPr>
          <w:rFonts w:ascii="Times New Roman" w:hAnsi="Times New Roman" w:cs="Times New Roman"/>
          <w:sz w:val="24"/>
          <w:szCs w:val="24"/>
          <w:lang w:val="ro-RO" w:eastAsia="ro-RO"/>
        </w:rPr>
      </w:pPr>
    </w:p>
    <w:p w14:paraId="62297A3B" w14:textId="77777777" w:rsidR="00FD551E" w:rsidRDefault="00FD551E" w:rsidP="00A877FD">
      <w:pPr>
        <w:spacing w:after="0"/>
        <w:ind w:firstLine="709"/>
        <w:jc w:val="both"/>
        <w:rPr>
          <w:rFonts w:ascii="Times New Roman" w:hAnsi="Times New Roman" w:cs="Times New Roman"/>
          <w:sz w:val="24"/>
          <w:szCs w:val="24"/>
          <w:lang w:val="ro-RO" w:eastAsia="ro-RO"/>
        </w:rPr>
      </w:pPr>
    </w:p>
    <w:p w14:paraId="39F7CF20" w14:textId="77777777" w:rsidR="00A877FD" w:rsidRDefault="00A877FD" w:rsidP="00A877FD">
      <w:pPr>
        <w:spacing w:after="0"/>
        <w:ind w:firstLine="709"/>
        <w:jc w:val="both"/>
        <w:rPr>
          <w:rFonts w:ascii="Times New Roman" w:hAnsi="Times New Roman" w:cs="Times New Roman"/>
          <w:sz w:val="24"/>
          <w:szCs w:val="24"/>
          <w:lang w:val="ro-RO" w:eastAsia="ro-RO"/>
        </w:rPr>
      </w:pPr>
    </w:p>
    <w:p w14:paraId="4F474AE3" w14:textId="77777777" w:rsidR="00A877FD" w:rsidRDefault="00A877FD" w:rsidP="00A877FD">
      <w:pPr>
        <w:spacing w:after="0"/>
        <w:ind w:firstLine="709"/>
        <w:jc w:val="both"/>
        <w:rPr>
          <w:rFonts w:ascii="Times New Roman" w:hAnsi="Times New Roman" w:cs="Times New Roman"/>
          <w:sz w:val="24"/>
          <w:szCs w:val="24"/>
          <w:lang w:val="ro-RO" w:eastAsia="ro-RO"/>
        </w:rPr>
      </w:pPr>
    </w:p>
    <w:p w14:paraId="7D10C5FF" w14:textId="77777777" w:rsidR="00A877FD" w:rsidRDefault="00A877FD" w:rsidP="00A877FD">
      <w:pPr>
        <w:spacing w:after="0"/>
        <w:ind w:firstLine="709"/>
        <w:jc w:val="both"/>
        <w:rPr>
          <w:rFonts w:ascii="Times New Roman" w:hAnsi="Times New Roman" w:cs="Times New Roman"/>
          <w:sz w:val="24"/>
          <w:szCs w:val="24"/>
          <w:lang w:val="ro-RO" w:eastAsia="ro-RO"/>
        </w:rPr>
      </w:pPr>
    </w:p>
    <w:p w14:paraId="0788B82F" w14:textId="77777777" w:rsidR="00A877FD" w:rsidRDefault="00A877FD" w:rsidP="00A877FD">
      <w:pPr>
        <w:spacing w:after="0"/>
        <w:ind w:firstLine="709"/>
        <w:jc w:val="both"/>
        <w:rPr>
          <w:rFonts w:ascii="Times New Roman" w:hAnsi="Times New Roman" w:cs="Times New Roman"/>
          <w:sz w:val="24"/>
          <w:szCs w:val="24"/>
          <w:lang w:val="ro-RO" w:eastAsia="ro-RO"/>
        </w:rPr>
      </w:pPr>
    </w:p>
    <w:p w14:paraId="230E8FF5" w14:textId="77777777" w:rsidR="00A877FD" w:rsidRDefault="00A877FD" w:rsidP="00A877FD">
      <w:pPr>
        <w:spacing w:after="0"/>
        <w:ind w:firstLine="709"/>
        <w:jc w:val="both"/>
        <w:rPr>
          <w:rFonts w:ascii="Times New Roman" w:hAnsi="Times New Roman" w:cs="Times New Roman"/>
          <w:sz w:val="24"/>
          <w:szCs w:val="24"/>
          <w:lang w:val="ro-RO" w:eastAsia="ro-RO"/>
        </w:rPr>
      </w:pPr>
    </w:p>
    <w:p w14:paraId="00B57C48" w14:textId="77777777" w:rsidR="00A877FD" w:rsidRDefault="00A877FD" w:rsidP="00A877FD">
      <w:pPr>
        <w:spacing w:after="0"/>
        <w:ind w:firstLine="709"/>
        <w:jc w:val="both"/>
        <w:rPr>
          <w:rFonts w:ascii="Times New Roman" w:hAnsi="Times New Roman" w:cs="Times New Roman"/>
          <w:sz w:val="24"/>
          <w:szCs w:val="24"/>
          <w:lang w:val="ro-RO" w:eastAsia="ro-RO"/>
        </w:rPr>
      </w:pPr>
    </w:p>
    <w:p w14:paraId="4D6D7434" w14:textId="77777777" w:rsidR="00A877FD" w:rsidRDefault="00A877FD" w:rsidP="00A877FD">
      <w:pPr>
        <w:spacing w:after="0"/>
        <w:ind w:firstLine="709"/>
        <w:jc w:val="both"/>
        <w:rPr>
          <w:rFonts w:ascii="Times New Roman" w:hAnsi="Times New Roman" w:cs="Times New Roman"/>
          <w:sz w:val="24"/>
          <w:szCs w:val="24"/>
          <w:lang w:val="ro-RO" w:eastAsia="ro-RO"/>
        </w:rPr>
      </w:pPr>
    </w:p>
    <w:p w14:paraId="7B0FC282" w14:textId="77777777" w:rsidR="00A877FD" w:rsidRDefault="00A877FD" w:rsidP="00A877FD">
      <w:pPr>
        <w:spacing w:after="0"/>
        <w:ind w:firstLine="709"/>
        <w:jc w:val="both"/>
        <w:rPr>
          <w:rFonts w:ascii="Times New Roman" w:hAnsi="Times New Roman" w:cs="Times New Roman"/>
          <w:sz w:val="24"/>
          <w:szCs w:val="24"/>
          <w:lang w:val="ro-RO" w:eastAsia="ro-RO"/>
        </w:rPr>
      </w:pPr>
    </w:p>
    <w:p w14:paraId="26A5F5CE" w14:textId="77777777" w:rsidR="00A877FD" w:rsidRDefault="00A877FD" w:rsidP="00A877FD">
      <w:pPr>
        <w:spacing w:after="0"/>
        <w:ind w:firstLine="709"/>
        <w:jc w:val="both"/>
        <w:rPr>
          <w:rFonts w:ascii="Times New Roman" w:hAnsi="Times New Roman" w:cs="Times New Roman"/>
          <w:sz w:val="24"/>
          <w:szCs w:val="24"/>
          <w:lang w:val="ro-RO" w:eastAsia="ro-RO"/>
        </w:rPr>
      </w:pPr>
    </w:p>
    <w:p w14:paraId="47D3ADFC" w14:textId="77777777" w:rsidR="00A877FD" w:rsidRDefault="00A877FD" w:rsidP="00A877FD">
      <w:pPr>
        <w:spacing w:after="0"/>
        <w:ind w:firstLine="709"/>
        <w:jc w:val="both"/>
        <w:rPr>
          <w:rFonts w:ascii="Times New Roman" w:hAnsi="Times New Roman" w:cs="Times New Roman"/>
          <w:sz w:val="24"/>
          <w:szCs w:val="24"/>
          <w:lang w:val="ro-RO" w:eastAsia="ro-RO"/>
        </w:rPr>
      </w:pPr>
    </w:p>
    <w:p w14:paraId="49752459" w14:textId="77777777" w:rsidR="00A877FD" w:rsidRPr="005909A5" w:rsidRDefault="00A877FD" w:rsidP="00A877FD">
      <w:pPr>
        <w:spacing w:after="0"/>
        <w:ind w:firstLine="709"/>
        <w:jc w:val="both"/>
        <w:rPr>
          <w:rFonts w:ascii="Times New Roman" w:hAnsi="Times New Roman" w:cs="Times New Roman"/>
          <w:sz w:val="24"/>
          <w:szCs w:val="24"/>
          <w:lang w:val="ro-RO" w:eastAsia="ro-RO"/>
        </w:rPr>
      </w:pPr>
    </w:p>
    <w:p w14:paraId="4D8E9A96" w14:textId="4B9CD01A" w:rsidR="00F97ACA" w:rsidRPr="00A45C75" w:rsidRDefault="00E872FB" w:rsidP="00A877FD">
      <w:pPr>
        <w:spacing w:after="0"/>
        <w:ind w:firstLine="709"/>
        <w:jc w:val="both"/>
        <w:rPr>
          <w:rFonts w:ascii="Times New Roman" w:hAnsi="Times New Roman" w:cs="Times New Roman"/>
          <w:sz w:val="16"/>
          <w:szCs w:val="16"/>
          <w:lang w:val="ro-RO" w:eastAsia="ro-RO"/>
        </w:rPr>
      </w:pPr>
      <w:r w:rsidRPr="00A45C75">
        <w:rPr>
          <w:rFonts w:ascii="Times New Roman" w:hAnsi="Times New Roman" w:cs="Times New Roman"/>
          <w:sz w:val="16"/>
          <w:szCs w:val="16"/>
          <w:lang w:val="ro-RO" w:eastAsia="ro-RO"/>
        </w:rPr>
        <w:t>Doina Usaci, Tel.: 022233213</w:t>
      </w:r>
    </w:p>
    <w:p w14:paraId="57A9DBD0" w14:textId="4C555C4C" w:rsidR="000364D0" w:rsidRPr="00A45C75" w:rsidRDefault="00F97ACA" w:rsidP="00A877FD">
      <w:pPr>
        <w:spacing w:after="0"/>
        <w:ind w:firstLine="709"/>
        <w:jc w:val="both"/>
        <w:rPr>
          <w:rFonts w:ascii="Times New Roman" w:hAnsi="Times New Roman" w:cs="Times New Roman"/>
          <w:b/>
          <w:sz w:val="16"/>
          <w:szCs w:val="16"/>
          <w:lang w:val="ro-RO"/>
        </w:rPr>
      </w:pPr>
      <w:r w:rsidRPr="00A45C75">
        <w:rPr>
          <w:rFonts w:ascii="Times New Roman" w:hAnsi="Times New Roman" w:cs="Times New Roman"/>
          <w:sz w:val="16"/>
          <w:szCs w:val="16"/>
          <w:lang w:val="ro-RO" w:eastAsia="ro-RO"/>
        </w:rPr>
        <w:t xml:space="preserve">Email: </w:t>
      </w:r>
      <w:hyperlink r:id="rId6" w:history="1">
        <w:r w:rsidR="00E872FB" w:rsidRPr="00A45C75">
          <w:rPr>
            <w:rStyle w:val="Hyperlink"/>
            <w:rFonts w:ascii="Times New Roman" w:hAnsi="Times New Roman" w:cs="Times New Roman"/>
            <w:sz w:val="16"/>
            <w:szCs w:val="16"/>
            <w:lang w:val="ro-RO"/>
          </w:rPr>
          <w:t>doina.usaci@mec.gov.md</w:t>
        </w:r>
      </w:hyperlink>
      <w:r w:rsidRPr="00A45C75">
        <w:rPr>
          <w:rFonts w:ascii="Times New Roman" w:hAnsi="Times New Roman" w:cs="Times New Roman"/>
          <w:sz w:val="16"/>
          <w:szCs w:val="16"/>
          <w:lang w:val="ro-RO" w:eastAsia="ro-RO"/>
        </w:rPr>
        <w:t xml:space="preserve">  </w:t>
      </w:r>
    </w:p>
    <w:p w14:paraId="472F22D1" w14:textId="77777777" w:rsidR="005909A5" w:rsidRPr="005909A5" w:rsidRDefault="005909A5" w:rsidP="00A877FD">
      <w:pPr>
        <w:spacing w:after="0"/>
        <w:ind w:firstLine="709"/>
        <w:jc w:val="both"/>
        <w:rPr>
          <w:rFonts w:ascii="Times New Roman" w:hAnsi="Times New Roman" w:cs="Times New Roman"/>
          <w:b/>
          <w:sz w:val="24"/>
          <w:szCs w:val="24"/>
          <w:lang w:val="ro-RO"/>
        </w:rPr>
      </w:pPr>
    </w:p>
    <w:p w14:paraId="666579C3" w14:textId="77777777" w:rsidR="00A877FD" w:rsidRPr="005909A5" w:rsidRDefault="00A877FD">
      <w:pPr>
        <w:spacing w:after="0"/>
        <w:ind w:firstLine="709"/>
        <w:jc w:val="both"/>
        <w:rPr>
          <w:rFonts w:ascii="Times New Roman" w:hAnsi="Times New Roman" w:cs="Times New Roman"/>
          <w:b/>
          <w:sz w:val="24"/>
          <w:szCs w:val="24"/>
          <w:lang w:val="ro-RO"/>
        </w:rPr>
      </w:pPr>
    </w:p>
    <w:sectPr w:rsidR="00A877FD" w:rsidRPr="005909A5" w:rsidSect="005816FB">
      <w:pgSz w:w="11906" w:h="16838" w:code="9"/>
      <w:pgMar w:top="426" w:right="851" w:bottom="851"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CDCC3" w16cid:durableId="2905F6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49AA"/>
    <w:multiLevelType w:val="hybridMultilevel"/>
    <w:tmpl w:val="5748DFE4"/>
    <w:lvl w:ilvl="0" w:tplc="A8EE3930">
      <w:start w:val="1"/>
      <w:numFmt w:val="decimal"/>
      <w:lvlText w:val="(%1)"/>
      <w:lvlJc w:val="left"/>
      <w:pPr>
        <w:ind w:left="720" w:hanging="360"/>
      </w:pPr>
      <w:rPr>
        <w:rFonts w:asciiTheme="minorHAnsi" w:hAnsiTheme="minorHAnsi" w:cstheme="minorBidi" w:hint="default"/>
        <w:color w:val="000000"/>
        <w:sz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nsid w:val="04B96735"/>
    <w:multiLevelType w:val="hybridMultilevel"/>
    <w:tmpl w:val="76A06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A546D8"/>
    <w:multiLevelType w:val="hybridMultilevel"/>
    <w:tmpl w:val="3AB0F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247A9E"/>
    <w:multiLevelType w:val="hybridMultilevel"/>
    <w:tmpl w:val="9C0C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F1E05"/>
    <w:multiLevelType w:val="hybridMultilevel"/>
    <w:tmpl w:val="CADAB51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nsid w:val="2A257E06"/>
    <w:multiLevelType w:val="hybridMultilevel"/>
    <w:tmpl w:val="0D20F0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11B1516"/>
    <w:multiLevelType w:val="hybridMultilevel"/>
    <w:tmpl w:val="C9EAA7A6"/>
    <w:lvl w:ilvl="0" w:tplc="82440868">
      <w:start w:val="1"/>
      <w:numFmt w:val="lowerLetter"/>
      <w:lvlText w:val="%1)"/>
      <w:lvlJc w:val="left"/>
      <w:pPr>
        <w:ind w:left="689" w:hanging="360"/>
      </w:pPr>
      <w:rPr>
        <w:rFonts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7">
    <w:nsid w:val="317C2CD3"/>
    <w:multiLevelType w:val="hybridMultilevel"/>
    <w:tmpl w:val="472E0E70"/>
    <w:lvl w:ilvl="0" w:tplc="4F028C52">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7E6E0E"/>
    <w:multiLevelType w:val="hybridMultilevel"/>
    <w:tmpl w:val="DBCC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B61ADB"/>
    <w:multiLevelType w:val="hybridMultilevel"/>
    <w:tmpl w:val="E3A48662"/>
    <w:lvl w:ilvl="0" w:tplc="88EE98CA">
      <w:start w:val="4"/>
      <w:numFmt w:val="lowerLetter"/>
      <w:lvlText w:val="%1)"/>
      <w:lvlJc w:val="left"/>
      <w:pPr>
        <w:ind w:left="689" w:hanging="360"/>
      </w:pPr>
      <w:rPr>
        <w:rFonts w:eastAsia="Calibri"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0">
    <w:nsid w:val="4A737569"/>
    <w:multiLevelType w:val="hybridMultilevel"/>
    <w:tmpl w:val="0180DAAC"/>
    <w:lvl w:ilvl="0" w:tplc="5CCA2CD4">
      <w:start w:val="1"/>
      <w:numFmt w:val="bullet"/>
      <w:lvlText w:val="⁃"/>
      <w:lvlJc w:val="left"/>
      <w:pPr>
        <w:ind w:left="1470" w:hanging="360"/>
      </w:pPr>
      <w:rPr>
        <w:rFonts w:ascii="Times New Roman" w:hAnsi="Times New Roman" w:cs="Times New Roman" w:hint="default"/>
      </w:rPr>
    </w:lvl>
    <w:lvl w:ilvl="1" w:tplc="08180003" w:tentative="1">
      <w:start w:val="1"/>
      <w:numFmt w:val="bullet"/>
      <w:lvlText w:val="o"/>
      <w:lvlJc w:val="left"/>
      <w:pPr>
        <w:ind w:left="2190" w:hanging="360"/>
      </w:pPr>
      <w:rPr>
        <w:rFonts w:ascii="Courier New" w:hAnsi="Courier New" w:cs="Courier New" w:hint="default"/>
      </w:rPr>
    </w:lvl>
    <w:lvl w:ilvl="2" w:tplc="08180005" w:tentative="1">
      <w:start w:val="1"/>
      <w:numFmt w:val="bullet"/>
      <w:lvlText w:val=""/>
      <w:lvlJc w:val="left"/>
      <w:pPr>
        <w:ind w:left="2910" w:hanging="360"/>
      </w:pPr>
      <w:rPr>
        <w:rFonts w:ascii="Wingdings" w:hAnsi="Wingdings" w:hint="default"/>
      </w:rPr>
    </w:lvl>
    <w:lvl w:ilvl="3" w:tplc="08180001" w:tentative="1">
      <w:start w:val="1"/>
      <w:numFmt w:val="bullet"/>
      <w:lvlText w:val=""/>
      <w:lvlJc w:val="left"/>
      <w:pPr>
        <w:ind w:left="3630" w:hanging="360"/>
      </w:pPr>
      <w:rPr>
        <w:rFonts w:ascii="Symbol" w:hAnsi="Symbol" w:hint="default"/>
      </w:rPr>
    </w:lvl>
    <w:lvl w:ilvl="4" w:tplc="08180003" w:tentative="1">
      <w:start w:val="1"/>
      <w:numFmt w:val="bullet"/>
      <w:lvlText w:val="o"/>
      <w:lvlJc w:val="left"/>
      <w:pPr>
        <w:ind w:left="4350" w:hanging="360"/>
      </w:pPr>
      <w:rPr>
        <w:rFonts w:ascii="Courier New" w:hAnsi="Courier New" w:cs="Courier New" w:hint="default"/>
      </w:rPr>
    </w:lvl>
    <w:lvl w:ilvl="5" w:tplc="08180005" w:tentative="1">
      <w:start w:val="1"/>
      <w:numFmt w:val="bullet"/>
      <w:lvlText w:val=""/>
      <w:lvlJc w:val="left"/>
      <w:pPr>
        <w:ind w:left="5070" w:hanging="360"/>
      </w:pPr>
      <w:rPr>
        <w:rFonts w:ascii="Wingdings" w:hAnsi="Wingdings" w:hint="default"/>
      </w:rPr>
    </w:lvl>
    <w:lvl w:ilvl="6" w:tplc="08180001" w:tentative="1">
      <w:start w:val="1"/>
      <w:numFmt w:val="bullet"/>
      <w:lvlText w:val=""/>
      <w:lvlJc w:val="left"/>
      <w:pPr>
        <w:ind w:left="5790" w:hanging="360"/>
      </w:pPr>
      <w:rPr>
        <w:rFonts w:ascii="Symbol" w:hAnsi="Symbol" w:hint="default"/>
      </w:rPr>
    </w:lvl>
    <w:lvl w:ilvl="7" w:tplc="08180003" w:tentative="1">
      <w:start w:val="1"/>
      <w:numFmt w:val="bullet"/>
      <w:lvlText w:val="o"/>
      <w:lvlJc w:val="left"/>
      <w:pPr>
        <w:ind w:left="6510" w:hanging="360"/>
      </w:pPr>
      <w:rPr>
        <w:rFonts w:ascii="Courier New" w:hAnsi="Courier New" w:cs="Courier New" w:hint="default"/>
      </w:rPr>
    </w:lvl>
    <w:lvl w:ilvl="8" w:tplc="08180005" w:tentative="1">
      <w:start w:val="1"/>
      <w:numFmt w:val="bullet"/>
      <w:lvlText w:val=""/>
      <w:lvlJc w:val="left"/>
      <w:pPr>
        <w:ind w:left="7230" w:hanging="360"/>
      </w:pPr>
      <w:rPr>
        <w:rFonts w:ascii="Wingdings" w:hAnsi="Wingdings" w:hint="default"/>
      </w:rPr>
    </w:lvl>
  </w:abstractNum>
  <w:abstractNum w:abstractNumId="11">
    <w:nsid w:val="51491E6D"/>
    <w:multiLevelType w:val="hybridMultilevel"/>
    <w:tmpl w:val="F18C3E36"/>
    <w:lvl w:ilvl="0" w:tplc="373661B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nsid w:val="523F0C88"/>
    <w:multiLevelType w:val="hybridMultilevel"/>
    <w:tmpl w:val="F4840D52"/>
    <w:lvl w:ilvl="0" w:tplc="04190001">
      <w:start w:val="1"/>
      <w:numFmt w:val="bullet"/>
      <w:lvlText w:val=""/>
      <w:lvlJc w:val="left"/>
      <w:pPr>
        <w:ind w:left="1440" w:hanging="360"/>
      </w:pPr>
      <w:rPr>
        <w:rFonts w:ascii="Symbol" w:hAnsi="Symbol" w:hint="default"/>
      </w:rPr>
    </w:lvl>
    <w:lvl w:ilvl="1" w:tplc="E8BAACE4">
      <w:numFmt w:val="bullet"/>
      <w:lvlText w:val="-"/>
      <w:lvlJc w:val="left"/>
      <w:pPr>
        <w:ind w:left="2160" w:hanging="360"/>
      </w:pPr>
      <w:rPr>
        <w:rFonts w:ascii="Times New Roman" w:eastAsia="Calibr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4394338"/>
    <w:multiLevelType w:val="hybridMultilevel"/>
    <w:tmpl w:val="3BA232BC"/>
    <w:lvl w:ilvl="0" w:tplc="02DCED1E">
      <w:start w:val="1"/>
      <w:numFmt w:val="lowerLetter"/>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E45F25"/>
    <w:multiLevelType w:val="hybridMultilevel"/>
    <w:tmpl w:val="B608C784"/>
    <w:lvl w:ilvl="0" w:tplc="95FA0E4C">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CC1BF5"/>
    <w:multiLevelType w:val="hybridMultilevel"/>
    <w:tmpl w:val="3BA232BC"/>
    <w:lvl w:ilvl="0" w:tplc="02DCED1E">
      <w:start w:val="1"/>
      <w:numFmt w:val="lowerLetter"/>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308003C"/>
    <w:multiLevelType w:val="hybridMultilevel"/>
    <w:tmpl w:val="6FF22BA6"/>
    <w:lvl w:ilvl="0" w:tplc="04090011">
      <w:start w:val="1"/>
      <w:numFmt w:val="decimal"/>
      <w:lvlText w:val="%1)"/>
      <w:lvlJc w:val="left"/>
      <w:pPr>
        <w:ind w:left="1470" w:hanging="360"/>
      </w:pPr>
    </w:lvl>
    <w:lvl w:ilvl="1" w:tplc="08180019" w:tentative="1">
      <w:start w:val="1"/>
      <w:numFmt w:val="lowerLetter"/>
      <w:lvlText w:val="%2."/>
      <w:lvlJc w:val="left"/>
      <w:pPr>
        <w:ind w:left="2190" w:hanging="360"/>
      </w:pPr>
    </w:lvl>
    <w:lvl w:ilvl="2" w:tplc="0818001B" w:tentative="1">
      <w:start w:val="1"/>
      <w:numFmt w:val="lowerRoman"/>
      <w:lvlText w:val="%3."/>
      <w:lvlJc w:val="right"/>
      <w:pPr>
        <w:ind w:left="2910" w:hanging="180"/>
      </w:pPr>
    </w:lvl>
    <w:lvl w:ilvl="3" w:tplc="0818000F" w:tentative="1">
      <w:start w:val="1"/>
      <w:numFmt w:val="decimal"/>
      <w:lvlText w:val="%4."/>
      <w:lvlJc w:val="left"/>
      <w:pPr>
        <w:ind w:left="3630" w:hanging="360"/>
      </w:pPr>
    </w:lvl>
    <w:lvl w:ilvl="4" w:tplc="08180019" w:tentative="1">
      <w:start w:val="1"/>
      <w:numFmt w:val="lowerLetter"/>
      <w:lvlText w:val="%5."/>
      <w:lvlJc w:val="left"/>
      <w:pPr>
        <w:ind w:left="4350" w:hanging="360"/>
      </w:pPr>
    </w:lvl>
    <w:lvl w:ilvl="5" w:tplc="0818001B" w:tentative="1">
      <w:start w:val="1"/>
      <w:numFmt w:val="lowerRoman"/>
      <w:lvlText w:val="%6."/>
      <w:lvlJc w:val="right"/>
      <w:pPr>
        <w:ind w:left="5070" w:hanging="180"/>
      </w:pPr>
    </w:lvl>
    <w:lvl w:ilvl="6" w:tplc="0818000F" w:tentative="1">
      <w:start w:val="1"/>
      <w:numFmt w:val="decimal"/>
      <w:lvlText w:val="%7."/>
      <w:lvlJc w:val="left"/>
      <w:pPr>
        <w:ind w:left="5790" w:hanging="360"/>
      </w:pPr>
    </w:lvl>
    <w:lvl w:ilvl="7" w:tplc="08180019" w:tentative="1">
      <w:start w:val="1"/>
      <w:numFmt w:val="lowerLetter"/>
      <w:lvlText w:val="%8."/>
      <w:lvlJc w:val="left"/>
      <w:pPr>
        <w:ind w:left="6510" w:hanging="360"/>
      </w:pPr>
    </w:lvl>
    <w:lvl w:ilvl="8" w:tplc="0818001B" w:tentative="1">
      <w:start w:val="1"/>
      <w:numFmt w:val="lowerRoman"/>
      <w:lvlText w:val="%9."/>
      <w:lvlJc w:val="right"/>
      <w:pPr>
        <w:ind w:left="7230" w:hanging="180"/>
      </w:pPr>
    </w:lvl>
  </w:abstractNum>
  <w:abstractNum w:abstractNumId="17">
    <w:nsid w:val="6E1609E4"/>
    <w:multiLevelType w:val="hybridMultilevel"/>
    <w:tmpl w:val="2B0261F8"/>
    <w:lvl w:ilvl="0" w:tplc="058E7626">
      <w:start w:val="1"/>
      <w:numFmt w:val="decimal"/>
      <w:lvlText w:val="%1."/>
      <w:lvlJc w:val="righ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nsid w:val="6E7E16AE"/>
    <w:multiLevelType w:val="hybridMultilevel"/>
    <w:tmpl w:val="F4448D3E"/>
    <w:lvl w:ilvl="0" w:tplc="CC0466E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nsid w:val="7C1D3B11"/>
    <w:multiLevelType w:val="hybridMultilevel"/>
    <w:tmpl w:val="F96EAE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8"/>
  </w:num>
  <w:num w:numId="4">
    <w:abstractNumId w:val="16"/>
  </w:num>
  <w:num w:numId="5">
    <w:abstractNumId w:val="4"/>
  </w:num>
  <w:num w:numId="6">
    <w:abstractNumId w:val="11"/>
  </w:num>
  <w:num w:numId="7">
    <w:abstractNumId w:val="10"/>
  </w:num>
  <w:num w:numId="8">
    <w:abstractNumId w:val="3"/>
  </w:num>
  <w:num w:numId="9">
    <w:abstractNumId w:val="12"/>
  </w:num>
  <w:num w:numId="10">
    <w:abstractNumId w:val="2"/>
  </w:num>
  <w:num w:numId="11">
    <w:abstractNumId w:val="1"/>
  </w:num>
  <w:num w:numId="12">
    <w:abstractNumId w:val="13"/>
  </w:num>
  <w:num w:numId="13">
    <w:abstractNumId w:val="15"/>
  </w:num>
  <w:num w:numId="14">
    <w:abstractNumId w:val="8"/>
  </w:num>
  <w:num w:numId="15">
    <w:abstractNumId w:val="19"/>
  </w:num>
  <w:num w:numId="16">
    <w:abstractNumId w:val="6"/>
  </w:num>
  <w:num w:numId="17">
    <w:abstractNumId w:val="9"/>
  </w:num>
  <w:num w:numId="18">
    <w:abstractNumId w:val="14"/>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2A"/>
    <w:rsid w:val="000029C1"/>
    <w:rsid w:val="0002723F"/>
    <w:rsid w:val="000364D0"/>
    <w:rsid w:val="00046119"/>
    <w:rsid w:val="00051E69"/>
    <w:rsid w:val="00057DB8"/>
    <w:rsid w:val="000608DF"/>
    <w:rsid w:val="00077A97"/>
    <w:rsid w:val="00092F30"/>
    <w:rsid w:val="00093B2A"/>
    <w:rsid w:val="000B4065"/>
    <w:rsid w:val="000C3F41"/>
    <w:rsid w:val="000F1C03"/>
    <w:rsid w:val="000F3A15"/>
    <w:rsid w:val="00103ACC"/>
    <w:rsid w:val="00106AB8"/>
    <w:rsid w:val="0013281D"/>
    <w:rsid w:val="00141AE1"/>
    <w:rsid w:val="00144853"/>
    <w:rsid w:val="001614AE"/>
    <w:rsid w:val="00161D3F"/>
    <w:rsid w:val="00165332"/>
    <w:rsid w:val="00173B61"/>
    <w:rsid w:val="00175213"/>
    <w:rsid w:val="001815A2"/>
    <w:rsid w:val="00183C96"/>
    <w:rsid w:val="001A1885"/>
    <w:rsid w:val="001D0221"/>
    <w:rsid w:val="00224E52"/>
    <w:rsid w:val="00237F7E"/>
    <w:rsid w:val="0026056B"/>
    <w:rsid w:val="00261352"/>
    <w:rsid w:val="00266EA8"/>
    <w:rsid w:val="00271C76"/>
    <w:rsid w:val="00282A50"/>
    <w:rsid w:val="002A3C3C"/>
    <w:rsid w:val="002D16FE"/>
    <w:rsid w:val="002D407F"/>
    <w:rsid w:val="002D5481"/>
    <w:rsid w:val="002D7217"/>
    <w:rsid w:val="00353470"/>
    <w:rsid w:val="00357E3C"/>
    <w:rsid w:val="00363A66"/>
    <w:rsid w:val="003724D7"/>
    <w:rsid w:val="003735BF"/>
    <w:rsid w:val="003C2201"/>
    <w:rsid w:val="003D636E"/>
    <w:rsid w:val="003E0EDC"/>
    <w:rsid w:val="003F37DC"/>
    <w:rsid w:val="003F5A25"/>
    <w:rsid w:val="00411F3C"/>
    <w:rsid w:val="00426AF8"/>
    <w:rsid w:val="00431A8C"/>
    <w:rsid w:val="00450651"/>
    <w:rsid w:val="00455087"/>
    <w:rsid w:val="004555A0"/>
    <w:rsid w:val="0048765C"/>
    <w:rsid w:val="00494D44"/>
    <w:rsid w:val="004B0B4F"/>
    <w:rsid w:val="004C6111"/>
    <w:rsid w:val="004E36E3"/>
    <w:rsid w:val="004E4E63"/>
    <w:rsid w:val="004E5DA1"/>
    <w:rsid w:val="004F2CA4"/>
    <w:rsid w:val="004F4D4C"/>
    <w:rsid w:val="00507539"/>
    <w:rsid w:val="005236CE"/>
    <w:rsid w:val="0053439F"/>
    <w:rsid w:val="00546868"/>
    <w:rsid w:val="0055315B"/>
    <w:rsid w:val="00557C0D"/>
    <w:rsid w:val="0056437A"/>
    <w:rsid w:val="00565781"/>
    <w:rsid w:val="005816FB"/>
    <w:rsid w:val="00590746"/>
    <w:rsid w:val="005909A5"/>
    <w:rsid w:val="005B3355"/>
    <w:rsid w:val="005C5731"/>
    <w:rsid w:val="005D0596"/>
    <w:rsid w:val="005E1565"/>
    <w:rsid w:val="005E4FCF"/>
    <w:rsid w:val="00605D61"/>
    <w:rsid w:val="00615451"/>
    <w:rsid w:val="00624300"/>
    <w:rsid w:val="006412E0"/>
    <w:rsid w:val="00663108"/>
    <w:rsid w:val="00667163"/>
    <w:rsid w:val="006A1738"/>
    <w:rsid w:val="006C37CC"/>
    <w:rsid w:val="006D710F"/>
    <w:rsid w:val="006E390B"/>
    <w:rsid w:val="00701D71"/>
    <w:rsid w:val="0070624A"/>
    <w:rsid w:val="007360CA"/>
    <w:rsid w:val="00747D4C"/>
    <w:rsid w:val="0076468C"/>
    <w:rsid w:val="00770A48"/>
    <w:rsid w:val="007B3E6D"/>
    <w:rsid w:val="007D1D09"/>
    <w:rsid w:val="007D22AA"/>
    <w:rsid w:val="007E306C"/>
    <w:rsid w:val="007E48C4"/>
    <w:rsid w:val="00801390"/>
    <w:rsid w:val="00810682"/>
    <w:rsid w:val="008114DC"/>
    <w:rsid w:val="00845A96"/>
    <w:rsid w:val="00850FC7"/>
    <w:rsid w:val="00851DD2"/>
    <w:rsid w:val="008A12CB"/>
    <w:rsid w:val="008A3DD6"/>
    <w:rsid w:val="008A5EBC"/>
    <w:rsid w:val="008B1D23"/>
    <w:rsid w:val="008B6249"/>
    <w:rsid w:val="008C5AC4"/>
    <w:rsid w:val="008C6DA1"/>
    <w:rsid w:val="008C73B8"/>
    <w:rsid w:val="008D6984"/>
    <w:rsid w:val="00907FB0"/>
    <w:rsid w:val="009143AA"/>
    <w:rsid w:val="0093542C"/>
    <w:rsid w:val="00947B59"/>
    <w:rsid w:val="00954BC7"/>
    <w:rsid w:val="009560CB"/>
    <w:rsid w:val="00973609"/>
    <w:rsid w:val="00994496"/>
    <w:rsid w:val="009A3535"/>
    <w:rsid w:val="009D178B"/>
    <w:rsid w:val="009F2834"/>
    <w:rsid w:val="009F5DDA"/>
    <w:rsid w:val="00A04183"/>
    <w:rsid w:val="00A2310E"/>
    <w:rsid w:val="00A23EF7"/>
    <w:rsid w:val="00A42292"/>
    <w:rsid w:val="00A45C75"/>
    <w:rsid w:val="00A64CD5"/>
    <w:rsid w:val="00A67C4E"/>
    <w:rsid w:val="00A71D00"/>
    <w:rsid w:val="00A83239"/>
    <w:rsid w:val="00A877FD"/>
    <w:rsid w:val="00A97619"/>
    <w:rsid w:val="00AA22FF"/>
    <w:rsid w:val="00AD45AF"/>
    <w:rsid w:val="00AE52F1"/>
    <w:rsid w:val="00B029FA"/>
    <w:rsid w:val="00B32C58"/>
    <w:rsid w:val="00B41180"/>
    <w:rsid w:val="00B50AFE"/>
    <w:rsid w:val="00B51A34"/>
    <w:rsid w:val="00B70FF7"/>
    <w:rsid w:val="00B75DC8"/>
    <w:rsid w:val="00BA064E"/>
    <w:rsid w:val="00BC168B"/>
    <w:rsid w:val="00BD3F9D"/>
    <w:rsid w:val="00BE263B"/>
    <w:rsid w:val="00BE2AE6"/>
    <w:rsid w:val="00BE38DB"/>
    <w:rsid w:val="00BE4ED9"/>
    <w:rsid w:val="00BE5534"/>
    <w:rsid w:val="00C114D1"/>
    <w:rsid w:val="00C22934"/>
    <w:rsid w:val="00C52659"/>
    <w:rsid w:val="00C85D28"/>
    <w:rsid w:val="00CB30FE"/>
    <w:rsid w:val="00CC01D5"/>
    <w:rsid w:val="00CC1E54"/>
    <w:rsid w:val="00CC4972"/>
    <w:rsid w:val="00CC7BE1"/>
    <w:rsid w:val="00CD413D"/>
    <w:rsid w:val="00CE5524"/>
    <w:rsid w:val="00D031A1"/>
    <w:rsid w:val="00D22B87"/>
    <w:rsid w:val="00D269AE"/>
    <w:rsid w:val="00D27612"/>
    <w:rsid w:val="00D54203"/>
    <w:rsid w:val="00D55C61"/>
    <w:rsid w:val="00D565DA"/>
    <w:rsid w:val="00D92C9E"/>
    <w:rsid w:val="00D9362C"/>
    <w:rsid w:val="00DA572A"/>
    <w:rsid w:val="00DC7AD5"/>
    <w:rsid w:val="00DD4DFC"/>
    <w:rsid w:val="00E3292C"/>
    <w:rsid w:val="00E33C2B"/>
    <w:rsid w:val="00E377F5"/>
    <w:rsid w:val="00E41CF2"/>
    <w:rsid w:val="00E5475B"/>
    <w:rsid w:val="00E66276"/>
    <w:rsid w:val="00E751B0"/>
    <w:rsid w:val="00E80EB8"/>
    <w:rsid w:val="00E872FB"/>
    <w:rsid w:val="00EA4E36"/>
    <w:rsid w:val="00EA58B7"/>
    <w:rsid w:val="00EB6ACF"/>
    <w:rsid w:val="00EC0DC1"/>
    <w:rsid w:val="00ED3584"/>
    <w:rsid w:val="00EE5CD0"/>
    <w:rsid w:val="00EF77D8"/>
    <w:rsid w:val="00EF7EE7"/>
    <w:rsid w:val="00F100B0"/>
    <w:rsid w:val="00F11D36"/>
    <w:rsid w:val="00F12890"/>
    <w:rsid w:val="00F24997"/>
    <w:rsid w:val="00F2593E"/>
    <w:rsid w:val="00F347C7"/>
    <w:rsid w:val="00F51C93"/>
    <w:rsid w:val="00F60B6D"/>
    <w:rsid w:val="00F63225"/>
    <w:rsid w:val="00F67169"/>
    <w:rsid w:val="00F92275"/>
    <w:rsid w:val="00F96D31"/>
    <w:rsid w:val="00F97ACA"/>
    <w:rsid w:val="00FB245D"/>
    <w:rsid w:val="00FC4591"/>
    <w:rsid w:val="00FD13B4"/>
    <w:rsid w:val="00FD551E"/>
    <w:rsid w:val="00FE3F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2D15"/>
  <w15:docId w15:val="{5893470C-E0DB-488D-B116-0ED7A831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572A"/>
    <w:pPr>
      <w:ind w:left="720"/>
      <w:contextualSpacing/>
    </w:pPr>
  </w:style>
  <w:style w:type="table" w:styleId="TableGrid">
    <w:name w:val="Table Grid"/>
    <w:basedOn w:val="TableNormal"/>
    <w:uiPriority w:val="59"/>
    <w:rsid w:val="00DA572A"/>
    <w:pPr>
      <w:spacing w:after="0" w:line="240" w:lineRule="auto"/>
    </w:pPr>
    <w:rPr>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5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72A"/>
    <w:rPr>
      <w:rFonts w:ascii="Tahoma" w:hAnsi="Tahoma" w:cs="Tahoma"/>
      <w:sz w:val="16"/>
      <w:szCs w:val="16"/>
      <w:lang w:val="ro-RO"/>
    </w:rPr>
  </w:style>
  <w:style w:type="character" w:styleId="Hyperlink">
    <w:name w:val="Hyperlink"/>
    <w:basedOn w:val="DefaultParagraphFont"/>
    <w:unhideWhenUsed/>
    <w:rsid w:val="00907FB0"/>
    <w:rPr>
      <w:color w:val="0000FF"/>
      <w:u w:val="single"/>
    </w:rPr>
  </w:style>
  <w:style w:type="paragraph" w:styleId="NormalWeb">
    <w:name w:val="Normal (Web)"/>
    <w:basedOn w:val="Normal"/>
    <w:uiPriority w:val="99"/>
    <w:semiHidden/>
    <w:unhideWhenUsed/>
    <w:rsid w:val="00605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76468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F97AC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F97ACA"/>
    <w:rPr>
      <w:rFonts w:ascii="Times New Roman" w:eastAsia="Times New Roman" w:hAnsi="Times New Roman" w:cs="Times New Roman"/>
      <w:sz w:val="24"/>
      <w:szCs w:val="24"/>
      <w:lang w:val="x-none" w:eastAsia="x-none"/>
    </w:rPr>
  </w:style>
  <w:style w:type="paragraph" w:styleId="Revision">
    <w:name w:val="Revision"/>
    <w:hidden/>
    <w:uiPriority w:val="99"/>
    <w:semiHidden/>
    <w:rsid w:val="00F51C93"/>
    <w:pPr>
      <w:spacing w:after="0" w:line="240" w:lineRule="auto"/>
    </w:pPr>
  </w:style>
  <w:style w:type="character" w:styleId="CommentReference">
    <w:name w:val="annotation reference"/>
    <w:basedOn w:val="DefaultParagraphFont"/>
    <w:uiPriority w:val="99"/>
    <w:semiHidden/>
    <w:unhideWhenUsed/>
    <w:rsid w:val="00092F30"/>
    <w:rPr>
      <w:sz w:val="16"/>
      <w:szCs w:val="16"/>
    </w:rPr>
  </w:style>
  <w:style w:type="paragraph" w:styleId="CommentText">
    <w:name w:val="annotation text"/>
    <w:basedOn w:val="Normal"/>
    <w:link w:val="CommentTextChar"/>
    <w:uiPriority w:val="99"/>
    <w:semiHidden/>
    <w:unhideWhenUsed/>
    <w:rsid w:val="00092F30"/>
    <w:pPr>
      <w:spacing w:line="240" w:lineRule="auto"/>
    </w:pPr>
    <w:rPr>
      <w:sz w:val="20"/>
      <w:szCs w:val="20"/>
    </w:rPr>
  </w:style>
  <w:style w:type="character" w:customStyle="1" w:styleId="CommentTextChar">
    <w:name w:val="Comment Text Char"/>
    <w:basedOn w:val="DefaultParagraphFont"/>
    <w:link w:val="CommentText"/>
    <w:uiPriority w:val="99"/>
    <w:semiHidden/>
    <w:rsid w:val="00092F30"/>
    <w:rPr>
      <w:sz w:val="20"/>
      <w:szCs w:val="20"/>
    </w:rPr>
  </w:style>
  <w:style w:type="paragraph" w:styleId="CommentSubject">
    <w:name w:val="annotation subject"/>
    <w:basedOn w:val="CommentText"/>
    <w:next w:val="CommentText"/>
    <w:link w:val="CommentSubjectChar"/>
    <w:uiPriority w:val="99"/>
    <w:semiHidden/>
    <w:unhideWhenUsed/>
    <w:rsid w:val="00092F30"/>
    <w:rPr>
      <w:b/>
      <w:bCs/>
    </w:rPr>
  </w:style>
  <w:style w:type="character" w:customStyle="1" w:styleId="CommentSubjectChar">
    <w:name w:val="Comment Subject Char"/>
    <w:basedOn w:val="CommentTextChar"/>
    <w:link w:val="CommentSubject"/>
    <w:uiPriority w:val="99"/>
    <w:semiHidden/>
    <w:rsid w:val="00092F30"/>
    <w:rPr>
      <w:b/>
      <w:bCs/>
      <w:sz w:val="20"/>
      <w:szCs w:val="20"/>
    </w:rPr>
  </w:style>
  <w:style w:type="character" w:customStyle="1" w:styleId="UnresolvedMention1">
    <w:name w:val="Unresolved Mention1"/>
    <w:basedOn w:val="DefaultParagraphFont"/>
    <w:uiPriority w:val="99"/>
    <w:semiHidden/>
    <w:unhideWhenUsed/>
    <w:rsid w:val="00D031A1"/>
    <w:rPr>
      <w:color w:val="605E5C"/>
      <w:shd w:val="clear" w:color="auto" w:fill="E1DFDD"/>
    </w:rPr>
  </w:style>
  <w:style w:type="paragraph" w:styleId="NoSpacing">
    <w:name w:val="No Spacing"/>
    <w:uiPriority w:val="1"/>
    <w:qFormat/>
    <w:rsid w:val="00CC7BE1"/>
    <w:pPr>
      <w:spacing w:after="0" w:line="240" w:lineRule="auto"/>
    </w:pPr>
    <w:rPr>
      <w:rFonts w:eastAsiaTheme="minorHAnsi"/>
      <w:lang w:val="en-US" w:eastAsia="en-US"/>
    </w:rPr>
  </w:style>
  <w:style w:type="paragraph" w:customStyle="1" w:styleId="Default">
    <w:name w:val="Default"/>
    <w:rsid w:val="008C73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093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068551">
      <w:bodyDiv w:val="1"/>
      <w:marLeft w:val="0"/>
      <w:marRight w:val="0"/>
      <w:marTop w:val="0"/>
      <w:marBottom w:val="0"/>
      <w:divBdr>
        <w:top w:val="none" w:sz="0" w:space="0" w:color="auto"/>
        <w:left w:val="none" w:sz="0" w:space="0" w:color="auto"/>
        <w:bottom w:val="none" w:sz="0" w:space="0" w:color="auto"/>
        <w:right w:val="none" w:sz="0" w:space="0" w:color="auto"/>
      </w:divBdr>
    </w:div>
    <w:div w:id="210110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ina.usaci@mec.gov.md" TargetMode="External"/><Relationship Id="rId5" Type="http://schemas.openxmlformats.org/officeDocument/2006/relationships/hyperlink" Target="https://mecc.gov.md/sites/default/files/conducere.pdf" TargetMode="External"/><Relationship Id="rId4"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5</Pages>
  <Words>2297</Words>
  <Characters>13095</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Erhan</dc:creator>
  <cp:lastModifiedBy>Usaci Doina</cp:lastModifiedBy>
  <cp:revision>61</cp:revision>
  <cp:lastPrinted>2023-12-06T07:42:00Z</cp:lastPrinted>
  <dcterms:created xsi:type="dcterms:W3CDTF">2023-09-21T13:27:00Z</dcterms:created>
  <dcterms:modified xsi:type="dcterms:W3CDTF">2023-12-06T13:42:00Z</dcterms:modified>
</cp:coreProperties>
</file>