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D0C02" w14:textId="77777777" w:rsidR="00131DF1" w:rsidRPr="00AD4139" w:rsidRDefault="00131DF1" w:rsidP="00131DF1">
      <w:pPr>
        <w:tabs>
          <w:tab w:val="left" w:pos="884"/>
          <w:tab w:val="left" w:pos="1196"/>
        </w:tabs>
        <w:spacing w:after="0" w:line="240" w:lineRule="auto"/>
        <w:ind w:firstLine="702"/>
        <w:jc w:val="both"/>
        <w:rPr>
          <w:rFonts w:ascii="Times New Roman" w:hAnsi="Times New Roman"/>
          <w:iCs/>
          <w:sz w:val="24"/>
          <w:szCs w:val="24"/>
          <w:lang w:val="ro-MD"/>
        </w:rPr>
      </w:pPr>
    </w:p>
    <w:p w14:paraId="1DA28E8E" w14:textId="77777777" w:rsidR="005968DC" w:rsidRPr="00AD4139" w:rsidRDefault="005968DC" w:rsidP="00131DF1">
      <w:pPr>
        <w:tabs>
          <w:tab w:val="left" w:pos="884"/>
          <w:tab w:val="left" w:pos="1196"/>
        </w:tabs>
        <w:spacing w:after="0" w:line="240" w:lineRule="auto"/>
        <w:jc w:val="center"/>
        <w:rPr>
          <w:rFonts w:ascii="Times New Roman" w:hAnsi="Times New Roman"/>
          <w:b/>
          <w:sz w:val="24"/>
          <w:szCs w:val="24"/>
          <w:lang w:val="ro-MD"/>
        </w:rPr>
      </w:pPr>
      <w:r w:rsidRPr="00AD4139">
        <w:rPr>
          <w:rFonts w:ascii="Times New Roman" w:hAnsi="Times New Roman"/>
          <w:b/>
          <w:sz w:val="24"/>
          <w:szCs w:val="24"/>
          <w:lang w:val="ro-MD"/>
        </w:rPr>
        <w:t>NOTA INFORMATIVĂ</w:t>
      </w:r>
    </w:p>
    <w:p w14:paraId="0043B1A9" w14:textId="1EDE8DB3" w:rsidR="00131DF1" w:rsidRPr="00AD4139" w:rsidRDefault="00131DF1" w:rsidP="007D343C">
      <w:pPr>
        <w:jc w:val="center"/>
        <w:rPr>
          <w:rFonts w:ascii="Times New Roman" w:hAnsi="Times New Roman"/>
          <w:b/>
          <w:sz w:val="24"/>
          <w:szCs w:val="24"/>
          <w:lang w:val="ro-MD"/>
        </w:rPr>
      </w:pPr>
      <w:r w:rsidRPr="00AD4139">
        <w:rPr>
          <w:rFonts w:ascii="Times New Roman" w:hAnsi="Times New Roman"/>
          <w:b/>
          <w:sz w:val="24"/>
          <w:szCs w:val="24"/>
          <w:lang w:val="ro-MD"/>
        </w:rPr>
        <w:t xml:space="preserve"> </w:t>
      </w:r>
      <w:r w:rsidR="007D343C" w:rsidRPr="00AD4139">
        <w:rPr>
          <w:rFonts w:ascii="Times New Roman" w:hAnsi="Times New Roman"/>
          <w:b/>
          <w:sz w:val="24"/>
          <w:szCs w:val="24"/>
          <w:lang w:val="ro-MD"/>
        </w:rPr>
        <w:t xml:space="preserve">la proiectul Hotărârii de Guvern </w:t>
      </w:r>
      <w:r w:rsidR="00B57A8C" w:rsidRPr="00B57A8C">
        <w:rPr>
          <w:rFonts w:ascii="Times New Roman" w:hAnsi="Times New Roman"/>
          <w:b/>
          <w:sz w:val="24"/>
          <w:szCs w:val="24"/>
          <w:lang w:val="ro-MD"/>
        </w:rPr>
        <w:t xml:space="preserve">cu privire la acordarea Instituţiei Publice Organizaţia Concertistică şi de Management Artistic </w:t>
      </w:r>
      <w:r w:rsidR="004826F9">
        <w:rPr>
          <w:rFonts w:ascii="Times New Roman" w:hAnsi="Times New Roman"/>
          <w:b/>
          <w:sz w:val="24"/>
          <w:szCs w:val="24"/>
          <w:lang w:val="ro-MD"/>
        </w:rPr>
        <w:t>„</w:t>
      </w:r>
      <w:r w:rsidR="00B57A8C" w:rsidRPr="00B57A8C">
        <w:rPr>
          <w:rFonts w:ascii="Times New Roman" w:hAnsi="Times New Roman"/>
          <w:b/>
          <w:sz w:val="24"/>
          <w:szCs w:val="24"/>
          <w:lang w:val="ro-MD"/>
        </w:rPr>
        <w:t>Moldova-Concert</w:t>
      </w:r>
      <w:r w:rsidR="004826F9">
        <w:rPr>
          <w:rFonts w:ascii="Times New Roman" w:hAnsi="Times New Roman"/>
          <w:b/>
          <w:sz w:val="24"/>
          <w:szCs w:val="24"/>
          <w:lang w:val="ro-MD"/>
        </w:rPr>
        <w:t>”</w:t>
      </w:r>
      <w:r w:rsidR="00B57A8C" w:rsidRPr="00B57A8C">
        <w:rPr>
          <w:rFonts w:ascii="Times New Roman" w:hAnsi="Times New Roman"/>
          <w:b/>
          <w:sz w:val="24"/>
          <w:szCs w:val="24"/>
          <w:lang w:val="ro-MD"/>
        </w:rPr>
        <w:t xml:space="preserve"> </w:t>
      </w:r>
      <w:r w:rsidR="004F52A6">
        <w:rPr>
          <w:rFonts w:ascii="Times New Roman" w:hAnsi="Times New Roman"/>
          <w:b/>
          <w:sz w:val="24"/>
          <w:szCs w:val="24"/>
          <w:lang w:val="ro-MD"/>
        </w:rPr>
        <w:t xml:space="preserve">                                                                        </w:t>
      </w:r>
      <w:r w:rsidR="00B57A8C" w:rsidRPr="00B57A8C">
        <w:rPr>
          <w:rFonts w:ascii="Times New Roman" w:hAnsi="Times New Roman"/>
          <w:b/>
          <w:sz w:val="24"/>
          <w:szCs w:val="24"/>
          <w:lang w:val="ro-MD"/>
        </w:rPr>
        <w:t>a statutului de organizație concertistică națională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5"/>
      </w:tblGrid>
      <w:tr w:rsidR="00131DF1" w:rsidRPr="005A76A5" w14:paraId="0BAFE781" w14:textId="77777777" w:rsidTr="00C87515">
        <w:tc>
          <w:tcPr>
            <w:tcW w:w="5000" w:type="pct"/>
          </w:tcPr>
          <w:p w14:paraId="40034C3A" w14:textId="77777777" w:rsidR="00131DF1" w:rsidRPr="00AD4139" w:rsidRDefault="00131DF1" w:rsidP="00C87515">
            <w:pPr>
              <w:numPr>
                <w:ilvl w:val="3"/>
                <w:numId w:val="1"/>
              </w:numPr>
              <w:tabs>
                <w:tab w:val="clear" w:pos="2880"/>
                <w:tab w:val="left" w:pos="284"/>
                <w:tab w:val="left" w:pos="1196"/>
              </w:tabs>
              <w:spacing w:after="0" w:line="240" w:lineRule="auto"/>
              <w:ind w:left="0" w:firstLine="0"/>
              <w:jc w:val="both"/>
              <w:rPr>
                <w:rFonts w:ascii="Times New Roman" w:hAnsi="Times New Roman"/>
                <w:b/>
                <w:bCs/>
                <w:sz w:val="24"/>
                <w:szCs w:val="24"/>
                <w:lang w:val="ro-MD"/>
              </w:rPr>
            </w:pPr>
            <w:r w:rsidRPr="00AD4139">
              <w:rPr>
                <w:rFonts w:ascii="Times New Roman" w:hAnsi="Times New Roman"/>
                <w:sz w:val="24"/>
                <w:szCs w:val="24"/>
                <w:lang w:val="ro-MD"/>
              </w:rPr>
              <w:t xml:space="preserve"> </w:t>
            </w:r>
            <w:r w:rsidRPr="00AD4139">
              <w:rPr>
                <w:rFonts w:ascii="Times New Roman" w:hAnsi="Times New Roman"/>
                <w:b/>
                <w:bCs/>
                <w:sz w:val="24"/>
                <w:szCs w:val="24"/>
                <w:lang w:val="ro-MD"/>
              </w:rPr>
              <w:t>Denumirea autorului şi, după caz, a participanților la elaborarea proiectului</w:t>
            </w:r>
          </w:p>
          <w:p w14:paraId="599030E0" w14:textId="77777777" w:rsidR="00131DF1" w:rsidRPr="00AD4139" w:rsidRDefault="00131DF1" w:rsidP="00131DF1">
            <w:pPr>
              <w:tabs>
                <w:tab w:val="left" w:pos="284"/>
                <w:tab w:val="left" w:pos="1196"/>
              </w:tabs>
              <w:spacing w:after="0" w:line="240" w:lineRule="auto"/>
              <w:jc w:val="both"/>
              <w:rPr>
                <w:rFonts w:ascii="Times New Roman" w:hAnsi="Times New Roman"/>
                <w:sz w:val="24"/>
                <w:szCs w:val="24"/>
                <w:lang w:val="ro-MD"/>
              </w:rPr>
            </w:pPr>
          </w:p>
        </w:tc>
      </w:tr>
      <w:tr w:rsidR="00131DF1" w:rsidRPr="005A76A5" w14:paraId="1DE41C21" w14:textId="35456598" w:rsidTr="00C87515">
        <w:tc>
          <w:tcPr>
            <w:tcW w:w="5000" w:type="pct"/>
          </w:tcPr>
          <w:p w14:paraId="76510971" w14:textId="40DC8FAB" w:rsidR="00131DF1" w:rsidRPr="00BB7226" w:rsidRDefault="00BB7226" w:rsidP="00C87515">
            <w:pPr>
              <w:tabs>
                <w:tab w:val="left" w:pos="884"/>
                <w:tab w:val="left" w:pos="1196"/>
              </w:tabs>
              <w:spacing w:after="0" w:line="240" w:lineRule="auto"/>
              <w:jc w:val="both"/>
              <w:rPr>
                <w:rFonts w:ascii="Times New Roman" w:hAnsi="Times New Roman"/>
                <w:bCs/>
                <w:sz w:val="24"/>
                <w:szCs w:val="24"/>
                <w:lang w:val="ro-RO"/>
              </w:rPr>
            </w:pPr>
            <w:r w:rsidRPr="00BB7226">
              <w:rPr>
                <w:rFonts w:ascii="Times New Roman" w:hAnsi="Times New Roman"/>
                <w:bCs/>
                <w:sz w:val="24"/>
                <w:szCs w:val="24"/>
                <w:lang w:val="ro-RO"/>
              </w:rPr>
              <w:t xml:space="preserve">Proiectul </w:t>
            </w:r>
            <w:r w:rsidR="0019005E" w:rsidRPr="00BB7226">
              <w:rPr>
                <w:rFonts w:ascii="Times New Roman" w:hAnsi="Times New Roman"/>
                <w:bCs/>
                <w:sz w:val="24"/>
                <w:szCs w:val="24"/>
                <w:lang w:val="ro-RO"/>
              </w:rPr>
              <w:t xml:space="preserve">Hotărârii de Guvern </w:t>
            </w:r>
            <w:r w:rsidR="00B57A8C" w:rsidRPr="00B57A8C">
              <w:rPr>
                <w:rFonts w:ascii="Times New Roman" w:hAnsi="Times New Roman"/>
                <w:bCs/>
                <w:sz w:val="24"/>
                <w:szCs w:val="24"/>
                <w:lang w:val="ro-RO"/>
              </w:rPr>
              <w:t xml:space="preserve">cu privire la acordarea Instituţiei Publice Organizaţia Concertistică şi de Management Artistic </w:t>
            </w:r>
            <w:r w:rsidR="004826F9">
              <w:rPr>
                <w:rFonts w:ascii="Times New Roman" w:hAnsi="Times New Roman"/>
                <w:bCs/>
                <w:sz w:val="24"/>
                <w:szCs w:val="24"/>
                <w:lang w:val="ro-RO"/>
              </w:rPr>
              <w:t>„</w:t>
            </w:r>
            <w:r w:rsidR="00B57A8C" w:rsidRPr="00B57A8C">
              <w:rPr>
                <w:rFonts w:ascii="Times New Roman" w:hAnsi="Times New Roman"/>
                <w:bCs/>
                <w:sz w:val="24"/>
                <w:szCs w:val="24"/>
                <w:lang w:val="ro-RO"/>
              </w:rPr>
              <w:t>Moldova-Concert</w:t>
            </w:r>
            <w:r w:rsidR="004826F9">
              <w:rPr>
                <w:rFonts w:ascii="Times New Roman" w:hAnsi="Times New Roman"/>
                <w:bCs/>
                <w:sz w:val="24"/>
                <w:szCs w:val="24"/>
                <w:lang w:val="ro-RO"/>
              </w:rPr>
              <w:t>”</w:t>
            </w:r>
            <w:r w:rsidR="00B57A8C" w:rsidRPr="00B57A8C">
              <w:rPr>
                <w:rFonts w:ascii="Times New Roman" w:hAnsi="Times New Roman"/>
                <w:bCs/>
                <w:sz w:val="24"/>
                <w:szCs w:val="24"/>
                <w:lang w:val="ro-RO"/>
              </w:rPr>
              <w:t xml:space="preserve"> a statutului de organizație concertistică națională</w:t>
            </w:r>
            <w:r w:rsidR="0019005E" w:rsidRPr="00BB7226">
              <w:rPr>
                <w:rFonts w:ascii="Times New Roman" w:hAnsi="Times New Roman"/>
                <w:bCs/>
                <w:sz w:val="24"/>
                <w:szCs w:val="24"/>
                <w:lang w:val="ro-RO"/>
              </w:rPr>
              <w:t xml:space="preserve"> este elaborat de către</w:t>
            </w:r>
            <w:r w:rsidR="0019005E" w:rsidRPr="00BB7226">
              <w:rPr>
                <w:rFonts w:ascii="Times New Roman" w:eastAsia="Times New Roman" w:hAnsi="Times New Roman"/>
                <w:bCs/>
                <w:sz w:val="24"/>
                <w:szCs w:val="24"/>
                <w:lang w:val="ro-RO"/>
              </w:rPr>
              <w:t xml:space="preserve"> </w:t>
            </w:r>
            <w:r w:rsidR="0019005E" w:rsidRPr="00BB7226">
              <w:rPr>
                <w:rFonts w:ascii="Times New Roman" w:hAnsi="Times New Roman"/>
                <w:bCs/>
                <w:sz w:val="24"/>
                <w:szCs w:val="24"/>
                <w:lang w:val="ro-RO"/>
              </w:rPr>
              <w:t>Ministerul Culturii.</w:t>
            </w:r>
          </w:p>
        </w:tc>
      </w:tr>
      <w:tr w:rsidR="00131DF1" w:rsidRPr="005A76A5" w14:paraId="1A519179" w14:textId="77777777" w:rsidTr="00C87515">
        <w:tc>
          <w:tcPr>
            <w:tcW w:w="5000" w:type="pct"/>
          </w:tcPr>
          <w:p w14:paraId="5317DD01" w14:textId="77777777" w:rsidR="00131DF1" w:rsidRPr="00AD4139" w:rsidRDefault="00131DF1" w:rsidP="00C87515">
            <w:pPr>
              <w:tabs>
                <w:tab w:val="left" w:pos="884"/>
                <w:tab w:val="left" w:pos="1196"/>
              </w:tabs>
              <w:spacing w:after="0" w:line="240" w:lineRule="auto"/>
              <w:jc w:val="both"/>
              <w:rPr>
                <w:rFonts w:ascii="Times New Roman" w:hAnsi="Times New Roman"/>
                <w:b/>
                <w:bCs/>
                <w:sz w:val="24"/>
                <w:szCs w:val="24"/>
                <w:lang w:val="ro-MD"/>
              </w:rPr>
            </w:pPr>
            <w:r w:rsidRPr="00AD4139">
              <w:rPr>
                <w:rFonts w:ascii="Times New Roman" w:hAnsi="Times New Roman"/>
                <w:b/>
                <w:bCs/>
                <w:sz w:val="24"/>
                <w:szCs w:val="24"/>
                <w:lang w:val="ro-MD"/>
              </w:rPr>
              <w:t>2. Condițiile ce au impus elaborarea proiectului de act normativ şi finalitățile urmărite</w:t>
            </w:r>
          </w:p>
          <w:p w14:paraId="55863FFC" w14:textId="77777777" w:rsidR="00131DF1" w:rsidRPr="00AD4139" w:rsidRDefault="00131DF1" w:rsidP="00C87515">
            <w:pPr>
              <w:tabs>
                <w:tab w:val="left" w:pos="884"/>
                <w:tab w:val="left" w:pos="1196"/>
              </w:tabs>
              <w:spacing w:after="0" w:line="240" w:lineRule="auto"/>
              <w:jc w:val="both"/>
              <w:rPr>
                <w:rFonts w:ascii="Times New Roman" w:hAnsi="Times New Roman"/>
                <w:b/>
                <w:bCs/>
                <w:sz w:val="24"/>
                <w:szCs w:val="24"/>
                <w:lang w:val="ro-MD"/>
              </w:rPr>
            </w:pPr>
          </w:p>
        </w:tc>
      </w:tr>
      <w:tr w:rsidR="00131DF1" w:rsidRPr="005A76A5" w14:paraId="54A5C4A7" w14:textId="77777777" w:rsidTr="00C87515">
        <w:tc>
          <w:tcPr>
            <w:tcW w:w="5000" w:type="pct"/>
          </w:tcPr>
          <w:p w14:paraId="3D96A0FF" w14:textId="266B71D3" w:rsidR="00AD7302" w:rsidRDefault="00165768" w:rsidP="00C87515">
            <w:pPr>
              <w:tabs>
                <w:tab w:val="left" w:pos="884"/>
                <w:tab w:val="left" w:pos="1196"/>
              </w:tabs>
              <w:spacing w:after="0" w:line="240" w:lineRule="auto"/>
              <w:jc w:val="both"/>
              <w:rPr>
                <w:rFonts w:ascii="Times New Roman" w:hAnsi="Times New Roman"/>
                <w:bCs/>
                <w:sz w:val="24"/>
                <w:szCs w:val="24"/>
                <w:lang w:val="ro-RO"/>
              </w:rPr>
            </w:pPr>
            <w:r w:rsidRPr="00AD7302">
              <w:rPr>
                <w:rFonts w:ascii="Times New Roman" w:hAnsi="Times New Roman"/>
                <w:sz w:val="24"/>
                <w:szCs w:val="24"/>
                <w:lang w:val="ro-MD"/>
              </w:rPr>
              <w:t>Proiectul</w:t>
            </w:r>
            <w:r w:rsidR="00FC6697" w:rsidRPr="00AD7302">
              <w:rPr>
                <w:rFonts w:ascii="Times New Roman" w:hAnsi="Times New Roman"/>
                <w:sz w:val="24"/>
                <w:szCs w:val="24"/>
                <w:lang w:val="ro-MD"/>
              </w:rPr>
              <w:t xml:space="preserve"> este elaborat în scopul </w:t>
            </w:r>
            <w:r w:rsidR="00AD7302" w:rsidRPr="00AD7302">
              <w:rPr>
                <w:rFonts w:ascii="Times New Roman" w:hAnsi="Times New Roman"/>
                <w:sz w:val="24"/>
                <w:szCs w:val="24"/>
                <w:lang w:val="ro-RO"/>
              </w:rPr>
              <w:t xml:space="preserve">acordării statutului de organizație concertistică națională pentru </w:t>
            </w:r>
            <w:r w:rsidR="00AD7302" w:rsidRPr="00AD7302">
              <w:rPr>
                <w:rFonts w:ascii="Times New Roman" w:hAnsi="Times New Roman"/>
                <w:bCs/>
                <w:sz w:val="24"/>
                <w:szCs w:val="24"/>
                <w:lang w:val="ro-RO"/>
              </w:rPr>
              <w:t xml:space="preserve">Instituţia Publică Organizaţia Concertistică şi de Management Artistic </w:t>
            </w:r>
            <w:r w:rsidR="004826F9">
              <w:rPr>
                <w:rFonts w:ascii="Times New Roman" w:hAnsi="Times New Roman"/>
                <w:bCs/>
                <w:sz w:val="24"/>
                <w:szCs w:val="24"/>
                <w:lang w:val="ro-RO"/>
              </w:rPr>
              <w:t>„</w:t>
            </w:r>
            <w:r w:rsidR="00AD7302" w:rsidRPr="00AD7302">
              <w:rPr>
                <w:rFonts w:ascii="Times New Roman" w:hAnsi="Times New Roman"/>
                <w:bCs/>
                <w:sz w:val="24"/>
                <w:szCs w:val="24"/>
                <w:lang w:val="ro-RO"/>
              </w:rPr>
              <w:t>Moldova-Concert</w:t>
            </w:r>
            <w:r w:rsidR="004826F9">
              <w:rPr>
                <w:rFonts w:ascii="Times New Roman" w:hAnsi="Times New Roman"/>
                <w:bCs/>
                <w:sz w:val="24"/>
                <w:szCs w:val="24"/>
                <w:lang w:val="ro-RO"/>
              </w:rPr>
              <w:t>”</w:t>
            </w:r>
            <w:r w:rsidR="00AD7302" w:rsidRPr="00AD7302">
              <w:rPr>
                <w:rFonts w:ascii="Times New Roman" w:hAnsi="Times New Roman"/>
                <w:bCs/>
                <w:sz w:val="24"/>
                <w:szCs w:val="24"/>
                <w:lang w:val="ro-RO"/>
              </w:rPr>
              <w:t>.</w:t>
            </w:r>
          </w:p>
          <w:p w14:paraId="085BC742" w14:textId="68DA504F" w:rsidR="00AD7302" w:rsidRDefault="00AD7302" w:rsidP="00C87515">
            <w:pPr>
              <w:tabs>
                <w:tab w:val="left" w:pos="884"/>
                <w:tab w:val="left" w:pos="1196"/>
              </w:tabs>
              <w:spacing w:after="0" w:line="240" w:lineRule="auto"/>
              <w:jc w:val="both"/>
              <w:rPr>
                <w:rFonts w:ascii="Times New Roman" w:hAnsi="Times New Roman"/>
                <w:bCs/>
                <w:sz w:val="24"/>
                <w:szCs w:val="24"/>
                <w:lang w:val="ro-RO"/>
              </w:rPr>
            </w:pPr>
            <w:r>
              <w:rPr>
                <w:rFonts w:ascii="Times New Roman" w:hAnsi="Times New Roman"/>
                <w:sz w:val="24"/>
                <w:szCs w:val="24"/>
                <w:lang w:val="ro-RO"/>
              </w:rPr>
              <w:t xml:space="preserve">Prin scrisoarea nr. 195 din 01.11.2023 adresată Ministerului Culturii, </w:t>
            </w:r>
            <w:r w:rsidR="004826F9" w:rsidRPr="00AD7302">
              <w:rPr>
                <w:rFonts w:ascii="Times New Roman" w:hAnsi="Times New Roman"/>
                <w:bCs/>
                <w:sz w:val="24"/>
                <w:szCs w:val="24"/>
                <w:lang w:val="ro-RO"/>
              </w:rPr>
              <w:t>Instituția</w:t>
            </w:r>
            <w:r w:rsidRPr="00AD7302">
              <w:rPr>
                <w:rFonts w:ascii="Times New Roman" w:hAnsi="Times New Roman"/>
                <w:bCs/>
                <w:sz w:val="24"/>
                <w:szCs w:val="24"/>
                <w:lang w:val="ro-RO"/>
              </w:rPr>
              <w:t xml:space="preserve"> Publică Organizaţia Concertistică şi de Management Artistic </w:t>
            </w:r>
            <w:r w:rsidR="004826F9">
              <w:rPr>
                <w:rFonts w:ascii="Times New Roman" w:hAnsi="Times New Roman"/>
                <w:bCs/>
                <w:sz w:val="24"/>
                <w:szCs w:val="24"/>
                <w:lang w:val="ro-RO"/>
              </w:rPr>
              <w:t>„</w:t>
            </w:r>
            <w:r w:rsidRPr="00AD7302">
              <w:rPr>
                <w:rFonts w:ascii="Times New Roman" w:hAnsi="Times New Roman"/>
                <w:bCs/>
                <w:sz w:val="24"/>
                <w:szCs w:val="24"/>
                <w:lang w:val="ro-RO"/>
              </w:rPr>
              <w:t>Moldova-Concert</w:t>
            </w:r>
            <w:r w:rsidR="004826F9">
              <w:rPr>
                <w:rFonts w:ascii="Times New Roman" w:hAnsi="Times New Roman"/>
                <w:bCs/>
                <w:sz w:val="24"/>
                <w:szCs w:val="24"/>
                <w:lang w:val="ro-RO"/>
              </w:rPr>
              <w:t>”</w:t>
            </w:r>
            <w:r>
              <w:rPr>
                <w:rFonts w:ascii="Times New Roman" w:hAnsi="Times New Roman"/>
                <w:bCs/>
                <w:sz w:val="24"/>
                <w:szCs w:val="24"/>
                <w:lang w:val="ro-RO"/>
              </w:rPr>
              <w:t xml:space="preserve"> a argumentat că este </w:t>
            </w:r>
            <w:r w:rsidRPr="00AD7302">
              <w:rPr>
                <w:rFonts w:ascii="Times New Roman" w:hAnsi="Times New Roman"/>
                <w:bCs/>
                <w:sz w:val="24"/>
                <w:szCs w:val="24"/>
                <w:lang w:val="ro-RO"/>
              </w:rPr>
              <w:t xml:space="preserve">o instituție </w:t>
            </w:r>
            <w:r>
              <w:rPr>
                <w:rFonts w:ascii="Times New Roman" w:hAnsi="Times New Roman"/>
                <w:bCs/>
                <w:sz w:val="24"/>
                <w:szCs w:val="24"/>
                <w:lang w:val="ro-RO"/>
              </w:rPr>
              <w:t xml:space="preserve">de stat </w:t>
            </w:r>
            <w:r w:rsidRPr="00AD7302">
              <w:rPr>
                <w:rFonts w:ascii="Times New Roman" w:hAnsi="Times New Roman"/>
                <w:bCs/>
                <w:sz w:val="24"/>
                <w:szCs w:val="24"/>
                <w:lang w:val="ro-RO"/>
              </w:rPr>
              <w:t>de cultură și artă a cărei creație este de importanță națională, care are în repertoriu o mare varietate de genuri, se deosebește printr-un înalt nivel artistic și interpretativ, acordă o atenție deosebită muzicii naționale, clasicii mondiale și a cărei creație reflectă tendințele artei contemporane, prezent</w:t>
            </w:r>
            <w:r w:rsidR="004826F9">
              <w:rPr>
                <w:rFonts w:ascii="Times New Roman" w:hAnsi="Times New Roman"/>
                <w:bCs/>
                <w:sz w:val="24"/>
                <w:szCs w:val="24"/>
                <w:lang w:val="ro-RO"/>
              </w:rPr>
              <w:t>â</w:t>
            </w:r>
            <w:r w:rsidRPr="00AD7302">
              <w:rPr>
                <w:rFonts w:ascii="Times New Roman" w:hAnsi="Times New Roman"/>
                <w:bCs/>
                <w:sz w:val="24"/>
                <w:szCs w:val="24"/>
                <w:lang w:val="ro-RO"/>
              </w:rPr>
              <w:t xml:space="preserve">ndu-se în ansamblu drept etalon al </w:t>
            </w:r>
            <w:r w:rsidR="004826F9" w:rsidRPr="00AD7302">
              <w:rPr>
                <w:rFonts w:ascii="Times New Roman" w:hAnsi="Times New Roman"/>
                <w:bCs/>
                <w:sz w:val="24"/>
                <w:szCs w:val="24"/>
                <w:lang w:val="ro-RO"/>
              </w:rPr>
              <w:t>măiestriei</w:t>
            </w:r>
            <w:r w:rsidRPr="00AD7302">
              <w:rPr>
                <w:rFonts w:ascii="Times New Roman" w:hAnsi="Times New Roman"/>
                <w:bCs/>
                <w:sz w:val="24"/>
                <w:szCs w:val="24"/>
                <w:lang w:val="ro-RO"/>
              </w:rPr>
              <w:t xml:space="preserve"> și creativității artistice.</w:t>
            </w:r>
          </w:p>
          <w:p w14:paraId="4D232109" w14:textId="0ADFDA7E" w:rsidR="00AD7302" w:rsidRDefault="00AD7302" w:rsidP="00C87515">
            <w:pPr>
              <w:tabs>
                <w:tab w:val="left" w:pos="884"/>
                <w:tab w:val="left" w:pos="1196"/>
              </w:tabs>
              <w:spacing w:after="0" w:line="240" w:lineRule="auto"/>
              <w:jc w:val="both"/>
              <w:rPr>
                <w:rFonts w:ascii="Times New Roman" w:hAnsi="Times New Roman"/>
                <w:bCs/>
                <w:sz w:val="24"/>
                <w:szCs w:val="24"/>
                <w:lang w:val="ro-RO"/>
              </w:rPr>
            </w:pPr>
            <w:r>
              <w:rPr>
                <w:rFonts w:ascii="Times New Roman" w:hAnsi="Times New Roman"/>
                <w:bCs/>
                <w:sz w:val="24"/>
                <w:szCs w:val="24"/>
                <w:lang w:val="ro-RO"/>
              </w:rPr>
              <w:t xml:space="preserve">În gestiunea instituției se află mai multe construcții emblematice, inclusiv </w:t>
            </w:r>
            <w:r w:rsidRPr="00AD7302">
              <w:rPr>
                <w:rFonts w:ascii="Times New Roman" w:hAnsi="Times New Roman"/>
                <w:bCs/>
                <w:sz w:val="24"/>
                <w:szCs w:val="24"/>
                <w:lang w:val="ro-RO"/>
              </w:rPr>
              <w:t>Construcția din str.</w:t>
            </w:r>
            <w:r>
              <w:rPr>
                <w:rFonts w:ascii="Times New Roman" w:hAnsi="Times New Roman"/>
                <w:bCs/>
                <w:sz w:val="24"/>
                <w:szCs w:val="24"/>
                <w:lang w:val="ro-RO"/>
              </w:rPr>
              <w:t xml:space="preserve"> </w:t>
            </w:r>
            <w:r w:rsidRPr="00AD7302">
              <w:rPr>
                <w:rFonts w:ascii="Times New Roman" w:hAnsi="Times New Roman"/>
                <w:bCs/>
                <w:sz w:val="24"/>
                <w:szCs w:val="24"/>
                <w:lang w:val="ro-RO"/>
              </w:rPr>
              <w:t xml:space="preserve">A.Pușkin-21 mun.Chișinău, denumită </w:t>
            </w:r>
            <w:r w:rsidR="004826F9">
              <w:rPr>
                <w:rFonts w:ascii="Times New Roman" w:hAnsi="Times New Roman"/>
                <w:bCs/>
                <w:sz w:val="24"/>
                <w:szCs w:val="24"/>
                <w:lang w:val="ro-RO"/>
              </w:rPr>
              <w:t>„</w:t>
            </w:r>
            <w:r w:rsidRPr="00AD7302">
              <w:rPr>
                <w:rFonts w:ascii="Times New Roman" w:hAnsi="Times New Roman"/>
                <w:bCs/>
                <w:sz w:val="24"/>
                <w:szCs w:val="24"/>
                <w:lang w:val="ro-RO"/>
              </w:rPr>
              <w:t>Palatul Național Nicolae Sulac</w:t>
            </w:r>
            <w:r w:rsidR="004826F9">
              <w:rPr>
                <w:rFonts w:ascii="Times New Roman" w:hAnsi="Times New Roman"/>
                <w:bCs/>
                <w:sz w:val="24"/>
                <w:szCs w:val="24"/>
                <w:lang w:val="ro-RO"/>
              </w:rPr>
              <w:t>”</w:t>
            </w:r>
            <w:r w:rsidRPr="00AD7302">
              <w:rPr>
                <w:rFonts w:ascii="Times New Roman" w:hAnsi="Times New Roman"/>
                <w:bCs/>
                <w:sz w:val="24"/>
                <w:szCs w:val="24"/>
                <w:lang w:val="ro-RO"/>
              </w:rPr>
              <w:t xml:space="preserve">, cu destinația - construcție de cultură și agrement, cu o suprafață totală a construcției de 16685.1 m.p. și  suprafața terenului de 1.3092 ha., unde își are sediul și adresa juridică </w:t>
            </w:r>
            <w:r>
              <w:rPr>
                <w:rFonts w:ascii="Times New Roman" w:hAnsi="Times New Roman"/>
                <w:bCs/>
                <w:sz w:val="24"/>
                <w:szCs w:val="24"/>
                <w:lang w:val="ro-RO"/>
              </w:rPr>
              <w:t>instituția.</w:t>
            </w:r>
          </w:p>
          <w:p w14:paraId="78DB4239" w14:textId="77777777" w:rsidR="00C05768" w:rsidRDefault="00C05768" w:rsidP="00C05768">
            <w:pPr>
              <w:tabs>
                <w:tab w:val="left" w:pos="884"/>
                <w:tab w:val="left" w:pos="1196"/>
              </w:tabs>
              <w:spacing w:after="0" w:line="240" w:lineRule="auto"/>
              <w:jc w:val="both"/>
              <w:rPr>
                <w:rFonts w:ascii="Times New Roman" w:hAnsi="Times New Roman"/>
                <w:bCs/>
                <w:sz w:val="24"/>
                <w:szCs w:val="24"/>
                <w:lang w:val="ro-RO"/>
              </w:rPr>
            </w:pPr>
            <w:r w:rsidRPr="00C05768">
              <w:rPr>
                <w:rFonts w:ascii="Times New Roman" w:hAnsi="Times New Roman"/>
                <w:bCs/>
                <w:sz w:val="24"/>
                <w:szCs w:val="24"/>
                <w:lang w:val="ro-RO"/>
              </w:rPr>
              <w:t>Personalul</w:t>
            </w:r>
            <w:r>
              <w:rPr>
                <w:rFonts w:ascii="Times New Roman" w:hAnsi="Times New Roman"/>
                <w:bCs/>
                <w:sz w:val="24"/>
                <w:szCs w:val="24"/>
                <w:lang w:val="ro-RO"/>
              </w:rPr>
              <w:t xml:space="preserve"> i</w:t>
            </w:r>
            <w:r w:rsidRPr="00C05768">
              <w:rPr>
                <w:rFonts w:ascii="Times New Roman" w:hAnsi="Times New Roman"/>
                <w:bCs/>
                <w:sz w:val="24"/>
                <w:szCs w:val="24"/>
                <w:lang w:val="ro-RO"/>
              </w:rPr>
              <w:t>nstituției include personalul artistic și de creație care activează în următoarele colective artistice</w:t>
            </w:r>
            <w:r>
              <w:rPr>
                <w:rFonts w:ascii="Times New Roman" w:hAnsi="Times New Roman"/>
                <w:bCs/>
                <w:sz w:val="24"/>
                <w:szCs w:val="24"/>
                <w:lang w:val="ro-RO"/>
              </w:rPr>
              <w:t>:</w:t>
            </w:r>
          </w:p>
          <w:p w14:paraId="54F6DE4B" w14:textId="0267EBEC" w:rsidR="00C05768" w:rsidRPr="00C05768" w:rsidRDefault="00C05768" w:rsidP="00C05768">
            <w:pPr>
              <w:tabs>
                <w:tab w:val="left" w:pos="884"/>
                <w:tab w:val="left" w:pos="1196"/>
              </w:tabs>
              <w:spacing w:after="0" w:line="240" w:lineRule="auto"/>
              <w:jc w:val="both"/>
              <w:rPr>
                <w:rFonts w:ascii="Times New Roman" w:hAnsi="Times New Roman"/>
                <w:bCs/>
                <w:sz w:val="24"/>
                <w:szCs w:val="24"/>
                <w:lang w:val="ro-RO"/>
              </w:rPr>
            </w:pPr>
            <w:r>
              <w:rPr>
                <w:rFonts w:ascii="Times New Roman" w:hAnsi="Times New Roman"/>
                <w:bCs/>
                <w:sz w:val="24"/>
                <w:szCs w:val="24"/>
                <w:lang w:val="ro-RO"/>
              </w:rPr>
              <w:t xml:space="preserve">1. </w:t>
            </w:r>
            <w:r w:rsidRPr="00C05768">
              <w:rPr>
                <w:rFonts w:ascii="Times New Roman" w:hAnsi="Times New Roman"/>
                <w:bCs/>
                <w:sz w:val="24"/>
                <w:szCs w:val="24"/>
                <w:lang w:val="ro-RO"/>
              </w:rPr>
              <w:t xml:space="preserve">Orchestra națională de muzică populară </w:t>
            </w:r>
            <w:r w:rsidR="004826F9">
              <w:rPr>
                <w:rFonts w:ascii="Times New Roman" w:hAnsi="Times New Roman"/>
                <w:bCs/>
                <w:sz w:val="24"/>
                <w:szCs w:val="24"/>
                <w:lang w:val="ro-RO"/>
              </w:rPr>
              <w:t>„</w:t>
            </w:r>
            <w:r w:rsidRPr="00C05768">
              <w:rPr>
                <w:rFonts w:ascii="Times New Roman" w:hAnsi="Times New Roman"/>
                <w:bCs/>
                <w:sz w:val="24"/>
                <w:szCs w:val="24"/>
                <w:lang w:val="ro-RO"/>
              </w:rPr>
              <w:t>Lăutarii</w:t>
            </w:r>
            <w:r w:rsidR="004826F9">
              <w:rPr>
                <w:rFonts w:ascii="Times New Roman" w:hAnsi="Times New Roman"/>
                <w:bCs/>
                <w:sz w:val="24"/>
                <w:szCs w:val="24"/>
                <w:lang w:val="ro-RO"/>
              </w:rPr>
              <w:t>”</w:t>
            </w:r>
          </w:p>
          <w:p w14:paraId="1DBAD178" w14:textId="3A89DC37" w:rsidR="00C05768" w:rsidRPr="00C05768" w:rsidRDefault="00C05768" w:rsidP="00C05768">
            <w:pPr>
              <w:tabs>
                <w:tab w:val="left" w:pos="884"/>
                <w:tab w:val="left" w:pos="1196"/>
              </w:tabs>
              <w:spacing w:after="0" w:line="240" w:lineRule="auto"/>
              <w:jc w:val="both"/>
              <w:rPr>
                <w:rFonts w:ascii="Times New Roman" w:hAnsi="Times New Roman"/>
                <w:bCs/>
                <w:sz w:val="24"/>
                <w:szCs w:val="24"/>
                <w:lang w:val="ro-RO"/>
              </w:rPr>
            </w:pPr>
            <w:r w:rsidRPr="00C05768">
              <w:rPr>
                <w:rFonts w:ascii="Times New Roman" w:hAnsi="Times New Roman"/>
                <w:bCs/>
                <w:sz w:val="24"/>
                <w:szCs w:val="24"/>
                <w:lang w:val="ro-RO"/>
              </w:rPr>
              <w:t>2</w:t>
            </w:r>
            <w:r>
              <w:rPr>
                <w:rFonts w:ascii="Times New Roman" w:hAnsi="Times New Roman"/>
                <w:bCs/>
                <w:sz w:val="24"/>
                <w:szCs w:val="24"/>
                <w:lang w:val="ro-RO"/>
              </w:rPr>
              <w:t xml:space="preserve">. </w:t>
            </w:r>
            <w:r w:rsidRPr="00C05768">
              <w:rPr>
                <w:rFonts w:ascii="Times New Roman" w:hAnsi="Times New Roman"/>
                <w:bCs/>
                <w:sz w:val="24"/>
                <w:szCs w:val="24"/>
                <w:lang w:val="ro-RO"/>
              </w:rPr>
              <w:t xml:space="preserve">Ansamblul de </w:t>
            </w:r>
            <w:r w:rsidR="004826F9" w:rsidRPr="00C05768">
              <w:rPr>
                <w:rFonts w:ascii="Times New Roman" w:hAnsi="Times New Roman"/>
                <w:bCs/>
                <w:sz w:val="24"/>
                <w:szCs w:val="24"/>
                <w:lang w:val="ro-RO"/>
              </w:rPr>
              <w:t>cântece</w:t>
            </w:r>
            <w:r w:rsidRPr="00C05768">
              <w:rPr>
                <w:rFonts w:ascii="Times New Roman" w:hAnsi="Times New Roman"/>
                <w:bCs/>
                <w:sz w:val="24"/>
                <w:szCs w:val="24"/>
                <w:lang w:val="ro-RO"/>
              </w:rPr>
              <w:t xml:space="preserve"> și dansuri populare </w:t>
            </w:r>
            <w:r w:rsidR="004826F9">
              <w:rPr>
                <w:rFonts w:ascii="Times New Roman" w:hAnsi="Times New Roman"/>
                <w:bCs/>
                <w:sz w:val="24"/>
                <w:szCs w:val="24"/>
                <w:lang w:val="ro-RO"/>
              </w:rPr>
              <w:t>„</w:t>
            </w:r>
            <w:r w:rsidRPr="00C05768">
              <w:rPr>
                <w:rFonts w:ascii="Times New Roman" w:hAnsi="Times New Roman"/>
                <w:bCs/>
                <w:sz w:val="24"/>
                <w:szCs w:val="24"/>
                <w:lang w:val="ro-RO"/>
              </w:rPr>
              <w:t>Fluieraș</w:t>
            </w:r>
            <w:r w:rsidR="004826F9">
              <w:rPr>
                <w:rFonts w:ascii="Times New Roman" w:hAnsi="Times New Roman"/>
                <w:bCs/>
                <w:sz w:val="24"/>
                <w:szCs w:val="24"/>
                <w:lang w:val="ro-RO"/>
              </w:rPr>
              <w:t>”</w:t>
            </w:r>
          </w:p>
          <w:p w14:paraId="2302A37D" w14:textId="2F036710" w:rsidR="00C05768" w:rsidRPr="00C05768" w:rsidRDefault="00C05768" w:rsidP="00C05768">
            <w:pPr>
              <w:tabs>
                <w:tab w:val="left" w:pos="884"/>
                <w:tab w:val="left" w:pos="1196"/>
              </w:tabs>
              <w:spacing w:after="0" w:line="240" w:lineRule="auto"/>
              <w:jc w:val="both"/>
              <w:rPr>
                <w:rFonts w:ascii="Times New Roman" w:hAnsi="Times New Roman"/>
                <w:bCs/>
                <w:sz w:val="24"/>
                <w:szCs w:val="24"/>
                <w:lang w:val="ro-RO"/>
              </w:rPr>
            </w:pPr>
            <w:r w:rsidRPr="00C05768">
              <w:rPr>
                <w:rFonts w:ascii="Times New Roman" w:hAnsi="Times New Roman"/>
                <w:bCs/>
                <w:sz w:val="24"/>
                <w:szCs w:val="24"/>
                <w:lang w:val="ro-RO"/>
              </w:rPr>
              <w:t>3.</w:t>
            </w:r>
            <w:r>
              <w:rPr>
                <w:rFonts w:ascii="Times New Roman" w:hAnsi="Times New Roman"/>
                <w:bCs/>
                <w:sz w:val="24"/>
                <w:szCs w:val="24"/>
                <w:lang w:val="ro-RO"/>
              </w:rPr>
              <w:t xml:space="preserve"> </w:t>
            </w:r>
            <w:r w:rsidRPr="00C05768">
              <w:rPr>
                <w:rFonts w:ascii="Times New Roman" w:hAnsi="Times New Roman"/>
                <w:bCs/>
                <w:sz w:val="24"/>
                <w:szCs w:val="24"/>
                <w:lang w:val="ro-RO"/>
              </w:rPr>
              <w:t xml:space="preserve">Orchestra de muzică populară </w:t>
            </w:r>
            <w:r w:rsidR="004826F9">
              <w:rPr>
                <w:rFonts w:ascii="Times New Roman" w:hAnsi="Times New Roman"/>
                <w:bCs/>
                <w:sz w:val="24"/>
                <w:szCs w:val="24"/>
                <w:lang w:val="ro-RO"/>
              </w:rPr>
              <w:t>„</w:t>
            </w:r>
            <w:r w:rsidRPr="00C05768">
              <w:rPr>
                <w:rFonts w:ascii="Times New Roman" w:hAnsi="Times New Roman"/>
                <w:bCs/>
                <w:sz w:val="24"/>
                <w:szCs w:val="24"/>
                <w:lang w:val="ro-RO"/>
              </w:rPr>
              <w:t>Mugurel</w:t>
            </w:r>
            <w:r w:rsidR="004826F9">
              <w:rPr>
                <w:rFonts w:ascii="Times New Roman" w:hAnsi="Times New Roman"/>
                <w:bCs/>
                <w:sz w:val="24"/>
                <w:szCs w:val="24"/>
                <w:lang w:val="ro-RO"/>
              </w:rPr>
              <w:t>”</w:t>
            </w:r>
          </w:p>
          <w:p w14:paraId="3746C369" w14:textId="127126B2" w:rsidR="00C05768" w:rsidRPr="00C05768" w:rsidRDefault="00C05768" w:rsidP="00C05768">
            <w:pPr>
              <w:tabs>
                <w:tab w:val="left" w:pos="884"/>
                <w:tab w:val="left" w:pos="1196"/>
              </w:tabs>
              <w:spacing w:after="0" w:line="240" w:lineRule="auto"/>
              <w:jc w:val="both"/>
              <w:rPr>
                <w:rFonts w:ascii="Times New Roman" w:hAnsi="Times New Roman"/>
                <w:bCs/>
                <w:sz w:val="24"/>
                <w:szCs w:val="24"/>
                <w:lang w:val="ro-RO"/>
              </w:rPr>
            </w:pPr>
            <w:r w:rsidRPr="00C05768">
              <w:rPr>
                <w:rFonts w:ascii="Times New Roman" w:hAnsi="Times New Roman"/>
                <w:bCs/>
                <w:sz w:val="24"/>
                <w:szCs w:val="24"/>
                <w:lang w:val="ro-RO"/>
              </w:rPr>
              <w:t>4.</w:t>
            </w:r>
            <w:r>
              <w:rPr>
                <w:rFonts w:ascii="Times New Roman" w:hAnsi="Times New Roman"/>
                <w:bCs/>
                <w:sz w:val="24"/>
                <w:szCs w:val="24"/>
                <w:lang w:val="ro-RO"/>
              </w:rPr>
              <w:t xml:space="preserve"> </w:t>
            </w:r>
            <w:r w:rsidRPr="00C05768">
              <w:rPr>
                <w:rFonts w:ascii="Times New Roman" w:hAnsi="Times New Roman"/>
                <w:bCs/>
                <w:sz w:val="24"/>
                <w:szCs w:val="24"/>
                <w:lang w:val="ro-RO"/>
              </w:rPr>
              <w:t xml:space="preserve">Formația de estradă  </w:t>
            </w:r>
            <w:r w:rsidR="004826F9">
              <w:rPr>
                <w:rFonts w:ascii="Times New Roman" w:hAnsi="Times New Roman"/>
                <w:bCs/>
                <w:sz w:val="24"/>
                <w:szCs w:val="24"/>
                <w:lang w:val="ro-RO"/>
              </w:rPr>
              <w:t>„</w:t>
            </w:r>
            <w:r w:rsidRPr="00C05768">
              <w:rPr>
                <w:rFonts w:ascii="Times New Roman" w:hAnsi="Times New Roman"/>
                <w:bCs/>
                <w:sz w:val="24"/>
                <w:szCs w:val="24"/>
                <w:lang w:val="ro-RO"/>
              </w:rPr>
              <w:t>Noroc</w:t>
            </w:r>
            <w:r w:rsidR="004826F9">
              <w:rPr>
                <w:rFonts w:ascii="Times New Roman" w:hAnsi="Times New Roman"/>
                <w:bCs/>
                <w:sz w:val="24"/>
                <w:szCs w:val="24"/>
                <w:lang w:val="ro-RO"/>
              </w:rPr>
              <w:t>”</w:t>
            </w:r>
          </w:p>
          <w:p w14:paraId="30C3542F" w14:textId="53629C4A" w:rsidR="00C05768" w:rsidRPr="00C05768" w:rsidRDefault="00C05768" w:rsidP="00C05768">
            <w:pPr>
              <w:tabs>
                <w:tab w:val="left" w:pos="884"/>
                <w:tab w:val="left" w:pos="1196"/>
              </w:tabs>
              <w:spacing w:after="0" w:line="240" w:lineRule="auto"/>
              <w:jc w:val="both"/>
              <w:rPr>
                <w:rFonts w:ascii="Times New Roman" w:hAnsi="Times New Roman"/>
                <w:bCs/>
                <w:sz w:val="24"/>
                <w:szCs w:val="24"/>
                <w:lang w:val="ro-RO"/>
              </w:rPr>
            </w:pPr>
            <w:r w:rsidRPr="00C05768">
              <w:rPr>
                <w:rFonts w:ascii="Times New Roman" w:hAnsi="Times New Roman"/>
                <w:bCs/>
                <w:sz w:val="24"/>
                <w:szCs w:val="24"/>
                <w:lang w:val="ro-RO"/>
              </w:rPr>
              <w:t>5.</w:t>
            </w:r>
            <w:r>
              <w:rPr>
                <w:rFonts w:ascii="Times New Roman" w:hAnsi="Times New Roman"/>
                <w:bCs/>
                <w:sz w:val="24"/>
                <w:szCs w:val="24"/>
                <w:lang w:val="ro-RO"/>
              </w:rPr>
              <w:t xml:space="preserve"> </w:t>
            </w:r>
            <w:r w:rsidRPr="00C05768">
              <w:rPr>
                <w:rFonts w:ascii="Times New Roman" w:hAnsi="Times New Roman"/>
                <w:bCs/>
                <w:sz w:val="24"/>
                <w:szCs w:val="24"/>
                <w:lang w:val="ro-RO"/>
              </w:rPr>
              <w:t xml:space="preserve">Formația artistică </w:t>
            </w:r>
            <w:r w:rsidR="004826F9">
              <w:rPr>
                <w:rFonts w:ascii="Times New Roman" w:hAnsi="Times New Roman"/>
                <w:bCs/>
                <w:sz w:val="24"/>
                <w:szCs w:val="24"/>
                <w:lang w:val="ro-RO"/>
              </w:rPr>
              <w:t>„</w:t>
            </w:r>
            <w:r w:rsidRPr="00C05768">
              <w:rPr>
                <w:rFonts w:ascii="Times New Roman" w:hAnsi="Times New Roman"/>
                <w:bCs/>
                <w:sz w:val="24"/>
                <w:szCs w:val="24"/>
                <w:lang w:val="ro-RO"/>
              </w:rPr>
              <w:t>Milenium</w:t>
            </w:r>
            <w:r w:rsidR="004826F9">
              <w:rPr>
                <w:rFonts w:ascii="Times New Roman" w:hAnsi="Times New Roman"/>
                <w:bCs/>
                <w:sz w:val="24"/>
                <w:szCs w:val="24"/>
                <w:lang w:val="ro-RO"/>
              </w:rPr>
              <w:t>”</w:t>
            </w:r>
          </w:p>
          <w:p w14:paraId="50815C06" w14:textId="0ED6A9C7" w:rsidR="00C05768" w:rsidRPr="00C05768" w:rsidRDefault="00C05768" w:rsidP="00C05768">
            <w:pPr>
              <w:tabs>
                <w:tab w:val="left" w:pos="884"/>
                <w:tab w:val="left" w:pos="1196"/>
              </w:tabs>
              <w:spacing w:after="0" w:line="240" w:lineRule="auto"/>
              <w:jc w:val="both"/>
              <w:rPr>
                <w:rFonts w:ascii="Times New Roman" w:hAnsi="Times New Roman"/>
                <w:bCs/>
                <w:sz w:val="24"/>
                <w:szCs w:val="24"/>
                <w:lang w:val="ro-RO"/>
              </w:rPr>
            </w:pPr>
            <w:r>
              <w:rPr>
                <w:rFonts w:ascii="Times New Roman" w:hAnsi="Times New Roman"/>
                <w:bCs/>
                <w:sz w:val="24"/>
                <w:szCs w:val="24"/>
                <w:lang w:val="ro-RO"/>
              </w:rPr>
              <w:t>Instituția</w:t>
            </w:r>
            <w:r w:rsidRPr="00C05768">
              <w:rPr>
                <w:rFonts w:ascii="Times New Roman" w:hAnsi="Times New Roman"/>
                <w:bCs/>
                <w:sz w:val="24"/>
                <w:szCs w:val="24"/>
                <w:lang w:val="ro-RO"/>
              </w:rPr>
              <w:t xml:space="preserve"> mai deține și două filiale</w:t>
            </w:r>
            <w:r>
              <w:rPr>
                <w:rFonts w:ascii="Times New Roman" w:hAnsi="Times New Roman"/>
                <w:bCs/>
                <w:sz w:val="24"/>
                <w:szCs w:val="24"/>
                <w:lang w:val="ro-RO"/>
              </w:rPr>
              <w:t xml:space="preserve">: </w:t>
            </w:r>
            <w:r w:rsidRPr="00C05768">
              <w:rPr>
                <w:rFonts w:ascii="Times New Roman" w:hAnsi="Times New Roman"/>
                <w:bCs/>
                <w:sz w:val="24"/>
                <w:szCs w:val="24"/>
                <w:lang w:val="ro-RO"/>
              </w:rPr>
              <w:t>cea din or.</w:t>
            </w:r>
            <w:r>
              <w:rPr>
                <w:rFonts w:ascii="Times New Roman" w:hAnsi="Times New Roman"/>
                <w:bCs/>
                <w:sz w:val="24"/>
                <w:szCs w:val="24"/>
                <w:lang w:val="ro-RO"/>
              </w:rPr>
              <w:t xml:space="preserve"> </w:t>
            </w:r>
            <w:r w:rsidRPr="00C05768">
              <w:rPr>
                <w:rFonts w:ascii="Times New Roman" w:hAnsi="Times New Roman"/>
                <w:bCs/>
                <w:sz w:val="24"/>
                <w:szCs w:val="24"/>
                <w:lang w:val="ro-RO"/>
              </w:rPr>
              <w:t xml:space="preserve">Taraclia în componența căreia activează Ansamblul de </w:t>
            </w:r>
            <w:r w:rsidR="004826F9" w:rsidRPr="00C05768">
              <w:rPr>
                <w:rFonts w:ascii="Times New Roman" w:hAnsi="Times New Roman"/>
                <w:bCs/>
                <w:sz w:val="24"/>
                <w:szCs w:val="24"/>
                <w:lang w:val="ro-RO"/>
              </w:rPr>
              <w:t>cântece</w:t>
            </w:r>
            <w:r w:rsidRPr="00C05768">
              <w:rPr>
                <w:rFonts w:ascii="Times New Roman" w:hAnsi="Times New Roman"/>
                <w:bCs/>
                <w:sz w:val="24"/>
                <w:szCs w:val="24"/>
                <w:lang w:val="ro-RO"/>
              </w:rPr>
              <w:t xml:space="preserve"> și dansuri  </w:t>
            </w:r>
            <w:r w:rsidR="004826F9">
              <w:rPr>
                <w:rFonts w:ascii="Times New Roman" w:hAnsi="Times New Roman"/>
                <w:bCs/>
                <w:sz w:val="24"/>
                <w:szCs w:val="24"/>
                <w:lang w:val="ro-RO"/>
              </w:rPr>
              <w:t>„</w:t>
            </w:r>
            <w:r w:rsidRPr="00C05768">
              <w:rPr>
                <w:rFonts w:ascii="Times New Roman" w:hAnsi="Times New Roman"/>
                <w:bCs/>
                <w:sz w:val="24"/>
                <w:szCs w:val="24"/>
                <w:lang w:val="ro-RO"/>
              </w:rPr>
              <w:t>Radoliubie</w:t>
            </w:r>
            <w:r w:rsidR="004826F9">
              <w:rPr>
                <w:rFonts w:ascii="Times New Roman" w:hAnsi="Times New Roman"/>
                <w:bCs/>
                <w:sz w:val="24"/>
                <w:szCs w:val="24"/>
                <w:lang w:val="ro-RO"/>
              </w:rPr>
              <w:t>”</w:t>
            </w:r>
            <w:r w:rsidRPr="00C05768">
              <w:rPr>
                <w:rFonts w:ascii="Times New Roman" w:hAnsi="Times New Roman"/>
                <w:bCs/>
                <w:sz w:val="24"/>
                <w:szCs w:val="24"/>
                <w:lang w:val="ro-RO"/>
              </w:rPr>
              <w:t xml:space="preserve"> și filiala din or.</w:t>
            </w:r>
            <w:r>
              <w:rPr>
                <w:rFonts w:ascii="Times New Roman" w:hAnsi="Times New Roman"/>
                <w:bCs/>
                <w:sz w:val="24"/>
                <w:szCs w:val="24"/>
                <w:lang w:val="ro-RO"/>
              </w:rPr>
              <w:t xml:space="preserve"> </w:t>
            </w:r>
            <w:r w:rsidRPr="00C05768">
              <w:rPr>
                <w:rFonts w:ascii="Times New Roman" w:hAnsi="Times New Roman"/>
                <w:bCs/>
                <w:sz w:val="24"/>
                <w:szCs w:val="24"/>
                <w:lang w:val="ro-RO"/>
              </w:rPr>
              <w:t xml:space="preserve">Comrat  în componența căreia activează Ansamblul de </w:t>
            </w:r>
            <w:r w:rsidR="004826F9" w:rsidRPr="00C05768">
              <w:rPr>
                <w:rFonts w:ascii="Times New Roman" w:hAnsi="Times New Roman"/>
                <w:bCs/>
                <w:sz w:val="24"/>
                <w:szCs w:val="24"/>
                <w:lang w:val="ro-RO"/>
              </w:rPr>
              <w:t>cântece</w:t>
            </w:r>
            <w:r w:rsidRPr="00C05768">
              <w:rPr>
                <w:rFonts w:ascii="Times New Roman" w:hAnsi="Times New Roman"/>
                <w:bCs/>
                <w:sz w:val="24"/>
                <w:szCs w:val="24"/>
                <w:lang w:val="ro-RO"/>
              </w:rPr>
              <w:t xml:space="preserve"> și dansuri </w:t>
            </w:r>
            <w:r w:rsidR="004826F9">
              <w:rPr>
                <w:rFonts w:ascii="Times New Roman" w:hAnsi="Times New Roman"/>
                <w:bCs/>
                <w:sz w:val="24"/>
                <w:szCs w:val="24"/>
                <w:lang w:val="ro-RO"/>
              </w:rPr>
              <w:t>„</w:t>
            </w:r>
            <w:r w:rsidRPr="00C05768">
              <w:rPr>
                <w:rFonts w:ascii="Times New Roman" w:hAnsi="Times New Roman"/>
                <w:bCs/>
                <w:sz w:val="24"/>
                <w:szCs w:val="24"/>
                <w:lang w:val="ro-RO"/>
              </w:rPr>
              <w:t>Cadînja</w:t>
            </w:r>
            <w:r w:rsidR="004826F9">
              <w:rPr>
                <w:rFonts w:ascii="Times New Roman" w:hAnsi="Times New Roman"/>
                <w:bCs/>
                <w:sz w:val="24"/>
                <w:szCs w:val="24"/>
                <w:lang w:val="ro-RO"/>
              </w:rPr>
              <w:t>”</w:t>
            </w:r>
            <w:r w:rsidRPr="00C05768">
              <w:rPr>
                <w:rFonts w:ascii="Times New Roman" w:hAnsi="Times New Roman"/>
                <w:bCs/>
                <w:sz w:val="24"/>
                <w:szCs w:val="24"/>
                <w:lang w:val="ro-RO"/>
              </w:rPr>
              <w:t xml:space="preserve"> care reprezintă cultura unor etnii care populează zonele de sud ale țării.</w:t>
            </w:r>
          </w:p>
          <w:p w14:paraId="73FE32D9" w14:textId="77356AF8" w:rsidR="00C05768" w:rsidRDefault="00C05768" w:rsidP="00C05768">
            <w:pPr>
              <w:tabs>
                <w:tab w:val="left" w:pos="884"/>
                <w:tab w:val="left" w:pos="1196"/>
              </w:tabs>
              <w:spacing w:after="0" w:line="240" w:lineRule="auto"/>
              <w:jc w:val="both"/>
              <w:rPr>
                <w:rFonts w:ascii="Times New Roman" w:hAnsi="Times New Roman"/>
                <w:bCs/>
                <w:sz w:val="24"/>
                <w:szCs w:val="24"/>
                <w:lang w:val="ro-RO"/>
              </w:rPr>
            </w:pPr>
            <w:r w:rsidRPr="00C05768">
              <w:rPr>
                <w:rFonts w:ascii="Times New Roman" w:hAnsi="Times New Roman"/>
                <w:bCs/>
                <w:sz w:val="24"/>
                <w:szCs w:val="24"/>
                <w:lang w:val="ro-RO"/>
              </w:rPr>
              <w:t xml:space="preserve">În  toate colectivele artistice și filiale din componența </w:t>
            </w:r>
            <w:r>
              <w:rPr>
                <w:rFonts w:ascii="Times New Roman" w:hAnsi="Times New Roman"/>
                <w:bCs/>
                <w:sz w:val="24"/>
                <w:szCs w:val="24"/>
                <w:lang w:val="ro-RO"/>
              </w:rPr>
              <w:t>i</w:t>
            </w:r>
            <w:r w:rsidRPr="00C05768">
              <w:rPr>
                <w:rFonts w:ascii="Times New Roman" w:hAnsi="Times New Roman"/>
                <w:bCs/>
                <w:sz w:val="24"/>
                <w:szCs w:val="24"/>
                <w:lang w:val="ro-RO"/>
              </w:rPr>
              <w:t xml:space="preserve">nstituției activează un număr de 202 artiști de diferite genuri, marea majoritate dintre ei dețin înalte titluri și distincții  de stat, distincții care au fost oferite pentru meritele remarcabile în dezvoltarea culturii naționale, </w:t>
            </w:r>
            <w:r w:rsidR="004826F9" w:rsidRPr="00C05768">
              <w:rPr>
                <w:rFonts w:ascii="Times New Roman" w:hAnsi="Times New Roman"/>
                <w:bCs/>
                <w:sz w:val="24"/>
                <w:szCs w:val="24"/>
                <w:lang w:val="ro-RO"/>
              </w:rPr>
              <w:t>considerând</w:t>
            </w:r>
            <w:r w:rsidR="004826F9">
              <w:rPr>
                <w:rFonts w:ascii="Times New Roman" w:hAnsi="Times New Roman"/>
                <w:bCs/>
                <w:sz w:val="24"/>
                <w:szCs w:val="24"/>
                <w:lang w:val="ro-RO"/>
              </w:rPr>
              <w:t>u</w:t>
            </w:r>
            <w:r w:rsidRPr="00C05768">
              <w:rPr>
                <w:rFonts w:ascii="Times New Roman" w:hAnsi="Times New Roman"/>
                <w:bCs/>
                <w:sz w:val="24"/>
                <w:szCs w:val="24"/>
                <w:lang w:val="ro-RO"/>
              </w:rPr>
              <w:t>-se drept un etalon al măiestriei și creativității artistice.</w:t>
            </w:r>
          </w:p>
          <w:p w14:paraId="29231559" w14:textId="6A2D2AD5" w:rsidR="00C05768" w:rsidRPr="00C05768" w:rsidRDefault="00C05768" w:rsidP="00C05768">
            <w:pPr>
              <w:tabs>
                <w:tab w:val="left" w:pos="884"/>
                <w:tab w:val="left" w:pos="1196"/>
              </w:tabs>
              <w:spacing w:after="0" w:line="240" w:lineRule="auto"/>
              <w:jc w:val="both"/>
              <w:rPr>
                <w:rFonts w:ascii="Times New Roman" w:hAnsi="Times New Roman"/>
                <w:bCs/>
                <w:sz w:val="24"/>
                <w:szCs w:val="24"/>
                <w:lang w:val="ro-RO"/>
              </w:rPr>
            </w:pPr>
            <w:r w:rsidRPr="00C05768">
              <w:rPr>
                <w:rFonts w:ascii="Times New Roman" w:hAnsi="Times New Roman"/>
                <w:bCs/>
                <w:sz w:val="24"/>
                <w:szCs w:val="24"/>
                <w:lang w:val="ro-RO"/>
              </w:rPr>
              <w:t xml:space="preserve">Este de menționat și faptul că colectivele artistice din componența </w:t>
            </w:r>
            <w:r>
              <w:rPr>
                <w:rFonts w:ascii="Times New Roman" w:hAnsi="Times New Roman"/>
                <w:bCs/>
                <w:sz w:val="24"/>
                <w:szCs w:val="24"/>
                <w:lang w:val="ro-RO"/>
              </w:rPr>
              <w:t>i</w:t>
            </w:r>
            <w:r w:rsidRPr="00C05768">
              <w:rPr>
                <w:rFonts w:ascii="Times New Roman" w:hAnsi="Times New Roman"/>
                <w:bCs/>
                <w:sz w:val="24"/>
                <w:szCs w:val="24"/>
                <w:lang w:val="ro-RO"/>
              </w:rPr>
              <w:t xml:space="preserve">nstituției, regulat prezintă spectacole și turnee </w:t>
            </w:r>
            <w:r w:rsidR="004826F9" w:rsidRPr="00C05768">
              <w:rPr>
                <w:rFonts w:ascii="Times New Roman" w:hAnsi="Times New Roman"/>
                <w:bCs/>
                <w:sz w:val="24"/>
                <w:szCs w:val="24"/>
                <w:lang w:val="ro-RO"/>
              </w:rPr>
              <w:t>atât</w:t>
            </w:r>
            <w:r w:rsidRPr="00C05768">
              <w:rPr>
                <w:rFonts w:ascii="Times New Roman" w:hAnsi="Times New Roman"/>
                <w:bCs/>
                <w:sz w:val="24"/>
                <w:szCs w:val="24"/>
                <w:lang w:val="ro-RO"/>
              </w:rPr>
              <w:t xml:space="preserve"> pe teritoriul țării </w:t>
            </w:r>
            <w:r w:rsidR="004826F9" w:rsidRPr="00C05768">
              <w:rPr>
                <w:rFonts w:ascii="Times New Roman" w:hAnsi="Times New Roman"/>
                <w:bCs/>
                <w:sz w:val="24"/>
                <w:szCs w:val="24"/>
                <w:lang w:val="ro-RO"/>
              </w:rPr>
              <w:t>cât</w:t>
            </w:r>
            <w:r w:rsidRPr="00C05768">
              <w:rPr>
                <w:rFonts w:ascii="Times New Roman" w:hAnsi="Times New Roman"/>
                <w:bCs/>
                <w:sz w:val="24"/>
                <w:szCs w:val="24"/>
                <w:lang w:val="ro-RO"/>
              </w:rPr>
              <w:t xml:space="preserve"> și în afara ei, dar și cu ocazia diferitelor sărbători sau evenimente cum ar fi: Sărbătorile de Iarnă, Festivalul Internațional de Muzică </w:t>
            </w:r>
            <w:r w:rsidR="004826F9">
              <w:rPr>
                <w:rFonts w:ascii="Times New Roman" w:hAnsi="Times New Roman"/>
                <w:bCs/>
                <w:sz w:val="24"/>
                <w:szCs w:val="24"/>
                <w:lang w:val="ro-RO"/>
              </w:rPr>
              <w:t>„</w:t>
            </w:r>
            <w:r w:rsidRPr="00C05768">
              <w:rPr>
                <w:rFonts w:ascii="Times New Roman" w:hAnsi="Times New Roman"/>
                <w:bCs/>
                <w:sz w:val="24"/>
                <w:szCs w:val="24"/>
                <w:lang w:val="ro-RO"/>
              </w:rPr>
              <w:t>Mărțișor</w:t>
            </w:r>
            <w:r w:rsidR="004826F9">
              <w:rPr>
                <w:rFonts w:ascii="Times New Roman" w:hAnsi="Times New Roman"/>
                <w:bCs/>
                <w:sz w:val="24"/>
                <w:szCs w:val="24"/>
                <w:lang w:val="ro-RO"/>
              </w:rPr>
              <w:t>”</w:t>
            </w:r>
            <w:r w:rsidRPr="00C05768">
              <w:rPr>
                <w:rFonts w:ascii="Times New Roman" w:hAnsi="Times New Roman"/>
                <w:bCs/>
                <w:sz w:val="24"/>
                <w:szCs w:val="24"/>
                <w:lang w:val="ro-RO"/>
              </w:rPr>
              <w:t xml:space="preserve">, Ziua Internațională a Copiilor, Ziua </w:t>
            </w:r>
            <w:r w:rsidR="004826F9" w:rsidRPr="00C05768">
              <w:rPr>
                <w:rFonts w:ascii="Times New Roman" w:hAnsi="Times New Roman"/>
                <w:bCs/>
                <w:sz w:val="24"/>
                <w:szCs w:val="24"/>
                <w:lang w:val="ro-RO"/>
              </w:rPr>
              <w:t>Independenței</w:t>
            </w:r>
            <w:r w:rsidRPr="00C05768">
              <w:rPr>
                <w:rFonts w:ascii="Times New Roman" w:hAnsi="Times New Roman"/>
                <w:bCs/>
                <w:sz w:val="24"/>
                <w:szCs w:val="24"/>
                <w:lang w:val="ro-RO"/>
              </w:rPr>
              <w:t xml:space="preserve">, Ziua Limbii Române, Ziua Națională a Culturii precum și diferite spectacole aniversare a </w:t>
            </w:r>
            <w:r w:rsidR="004826F9" w:rsidRPr="00C05768">
              <w:rPr>
                <w:rFonts w:ascii="Times New Roman" w:hAnsi="Times New Roman"/>
                <w:bCs/>
                <w:sz w:val="24"/>
                <w:szCs w:val="24"/>
                <w:lang w:val="ro-RO"/>
              </w:rPr>
              <w:t>merelor</w:t>
            </w:r>
            <w:r w:rsidRPr="00C05768">
              <w:rPr>
                <w:rFonts w:ascii="Times New Roman" w:hAnsi="Times New Roman"/>
                <w:bCs/>
                <w:sz w:val="24"/>
                <w:szCs w:val="24"/>
                <w:lang w:val="ro-RO"/>
              </w:rPr>
              <w:t xml:space="preserve"> personalități și serate de creație.</w:t>
            </w:r>
          </w:p>
          <w:p w14:paraId="0572E000" w14:textId="33E21822" w:rsidR="00C05768" w:rsidRDefault="00C05768" w:rsidP="00C05768">
            <w:pPr>
              <w:tabs>
                <w:tab w:val="left" w:pos="884"/>
                <w:tab w:val="left" w:pos="1196"/>
              </w:tabs>
              <w:spacing w:after="0" w:line="240" w:lineRule="auto"/>
              <w:jc w:val="both"/>
              <w:rPr>
                <w:rFonts w:ascii="Times New Roman" w:hAnsi="Times New Roman"/>
                <w:bCs/>
                <w:sz w:val="24"/>
                <w:szCs w:val="24"/>
                <w:lang w:val="ro-RO"/>
              </w:rPr>
            </w:pPr>
            <w:r w:rsidRPr="00C05768">
              <w:rPr>
                <w:rFonts w:ascii="Times New Roman" w:hAnsi="Times New Roman"/>
                <w:bCs/>
                <w:sz w:val="24"/>
                <w:szCs w:val="24"/>
                <w:lang w:val="ro-RO"/>
              </w:rPr>
              <w:t>La fel</w:t>
            </w:r>
            <w:r>
              <w:rPr>
                <w:rFonts w:ascii="Times New Roman" w:hAnsi="Times New Roman"/>
                <w:bCs/>
                <w:sz w:val="24"/>
                <w:szCs w:val="24"/>
                <w:lang w:val="ro-RO"/>
              </w:rPr>
              <w:t>,</w:t>
            </w:r>
            <w:r w:rsidRPr="00C05768">
              <w:rPr>
                <w:rFonts w:ascii="Times New Roman" w:hAnsi="Times New Roman"/>
                <w:bCs/>
                <w:sz w:val="24"/>
                <w:szCs w:val="24"/>
                <w:lang w:val="ro-RO"/>
              </w:rPr>
              <w:t xml:space="preserve"> de către </w:t>
            </w:r>
            <w:r>
              <w:rPr>
                <w:rFonts w:ascii="Times New Roman" w:hAnsi="Times New Roman"/>
                <w:bCs/>
                <w:sz w:val="24"/>
                <w:szCs w:val="24"/>
                <w:lang w:val="ro-RO"/>
              </w:rPr>
              <w:t>i</w:t>
            </w:r>
            <w:r w:rsidRPr="00C05768">
              <w:rPr>
                <w:rFonts w:ascii="Times New Roman" w:hAnsi="Times New Roman"/>
                <w:bCs/>
                <w:sz w:val="24"/>
                <w:szCs w:val="24"/>
                <w:lang w:val="ro-RO"/>
              </w:rPr>
              <w:t xml:space="preserve">nstituție sunt organizate și prezentate diferite evenimente și spectacole care sunt regizate în comun cu diferiți parteneri, precum și există o legătură </w:t>
            </w:r>
            <w:r w:rsidR="004826F9" w:rsidRPr="00C05768">
              <w:rPr>
                <w:rFonts w:ascii="Times New Roman" w:hAnsi="Times New Roman"/>
                <w:bCs/>
                <w:sz w:val="24"/>
                <w:szCs w:val="24"/>
                <w:lang w:val="ro-RO"/>
              </w:rPr>
              <w:t>strânsă</w:t>
            </w:r>
            <w:r w:rsidRPr="00C05768">
              <w:rPr>
                <w:rFonts w:ascii="Times New Roman" w:hAnsi="Times New Roman"/>
                <w:bCs/>
                <w:sz w:val="24"/>
                <w:szCs w:val="24"/>
                <w:lang w:val="ro-RO"/>
              </w:rPr>
              <w:t xml:space="preserve"> de colaborare cu majoritatea posturilor de televiziune și </w:t>
            </w:r>
            <w:r w:rsidR="004826F9" w:rsidRPr="00C05768">
              <w:rPr>
                <w:rFonts w:ascii="Times New Roman" w:hAnsi="Times New Roman"/>
                <w:bCs/>
                <w:sz w:val="24"/>
                <w:szCs w:val="24"/>
                <w:lang w:val="ro-RO"/>
              </w:rPr>
              <w:t>radio</w:t>
            </w:r>
            <w:r w:rsidRPr="00C05768">
              <w:rPr>
                <w:rFonts w:ascii="Times New Roman" w:hAnsi="Times New Roman"/>
                <w:bCs/>
                <w:sz w:val="24"/>
                <w:szCs w:val="24"/>
                <w:lang w:val="ro-RO"/>
              </w:rPr>
              <w:t xml:space="preserve"> din țară</w:t>
            </w:r>
            <w:r>
              <w:rPr>
                <w:rFonts w:ascii="Times New Roman" w:hAnsi="Times New Roman"/>
                <w:bCs/>
                <w:sz w:val="24"/>
                <w:szCs w:val="24"/>
                <w:lang w:val="ro-RO"/>
              </w:rPr>
              <w:t>, precum și cu unele</w:t>
            </w:r>
            <w:r w:rsidRPr="00C05768">
              <w:rPr>
                <w:rFonts w:ascii="Times New Roman" w:hAnsi="Times New Roman"/>
                <w:bCs/>
                <w:sz w:val="24"/>
                <w:szCs w:val="24"/>
                <w:lang w:val="ro-RO"/>
              </w:rPr>
              <w:t xml:space="preserve"> de peste hotarele țării, care difuzează evenimentele petrec</w:t>
            </w:r>
            <w:r>
              <w:rPr>
                <w:rFonts w:ascii="Times New Roman" w:hAnsi="Times New Roman"/>
                <w:bCs/>
                <w:sz w:val="24"/>
                <w:szCs w:val="24"/>
                <w:lang w:val="ro-RO"/>
              </w:rPr>
              <w:t>ute de instituție.</w:t>
            </w:r>
          </w:p>
          <w:p w14:paraId="6BA283C3" w14:textId="3E64E52A" w:rsidR="00D123D8" w:rsidRPr="00B57A8C" w:rsidRDefault="00D123D8" w:rsidP="00C87515">
            <w:pPr>
              <w:tabs>
                <w:tab w:val="left" w:pos="884"/>
                <w:tab w:val="left" w:pos="1196"/>
              </w:tabs>
              <w:spacing w:after="0" w:line="240" w:lineRule="auto"/>
              <w:jc w:val="both"/>
              <w:rPr>
                <w:rFonts w:ascii="Times New Roman" w:hAnsi="Times New Roman"/>
                <w:sz w:val="24"/>
                <w:szCs w:val="24"/>
                <w:highlight w:val="yellow"/>
                <w:lang w:val="ro-MD"/>
              </w:rPr>
            </w:pPr>
          </w:p>
        </w:tc>
      </w:tr>
      <w:tr w:rsidR="00131DF1" w:rsidRPr="005A76A5" w14:paraId="7DFAAF08" w14:textId="77777777" w:rsidTr="00C87515">
        <w:tc>
          <w:tcPr>
            <w:tcW w:w="5000" w:type="pct"/>
          </w:tcPr>
          <w:p w14:paraId="76761B66" w14:textId="77777777" w:rsidR="00131DF1" w:rsidRPr="00AD4139" w:rsidRDefault="00131DF1" w:rsidP="00C87515">
            <w:pPr>
              <w:tabs>
                <w:tab w:val="left" w:pos="884"/>
                <w:tab w:val="left" w:pos="1196"/>
              </w:tabs>
              <w:spacing w:after="0" w:line="240" w:lineRule="auto"/>
              <w:jc w:val="both"/>
              <w:rPr>
                <w:rFonts w:ascii="Times New Roman" w:hAnsi="Times New Roman"/>
                <w:b/>
                <w:bCs/>
                <w:sz w:val="24"/>
                <w:szCs w:val="24"/>
                <w:lang w:val="ro-MD"/>
              </w:rPr>
            </w:pPr>
            <w:r w:rsidRPr="00AD4139">
              <w:rPr>
                <w:rFonts w:ascii="Times New Roman" w:hAnsi="Times New Roman"/>
                <w:b/>
                <w:bCs/>
                <w:sz w:val="24"/>
                <w:szCs w:val="24"/>
                <w:lang w:val="ro-MD"/>
              </w:rPr>
              <w:t>3. Descrierea gradului de compatibilitate pentru proiectele care au ca scop armonizarea legislaţiei naţionale cu legislaţia Uniunii Europene</w:t>
            </w:r>
          </w:p>
          <w:p w14:paraId="2C060501" w14:textId="77777777" w:rsidR="005968DC" w:rsidRPr="00AD4139" w:rsidRDefault="005968DC" w:rsidP="00C87515">
            <w:pPr>
              <w:tabs>
                <w:tab w:val="left" w:pos="884"/>
                <w:tab w:val="left" w:pos="1196"/>
              </w:tabs>
              <w:spacing w:after="0" w:line="240" w:lineRule="auto"/>
              <w:jc w:val="both"/>
              <w:rPr>
                <w:rFonts w:ascii="Times New Roman" w:hAnsi="Times New Roman"/>
                <w:b/>
                <w:bCs/>
                <w:sz w:val="24"/>
                <w:szCs w:val="24"/>
                <w:lang w:val="ro-MD"/>
              </w:rPr>
            </w:pPr>
            <w:r w:rsidRPr="00AD4139">
              <w:rPr>
                <w:rFonts w:ascii="Times New Roman" w:hAnsi="Times New Roman"/>
                <w:b/>
                <w:bCs/>
                <w:sz w:val="24"/>
                <w:szCs w:val="24"/>
                <w:lang w:val="ro-MD"/>
              </w:rPr>
              <w:lastRenderedPageBreak/>
              <w:t xml:space="preserve"> </w:t>
            </w:r>
          </w:p>
        </w:tc>
      </w:tr>
      <w:tr w:rsidR="00131DF1" w:rsidRPr="005A76A5" w14:paraId="189594B6" w14:textId="77777777" w:rsidTr="00C87515">
        <w:tc>
          <w:tcPr>
            <w:tcW w:w="5000" w:type="pct"/>
          </w:tcPr>
          <w:p w14:paraId="1519C48A" w14:textId="77777777" w:rsidR="00131DF1" w:rsidRPr="00F3155F" w:rsidRDefault="001B16FF" w:rsidP="00C87515">
            <w:pPr>
              <w:tabs>
                <w:tab w:val="left" w:pos="884"/>
                <w:tab w:val="left" w:pos="1196"/>
              </w:tabs>
              <w:spacing w:after="0" w:line="240" w:lineRule="auto"/>
              <w:jc w:val="both"/>
              <w:rPr>
                <w:rFonts w:ascii="Times New Roman" w:hAnsi="Times New Roman"/>
                <w:sz w:val="24"/>
                <w:szCs w:val="24"/>
                <w:lang w:val="ro-MD"/>
              </w:rPr>
            </w:pPr>
            <w:r w:rsidRPr="00F3155F">
              <w:rPr>
                <w:rFonts w:ascii="Times New Roman" w:hAnsi="Times New Roman"/>
                <w:sz w:val="24"/>
                <w:szCs w:val="24"/>
                <w:lang w:val="ro-MD"/>
              </w:rPr>
              <w:lastRenderedPageBreak/>
              <w:t>Prezentul proiect de Hotărâre nu contravine legislației Uniunii Europene și nu are ca scop armonizarea legislației naționale cu legislația Uniunii Europene</w:t>
            </w:r>
          </w:p>
        </w:tc>
      </w:tr>
      <w:tr w:rsidR="00131DF1" w:rsidRPr="005A76A5" w14:paraId="12D239AC" w14:textId="77777777" w:rsidTr="00C87515">
        <w:tc>
          <w:tcPr>
            <w:tcW w:w="5000" w:type="pct"/>
          </w:tcPr>
          <w:p w14:paraId="3D76D4E5" w14:textId="77777777" w:rsidR="00131DF1" w:rsidRPr="00AD4139" w:rsidRDefault="00131DF1" w:rsidP="00C87515">
            <w:pPr>
              <w:tabs>
                <w:tab w:val="left" w:pos="884"/>
                <w:tab w:val="left" w:pos="1196"/>
              </w:tabs>
              <w:spacing w:after="0" w:line="240" w:lineRule="auto"/>
              <w:jc w:val="both"/>
              <w:rPr>
                <w:rFonts w:ascii="Times New Roman" w:hAnsi="Times New Roman"/>
                <w:b/>
                <w:bCs/>
                <w:sz w:val="24"/>
                <w:szCs w:val="24"/>
                <w:lang w:val="ro-MD"/>
              </w:rPr>
            </w:pPr>
            <w:r w:rsidRPr="00AD4139">
              <w:rPr>
                <w:rFonts w:ascii="Times New Roman" w:hAnsi="Times New Roman"/>
                <w:b/>
                <w:bCs/>
                <w:sz w:val="24"/>
                <w:szCs w:val="24"/>
                <w:lang w:val="ro-MD"/>
              </w:rPr>
              <w:t xml:space="preserve">4. Principalele prevederi ale proiectului şi </w:t>
            </w:r>
            <w:r w:rsidR="00F76CF4" w:rsidRPr="00AD4139">
              <w:rPr>
                <w:rFonts w:ascii="Times New Roman" w:hAnsi="Times New Roman"/>
                <w:b/>
                <w:bCs/>
                <w:sz w:val="24"/>
                <w:szCs w:val="24"/>
                <w:lang w:val="ro-MD"/>
              </w:rPr>
              <w:t>evidențierea</w:t>
            </w:r>
            <w:r w:rsidRPr="00AD4139">
              <w:rPr>
                <w:rFonts w:ascii="Times New Roman" w:hAnsi="Times New Roman"/>
                <w:b/>
                <w:bCs/>
                <w:sz w:val="24"/>
                <w:szCs w:val="24"/>
                <w:lang w:val="ro-MD"/>
              </w:rPr>
              <w:t xml:space="preserve"> elementelor noi</w:t>
            </w:r>
          </w:p>
        </w:tc>
      </w:tr>
      <w:tr w:rsidR="00131DF1" w:rsidRPr="005A76A5" w14:paraId="339B1EA1" w14:textId="77777777" w:rsidTr="00C87515">
        <w:tc>
          <w:tcPr>
            <w:tcW w:w="5000" w:type="pct"/>
          </w:tcPr>
          <w:p w14:paraId="483C026A" w14:textId="7291C800" w:rsidR="0019005E" w:rsidRDefault="00AC4770" w:rsidP="00AC4770">
            <w:pPr>
              <w:tabs>
                <w:tab w:val="left" w:pos="5529"/>
              </w:tabs>
              <w:spacing w:before="120" w:after="0" w:line="240" w:lineRule="auto"/>
              <w:contextualSpacing/>
              <w:jc w:val="both"/>
              <w:rPr>
                <w:rFonts w:ascii="Times New Roman" w:hAnsi="Times New Roman"/>
                <w:color w:val="000000"/>
                <w:sz w:val="24"/>
                <w:szCs w:val="24"/>
                <w:lang w:val="ro-MD" w:eastAsia="en-US"/>
              </w:rPr>
            </w:pPr>
            <w:r>
              <w:rPr>
                <w:rFonts w:ascii="Times New Roman" w:hAnsi="Times New Roman"/>
                <w:color w:val="000000"/>
                <w:sz w:val="24"/>
                <w:szCs w:val="24"/>
                <w:lang w:val="ro-MD" w:eastAsia="en-US"/>
              </w:rPr>
              <w:t xml:space="preserve">Proiectul prevede </w:t>
            </w:r>
            <w:r w:rsidR="00B57A8C" w:rsidRPr="00B57A8C">
              <w:rPr>
                <w:rFonts w:ascii="Times New Roman" w:hAnsi="Times New Roman"/>
                <w:color w:val="000000"/>
                <w:sz w:val="24"/>
                <w:szCs w:val="24"/>
                <w:lang w:val="ro-MD" w:eastAsia="en-US"/>
              </w:rPr>
              <w:t xml:space="preserve">acordarea Instituţiei Publice Organizaţia Concertistică şi de Management Artistic </w:t>
            </w:r>
            <w:r w:rsidR="00C808F9">
              <w:rPr>
                <w:rFonts w:ascii="Times New Roman" w:hAnsi="Times New Roman"/>
                <w:color w:val="000000"/>
                <w:sz w:val="24"/>
                <w:szCs w:val="24"/>
                <w:lang w:val="ro-MD" w:eastAsia="en-US"/>
              </w:rPr>
              <w:t>„</w:t>
            </w:r>
            <w:r w:rsidR="00B57A8C" w:rsidRPr="00B57A8C">
              <w:rPr>
                <w:rFonts w:ascii="Times New Roman" w:hAnsi="Times New Roman"/>
                <w:color w:val="000000"/>
                <w:sz w:val="24"/>
                <w:szCs w:val="24"/>
                <w:lang w:val="ro-MD" w:eastAsia="en-US"/>
              </w:rPr>
              <w:t>Moldova-Concert</w:t>
            </w:r>
            <w:r w:rsidR="00C808F9">
              <w:rPr>
                <w:rFonts w:ascii="Times New Roman" w:hAnsi="Times New Roman"/>
                <w:color w:val="000000"/>
                <w:sz w:val="24"/>
                <w:szCs w:val="24"/>
                <w:lang w:val="ro-MD" w:eastAsia="en-US"/>
              </w:rPr>
              <w:t>”</w:t>
            </w:r>
            <w:r w:rsidR="00B57A8C" w:rsidRPr="00B57A8C">
              <w:rPr>
                <w:rFonts w:ascii="Times New Roman" w:hAnsi="Times New Roman"/>
                <w:color w:val="000000"/>
                <w:sz w:val="24"/>
                <w:szCs w:val="24"/>
                <w:lang w:val="ro-MD" w:eastAsia="en-US"/>
              </w:rPr>
              <w:t xml:space="preserve"> a statutului de organizație concertistică națională</w:t>
            </w:r>
            <w:r>
              <w:rPr>
                <w:rFonts w:ascii="Times New Roman" w:hAnsi="Times New Roman"/>
                <w:color w:val="000000"/>
                <w:sz w:val="24"/>
                <w:szCs w:val="24"/>
                <w:lang w:val="ro-MD" w:eastAsia="en-US"/>
              </w:rPr>
              <w:t>, fapt ce duce la modificarea următoarelor acte normative:</w:t>
            </w:r>
          </w:p>
          <w:p w14:paraId="7DFDA262" w14:textId="5EEE5080" w:rsidR="00AC4770" w:rsidRDefault="00AC4770" w:rsidP="00AC4770">
            <w:pPr>
              <w:pStyle w:val="Listparagraf"/>
              <w:numPr>
                <w:ilvl w:val="0"/>
                <w:numId w:val="3"/>
              </w:numPr>
              <w:tabs>
                <w:tab w:val="left" w:pos="5529"/>
              </w:tabs>
              <w:spacing w:before="120" w:after="0" w:line="240" w:lineRule="auto"/>
              <w:jc w:val="both"/>
              <w:rPr>
                <w:rFonts w:ascii="Times New Roman" w:hAnsi="Times New Roman"/>
                <w:color w:val="000000"/>
                <w:sz w:val="24"/>
                <w:szCs w:val="24"/>
                <w:lang w:val="ro-MD" w:eastAsia="en-US"/>
              </w:rPr>
            </w:pPr>
            <w:r w:rsidRPr="00AC4770">
              <w:rPr>
                <w:rFonts w:ascii="Times New Roman" w:hAnsi="Times New Roman"/>
                <w:color w:val="000000"/>
                <w:sz w:val="24"/>
                <w:szCs w:val="24"/>
                <w:lang w:val="ro-MD" w:eastAsia="en-US"/>
              </w:rPr>
              <w:t>Hotărârea Guvernului nr.147/2021 cu privire la organizarea şi funcţionarea Ministerului Culturii</w:t>
            </w:r>
            <w:r>
              <w:rPr>
                <w:rFonts w:ascii="Times New Roman" w:hAnsi="Times New Roman"/>
                <w:color w:val="000000"/>
                <w:sz w:val="24"/>
                <w:szCs w:val="24"/>
                <w:lang w:val="ro-MD" w:eastAsia="en-US"/>
              </w:rPr>
              <w:t>;</w:t>
            </w:r>
          </w:p>
          <w:p w14:paraId="1851BF8B" w14:textId="04AB2A8D" w:rsidR="00AC4770" w:rsidRPr="00AC4770" w:rsidRDefault="00AC4770" w:rsidP="00AC4770">
            <w:pPr>
              <w:pStyle w:val="Listparagraf"/>
              <w:numPr>
                <w:ilvl w:val="0"/>
                <w:numId w:val="3"/>
              </w:numPr>
              <w:tabs>
                <w:tab w:val="left" w:pos="5529"/>
              </w:tabs>
              <w:spacing w:before="120" w:after="0" w:line="240" w:lineRule="auto"/>
              <w:jc w:val="both"/>
              <w:rPr>
                <w:rFonts w:ascii="Times New Roman" w:hAnsi="Times New Roman"/>
                <w:color w:val="000000"/>
                <w:sz w:val="24"/>
                <w:szCs w:val="24"/>
                <w:lang w:val="ro-MD" w:eastAsia="en-US"/>
              </w:rPr>
            </w:pPr>
            <w:r w:rsidRPr="00AC4770">
              <w:rPr>
                <w:rFonts w:ascii="Times New Roman" w:hAnsi="Times New Roman"/>
                <w:color w:val="000000"/>
                <w:sz w:val="24"/>
                <w:szCs w:val="24"/>
                <w:lang w:val="ro-MD" w:eastAsia="en-US"/>
              </w:rPr>
              <w:t>Hotărârea Guvernului nr. 1231/2018 pentru punerea în aplicare a prevederilor Legii nr.270/2018 privind sistemul unitar de salarizare în sectorul bugetar</w:t>
            </w:r>
            <w:r>
              <w:rPr>
                <w:rFonts w:ascii="Times New Roman" w:hAnsi="Times New Roman"/>
                <w:color w:val="000000"/>
                <w:sz w:val="24"/>
                <w:szCs w:val="24"/>
                <w:lang w:val="ro-MD" w:eastAsia="en-US"/>
              </w:rPr>
              <w:t>.</w:t>
            </w:r>
          </w:p>
          <w:p w14:paraId="25FB4537" w14:textId="5C01F221" w:rsidR="00F3155F" w:rsidRPr="00BB7226" w:rsidRDefault="00F3155F" w:rsidP="00BB7226">
            <w:pPr>
              <w:tabs>
                <w:tab w:val="left" w:pos="884"/>
                <w:tab w:val="left" w:pos="1196"/>
              </w:tabs>
              <w:spacing w:after="0" w:line="240" w:lineRule="auto"/>
              <w:jc w:val="both"/>
              <w:rPr>
                <w:rFonts w:ascii="Times New Roman" w:hAnsi="Times New Roman"/>
                <w:sz w:val="24"/>
                <w:szCs w:val="24"/>
                <w:lang w:val="ro-MD"/>
              </w:rPr>
            </w:pPr>
          </w:p>
        </w:tc>
      </w:tr>
      <w:tr w:rsidR="00131DF1" w:rsidRPr="00AD4139" w14:paraId="611062A0" w14:textId="77777777" w:rsidTr="00C87515">
        <w:tc>
          <w:tcPr>
            <w:tcW w:w="5000" w:type="pct"/>
          </w:tcPr>
          <w:p w14:paraId="60F2E38C" w14:textId="77777777" w:rsidR="00131DF1" w:rsidRPr="00AD4139" w:rsidRDefault="00131DF1" w:rsidP="00C87515">
            <w:pPr>
              <w:tabs>
                <w:tab w:val="left" w:pos="884"/>
                <w:tab w:val="left" w:pos="1196"/>
              </w:tabs>
              <w:spacing w:after="0" w:line="240" w:lineRule="auto"/>
              <w:jc w:val="both"/>
              <w:rPr>
                <w:rFonts w:ascii="Times New Roman" w:hAnsi="Times New Roman"/>
                <w:b/>
                <w:bCs/>
                <w:sz w:val="24"/>
                <w:szCs w:val="24"/>
                <w:lang w:val="ro-MD"/>
              </w:rPr>
            </w:pPr>
            <w:r w:rsidRPr="00AD4139">
              <w:rPr>
                <w:rFonts w:ascii="Times New Roman" w:hAnsi="Times New Roman"/>
                <w:b/>
                <w:bCs/>
                <w:sz w:val="24"/>
                <w:szCs w:val="24"/>
                <w:lang w:val="ro-MD"/>
              </w:rPr>
              <w:t>5. Fundamentarea economico-financiară</w:t>
            </w:r>
          </w:p>
        </w:tc>
      </w:tr>
      <w:tr w:rsidR="00131DF1" w:rsidRPr="005A76A5" w14:paraId="5D3AB5F5" w14:textId="77777777" w:rsidTr="00C87515">
        <w:tc>
          <w:tcPr>
            <w:tcW w:w="5000" w:type="pct"/>
          </w:tcPr>
          <w:p w14:paraId="4BA6190D" w14:textId="36474722" w:rsidR="00ED1141" w:rsidRDefault="0019005E" w:rsidP="00C87515">
            <w:pPr>
              <w:tabs>
                <w:tab w:val="left" w:pos="884"/>
                <w:tab w:val="left" w:pos="1196"/>
              </w:tabs>
              <w:spacing w:after="0" w:line="240" w:lineRule="auto"/>
              <w:jc w:val="both"/>
              <w:rPr>
                <w:rFonts w:ascii="Times New Roman" w:hAnsi="Times New Roman"/>
                <w:color w:val="000000"/>
                <w:sz w:val="24"/>
                <w:szCs w:val="24"/>
                <w:lang w:val="ro-MD" w:eastAsia="en-US"/>
              </w:rPr>
            </w:pPr>
            <w:r>
              <w:rPr>
                <w:rFonts w:ascii="Times New Roman" w:hAnsi="Times New Roman"/>
                <w:sz w:val="24"/>
                <w:szCs w:val="24"/>
                <w:lang w:val="ro-MD"/>
              </w:rPr>
              <w:t>I</w:t>
            </w:r>
            <w:r w:rsidRPr="0019005E">
              <w:rPr>
                <w:rFonts w:ascii="Times New Roman" w:hAnsi="Times New Roman"/>
                <w:sz w:val="24"/>
                <w:szCs w:val="24"/>
                <w:lang w:val="ro-MD"/>
              </w:rPr>
              <w:t xml:space="preserve">mplementarea prezentului proiect </w:t>
            </w:r>
            <w:r w:rsidR="00ED1141">
              <w:rPr>
                <w:rFonts w:ascii="Times New Roman" w:hAnsi="Times New Roman"/>
                <w:sz w:val="24"/>
                <w:szCs w:val="24"/>
                <w:lang w:val="ro-MD"/>
              </w:rPr>
              <w:t xml:space="preserve">va duce la cheltuieli suplimentare anuale în mărime totală de 163500 lei pentru majorările salariale a 17 funcții </w:t>
            </w:r>
            <w:r w:rsidR="00AC4770">
              <w:rPr>
                <w:rFonts w:ascii="Times New Roman" w:hAnsi="Times New Roman"/>
                <w:sz w:val="24"/>
                <w:szCs w:val="24"/>
                <w:lang w:val="ro-MD"/>
              </w:rPr>
              <w:t xml:space="preserve">de conducere </w:t>
            </w:r>
            <w:r w:rsidR="00ED1141">
              <w:rPr>
                <w:rFonts w:ascii="Times New Roman" w:hAnsi="Times New Roman"/>
                <w:sz w:val="24"/>
                <w:szCs w:val="24"/>
                <w:lang w:val="ro-MD"/>
              </w:rPr>
              <w:t xml:space="preserve">din cadrul </w:t>
            </w:r>
            <w:r w:rsidR="00ED1141" w:rsidRPr="00B57A8C">
              <w:rPr>
                <w:rFonts w:ascii="Times New Roman" w:hAnsi="Times New Roman"/>
                <w:color w:val="000000"/>
                <w:sz w:val="24"/>
                <w:szCs w:val="24"/>
                <w:lang w:val="ro-MD" w:eastAsia="en-US"/>
              </w:rPr>
              <w:t xml:space="preserve">Instituţiei Publice Organizaţia Concertistică şi de Management Artistic </w:t>
            </w:r>
            <w:r w:rsidR="00C808F9">
              <w:rPr>
                <w:rFonts w:ascii="Times New Roman" w:hAnsi="Times New Roman"/>
                <w:color w:val="000000"/>
                <w:sz w:val="24"/>
                <w:szCs w:val="24"/>
                <w:lang w:val="ro-MD" w:eastAsia="en-US"/>
              </w:rPr>
              <w:t>„</w:t>
            </w:r>
            <w:r w:rsidR="00ED1141" w:rsidRPr="00B57A8C">
              <w:rPr>
                <w:rFonts w:ascii="Times New Roman" w:hAnsi="Times New Roman"/>
                <w:color w:val="000000"/>
                <w:sz w:val="24"/>
                <w:szCs w:val="24"/>
                <w:lang w:val="ro-MD" w:eastAsia="en-US"/>
              </w:rPr>
              <w:t>Moldova-Concert</w:t>
            </w:r>
            <w:r w:rsidR="00C808F9">
              <w:rPr>
                <w:rFonts w:ascii="Times New Roman" w:hAnsi="Times New Roman"/>
                <w:color w:val="000000"/>
                <w:sz w:val="24"/>
                <w:szCs w:val="24"/>
                <w:lang w:val="ro-MD" w:eastAsia="en-US"/>
              </w:rPr>
              <w:t>”</w:t>
            </w:r>
            <w:r w:rsidR="00AC4770">
              <w:rPr>
                <w:rFonts w:ascii="Times New Roman" w:hAnsi="Times New Roman"/>
                <w:color w:val="000000"/>
                <w:sz w:val="24"/>
                <w:szCs w:val="24"/>
                <w:lang w:val="ro-MD" w:eastAsia="en-US"/>
              </w:rPr>
              <w:t>: directorul instituției, directorii de filiale și șefii de direcții</w:t>
            </w:r>
            <w:r w:rsidR="00ED1141">
              <w:rPr>
                <w:rFonts w:ascii="Times New Roman" w:hAnsi="Times New Roman"/>
                <w:color w:val="000000"/>
                <w:sz w:val="24"/>
                <w:szCs w:val="24"/>
                <w:lang w:val="ro-MD" w:eastAsia="en-US"/>
              </w:rPr>
              <w:t xml:space="preserve">. Cheltuielile respective nu necesită alocări financiare suplimentare de la bugetul de stat, or, </w:t>
            </w:r>
            <w:r w:rsidR="00E86901">
              <w:rPr>
                <w:rFonts w:ascii="Times New Roman" w:hAnsi="Times New Roman"/>
                <w:color w:val="000000"/>
                <w:sz w:val="24"/>
                <w:szCs w:val="24"/>
                <w:lang w:val="ro-MD" w:eastAsia="en-US"/>
              </w:rPr>
              <w:t>acestea vor putea fi acoperite prin identificarea surselor financiare din alocațiile bugetare actuale ale Ministerului Culturii.</w:t>
            </w:r>
          </w:p>
          <w:p w14:paraId="4CA47C20" w14:textId="0722DA5C" w:rsidR="00131DF1" w:rsidRPr="00AD4139" w:rsidRDefault="00131DF1" w:rsidP="00C87515">
            <w:pPr>
              <w:tabs>
                <w:tab w:val="left" w:pos="884"/>
                <w:tab w:val="left" w:pos="1196"/>
              </w:tabs>
              <w:spacing w:after="0" w:line="240" w:lineRule="auto"/>
              <w:jc w:val="both"/>
              <w:rPr>
                <w:rFonts w:ascii="Times New Roman" w:hAnsi="Times New Roman"/>
                <w:sz w:val="24"/>
                <w:szCs w:val="24"/>
                <w:lang w:val="ro-MD"/>
              </w:rPr>
            </w:pPr>
          </w:p>
        </w:tc>
      </w:tr>
      <w:tr w:rsidR="00131DF1" w:rsidRPr="005A76A5" w14:paraId="71388FBF" w14:textId="77777777" w:rsidTr="00C87515">
        <w:tc>
          <w:tcPr>
            <w:tcW w:w="5000" w:type="pct"/>
          </w:tcPr>
          <w:p w14:paraId="30636C25" w14:textId="77777777" w:rsidR="00131DF1" w:rsidRPr="00AD4139" w:rsidRDefault="00131DF1" w:rsidP="00C87515">
            <w:pPr>
              <w:tabs>
                <w:tab w:val="left" w:pos="884"/>
                <w:tab w:val="left" w:pos="1196"/>
              </w:tabs>
              <w:spacing w:after="0" w:line="240" w:lineRule="auto"/>
              <w:jc w:val="both"/>
              <w:rPr>
                <w:rFonts w:ascii="Times New Roman" w:hAnsi="Times New Roman"/>
                <w:b/>
                <w:bCs/>
                <w:sz w:val="24"/>
                <w:szCs w:val="24"/>
                <w:lang w:val="ro-MD"/>
              </w:rPr>
            </w:pPr>
            <w:r w:rsidRPr="00AD4139">
              <w:rPr>
                <w:rFonts w:ascii="Times New Roman" w:hAnsi="Times New Roman"/>
                <w:b/>
                <w:bCs/>
                <w:sz w:val="24"/>
                <w:szCs w:val="24"/>
                <w:lang w:val="ro-MD"/>
              </w:rPr>
              <w:t>6. Modul de încorporare a actului în cadrul normativ în vigoare</w:t>
            </w:r>
          </w:p>
        </w:tc>
      </w:tr>
      <w:tr w:rsidR="00AC4770" w:rsidRPr="005A76A5" w14:paraId="54642C51" w14:textId="77777777" w:rsidTr="00C87515">
        <w:tc>
          <w:tcPr>
            <w:tcW w:w="5000" w:type="pct"/>
          </w:tcPr>
          <w:p w14:paraId="730A6AF0" w14:textId="5F0700E4" w:rsidR="00AC4770" w:rsidRDefault="00AC4770" w:rsidP="00AC4770">
            <w:pPr>
              <w:tabs>
                <w:tab w:val="left" w:pos="884"/>
                <w:tab w:val="left" w:pos="1196"/>
              </w:tabs>
              <w:spacing w:after="0" w:line="240" w:lineRule="auto"/>
              <w:jc w:val="both"/>
              <w:rPr>
                <w:rFonts w:ascii="Times New Roman" w:hAnsi="Times New Roman"/>
                <w:color w:val="000000" w:themeColor="text1"/>
                <w:sz w:val="24"/>
                <w:szCs w:val="24"/>
                <w:lang w:val="ro-MD"/>
              </w:rPr>
            </w:pPr>
            <w:r w:rsidRPr="00534720">
              <w:rPr>
                <w:rFonts w:ascii="Times New Roman" w:hAnsi="Times New Roman"/>
                <w:color w:val="000000" w:themeColor="text1"/>
                <w:sz w:val="24"/>
                <w:szCs w:val="24"/>
                <w:lang w:val="ro-MD"/>
              </w:rPr>
              <w:t>Aprobarea proiectului de hotărâre a Guve</w:t>
            </w:r>
            <w:r>
              <w:rPr>
                <w:rFonts w:ascii="Times New Roman" w:hAnsi="Times New Roman"/>
                <w:color w:val="000000" w:themeColor="text1"/>
                <w:sz w:val="24"/>
                <w:szCs w:val="24"/>
                <w:lang w:val="ro-MD"/>
              </w:rPr>
              <w:t>r</w:t>
            </w:r>
            <w:r w:rsidRPr="00534720">
              <w:rPr>
                <w:rFonts w:ascii="Times New Roman" w:hAnsi="Times New Roman"/>
                <w:color w:val="000000" w:themeColor="text1"/>
                <w:sz w:val="24"/>
                <w:szCs w:val="24"/>
                <w:lang w:val="ro-MD"/>
              </w:rPr>
              <w:t>nului nu implică modificarea, abrogarea sau aprobarea altor acte normative</w:t>
            </w:r>
            <w:r>
              <w:rPr>
                <w:rFonts w:ascii="Times New Roman" w:hAnsi="Times New Roman"/>
                <w:color w:val="000000" w:themeColor="text1"/>
                <w:sz w:val="24"/>
                <w:szCs w:val="24"/>
                <w:lang w:val="ro-MD"/>
              </w:rPr>
              <w:t xml:space="preserve">. Odată cu aprobarea hotărârii Guvernului în cauză, va fi necesară aprobarea statutului </w:t>
            </w:r>
            <w:r w:rsidRPr="00AC4770">
              <w:rPr>
                <w:rFonts w:ascii="Times New Roman" w:hAnsi="Times New Roman"/>
                <w:color w:val="000000" w:themeColor="text1"/>
                <w:sz w:val="24"/>
                <w:szCs w:val="24"/>
                <w:lang w:val="ro-MD"/>
              </w:rPr>
              <w:t xml:space="preserve">Instituţiei Publice Organizaţia Concertistică şi de Management Artistic </w:t>
            </w:r>
            <w:r w:rsidR="00C808F9">
              <w:rPr>
                <w:rFonts w:ascii="Times New Roman" w:hAnsi="Times New Roman"/>
                <w:color w:val="000000" w:themeColor="text1"/>
                <w:sz w:val="24"/>
                <w:szCs w:val="24"/>
                <w:lang w:val="ro-MD"/>
              </w:rPr>
              <w:t>„</w:t>
            </w:r>
            <w:r w:rsidRPr="00AC4770">
              <w:rPr>
                <w:rFonts w:ascii="Times New Roman" w:hAnsi="Times New Roman"/>
                <w:color w:val="000000" w:themeColor="text1"/>
                <w:sz w:val="24"/>
                <w:szCs w:val="24"/>
                <w:lang w:val="ro-MD"/>
              </w:rPr>
              <w:t>Moldova-Concert</w:t>
            </w:r>
            <w:r w:rsidR="00C808F9">
              <w:rPr>
                <w:rFonts w:ascii="Times New Roman" w:hAnsi="Times New Roman"/>
                <w:color w:val="000000" w:themeColor="text1"/>
                <w:sz w:val="24"/>
                <w:szCs w:val="24"/>
                <w:lang w:val="ro-MD"/>
              </w:rPr>
              <w:t>”</w:t>
            </w:r>
            <w:r w:rsidRPr="00AC4770">
              <w:rPr>
                <w:rFonts w:ascii="Times New Roman" w:hAnsi="Times New Roman"/>
                <w:color w:val="000000" w:themeColor="text1"/>
                <w:sz w:val="24"/>
                <w:szCs w:val="24"/>
                <w:lang w:val="ro-MD"/>
              </w:rPr>
              <w:t xml:space="preserve"> a statutului de organizație concertistică națională</w:t>
            </w:r>
            <w:r>
              <w:rPr>
                <w:rFonts w:ascii="Times New Roman" w:hAnsi="Times New Roman"/>
                <w:color w:val="000000" w:themeColor="text1"/>
                <w:sz w:val="24"/>
                <w:szCs w:val="24"/>
                <w:lang w:val="ro-MD"/>
              </w:rPr>
              <w:t>, aprobat prin Ordinul ministrului.</w:t>
            </w:r>
          </w:p>
          <w:p w14:paraId="62E05D32" w14:textId="77777777" w:rsidR="00AC4770" w:rsidRPr="00AD4139" w:rsidRDefault="00AC4770" w:rsidP="00C87515">
            <w:pPr>
              <w:tabs>
                <w:tab w:val="left" w:pos="884"/>
                <w:tab w:val="left" w:pos="1196"/>
              </w:tabs>
              <w:spacing w:after="0" w:line="240" w:lineRule="auto"/>
              <w:jc w:val="both"/>
              <w:rPr>
                <w:rFonts w:ascii="Times New Roman" w:hAnsi="Times New Roman"/>
                <w:b/>
                <w:bCs/>
                <w:sz w:val="24"/>
                <w:szCs w:val="24"/>
                <w:lang w:val="ro-MD"/>
              </w:rPr>
            </w:pPr>
          </w:p>
        </w:tc>
      </w:tr>
      <w:tr w:rsidR="00131DF1" w:rsidRPr="005A76A5" w14:paraId="566F1648" w14:textId="77777777" w:rsidTr="00C87515">
        <w:tc>
          <w:tcPr>
            <w:tcW w:w="5000" w:type="pct"/>
          </w:tcPr>
          <w:p w14:paraId="14DF5290" w14:textId="77777777" w:rsidR="00131DF1" w:rsidRPr="00AD4139" w:rsidRDefault="00131DF1" w:rsidP="00C87515">
            <w:pPr>
              <w:tabs>
                <w:tab w:val="left" w:pos="884"/>
                <w:tab w:val="left" w:pos="1196"/>
              </w:tabs>
              <w:spacing w:after="0" w:line="240" w:lineRule="auto"/>
              <w:jc w:val="both"/>
              <w:rPr>
                <w:rFonts w:ascii="Times New Roman" w:hAnsi="Times New Roman"/>
                <w:b/>
                <w:bCs/>
                <w:sz w:val="24"/>
                <w:szCs w:val="24"/>
                <w:lang w:val="ro-MD"/>
              </w:rPr>
            </w:pPr>
            <w:r w:rsidRPr="00AD4139">
              <w:rPr>
                <w:rFonts w:ascii="Times New Roman" w:hAnsi="Times New Roman"/>
                <w:b/>
                <w:bCs/>
                <w:sz w:val="24"/>
                <w:szCs w:val="24"/>
                <w:lang w:val="ro-MD"/>
              </w:rPr>
              <w:t>7. Avizarea şi consultarea publică a proiectului</w:t>
            </w:r>
          </w:p>
        </w:tc>
      </w:tr>
      <w:tr w:rsidR="00131DF1" w:rsidRPr="005A76A5" w14:paraId="436277EA" w14:textId="77777777" w:rsidTr="00C87515">
        <w:tc>
          <w:tcPr>
            <w:tcW w:w="5000" w:type="pct"/>
          </w:tcPr>
          <w:p w14:paraId="7EB6BC4B" w14:textId="3D5676A4" w:rsidR="00131DF1" w:rsidRPr="00851154" w:rsidRDefault="001B16FF" w:rsidP="00851154">
            <w:pPr>
              <w:jc w:val="both"/>
              <w:rPr>
                <w:rFonts w:ascii="Times New Roman" w:hAnsi="Times New Roman"/>
                <w:sz w:val="24"/>
                <w:szCs w:val="24"/>
                <w:lang w:val="en-US"/>
              </w:rPr>
            </w:pPr>
            <w:r w:rsidRPr="00584DD7">
              <w:rPr>
                <w:rFonts w:ascii="Times New Roman" w:hAnsi="Times New Roman"/>
                <w:sz w:val="24"/>
                <w:szCs w:val="24"/>
                <w:lang w:val="ro-MD"/>
              </w:rPr>
              <w:t>În scopul respectării prevederilor Legii nr. 239/2008 privind transparența în procesul decizional, proiectul Hotărârii de Guvern, a fost plasat pe pagina web oficială a Ministerului Culturii</w:t>
            </w:r>
            <w:r w:rsidR="0019005E">
              <w:rPr>
                <w:rFonts w:ascii="Times New Roman" w:hAnsi="Times New Roman"/>
                <w:sz w:val="24"/>
                <w:szCs w:val="24"/>
                <w:lang w:val="ro-MD"/>
              </w:rPr>
              <w:t xml:space="preserve"> și pe</w:t>
            </w:r>
            <w:r w:rsidR="006B104F">
              <w:rPr>
                <w:rFonts w:ascii="Times New Roman" w:hAnsi="Times New Roman"/>
                <w:sz w:val="24"/>
                <w:szCs w:val="24"/>
                <w:lang w:val="ro-MD"/>
              </w:rPr>
              <w:t xml:space="preserve">  </w:t>
            </w:r>
            <w:r w:rsidR="00851154">
              <w:rPr>
                <w:rFonts w:ascii="Times New Roman" w:hAnsi="Times New Roman"/>
                <w:sz w:val="24"/>
                <w:szCs w:val="24"/>
                <w:lang w:val="ro-MD"/>
              </w:rPr>
              <w:t xml:space="preserve"> </w:t>
            </w:r>
            <w:hyperlink r:id="rId6" w:history="1">
              <w:r w:rsidR="00C7075B" w:rsidRPr="004A3C64">
                <w:rPr>
                  <w:rStyle w:val="Hyperlink"/>
                  <w:rFonts w:ascii="Times New Roman" w:hAnsi="Times New Roman"/>
                  <w:sz w:val="24"/>
                  <w:szCs w:val="24"/>
                  <w:lang w:val="en-US"/>
                </w:rPr>
                <w:t>https://particip.gov.md/ro/document/stages/anunt-cu-privirea-la-initierea-procesului-de-elaborare-a-proiectului-hotararii-de-guvern-cu-privire-la-acordarea-institutiei-publice-organizatia-concertistica-si-de-management-artistic-moldova-concert-a-statutului-de-organizatie-concertistica-nationala/11582</w:t>
              </w:r>
            </w:hyperlink>
            <w:r w:rsidR="006B104F">
              <w:rPr>
                <w:rFonts w:ascii="Times New Roman" w:hAnsi="Times New Roman"/>
                <w:sz w:val="24"/>
                <w:szCs w:val="24"/>
                <w:lang w:val="en-US"/>
              </w:rPr>
              <w:t xml:space="preserve"> </w:t>
            </w:r>
          </w:p>
        </w:tc>
      </w:tr>
      <w:tr w:rsidR="00131DF1" w:rsidRPr="00AD4139" w14:paraId="7D1F749E" w14:textId="77777777" w:rsidTr="00C87515">
        <w:tc>
          <w:tcPr>
            <w:tcW w:w="5000" w:type="pct"/>
          </w:tcPr>
          <w:p w14:paraId="339F30CA" w14:textId="77777777" w:rsidR="00131DF1" w:rsidRPr="00AD4139" w:rsidRDefault="00131DF1" w:rsidP="00C87515">
            <w:pPr>
              <w:tabs>
                <w:tab w:val="left" w:pos="884"/>
                <w:tab w:val="left" w:pos="1196"/>
              </w:tabs>
              <w:spacing w:after="0" w:line="240" w:lineRule="auto"/>
              <w:jc w:val="both"/>
              <w:rPr>
                <w:rFonts w:ascii="Times New Roman" w:hAnsi="Times New Roman"/>
                <w:b/>
                <w:bCs/>
                <w:sz w:val="24"/>
                <w:szCs w:val="24"/>
                <w:lang w:val="ro-MD"/>
              </w:rPr>
            </w:pPr>
            <w:r w:rsidRPr="00AD4139">
              <w:rPr>
                <w:rFonts w:ascii="Times New Roman" w:hAnsi="Times New Roman"/>
                <w:b/>
                <w:bCs/>
                <w:sz w:val="24"/>
                <w:szCs w:val="24"/>
                <w:lang w:val="ro-MD"/>
              </w:rPr>
              <w:t>8. Constatările expertizei anticorupție</w:t>
            </w:r>
          </w:p>
        </w:tc>
      </w:tr>
      <w:tr w:rsidR="00131DF1" w:rsidRPr="005A76A5" w14:paraId="6D3B3E84" w14:textId="77777777" w:rsidTr="00C87515">
        <w:tc>
          <w:tcPr>
            <w:tcW w:w="5000" w:type="pct"/>
          </w:tcPr>
          <w:p w14:paraId="3AC9DD4A" w14:textId="77777777" w:rsidR="00131DF1" w:rsidRPr="00AD4139" w:rsidRDefault="005A3DF4" w:rsidP="00C87515">
            <w:pPr>
              <w:tabs>
                <w:tab w:val="left" w:pos="884"/>
                <w:tab w:val="left" w:pos="1196"/>
              </w:tabs>
              <w:spacing w:after="0" w:line="240" w:lineRule="auto"/>
              <w:jc w:val="both"/>
              <w:rPr>
                <w:rFonts w:ascii="Times New Roman" w:hAnsi="Times New Roman"/>
                <w:sz w:val="24"/>
                <w:szCs w:val="24"/>
                <w:lang w:val="ro-MD"/>
              </w:rPr>
            </w:pPr>
            <w:r w:rsidRPr="00AD4139">
              <w:rPr>
                <w:rFonts w:ascii="Times New Roman" w:hAnsi="Times New Roman"/>
                <w:sz w:val="24"/>
                <w:szCs w:val="24"/>
                <w:lang w:val="ro-MD"/>
              </w:rPr>
              <w:t xml:space="preserve">Proiectul urmează a fi supus </w:t>
            </w:r>
            <w:r w:rsidR="00EA2CE0" w:rsidRPr="00AD4139">
              <w:rPr>
                <w:rFonts w:ascii="Times New Roman" w:hAnsi="Times New Roman"/>
                <w:sz w:val="24"/>
                <w:szCs w:val="24"/>
                <w:lang w:val="ro-MD"/>
              </w:rPr>
              <w:t>expertizei</w:t>
            </w:r>
            <w:r w:rsidRPr="00AD4139">
              <w:rPr>
                <w:rFonts w:ascii="Times New Roman" w:hAnsi="Times New Roman"/>
                <w:sz w:val="24"/>
                <w:szCs w:val="24"/>
                <w:lang w:val="ro-MD"/>
              </w:rPr>
              <w:t xml:space="preserve"> anticorupție.</w:t>
            </w:r>
          </w:p>
        </w:tc>
      </w:tr>
      <w:tr w:rsidR="00131DF1" w:rsidRPr="00AD4139" w14:paraId="1293ED48" w14:textId="77777777" w:rsidTr="00C87515">
        <w:tc>
          <w:tcPr>
            <w:tcW w:w="5000" w:type="pct"/>
          </w:tcPr>
          <w:p w14:paraId="14DA379B" w14:textId="77777777" w:rsidR="00131DF1" w:rsidRPr="00AD4139" w:rsidRDefault="00131DF1" w:rsidP="00C87515">
            <w:pPr>
              <w:tabs>
                <w:tab w:val="left" w:pos="884"/>
                <w:tab w:val="left" w:pos="1196"/>
              </w:tabs>
              <w:spacing w:after="0" w:line="240" w:lineRule="auto"/>
              <w:jc w:val="both"/>
              <w:rPr>
                <w:rFonts w:ascii="Times New Roman" w:hAnsi="Times New Roman"/>
                <w:b/>
                <w:bCs/>
                <w:sz w:val="24"/>
                <w:szCs w:val="24"/>
                <w:lang w:val="ro-MD"/>
              </w:rPr>
            </w:pPr>
            <w:r w:rsidRPr="00AD4139">
              <w:rPr>
                <w:rFonts w:ascii="Times New Roman" w:hAnsi="Times New Roman"/>
                <w:b/>
                <w:bCs/>
                <w:sz w:val="24"/>
                <w:szCs w:val="24"/>
                <w:lang w:val="ro-MD"/>
              </w:rPr>
              <w:t>9. Constatările expertizei de compatibilitate</w:t>
            </w:r>
          </w:p>
        </w:tc>
      </w:tr>
      <w:tr w:rsidR="00131DF1" w:rsidRPr="005A76A5" w14:paraId="124A8922" w14:textId="77777777" w:rsidTr="00C87515">
        <w:tc>
          <w:tcPr>
            <w:tcW w:w="5000" w:type="pct"/>
          </w:tcPr>
          <w:p w14:paraId="5002B0EE" w14:textId="04F83BA4" w:rsidR="00131DF1" w:rsidRPr="00584DD7" w:rsidRDefault="001B16FF" w:rsidP="00C87515">
            <w:pPr>
              <w:tabs>
                <w:tab w:val="left" w:pos="884"/>
                <w:tab w:val="left" w:pos="1196"/>
              </w:tabs>
              <w:spacing w:after="0" w:line="240" w:lineRule="auto"/>
              <w:jc w:val="both"/>
              <w:rPr>
                <w:rFonts w:ascii="Times New Roman" w:hAnsi="Times New Roman"/>
                <w:sz w:val="24"/>
                <w:szCs w:val="24"/>
                <w:lang w:val="ro-MD"/>
              </w:rPr>
            </w:pPr>
            <w:r w:rsidRPr="00584DD7">
              <w:rPr>
                <w:rFonts w:ascii="Times New Roman" w:hAnsi="Times New Roman"/>
                <w:sz w:val="24"/>
                <w:szCs w:val="24"/>
                <w:lang w:val="ro-MD"/>
              </w:rPr>
              <w:t>Proiectul nu are ca scop armonizarea legislației naționale cu legislația Uniunii Europene</w:t>
            </w:r>
            <w:r w:rsidR="00584DD7" w:rsidRPr="00584DD7">
              <w:rPr>
                <w:rFonts w:ascii="Times New Roman" w:hAnsi="Times New Roman"/>
                <w:sz w:val="24"/>
                <w:szCs w:val="24"/>
                <w:lang w:val="ro-MD"/>
              </w:rPr>
              <w:t xml:space="preserve"> și, respectiv, nu cade sub incidența art. 36 din Legea nr. 100/2017 cu privire la actele normative.</w:t>
            </w:r>
          </w:p>
        </w:tc>
      </w:tr>
      <w:tr w:rsidR="00131DF1" w:rsidRPr="00AD4139" w14:paraId="3110B3F0" w14:textId="77777777" w:rsidTr="00C87515">
        <w:tc>
          <w:tcPr>
            <w:tcW w:w="5000" w:type="pct"/>
          </w:tcPr>
          <w:p w14:paraId="507B9BB1" w14:textId="77777777" w:rsidR="00131DF1" w:rsidRPr="00AD4139" w:rsidRDefault="00131DF1" w:rsidP="00C87515">
            <w:pPr>
              <w:tabs>
                <w:tab w:val="left" w:pos="884"/>
                <w:tab w:val="left" w:pos="1196"/>
              </w:tabs>
              <w:spacing w:after="0" w:line="240" w:lineRule="auto"/>
              <w:jc w:val="both"/>
              <w:rPr>
                <w:rFonts w:ascii="Times New Roman" w:hAnsi="Times New Roman"/>
                <w:b/>
                <w:bCs/>
                <w:sz w:val="24"/>
                <w:szCs w:val="24"/>
                <w:lang w:val="ro-MD"/>
              </w:rPr>
            </w:pPr>
            <w:r w:rsidRPr="00AD4139">
              <w:rPr>
                <w:rFonts w:ascii="Times New Roman" w:hAnsi="Times New Roman"/>
                <w:b/>
                <w:bCs/>
                <w:sz w:val="24"/>
                <w:szCs w:val="24"/>
                <w:lang w:val="ro-MD"/>
              </w:rPr>
              <w:t>10. Constatările expertizei juridice</w:t>
            </w:r>
          </w:p>
        </w:tc>
      </w:tr>
      <w:tr w:rsidR="00131DF1" w:rsidRPr="005A76A5" w14:paraId="1EB21D25" w14:textId="77777777" w:rsidTr="00C87515">
        <w:tc>
          <w:tcPr>
            <w:tcW w:w="5000" w:type="pct"/>
          </w:tcPr>
          <w:p w14:paraId="68D3C179" w14:textId="77777777" w:rsidR="00131DF1" w:rsidRPr="00AD4139" w:rsidRDefault="00DD2254" w:rsidP="00C87515">
            <w:pPr>
              <w:tabs>
                <w:tab w:val="left" w:pos="884"/>
                <w:tab w:val="left" w:pos="1196"/>
              </w:tabs>
              <w:spacing w:after="0" w:line="240" w:lineRule="auto"/>
              <w:jc w:val="both"/>
              <w:rPr>
                <w:rFonts w:ascii="Times New Roman" w:hAnsi="Times New Roman"/>
                <w:sz w:val="24"/>
                <w:szCs w:val="24"/>
                <w:lang w:val="ro-MD"/>
              </w:rPr>
            </w:pPr>
            <w:r w:rsidRPr="00AD4139">
              <w:rPr>
                <w:rFonts w:ascii="Times New Roman" w:hAnsi="Times New Roman"/>
                <w:sz w:val="24"/>
                <w:szCs w:val="24"/>
                <w:lang w:val="ro-MD"/>
              </w:rPr>
              <w:t>Proiectul urmează a fi supus expertizei juridice.</w:t>
            </w:r>
          </w:p>
        </w:tc>
      </w:tr>
      <w:tr w:rsidR="00131DF1" w:rsidRPr="00AD4139" w14:paraId="64209EB4" w14:textId="77777777" w:rsidTr="00C87515">
        <w:tc>
          <w:tcPr>
            <w:tcW w:w="5000" w:type="pct"/>
          </w:tcPr>
          <w:p w14:paraId="3214D448" w14:textId="77777777" w:rsidR="00131DF1" w:rsidRPr="00AD4139" w:rsidRDefault="00131DF1" w:rsidP="00C87515">
            <w:pPr>
              <w:tabs>
                <w:tab w:val="left" w:pos="884"/>
                <w:tab w:val="left" w:pos="1196"/>
              </w:tabs>
              <w:spacing w:after="0" w:line="240" w:lineRule="auto"/>
              <w:jc w:val="both"/>
              <w:rPr>
                <w:rFonts w:ascii="Times New Roman" w:hAnsi="Times New Roman"/>
                <w:b/>
                <w:bCs/>
                <w:sz w:val="24"/>
                <w:szCs w:val="24"/>
                <w:lang w:val="ro-MD"/>
              </w:rPr>
            </w:pPr>
            <w:r w:rsidRPr="00AD4139">
              <w:rPr>
                <w:rFonts w:ascii="Times New Roman" w:hAnsi="Times New Roman"/>
                <w:b/>
                <w:bCs/>
                <w:sz w:val="24"/>
                <w:szCs w:val="24"/>
                <w:lang w:val="ro-MD"/>
              </w:rPr>
              <w:t>11. Constatările altor expertize</w:t>
            </w:r>
          </w:p>
        </w:tc>
      </w:tr>
      <w:tr w:rsidR="00131DF1" w:rsidRPr="005A76A5" w14:paraId="77A56CA5" w14:textId="77777777" w:rsidTr="00C87515">
        <w:tc>
          <w:tcPr>
            <w:tcW w:w="5000" w:type="pct"/>
          </w:tcPr>
          <w:p w14:paraId="52754358" w14:textId="3D8F9E14" w:rsidR="00131DF1" w:rsidRPr="00BE320A" w:rsidRDefault="001B16FF" w:rsidP="00C87515">
            <w:pPr>
              <w:tabs>
                <w:tab w:val="left" w:pos="884"/>
                <w:tab w:val="left" w:pos="1196"/>
              </w:tabs>
              <w:spacing w:after="0" w:line="240" w:lineRule="auto"/>
              <w:jc w:val="both"/>
              <w:rPr>
                <w:rFonts w:ascii="Times New Roman" w:hAnsi="Times New Roman"/>
                <w:sz w:val="24"/>
                <w:szCs w:val="24"/>
                <w:lang w:val="ro-MD"/>
              </w:rPr>
            </w:pPr>
            <w:r w:rsidRPr="00BE320A">
              <w:rPr>
                <w:rFonts w:ascii="Times New Roman" w:hAnsi="Times New Roman"/>
                <w:sz w:val="24"/>
                <w:szCs w:val="24"/>
                <w:lang w:val="ro-MD"/>
              </w:rPr>
              <w:t xml:space="preserve">Proiectul nu </w:t>
            </w:r>
            <w:r w:rsidR="0019005E">
              <w:rPr>
                <w:rFonts w:ascii="Times New Roman" w:hAnsi="Times New Roman"/>
                <w:sz w:val="24"/>
                <w:szCs w:val="24"/>
                <w:lang w:val="ro-MD"/>
              </w:rPr>
              <w:t>necesită a fi</w:t>
            </w:r>
            <w:r w:rsidRPr="00BE320A">
              <w:rPr>
                <w:rFonts w:ascii="Times New Roman" w:hAnsi="Times New Roman"/>
                <w:sz w:val="24"/>
                <w:szCs w:val="24"/>
                <w:lang w:val="ro-MD"/>
              </w:rPr>
              <w:t xml:space="preserve"> supus altor expertize.</w:t>
            </w:r>
            <w:r w:rsidR="0019005E">
              <w:rPr>
                <w:rFonts w:ascii="Times New Roman" w:hAnsi="Times New Roman"/>
                <w:sz w:val="24"/>
                <w:szCs w:val="24"/>
                <w:lang w:val="ro-MD"/>
              </w:rPr>
              <w:t xml:space="preserve"> </w:t>
            </w:r>
            <w:r w:rsidR="0019005E" w:rsidRPr="00584DD7">
              <w:rPr>
                <w:rFonts w:ascii="Times New Roman" w:hAnsi="Times New Roman"/>
                <w:bCs/>
                <w:sz w:val="24"/>
                <w:szCs w:val="24"/>
                <w:lang w:val="ro-MD"/>
              </w:rPr>
              <w:t>Proiectul nu conține prevederi de reglementare a activității de întreprinzător în contextul Legii cu privire la principiile de bază de reglementare a activității de întreprinzător nr. 235-XVI din 20.07.2006, astfel nu este necesară examinarea acestuia de către Grupul de lucru pentru reglementarea activității de întreprinzător.</w:t>
            </w:r>
          </w:p>
        </w:tc>
      </w:tr>
    </w:tbl>
    <w:p w14:paraId="2045E271" w14:textId="77777777" w:rsidR="00131DF1" w:rsidRDefault="00131DF1" w:rsidP="00131DF1">
      <w:pPr>
        <w:tabs>
          <w:tab w:val="left" w:pos="884"/>
          <w:tab w:val="left" w:pos="1196"/>
        </w:tabs>
        <w:spacing w:after="0" w:line="240" w:lineRule="auto"/>
        <w:jc w:val="both"/>
        <w:rPr>
          <w:rFonts w:ascii="Times New Roman" w:hAnsi="Times New Roman"/>
          <w:bCs/>
          <w:sz w:val="24"/>
          <w:szCs w:val="24"/>
          <w:vertAlign w:val="superscript"/>
          <w:lang w:val="ro-MD"/>
        </w:rPr>
      </w:pPr>
    </w:p>
    <w:p w14:paraId="15AC5A65" w14:textId="77777777" w:rsidR="00074961" w:rsidRPr="00AD4139" w:rsidRDefault="00074961" w:rsidP="00131DF1">
      <w:pPr>
        <w:tabs>
          <w:tab w:val="left" w:pos="884"/>
          <w:tab w:val="left" w:pos="1196"/>
        </w:tabs>
        <w:spacing w:after="0" w:line="240" w:lineRule="auto"/>
        <w:jc w:val="both"/>
        <w:rPr>
          <w:rFonts w:ascii="Times New Roman" w:hAnsi="Times New Roman"/>
          <w:bCs/>
          <w:sz w:val="24"/>
          <w:szCs w:val="24"/>
          <w:vertAlign w:val="superscript"/>
          <w:lang w:val="ro-MD"/>
        </w:rPr>
      </w:pPr>
    </w:p>
    <w:p w14:paraId="6A2F558D" w14:textId="320FCB69" w:rsidR="00074961" w:rsidRDefault="007C38DF" w:rsidP="00074961">
      <w:pPr>
        <w:spacing w:after="0"/>
        <w:jc w:val="right"/>
        <w:rPr>
          <w:rFonts w:ascii="Times New Roman" w:hAnsi="Times New Roman"/>
          <w:b/>
          <w:sz w:val="26"/>
          <w:szCs w:val="26"/>
          <w:lang w:val="ro-RO"/>
        </w:rPr>
      </w:pPr>
      <w:r>
        <w:rPr>
          <w:rFonts w:ascii="Times New Roman" w:hAnsi="Times New Roman"/>
          <w:b/>
          <w:sz w:val="26"/>
          <w:szCs w:val="26"/>
          <w:lang w:val="ro-RO"/>
        </w:rPr>
        <w:t>Ana Varzari</w:t>
      </w:r>
    </w:p>
    <w:p w14:paraId="1B0CE65B" w14:textId="5AABB920" w:rsidR="007C38DF" w:rsidRPr="003045A0" w:rsidRDefault="007C38DF" w:rsidP="00074961">
      <w:pPr>
        <w:spacing w:after="0"/>
        <w:jc w:val="right"/>
        <w:rPr>
          <w:rFonts w:ascii="Times New Roman" w:hAnsi="Times New Roman"/>
          <w:sz w:val="26"/>
          <w:szCs w:val="26"/>
          <w:lang w:val="ro-RO"/>
        </w:rPr>
      </w:pPr>
      <w:r>
        <w:rPr>
          <w:rFonts w:ascii="Times New Roman" w:hAnsi="Times New Roman"/>
          <w:b/>
          <w:sz w:val="26"/>
          <w:szCs w:val="26"/>
          <w:lang w:val="ro-RO"/>
        </w:rPr>
        <w:t>Secretar general</w:t>
      </w:r>
    </w:p>
    <w:sectPr w:rsidR="007C38DF" w:rsidRPr="003045A0" w:rsidSect="00704F5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196F7F"/>
    <w:multiLevelType w:val="hybridMultilevel"/>
    <w:tmpl w:val="767608BA"/>
    <w:lvl w:ilvl="0" w:tplc="8E3CF63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140B47"/>
    <w:multiLevelType w:val="hybridMultilevel"/>
    <w:tmpl w:val="CDACFBE4"/>
    <w:lvl w:ilvl="0" w:tplc="8E3CF630">
      <w:start w:val="4"/>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785732764">
    <w:abstractNumId w:val="2"/>
  </w:num>
  <w:num w:numId="2" w16cid:durableId="553853866">
    <w:abstractNumId w:val="1"/>
  </w:num>
  <w:num w:numId="3" w16cid:durableId="80022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DF1"/>
    <w:rsid w:val="0005064E"/>
    <w:rsid w:val="00074961"/>
    <w:rsid w:val="000D2BC3"/>
    <w:rsid w:val="001154FB"/>
    <w:rsid w:val="00120E8C"/>
    <w:rsid w:val="00126FC2"/>
    <w:rsid w:val="00131DF1"/>
    <w:rsid w:val="00165768"/>
    <w:rsid w:val="0019005E"/>
    <w:rsid w:val="001A318A"/>
    <w:rsid w:val="001B16FF"/>
    <w:rsid w:val="00246770"/>
    <w:rsid w:val="002B5F4D"/>
    <w:rsid w:val="002F15BB"/>
    <w:rsid w:val="00351E8B"/>
    <w:rsid w:val="003540E3"/>
    <w:rsid w:val="00370561"/>
    <w:rsid w:val="00413C38"/>
    <w:rsid w:val="004232A9"/>
    <w:rsid w:val="00431C68"/>
    <w:rsid w:val="00445242"/>
    <w:rsid w:val="004826F9"/>
    <w:rsid w:val="004F52A6"/>
    <w:rsid w:val="00513D80"/>
    <w:rsid w:val="00531E94"/>
    <w:rsid w:val="00584DD7"/>
    <w:rsid w:val="005968DC"/>
    <w:rsid w:val="005A3DF4"/>
    <w:rsid w:val="005A76A5"/>
    <w:rsid w:val="005D6661"/>
    <w:rsid w:val="006353CD"/>
    <w:rsid w:val="00640E44"/>
    <w:rsid w:val="006654B0"/>
    <w:rsid w:val="006B104F"/>
    <w:rsid w:val="006C0243"/>
    <w:rsid w:val="00704F50"/>
    <w:rsid w:val="007259C5"/>
    <w:rsid w:val="007776BF"/>
    <w:rsid w:val="0079674B"/>
    <w:rsid w:val="007B4A79"/>
    <w:rsid w:val="007C38DF"/>
    <w:rsid w:val="007D343C"/>
    <w:rsid w:val="007F55D2"/>
    <w:rsid w:val="00805231"/>
    <w:rsid w:val="00822DD7"/>
    <w:rsid w:val="00851154"/>
    <w:rsid w:val="00900B11"/>
    <w:rsid w:val="00992445"/>
    <w:rsid w:val="009A01A5"/>
    <w:rsid w:val="00AC4770"/>
    <w:rsid w:val="00AD4139"/>
    <w:rsid w:val="00AD7302"/>
    <w:rsid w:val="00B567F4"/>
    <w:rsid w:val="00B57A8C"/>
    <w:rsid w:val="00B83EC3"/>
    <w:rsid w:val="00BB6BAD"/>
    <w:rsid w:val="00BB7226"/>
    <w:rsid w:val="00BD4DE7"/>
    <w:rsid w:val="00BE320A"/>
    <w:rsid w:val="00C05768"/>
    <w:rsid w:val="00C7075B"/>
    <w:rsid w:val="00C808F9"/>
    <w:rsid w:val="00C960C4"/>
    <w:rsid w:val="00D103C4"/>
    <w:rsid w:val="00D123D8"/>
    <w:rsid w:val="00D8299A"/>
    <w:rsid w:val="00D82A71"/>
    <w:rsid w:val="00D903A9"/>
    <w:rsid w:val="00D96CDA"/>
    <w:rsid w:val="00DD2254"/>
    <w:rsid w:val="00DE00D3"/>
    <w:rsid w:val="00E43F4F"/>
    <w:rsid w:val="00E7040D"/>
    <w:rsid w:val="00E86901"/>
    <w:rsid w:val="00EA2CE0"/>
    <w:rsid w:val="00ED1141"/>
    <w:rsid w:val="00F3155F"/>
    <w:rsid w:val="00F76CF4"/>
    <w:rsid w:val="00F774CD"/>
    <w:rsid w:val="00FC63A5"/>
    <w:rsid w:val="00FC66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8CFE"/>
  <w15:chartTrackingRefBased/>
  <w15:docId w15:val="{F09AD7A6-22E7-4F16-BC9C-87807C2CD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DF1"/>
    <w:pPr>
      <w:spacing w:after="200" w:line="276" w:lineRule="auto"/>
    </w:pPr>
    <w:rPr>
      <w:rFonts w:ascii="Calibri" w:eastAsia="Calibri" w:hAnsi="Calibri" w:cs="Times New Roman"/>
      <w:kern w:val="0"/>
      <w:lang w:val="ru-RU" w:eastAsia="ru-RU"/>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31DF1"/>
    <w:pPr>
      <w:ind w:left="720"/>
      <w:contextualSpacing/>
    </w:pPr>
  </w:style>
  <w:style w:type="character" w:styleId="Hyperlink">
    <w:name w:val="Hyperlink"/>
    <w:basedOn w:val="Fontdeparagrafimplicit"/>
    <w:uiPriority w:val="99"/>
    <w:unhideWhenUsed/>
    <w:rsid w:val="0019005E"/>
    <w:rPr>
      <w:color w:val="0563C1" w:themeColor="hyperlink"/>
      <w:u w:val="single"/>
    </w:rPr>
  </w:style>
  <w:style w:type="character" w:styleId="MeniuneNerezolvat">
    <w:name w:val="Unresolved Mention"/>
    <w:basedOn w:val="Fontdeparagrafimplicit"/>
    <w:uiPriority w:val="99"/>
    <w:semiHidden/>
    <w:unhideWhenUsed/>
    <w:rsid w:val="0019005E"/>
    <w:rPr>
      <w:color w:val="605E5C"/>
      <w:shd w:val="clear" w:color="auto" w:fill="E1DFDD"/>
    </w:rPr>
  </w:style>
  <w:style w:type="paragraph" w:styleId="Revizuire">
    <w:name w:val="Revision"/>
    <w:hidden/>
    <w:uiPriority w:val="99"/>
    <w:semiHidden/>
    <w:rsid w:val="00BB7226"/>
    <w:pPr>
      <w:spacing w:after="0" w:line="240" w:lineRule="auto"/>
    </w:pPr>
    <w:rPr>
      <w:rFonts w:ascii="Calibri" w:eastAsia="Calibri" w:hAnsi="Calibri" w:cs="Times New Roman"/>
      <w:kern w:val="0"/>
      <w:lang w:val="ru-RU" w:eastAsia="ru-RU"/>
      <w14:ligatures w14:val="none"/>
    </w:rPr>
  </w:style>
  <w:style w:type="character" w:styleId="Referincomentariu">
    <w:name w:val="annotation reference"/>
    <w:basedOn w:val="Fontdeparagrafimplicit"/>
    <w:uiPriority w:val="99"/>
    <w:semiHidden/>
    <w:unhideWhenUsed/>
    <w:rsid w:val="00851154"/>
    <w:rPr>
      <w:sz w:val="16"/>
      <w:szCs w:val="16"/>
    </w:rPr>
  </w:style>
  <w:style w:type="paragraph" w:styleId="Textcomentariu">
    <w:name w:val="annotation text"/>
    <w:basedOn w:val="Normal"/>
    <w:link w:val="TextcomentariuCaracter"/>
    <w:uiPriority w:val="99"/>
    <w:semiHidden/>
    <w:unhideWhenUsed/>
    <w:rsid w:val="00851154"/>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851154"/>
    <w:rPr>
      <w:rFonts w:ascii="Calibri" w:eastAsia="Calibri" w:hAnsi="Calibri" w:cs="Times New Roman"/>
      <w:kern w:val="0"/>
      <w:sz w:val="20"/>
      <w:szCs w:val="20"/>
      <w:lang w:val="ru-RU" w:eastAsia="ru-RU"/>
      <w14:ligatures w14:val="none"/>
    </w:rPr>
  </w:style>
  <w:style w:type="paragraph" w:styleId="SubiectComentariu">
    <w:name w:val="annotation subject"/>
    <w:basedOn w:val="Textcomentariu"/>
    <w:next w:val="Textcomentariu"/>
    <w:link w:val="SubiectComentariuCaracter"/>
    <w:uiPriority w:val="99"/>
    <w:semiHidden/>
    <w:unhideWhenUsed/>
    <w:rsid w:val="00851154"/>
    <w:rPr>
      <w:b/>
      <w:bCs/>
    </w:rPr>
  </w:style>
  <w:style w:type="character" w:customStyle="1" w:styleId="SubiectComentariuCaracter">
    <w:name w:val="Subiect Comentariu Caracter"/>
    <w:basedOn w:val="TextcomentariuCaracter"/>
    <w:link w:val="SubiectComentariu"/>
    <w:uiPriority w:val="99"/>
    <w:semiHidden/>
    <w:rsid w:val="00851154"/>
    <w:rPr>
      <w:rFonts w:ascii="Calibri" w:eastAsia="Calibri" w:hAnsi="Calibri" w:cs="Times New Roman"/>
      <w:b/>
      <w:bCs/>
      <w:kern w:val="0"/>
      <w:sz w:val="20"/>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904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rticip.gov.md/ro/document/stages/anunt-cu-privirea-la-initierea-procesului-de-elaborare-a-proiectului-hotararii-de-guvern-cu-privire-la-acordarea-institutiei-publice-organizatia-concertistica-si-de-management-artistic-moldova-concert-a-statutului-de-organizatie-concertistica-nationala/1158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5767E-FE39-4CF3-9ED3-36FAB98A1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1077</Words>
  <Characters>6248</Characters>
  <Application>Microsoft Office Word</Application>
  <DocSecurity>0</DocSecurity>
  <Lines>52</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eugenialisii11@gmail.com</cp:lastModifiedBy>
  <cp:revision>15</cp:revision>
  <cp:lastPrinted>2023-12-07T08:27:00Z</cp:lastPrinted>
  <dcterms:created xsi:type="dcterms:W3CDTF">2023-12-06T13:55:00Z</dcterms:created>
  <dcterms:modified xsi:type="dcterms:W3CDTF">2023-12-07T09:06:00Z</dcterms:modified>
</cp:coreProperties>
</file>