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63" w:rsidRDefault="00E72163" w:rsidP="00E72163">
      <w:pPr>
        <w:pStyle w:val="Heading4"/>
        <w:spacing w:before="74"/>
        <w:ind w:left="565"/>
        <w:jc w:val="center"/>
      </w:pPr>
      <w:r>
        <w:rPr>
          <w:spacing w:val="-4"/>
        </w:rPr>
        <w:t>NOTA</w:t>
      </w:r>
      <w:r>
        <w:rPr>
          <w:spacing w:val="-7"/>
        </w:rPr>
        <w:t xml:space="preserve"> </w:t>
      </w:r>
      <w:r>
        <w:rPr>
          <w:spacing w:val="-2"/>
        </w:rPr>
        <w:t>INFORMATIVĂ</w:t>
      </w:r>
    </w:p>
    <w:p w:rsidR="00F12C76" w:rsidRDefault="00E72163" w:rsidP="00E72163">
      <w:pPr>
        <w:ind w:firstLine="709"/>
        <w:jc w:val="both"/>
        <w:rPr>
          <w:rFonts w:ascii="Arial" w:hAnsi="Arial"/>
          <w:b/>
          <w:sz w:val="24"/>
        </w:rPr>
      </w:pPr>
      <w:r>
        <w:rPr>
          <w:rFonts w:ascii="Arial" w:hAnsi="Arial"/>
          <w:b/>
          <w:sz w:val="24"/>
        </w:rPr>
        <w:t>la</w:t>
      </w:r>
      <w:r>
        <w:rPr>
          <w:rFonts w:ascii="Arial" w:hAnsi="Arial"/>
          <w:b/>
          <w:spacing w:val="-11"/>
          <w:sz w:val="24"/>
        </w:rPr>
        <w:t xml:space="preserve"> </w:t>
      </w:r>
      <w:r>
        <w:rPr>
          <w:rFonts w:ascii="Arial" w:hAnsi="Arial"/>
          <w:b/>
          <w:sz w:val="24"/>
        </w:rPr>
        <w:t>contractul</w:t>
      </w:r>
      <w:r>
        <w:rPr>
          <w:rFonts w:ascii="Arial" w:hAnsi="Arial"/>
          <w:b/>
          <w:spacing w:val="-11"/>
          <w:sz w:val="24"/>
        </w:rPr>
        <w:t xml:space="preserve"> </w:t>
      </w:r>
      <w:r>
        <w:rPr>
          <w:rFonts w:ascii="Arial" w:hAnsi="Arial"/>
          <w:b/>
          <w:sz w:val="24"/>
        </w:rPr>
        <w:t>Nr.</w:t>
      </w:r>
      <w:r>
        <w:rPr>
          <w:rFonts w:ascii="Arial" w:hAnsi="Arial"/>
          <w:b/>
          <w:spacing w:val="-11"/>
          <w:sz w:val="24"/>
        </w:rPr>
        <w:t xml:space="preserve"> </w:t>
      </w:r>
      <w:r>
        <w:rPr>
          <w:rFonts w:ascii="Arial" w:hAnsi="Arial"/>
          <w:b/>
          <w:sz w:val="24"/>
        </w:rPr>
        <w:t>06-15/491</w:t>
      </w:r>
      <w:r>
        <w:rPr>
          <w:rFonts w:ascii="Arial" w:hAnsi="Arial"/>
          <w:b/>
          <w:spacing w:val="-11"/>
          <w:sz w:val="24"/>
        </w:rPr>
        <w:t xml:space="preserve"> </w:t>
      </w:r>
      <w:r>
        <w:rPr>
          <w:rFonts w:ascii="Arial" w:hAnsi="Arial"/>
          <w:b/>
          <w:sz w:val="24"/>
        </w:rPr>
        <w:t>din</w:t>
      </w:r>
      <w:r>
        <w:rPr>
          <w:rFonts w:ascii="Arial" w:hAnsi="Arial"/>
          <w:b/>
          <w:spacing w:val="-13"/>
          <w:sz w:val="24"/>
        </w:rPr>
        <w:t xml:space="preserve"> </w:t>
      </w:r>
      <w:r>
        <w:rPr>
          <w:rFonts w:ascii="Arial" w:hAnsi="Arial"/>
          <w:b/>
          <w:sz w:val="24"/>
        </w:rPr>
        <w:t>08</w:t>
      </w:r>
      <w:r>
        <w:rPr>
          <w:rFonts w:ascii="Arial" w:hAnsi="Arial"/>
          <w:b/>
          <w:spacing w:val="-11"/>
          <w:sz w:val="24"/>
        </w:rPr>
        <w:t xml:space="preserve"> </w:t>
      </w:r>
      <w:r>
        <w:rPr>
          <w:rFonts w:ascii="Arial" w:hAnsi="Arial"/>
          <w:b/>
          <w:sz w:val="24"/>
        </w:rPr>
        <w:t>decembrie</w:t>
      </w:r>
      <w:r>
        <w:rPr>
          <w:rFonts w:ascii="Arial" w:hAnsi="Arial"/>
          <w:b/>
          <w:spacing w:val="-11"/>
          <w:sz w:val="24"/>
        </w:rPr>
        <w:t xml:space="preserve"> </w:t>
      </w:r>
      <w:r>
        <w:rPr>
          <w:rFonts w:ascii="Arial" w:hAnsi="Arial"/>
          <w:b/>
          <w:sz w:val="24"/>
        </w:rPr>
        <w:t>2020,</w:t>
      </w:r>
      <w:r>
        <w:rPr>
          <w:rFonts w:ascii="Arial" w:hAnsi="Arial"/>
          <w:b/>
          <w:spacing w:val="-11"/>
          <w:sz w:val="24"/>
        </w:rPr>
        <w:t xml:space="preserve"> </w:t>
      </w:r>
      <w:r>
        <w:rPr>
          <w:rFonts w:ascii="Arial" w:hAnsi="Arial"/>
          <w:b/>
          <w:sz w:val="24"/>
        </w:rPr>
        <w:t>Lot</w:t>
      </w:r>
      <w:r>
        <w:rPr>
          <w:rFonts w:ascii="Arial" w:hAnsi="Arial"/>
          <w:b/>
          <w:spacing w:val="-11"/>
          <w:sz w:val="24"/>
        </w:rPr>
        <w:t xml:space="preserve"> </w:t>
      </w:r>
      <w:r>
        <w:rPr>
          <w:rFonts w:ascii="Arial" w:hAnsi="Arial"/>
          <w:b/>
          <w:sz w:val="24"/>
        </w:rPr>
        <w:t>9</w:t>
      </w:r>
      <w:r>
        <w:rPr>
          <w:rFonts w:ascii="Arial" w:hAnsi="Arial"/>
          <w:b/>
          <w:spacing w:val="-11"/>
          <w:sz w:val="24"/>
        </w:rPr>
        <w:t xml:space="preserve"> </w:t>
      </w:r>
      <w:r>
        <w:rPr>
          <w:rFonts w:ascii="Arial" w:hAnsi="Arial"/>
          <w:b/>
          <w:sz w:val="24"/>
        </w:rPr>
        <w:t>de</w:t>
      </w:r>
      <w:r>
        <w:rPr>
          <w:rFonts w:ascii="Arial" w:hAnsi="Arial"/>
          <w:b/>
          <w:spacing w:val="-11"/>
          <w:sz w:val="24"/>
        </w:rPr>
        <w:t xml:space="preserve"> </w:t>
      </w:r>
      <w:r>
        <w:rPr>
          <w:rFonts w:ascii="Arial" w:hAnsi="Arial"/>
          <w:b/>
          <w:sz w:val="24"/>
        </w:rPr>
        <w:t>adaptare</w:t>
      </w:r>
      <w:r>
        <w:rPr>
          <w:rFonts w:ascii="Arial" w:hAnsi="Arial"/>
          <w:b/>
          <w:spacing w:val="-12"/>
          <w:sz w:val="24"/>
        </w:rPr>
        <w:t xml:space="preserve"> </w:t>
      </w:r>
      <w:r>
        <w:rPr>
          <w:rFonts w:ascii="Arial" w:hAnsi="Arial"/>
          <w:b/>
          <w:sz w:val="24"/>
        </w:rPr>
        <w:t xml:space="preserve">a </w:t>
      </w:r>
      <w:r>
        <w:rPr>
          <w:rFonts w:ascii="Arial" w:hAnsi="Arial"/>
          <w:b/>
          <w:spacing w:val="-4"/>
          <w:sz w:val="24"/>
        </w:rPr>
        <w:t>proiectului</w:t>
      </w:r>
      <w:r>
        <w:rPr>
          <w:rFonts w:ascii="Arial" w:hAnsi="Arial"/>
          <w:b/>
          <w:spacing w:val="-8"/>
          <w:sz w:val="24"/>
        </w:rPr>
        <w:t xml:space="preserve"> </w:t>
      </w:r>
      <w:r>
        <w:rPr>
          <w:rFonts w:ascii="Arial" w:hAnsi="Arial"/>
          <w:b/>
          <w:spacing w:val="-4"/>
          <w:sz w:val="24"/>
        </w:rPr>
        <w:t>de</w:t>
      </w:r>
      <w:r>
        <w:rPr>
          <w:rFonts w:ascii="Arial" w:hAnsi="Arial"/>
          <w:b/>
          <w:spacing w:val="-9"/>
          <w:sz w:val="24"/>
        </w:rPr>
        <w:t xml:space="preserve"> </w:t>
      </w:r>
      <w:r>
        <w:rPr>
          <w:rFonts w:ascii="Arial" w:hAnsi="Arial"/>
          <w:b/>
          <w:spacing w:val="-4"/>
          <w:sz w:val="24"/>
        </w:rPr>
        <w:t>document</w:t>
      </w:r>
      <w:r>
        <w:rPr>
          <w:rFonts w:ascii="Arial" w:hAnsi="Arial"/>
          <w:b/>
          <w:spacing w:val="-8"/>
          <w:sz w:val="24"/>
        </w:rPr>
        <w:t xml:space="preserve"> </w:t>
      </w:r>
      <w:r>
        <w:rPr>
          <w:rFonts w:ascii="Arial" w:hAnsi="Arial"/>
          <w:b/>
          <w:spacing w:val="-4"/>
          <w:sz w:val="24"/>
        </w:rPr>
        <w:t>normativ</w:t>
      </w:r>
      <w:r>
        <w:rPr>
          <w:rFonts w:ascii="Arial" w:hAnsi="Arial"/>
          <w:b/>
          <w:spacing w:val="-9"/>
          <w:sz w:val="24"/>
        </w:rPr>
        <w:t xml:space="preserve"> </w:t>
      </w:r>
      <w:r>
        <w:rPr>
          <w:rFonts w:ascii="Arial" w:hAnsi="Arial"/>
          <w:b/>
          <w:spacing w:val="-4"/>
          <w:sz w:val="24"/>
        </w:rPr>
        <w:t>în</w:t>
      </w:r>
      <w:r>
        <w:rPr>
          <w:rFonts w:ascii="Arial" w:hAnsi="Arial"/>
          <w:b/>
          <w:spacing w:val="-8"/>
          <w:sz w:val="24"/>
        </w:rPr>
        <w:t xml:space="preserve"> </w:t>
      </w:r>
      <w:r>
        <w:rPr>
          <w:rFonts w:ascii="Arial" w:hAnsi="Arial"/>
          <w:b/>
          <w:spacing w:val="-4"/>
          <w:sz w:val="24"/>
        </w:rPr>
        <w:t>construcții</w:t>
      </w:r>
      <w:r>
        <w:rPr>
          <w:rFonts w:ascii="Arial" w:hAnsi="Arial"/>
          <w:b/>
          <w:spacing w:val="-8"/>
          <w:sz w:val="24"/>
        </w:rPr>
        <w:t xml:space="preserve"> </w:t>
      </w:r>
      <w:r>
        <w:rPr>
          <w:rFonts w:ascii="Arial" w:hAnsi="Arial"/>
          <w:b/>
          <w:spacing w:val="-4"/>
          <w:sz w:val="24"/>
        </w:rPr>
        <w:t>”</w:t>
      </w:r>
      <w:bookmarkStart w:id="0" w:name="_GoBack"/>
      <w:r>
        <w:rPr>
          <w:rFonts w:ascii="Arial" w:hAnsi="Arial"/>
          <w:b/>
          <w:spacing w:val="-4"/>
          <w:sz w:val="24"/>
        </w:rPr>
        <w:t>Dimensionarea</w:t>
      </w:r>
      <w:r>
        <w:rPr>
          <w:rFonts w:ascii="Arial" w:hAnsi="Arial"/>
          <w:b/>
          <w:spacing w:val="-9"/>
          <w:sz w:val="24"/>
        </w:rPr>
        <w:t xml:space="preserve"> </w:t>
      </w:r>
      <w:r>
        <w:rPr>
          <w:rFonts w:ascii="Arial" w:hAnsi="Arial"/>
          <w:b/>
          <w:spacing w:val="-4"/>
          <w:sz w:val="24"/>
        </w:rPr>
        <w:t xml:space="preserve">ranforsărilor </w:t>
      </w:r>
      <w:r>
        <w:rPr>
          <w:rFonts w:ascii="Arial" w:hAnsi="Arial"/>
          <w:b/>
          <w:sz w:val="24"/>
        </w:rPr>
        <w:t>din</w:t>
      </w:r>
      <w:r>
        <w:rPr>
          <w:rFonts w:ascii="Arial" w:hAnsi="Arial"/>
          <w:b/>
          <w:spacing w:val="-17"/>
          <w:sz w:val="24"/>
        </w:rPr>
        <w:t xml:space="preserve"> </w:t>
      </w:r>
      <w:r>
        <w:rPr>
          <w:rFonts w:ascii="Arial" w:hAnsi="Arial"/>
          <w:b/>
          <w:sz w:val="24"/>
        </w:rPr>
        <w:t>beton</w:t>
      </w:r>
      <w:r>
        <w:rPr>
          <w:rFonts w:ascii="Arial" w:hAnsi="Arial"/>
          <w:b/>
          <w:spacing w:val="-17"/>
          <w:sz w:val="24"/>
        </w:rPr>
        <w:t xml:space="preserve"> </w:t>
      </w:r>
      <w:r>
        <w:rPr>
          <w:rFonts w:ascii="Arial" w:hAnsi="Arial"/>
          <w:b/>
          <w:sz w:val="24"/>
        </w:rPr>
        <w:t>de</w:t>
      </w:r>
      <w:r>
        <w:rPr>
          <w:rFonts w:ascii="Arial" w:hAnsi="Arial"/>
          <w:b/>
          <w:spacing w:val="-14"/>
          <w:sz w:val="24"/>
        </w:rPr>
        <w:t xml:space="preserve"> </w:t>
      </w:r>
      <w:r>
        <w:rPr>
          <w:rFonts w:ascii="Arial" w:hAnsi="Arial"/>
          <w:b/>
          <w:sz w:val="24"/>
        </w:rPr>
        <w:t>ciment</w:t>
      </w:r>
      <w:r>
        <w:rPr>
          <w:rFonts w:ascii="Arial" w:hAnsi="Arial"/>
          <w:b/>
          <w:spacing w:val="-17"/>
          <w:sz w:val="24"/>
        </w:rPr>
        <w:t xml:space="preserve"> </w:t>
      </w:r>
      <w:r>
        <w:rPr>
          <w:rFonts w:ascii="Arial" w:hAnsi="Arial"/>
          <w:b/>
          <w:sz w:val="24"/>
        </w:rPr>
        <w:t>ale</w:t>
      </w:r>
      <w:r>
        <w:rPr>
          <w:rFonts w:ascii="Arial" w:hAnsi="Arial"/>
          <w:b/>
          <w:spacing w:val="-17"/>
          <w:sz w:val="24"/>
        </w:rPr>
        <w:t xml:space="preserve"> </w:t>
      </w:r>
      <w:r>
        <w:rPr>
          <w:rFonts w:ascii="Arial" w:hAnsi="Arial"/>
          <w:b/>
          <w:sz w:val="24"/>
        </w:rPr>
        <w:t>structurilor</w:t>
      </w:r>
      <w:r>
        <w:rPr>
          <w:rFonts w:ascii="Arial" w:hAnsi="Arial"/>
          <w:b/>
          <w:spacing w:val="-15"/>
          <w:sz w:val="24"/>
        </w:rPr>
        <w:t xml:space="preserve"> </w:t>
      </w:r>
      <w:r>
        <w:rPr>
          <w:rFonts w:ascii="Arial" w:hAnsi="Arial"/>
          <w:b/>
          <w:sz w:val="24"/>
        </w:rPr>
        <w:t>rutiere</w:t>
      </w:r>
      <w:r>
        <w:rPr>
          <w:rFonts w:ascii="Arial" w:hAnsi="Arial"/>
          <w:b/>
          <w:spacing w:val="-16"/>
          <w:sz w:val="24"/>
        </w:rPr>
        <w:t xml:space="preserve"> </w:t>
      </w:r>
      <w:r>
        <w:rPr>
          <w:rFonts w:ascii="Arial" w:hAnsi="Arial"/>
          <w:b/>
          <w:sz w:val="24"/>
        </w:rPr>
        <w:t>rigide,</w:t>
      </w:r>
      <w:r>
        <w:rPr>
          <w:rFonts w:ascii="Arial" w:hAnsi="Arial"/>
          <w:b/>
          <w:spacing w:val="-16"/>
          <w:sz w:val="24"/>
        </w:rPr>
        <w:t xml:space="preserve"> </w:t>
      </w:r>
      <w:r>
        <w:rPr>
          <w:rFonts w:ascii="Arial" w:hAnsi="Arial"/>
          <w:b/>
          <w:sz w:val="24"/>
        </w:rPr>
        <w:t>suple</w:t>
      </w:r>
      <w:r>
        <w:rPr>
          <w:rFonts w:ascii="Arial" w:hAnsi="Arial"/>
          <w:b/>
          <w:spacing w:val="-17"/>
          <w:sz w:val="24"/>
        </w:rPr>
        <w:t xml:space="preserve"> </w:t>
      </w:r>
      <w:r>
        <w:rPr>
          <w:rFonts w:ascii="Arial" w:hAnsi="Arial"/>
          <w:b/>
          <w:sz w:val="24"/>
        </w:rPr>
        <w:t>și</w:t>
      </w:r>
      <w:r>
        <w:rPr>
          <w:rFonts w:ascii="Arial" w:hAnsi="Arial"/>
          <w:b/>
          <w:spacing w:val="-15"/>
          <w:sz w:val="24"/>
        </w:rPr>
        <w:t xml:space="preserve"> </w:t>
      </w:r>
      <w:r>
        <w:rPr>
          <w:rFonts w:ascii="Arial" w:hAnsi="Arial"/>
          <w:b/>
          <w:sz w:val="24"/>
        </w:rPr>
        <w:t>semirigide</w:t>
      </w:r>
      <w:bookmarkEnd w:id="0"/>
      <w:r>
        <w:rPr>
          <w:rFonts w:ascii="Arial" w:hAnsi="Arial"/>
          <w:b/>
          <w:sz w:val="24"/>
        </w:rPr>
        <w:t>”</w:t>
      </w:r>
    </w:p>
    <w:p w:rsidR="00E72163" w:rsidRDefault="00E72163" w:rsidP="00E72163">
      <w:pPr>
        <w:ind w:firstLine="709"/>
        <w:jc w:val="both"/>
        <w:rPr>
          <w:rFonts w:ascii="Times New Roman" w:hAnsi="Times New Roman" w:cs="Times New Roman"/>
          <w:sz w:val="26"/>
          <w:szCs w:val="26"/>
        </w:rPr>
      </w:pPr>
    </w:p>
    <w:p w:rsidR="00E72163" w:rsidRPr="00E72163" w:rsidRDefault="00E72163" w:rsidP="00E72163">
      <w:pPr>
        <w:ind w:firstLine="709"/>
        <w:jc w:val="both"/>
        <w:rPr>
          <w:rFonts w:ascii="Times New Roman" w:hAnsi="Times New Roman" w:cs="Times New Roman"/>
          <w:sz w:val="26"/>
          <w:szCs w:val="26"/>
        </w:rPr>
      </w:pPr>
      <w:r w:rsidRPr="00E72163">
        <w:rPr>
          <w:rFonts w:ascii="Times New Roman" w:hAnsi="Times New Roman" w:cs="Times New Roman"/>
          <w:sz w:val="26"/>
          <w:szCs w:val="26"/>
        </w:rPr>
        <w:t>Prevederile prezentului document în construcții se va aplica în activitatea de proiectare, la modernizarea, reabilitarea și repararea tuturor categoriilor tehnice ale drumurilor conform NCM D.02.01.</w:t>
      </w:r>
    </w:p>
    <w:p w:rsidR="00E72163" w:rsidRPr="00E72163" w:rsidRDefault="00E72163" w:rsidP="00E72163">
      <w:pPr>
        <w:ind w:firstLine="709"/>
        <w:jc w:val="both"/>
        <w:rPr>
          <w:rFonts w:ascii="Times New Roman" w:hAnsi="Times New Roman" w:cs="Times New Roman"/>
          <w:sz w:val="26"/>
          <w:szCs w:val="26"/>
        </w:rPr>
      </w:pPr>
    </w:p>
    <w:p w:rsidR="00E72163" w:rsidRPr="00E72163" w:rsidRDefault="00E72163" w:rsidP="00E72163">
      <w:pPr>
        <w:ind w:firstLine="709"/>
        <w:jc w:val="both"/>
        <w:rPr>
          <w:rFonts w:ascii="Times New Roman" w:hAnsi="Times New Roman" w:cs="Times New Roman"/>
          <w:sz w:val="26"/>
          <w:szCs w:val="26"/>
        </w:rPr>
      </w:pPr>
      <w:r w:rsidRPr="00E72163">
        <w:rPr>
          <w:rFonts w:ascii="Times New Roman" w:hAnsi="Times New Roman" w:cs="Times New Roman"/>
          <w:sz w:val="26"/>
          <w:szCs w:val="26"/>
        </w:rPr>
        <w:t>Normativul are ca obiect stabilirea unor reguli tehnice și norme pentru dimensionarea ranforsărilor din beton de ciment ale structurilor rutiere.</w:t>
      </w:r>
    </w:p>
    <w:p w:rsidR="00E72163" w:rsidRPr="00E72163" w:rsidRDefault="00E72163" w:rsidP="00E72163">
      <w:pPr>
        <w:ind w:firstLine="709"/>
        <w:jc w:val="both"/>
        <w:rPr>
          <w:rFonts w:ascii="Times New Roman" w:hAnsi="Times New Roman" w:cs="Times New Roman"/>
          <w:sz w:val="26"/>
          <w:szCs w:val="26"/>
        </w:rPr>
      </w:pPr>
    </w:p>
    <w:p w:rsidR="00E72163" w:rsidRPr="00E72163" w:rsidRDefault="00E72163" w:rsidP="00E72163">
      <w:pPr>
        <w:ind w:firstLine="709"/>
        <w:jc w:val="both"/>
        <w:rPr>
          <w:rFonts w:ascii="Times New Roman" w:hAnsi="Times New Roman" w:cs="Times New Roman"/>
          <w:sz w:val="26"/>
          <w:szCs w:val="26"/>
        </w:rPr>
      </w:pPr>
      <w:r w:rsidRPr="00E72163">
        <w:rPr>
          <w:rFonts w:ascii="Times New Roman" w:hAnsi="Times New Roman" w:cs="Times New Roman"/>
          <w:sz w:val="26"/>
          <w:szCs w:val="26"/>
        </w:rPr>
        <w:t>Scopul strategic al documentului este implementarea instrumentelor de dimensionare a ranforsărilor la etapa de proiectare, construcție și reparație a drumurilor.</w:t>
      </w:r>
    </w:p>
    <w:p w:rsidR="00E72163" w:rsidRPr="00E72163" w:rsidRDefault="00E72163" w:rsidP="00E72163">
      <w:pPr>
        <w:ind w:firstLine="709"/>
        <w:jc w:val="both"/>
        <w:rPr>
          <w:rFonts w:ascii="Times New Roman" w:hAnsi="Times New Roman" w:cs="Times New Roman"/>
          <w:sz w:val="26"/>
          <w:szCs w:val="26"/>
        </w:rPr>
      </w:pPr>
    </w:p>
    <w:p w:rsidR="00E72163" w:rsidRPr="00E72163" w:rsidRDefault="00E72163" w:rsidP="00E72163">
      <w:pPr>
        <w:ind w:firstLine="709"/>
        <w:jc w:val="both"/>
        <w:rPr>
          <w:rFonts w:ascii="Times New Roman" w:hAnsi="Times New Roman" w:cs="Times New Roman"/>
          <w:sz w:val="26"/>
          <w:szCs w:val="26"/>
        </w:rPr>
      </w:pPr>
      <w:r w:rsidRPr="00E72163">
        <w:rPr>
          <w:rFonts w:ascii="Times New Roman" w:hAnsi="Times New Roman" w:cs="Times New Roman"/>
          <w:sz w:val="26"/>
          <w:szCs w:val="26"/>
        </w:rPr>
        <w:t>Prezentul normativ se recomandă administratorilor drumurilor, inginerilor și tehnicienilor care activează în proiectarea, construcția, reconstrucția, reabilitarea și întreținerea drumurilor publice naționale și locale.</w:t>
      </w:r>
    </w:p>
    <w:p w:rsidR="00E72163" w:rsidRPr="00E72163" w:rsidRDefault="00E72163" w:rsidP="00E72163">
      <w:pPr>
        <w:ind w:firstLine="709"/>
        <w:jc w:val="both"/>
        <w:rPr>
          <w:rFonts w:ascii="Times New Roman" w:hAnsi="Times New Roman" w:cs="Times New Roman"/>
          <w:sz w:val="26"/>
          <w:szCs w:val="26"/>
        </w:rPr>
      </w:pPr>
    </w:p>
    <w:p w:rsidR="00E72163" w:rsidRPr="00E72163" w:rsidRDefault="00E72163" w:rsidP="00E72163">
      <w:pPr>
        <w:ind w:firstLine="709"/>
        <w:jc w:val="both"/>
        <w:rPr>
          <w:rFonts w:ascii="Times New Roman" w:hAnsi="Times New Roman" w:cs="Times New Roman"/>
          <w:sz w:val="26"/>
          <w:szCs w:val="26"/>
        </w:rPr>
      </w:pPr>
      <w:r w:rsidRPr="00E72163">
        <w:rPr>
          <w:rFonts w:ascii="Times New Roman" w:hAnsi="Times New Roman" w:cs="Times New Roman"/>
          <w:sz w:val="26"/>
          <w:szCs w:val="26"/>
        </w:rPr>
        <w:t>Pe parcursul exploatării drumurilor, capacitatea portantă efectivă a complexelor rutiere este într-o continuă scădere, în timp ce capacitatea portantă necesară, corespunzătoare traficului efectiv, este într-o continuă creștere. La un anumit moment, capacitatea portantă inițială pentru care a fost calculat complexul rutier este depășită de capacitatea portantă necesară, iar complexul rutier cedează.</w:t>
      </w:r>
    </w:p>
    <w:p w:rsidR="00E72163" w:rsidRPr="00E72163" w:rsidRDefault="00E72163" w:rsidP="00E72163">
      <w:pPr>
        <w:ind w:firstLine="709"/>
        <w:jc w:val="both"/>
        <w:rPr>
          <w:rFonts w:ascii="Times New Roman" w:hAnsi="Times New Roman" w:cs="Times New Roman"/>
          <w:sz w:val="26"/>
          <w:szCs w:val="26"/>
        </w:rPr>
      </w:pPr>
      <w:r w:rsidRPr="00E72163">
        <w:rPr>
          <w:rFonts w:ascii="Times New Roman" w:hAnsi="Times New Roman" w:cs="Times New Roman"/>
          <w:sz w:val="26"/>
          <w:szCs w:val="26"/>
        </w:rPr>
        <w:t>Stabilirea unor reguli tehnice și parametrilor care permit sporirea capacității portante prin ranforsarea structurilor rutiere existente cu straturi din beton de ciment, pentru reducerea consumului de resurse naturale și îmbunătățirea durabilității în timp care este foarte important în condițiile actuale de dezvoltare.</w:t>
      </w:r>
    </w:p>
    <w:p w:rsidR="00E72163" w:rsidRPr="00E72163" w:rsidRDefault="00E72163" w:rsidP="00E72163">
      <w:pPr>
        <w:ind w:firstLine="709"/>
        <w:jc w:val="both"/>
        <w:rPr>
          <w:rFonts w:ascii="Times New Roman" w:hAnsi="Times New Roman" w:cs="Times New Roman"/>
          <w:sz w:val="26"/>
          <w:szCs w:val="26"/>
        </w:rPr>
      </w:pPr>
    </w:p>
    <w:p w:rsidR="00E72163" w:rsidRPr="00E72163" w:rsidRDefault="00E72163" w:rsidP="00E72163">
      <w:pPr>
        <w:ind w:firstLine="709"/>
        <w:jc w:val="both"/>
        <w:rPr>
          <w:rFonts w:ascii="Times New Roman" w:hAnsi="Times New Roman" w:cs="Times New Roman"/>
          <w:sz w:val="26"/>
          <w:szCs w:val="26"/>
        </w:rPr>
      </w:pPr>
      <w:r w:rsidRPr="00E72163">
        <w:rPr>
          <w:rFonts w:ascii="Times New Roman" w:hAnsi="Times New Roman" w:cs="Times New Roman"/>
          <w:sz w:val="26"/>
          <w:szCs w:val="26"/>
        </w:rPr>
        <w:t>DNC cuprinde norme și recomandări privind asigurarea calității materialelor în conformitate cu cerințele standardelor europene în vigoare, precum și calității executării lucrărilor, condițiile de execuție și recepție a lucrărilor executate.</w:t>
      </w:r>
    </w:p>
    <w:p w:rsidR="00E72163" w:rsidRPr="00E72163" w:rsidRDefault="00E72163" w:rsidP="00E72163">
      <w:pPr>
        <w:ind w:firstLine="709"/>
        <w:jc w:val="both"/>
        <w:rPr>
          <w:rFonts w:ascii="Times New Roman" w:hAnsi="Times New Roman" w:cs="Times New Roman"/>
          <w:sz w:val="26"/>
          <w:szCs w:val="26"/>
        </w:rPr>
      </w:pPr>
    </w:p>
    <w:sectPr w:rsidR="00E72163" w:rsidRPr="00E7216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63"/>
    <w:rsid w:val="006C0B77"/>
    <w:rsid w:val="008242FF"/>
    <w:rsid w:val="00870751"/>
    <w:rsid w:val="00922C48"/>
    <w:rsid w:val="00B915B7"/>
    <w:rsid w:val="00D50A14"/>
    <w:rsid w:val="00E7216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85B7B-9C5A-4842-A560-4F46935E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72163"/>
    <w:pPr>
      <w:widowControl w:val="0"/>
      <w:autoSpaceDE w:val="0"/>
      <w:autoSpaceDN w:val="0"/>
      <w:spacing w:after="0" w:line="240" w:lineRule="auto"/>
    </w:pPr>
    <w:rPr>
      <w:rFonts w:ascii="Microsoft Sans Serif" w:eastAsia="Microsoft Sans Serif" w:hAnsi="Microsoft Sans Serif" w:cs="Microsoft Sans Serif"/>
      <w:lang w:val="ro-RO"/>
    </w:rPr>
  </w:style>
  <w:style w:type="paragraph" w:styleId="Heading4">
    <w:name w:val="heading 4"/>
    <w:basedOn w:val="Normal"/>
    <w:link w:val="Heading4Char"/>
    <w:uiPriority w:val="1"/>
    <w:qFormat/>
    <w:rsid w:val="00E72163"/>
    <w:pPr>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E72163"/>
    <w:rPr>
      <w:rFonts w:ascii="Arial" w:eastAsia="Arial" w:hAnsi="Arial" w:cs="Arial"/>
      <w:b/>
      <w:b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 Batir</dc:creator>
  <cp:keywords/>
  <dc:description/>
  <cp:lastModifiedBy>Roma Batir</cp:lastModifiedBy>
  <cp:revision>1</cp:revision>
  <dcterms:created xsi:type="dcterms:W3CDTF">2023-12-11T14:19:00Z</dcterms:created>
  <dcterms:modified xsi:type="dcterms:W3CDTF">2023-12-11T14:20:00Z</dcterms:modified>
</cp:coreProperties>
</file>