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5A" w:rsidRDefault="00971AD3">
      <w:pPr>
        <w:ind w:left="7920" w:firstLine="720"/>
        <w:rPr>
          <w:lang w:val="ro-RO"/>
        </w:rPr>
      </w:pPr>
      <w:r>
        <w:rPr>
          <w:sz w:val="24"/>
          <w:szCs w:val="24"/>
          <w:lang w:val="ro-RO"/>
        </w:rPr>
        <w:t xml:space="preserve">                                     Anexa nr. 1 la decizia</w:t>
      </w:r>
    </w:p>
    <w:p w:rsidR="00FC565A" w:rsidRDefault="00971AD3">
      <w:pPr>
        <w:ind w:left="10800"/>
        <w:rPr>
          <w:lang w:val="ro-RO"/>
        </w:rPr>
      </w:pPr>
      <w:r>
        <w:rPr>
          <w:sz w:val="24"/>
          <w:szCs w:val="24"/>
          <w:lang w:val="ro-RO"/>
        </w:rPr>
        <w:t xml:space="preserve"> Consiliului Municipal Chișinău</w:t>
      </w:r>
    </w:p>
    <w:p w:rsidR="00FC565A" w:rsidRDefault="00971AD3">
      <w:pPr>
        <w:ind w:left="10080" w:firstLine="720"/>
        <w:rPr>
          <w:sz w:val="28"/>
          <w:szCs w:val="28"/>
          <w:lang w:val="ro-RO"/>
        </w:rPr>
      </w:pPr>
      <w:r>
        <w:rPr>
          <w:sz w:val="24"/>
          <w:szCs w:val="24"/>
          <w:lang w:val="ro-RO"/>
        </w:rPr>
        <w:t xml:space="preserve"> </w:t>
      </w:r>
      <w:proofErr w:type="spellStart"/>
      <w:r>
        <w:rPr>
          <w:sz w:val="24"/>
          <w:szCs w:val="24"/>
          <w:lang w:val="ro-RO"/>
        </w:rPr>
        <w:t>nr.____din</w:t>
      </w:r>
      <w:proofErr w:type="spellEnd"/>
      <w:r>
        <w:rPr>
          <w:sz w:val="24"/>
          <w:szCs w:val="24"/>
          <w:lang w:val="ro-RO"/>
        </w:rPr>
        <w:t xml:space="preserve"> ____________2023</w:t>
      </w:r>
    </w:p>
    <w:p w:rsidR="00FC565A" w:rsidRDefault="00FC565A">
      <w:pPr>
        <w:ind w:left="3600" w:firstLine="720"/>
        <w:rPr>
          <w:sz w:val="28"/>
          <w:szCs w:val="28"/>
          <w:lang w:val="ro-RO"/>
        </w:rPr>
      </w:pPr>
    </w:p>
    <w:p w:rsidR="00FC565A" w:rsidRDefault="00971AD3">
      <w:pPr>
        <w:ind w:left="3600" w:firstLine="720"/>
        <w:rPr>
          <w:lang w:val="ro-RO"/>
        </w:rPr>
      </w:pPr>
      <w:r>
        <w:rPr>
          <w:sz w:val="28"/>
          <w:szCs w:val="28"/>
          <w:lang w:val="ro-RO"/>
        </w:rPr>
        <w:t>Taxele locale, cotele concrete și înlesnirile fiscale</w:t>
      </w:r>
    </w:p>
    <w:p w:rsidR="00FC565A" w:rsidRDefault="00971AD3">
      <w:pPr>
        <w:rPr>
          <w:lang w:val="ro-RO"/>
        </w:rPr>
      </w:pP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ce se pun în aplicare în anul 2024 pe teritoriul municipiului Chișinău </w:t>
      </w:r>
      <w:r>
        <w:rPr>
          <w:sz w:val="28"/>
          <w:szCs w:val="28"/>
          <w:lang w:val="ro-RO"/>
        </w:rPr>
        <w:tab/>
      </w:r>
      <w:r>
        <w:rPr>
          <w:sz w:val="24"/>
          <w:szCs w:val="24"/>
          <w:lang w:val="ro-RO"/>
        </w:rPr>
        <w:tab/>
      </w:r>
    </w:p>
    <w:p w:rsidR="00FC565A" w:rsidRDefault="00971AD3">
      <w:pPr>
        <w:rPr>
          <w:lang w:val="ro-RO"/>
        </w:rPr>
      </w:pPr>
      <w:r>
        <w:rPr>
          <w:sz w:val="24"/>
          <w:szCs w:val="24"/>
          <w:lang w:val="ro-RO"/>
        </w:rPr>
        <w:tab/>
      </w:r>
    </w:p>
    <w:p w:rsidR="00FC565A" w:rsidRDefault="00971AD3">
      <w:pPr>
        <w:rPr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</w:p>
    <w:tbl>
      <w:tblPr>
        <w:tblW w:w="1531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636"/>
        <w:gridCol w:w="1631"/>
        <w:gridCol w:w="2552"/>
        <w:gridCol w:w="2410"/>
        <w:gridCol w:w="8081"/>
      </w:tblGrid>
      <w:tr w:rsidR="00FC565A">
        <w:trPr>
          <w:trHeight w:val="69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rPr>
          <w:trHeight w:val="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</w:t>
            </w: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amenajarea teritoriului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>Numărul mediu scriptic trimestrial al salariaților și, suplimentar:</w:t>
            </w:r>
          </w:p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– în cazul întreprinderilor individuale și </w:t>
            </w:r>
            <w:r>
              <w:rPr>
                <w:sz w:val="24"/>
                <w:szCs w:val="24"/>
                <w:lang w:val="ro-RO" w:eastAsia="ro-RO"/>
              </w:rPr>
              <w:t xml:space="preserve">gospodăriilor țărănești (de fermier) – fondatorul întreprinderii individuale, fondatorul </w:t>
            </w:r>
            <w:proofErr w:type="spellStart"/>
            <w:r>
              <w:rPr>
                <w:sz w:val="24"/>
                <w:szCs w:val="24"/>
                <w:lang w:val="ro-RO" w:eastAsia="ro-RO"/>
              </w:rPr>
              <w:t>şi</w:t>
            </w:r>
            <w:proofErr w:type="spellEnd"/>
            <w:r>
              <w:rPr>
                <w:sz w:val="24"/>
                <w:szCs w:val="24"/>
                <w:lang w:val="ro-RO" w:eastAsia="ro-RO"/>
              </w:rPr>
              <w:t xml:space="preserve"> membrii gospodăriilor țărănești (de fermier);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>– în cazul persoanelor care desfășoară activitate profesională în sectorul justiției – numărul de persoane abilitate p</w:t>
            </w:r>
            <w:r>
              <w:rPr>
                <w:sz w:val="24"/>
                <w:szCs w:val="24"/>
                <w:lang w:val="ro-RO" w:eastAsia="ro-RO"/>
              </w:rPr>
              <w:t>rin lege pentru desfășurarea activității profesionale în sectorul justiției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185 lei </w:t>
            </w:r>
            <w:r>
              <w:rPr>
                <w:sz w:val="24"/>
                <w:szCs w:val="24"/>
                <w:lang w:val="ro-RO"/>
              </w:rPr>
              <w:t>anual pentru fiecare salariat și/sau fondator al întreprinderii individuale, al gospodăriei țărănești (de fermier), de asemenea membrii acesteia și/sau pentru fiecare perso</w:t>
            </w:r>
            <w:r>
              <w:rPr>
                <w:sz w:val="24"/>
                <w:szCs w:val="24"/>
                <w:lang w:val="ro-RO"/>
              </w:rPr>
              <w:t>ană ce desfășoară activitate profesională în sectorul justiției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2. Misiunile diplomatice și oficiile consulare acreditate în Republica Moldova, precum și reprezentanțele </w:t>
            </w:r>
            <w:r>
              <w:rPr>
                <w:sz w:val="24"/>
                <w:szCs w:val="24"/>
                <w:lang w:val="ro-RO"/>
              </w:rPr>
              <w:t>organizațiilor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Fondatorii gospodăriilor  țărănești (de fermier) care au atins vârsta d</w:t>
            </w:r>
            <w:r>
              <w:rPr>
                <w:sz w:val="24"/>
                <w:szCs w:val="24"/>
                <w:lang w:val="ro-RO"/>
              </w:rPr>
              <w:t>e pensionare.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Banca Națională a Moldovei.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Proprietarii sau deținătorii bunurilor rechiziționate în interes public, pe perioada rechiziției, conform legislației.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 Subiecții care desfășoară activități conform cap. 10³ din Titlul II al Codului Fiscal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Persoanele fizice (invalizi, pensionari) și persoanele juridice, numărul de invalizi și pensionari al cărora depășește nivelul de 50 la sută din numărul scriptic total.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 S.A. „Mina Chișinău”.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9.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 xml:space="preserve">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>”, aprobat prin 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 Unitățile economice, create în anul 2023, care activează în domeniul industriei și procesării, corespund, conform Clasificatorului Activi</w:t>
            </w:r>
            <w:r>
              <w:rPr>
                <w:sz w:val="24"/>
                <w:szCs w:val="24"/>
                <w:lang w:val="ro-RO"/>
              </w:rPr>
              <w:t>tăților din Republica Moldova (CAEM-2), activităților expuse în secțiunile B „Industria extractivă”, C „Industria prelucrătoare” și D „Producția și furnizarea de energie electrică și termică, gaze, apă caldă și aer condiționat”, cu numărul minim de 5 angaj</w:t>
            </w:r>
            <w:r>
              <w:rPr>
                <w:sz w:val="24"/>
                <w:szCs w:val="24"/>
                <w:lang w:val="ro-RO"/>
              </w:rPr>
              <w:t>ați.</w:t>
            </w:r>
          </w:p>
        </w:tc>
      </w:tr>
      <w:tr w:rsidR="00FC565A">
        <w:trPr>
          <w:trHeight w:val="70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organizare a licitațiilor și loteriilor pe teritoriul unității administrativ-teritoriale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Venitul din vânzări ale  bunurilor declarate la </w:t>
            </w:r>
            <w:r>
              <w:rPr>
                <w:sz w:val="24"/>
                <w:szCs w:val="24"/>
                <w:lang w:val="ro-RO"/>
              </w:rPr>
              <w:t>licitație sau valoarea biletelor de loterie emise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0,3 %</w:t>
            </w:r>
          </w:p>
          <w:p w:rsidR="00FC565A" w:rsidRDefault="00FC565A">
            <w:pPr>
              <w:widowControl w:val="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Misiunile diplomatice și oficiile consulare acreditate în Republica Moldova, precum și reprezentanțele organi</w:t>
            </w:r>
            <w:r>
              <w:rPr>
                <w:sz w:val="24"/>
                <w:szCs w:val="24"/>
                <w:lang w:val="ro-RO"/>
              </w:rPr>
              <w:t>zațiilor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Organizatorii licitațiilor desfășurate în scopul asigurării rambursării dator</w:t>
            </w:r>
            <w:r>
              <w:rPr>
                <w:sz w:val="24"/>
                <w:szCs w:val="24"/>
                <w:lang w:val="ro-RO"/>
              </w:rPr>
              <w:t>iilor la credite, acoperirii pagubelor, achitării datoriilor la buget, vânzării patrimoniului de stat și patrimoniului municipal.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 </w:t>
            </w:r>
            <w:r>
              <w:rPr>
                <w:sz w:val="24"/>
                <w:szCs w:val="24"/>
                <w:lang w:val="ro-RO"/>
              </w:rPr>
              <w:t>Banca Națională a Moldovei.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Proprietarii sau deținătorii bunurilor rechiziționate în interes public, pe perioada rechizi</w:t>
            </w:r>
            <w:r>
              <w:rPr>
                <w:sz w:val="24"/>
                <w:szCs w:val="24"/>
                <w:lang w:val="ro-RO"/>
              </w:rPr>
              <w:t>ției, conform legislației.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Subiecții care desfășoară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”, aprobat prin decizia nr. 9/14 din 21.07.2022,  semnatari </w:t>
            </w:r>
            <w:r>
              <w:rPr>
                <w:sz w:val="24"/>
                <w:szCs w:val="24"/>
                <w:lang w:val="ro-RO"/>
              </w:rPr>
              <w:t>ai contractului de finanțare.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 Unitățile economice, create în anul 2023, care activează în domeniul industriei și procesării, corespund, conform Clasificatorului Activităților din Republica Moldova (CAEM-2), activităților expuse în secțiunile B „Industri</w:t>
            </w:r>
            <w:r>
              <w:rPr>
                <w:sz w:val="24"/>
                <w:szCs w:val="24"/>
                <w:lang w:val="ro-RO"/>
              </w:rPr>
              <w:t>a extractivă”, C „Industria prelucrătoare” și D „Producția și furnizarea de energie electrică și termică, gaze, apă caldă și aer condiționat”, cu numărul minim de 5 angajați.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C565A" w:rsidRPr="00971AD3">
        <w:trPr>
          <w:trHeight w:val="3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plasare (amplasare) a publicității (reclamei)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</w:t>
            </w:r>
            <w:r>
              <w:rPr>
                <w:sz w:val="24"/>
                <w:szCs w:val="24"/>
                <w:lang w:val="ro-RO"/>
              </w:rPr>
              <w:t>le serviciilor de plasare și/sau difuzare a anunțurilor publicitare prin intermediul serviciilor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cinematografice, video,  prin rețelele telefonice, telegrafice, telex, prin dispozitivele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difuzorului de publicitate exterioară,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5,8 %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1. Difuzorii de mesaje </w:t>
            </w:r>
            <w:r>
              <w:rPr>
                <w:sz w:val="24"/>
                <w:szCs w:val="24"/>
                <w:lang w:val="ro-RO"/>
              </w:rPr>
              <w:t>de interes public.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3. Misiunile diplomatice și oficiile consulare acreditate în Republica Moldova, precum și reprezentanțele organizațiilor internaționale acreditate în </w:t>
            </w:r>
            <w:r>
              <w:rPr>
                <w:sz w:val="24"/>
                <w:szCs w:val="24"/>
                <w:lang w:val="ro-RO"/>
              </w:rPr>
              <w:t>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deținătorii bunurilor rechiziționate în interes public, pe perioada rechiziției, conform legislați</w:t>
            </w:r>
            <w:r>
              <w:rPr>
                <w:sz w:val="24"/>
                <w:szCs w:val="24"/>
                <w:lang w:val="ro-RO"/>
              </w:rPr>
              <w:t>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Subiecții care desfășoară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Banca Națională a Moldovei.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>”,</w:t>
            </w:r>
          </w:p>
        </w:tc>
      </w:tr>
      <w:tr w:rsidR="00FC565A">
        <w:trPr>
          <w:trHeight w:val="3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</w:t>
            </w:r>
            <w:r>
              <w:rPr>
                <w:b/>
                <w:sz w:val="24"/>
                <w:szCs w:val="24"/>
                <w:lang w:val="ro-RO"/>
              </w:rPr>
              <w:t>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rPr>
          <w:trHeight w:val="3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prin alte mijloace (cu excepția TV, internetului, radioului, presei periodice, tipăriturilor), cu excepția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amplasării publicității exterioare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aprobat prin decizia nr. 9/14 din 21.07.2022,  semnatari ai </w:t>
            </w:r>
            <w:r>
              <w:rPr>
                <w:sz w:val="24"/>
                <w:szCs w:val="24"/>
                <w:lang w:val="ro-RO"/>
              </w:rPr>
              <w:t>contractului de finanțare.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8. Unitățile economice, create în anul 2023, care activează în domeniul industriei și procesării, corespund, conform Clasificatorului Activităților din Republica Moldova (CAEM-2), activităților expuse în secțiunile B „Industria </w:t>
            </w:r>
            <w:r>
              <w:rPr>
                <w:sz w:val="24"/>
                <w:szCs w:val="24"/>
                <w:lang w:val="ro-RO"/>
              </w:rPr>
              <w:t>extractivă”, C „Industria prelucrătoare” și D „Producția și furnizarea de energie electrică și termică, gaze, apă caldă și aer condiționat”, cu numărul minim de 5 angajați.</w:t>
            </w:r>
          </w:p>
        </w:tc>
      </w:tr>
      <w:tr w:rsidR="00FC565A" w:rsidRPr="00971AD3">
        <w:trPr>
          <w:trHeight w:val="269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aplicare a simbolicii locale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 produselor fabr</w:t>
            </w:r>
            <w:r>
              <w:rPr>
                <w:sz w:val="24"/>
                <w:szCs w:val="24"/>
                <w:lang w:val="ro-RO"/>
              </w:rPr>
              <w:t>icate cărora li se aplică simbolica locală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0,3 %</w:t>
            </w:r>
          </w:p>
          <w:p w:rsidR="00FC565A" w:rsidRDefault="00FC565A">
            <w:pPr>
              <w:widowControl w:val="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2. Misiunile diplomatice și oficiile consulare acreditate în Republica Moldova, precum și reprezentanțele </w:t>
            </w:r>
            <w:r>
              <w:rPr>
                <w:sz w:val="24"/>
                <w:szCs w:val="24"/>
                <w:lang w:val="ro-RO"/>
              </w:rPr>
              <w:t>organizațiilor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Națională a Moldovei.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deținătorii bunurilor r</w:t>
            </w:r>
            <w:r>
              <w:rPr>
                <w:sz w:val="24"/>
                <w:szCs w:val="24"/>
                <w:lang w:val="ro-RO"/>
              </w:rPr>
              <w:t>echiziționate în interes public, pe perioada rechiziției, conform legislației.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Subiecții care desfășoară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>”, aprob</w:t>
            </w:r>
            <w:r>
              <w:rPr>
                <w:sz w:val="24"/>
                <w:szCs w:val="24"/>
                <w:lang w:val="ro-RO"/>
              </w:rPr>
              <w:t>at prin 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Unitățile economice, create în anul 2023, care activează în domeniul industriei și procesării, corespund, conform Clasificatorului Activităților din Republica Moldova (CAE</w:t>
            </w:r>
            <w:r>
              <w:rPr>
                <w:sz w:val="24"/>
                <w:szCs w:val="24"/>
                <w:lang w:val="ro-RO"/>
              </w:rPr>
              <w:t>M-2), activităților expuse în secțiunile B „Industria extractivă”, C „Industria prelucrătoare” și D „Producția și furnizarea de energie electrică și termică, gaze, apă caldă și aer condiționat”, cu numărul minim de 5 angajați.</w:t>
            </w:r>
          </w:p>
        </w:tc>
      </w:tr>
      <w:tr w:rsidR="00FC565A" w:rsidRPr="00971AD3">
        <w:trPr>
          <w:trHeight w:val="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piață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2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2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2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2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Suprafața terenului pieței și a clădirilor, construcțiilor a căror strămutare este imposibilă fără cauzarea de prejudicii destinației lor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- 56 de lei anual pentru fiecare metru pătrat pentru piețele alimentare, agricole, nealimentare și mixte;</w:t>
            </w:r>
          </w:p>
          <w:p w:rsidR="00FC565A" w:rsidRDefault="00971AD3">
            <w:pPr>
              <w:widowControl w:val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- 17 lei anu</w:t>
            </w:r>
            <w:r>
              <w:rPr>
                <w:sz w:val="24"/>
                <w:szCs w:val="24"/>
                <w:lang w:val="ro-RO"/>
              </w:rPr>
              <w:t>al pentru fiecare metru pătrat, pentru piețele auto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Misiunile diplomatice și oficiile consulare acreditate în Republica Moldova, precum și reprezentanțele organizațiil</w:t>
            </w:r>
            <w:r>
              <w:rPr>
                <w:sz w:val="24"/>
                <w:szCs w:val="24"/>
                <w:lang w:val="ro-RO"/>
              </w:rPr>
              <w:t>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Națională a Moldovei.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deținătorii bunurilor rechiziționat</w:t>
            </w:r>
            <w:r>
              <w:rPr>
                <w:sz w:val="24"/>
                <w:szCs w:val="24"/>
                <w:lang w:val="ro-RO"/>
              </w:rPr>
              <w:t>e în interes public, pe perioada rechiziției, conform legislației.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C565A">
        <w:trPr>
          <w:trHeight w:val="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rPr>
          <w:trHeight w:val="565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- 80 lei anual pentru fiecare metru pătrat, pentru piețele auto amplasate </w:t>
            </w:r>
            <w:r>
              <w:rPr>
                <w:sz w:val="24"/>
                <w:szCs w:val="24"/>
                <w:lang w:val="ro-RO"/>
              </w:rPr>
              <w:t>în teritoriul orașului, cu regim scurt de activitate de 1-3 zile;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- 96 lei anual pentru fiecare metru pătrat, pentru piețele auto amplasate în teritoriul orașului, cu regim de activitate de 6-7 zile;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Subiecții care desfășoară activități conform cap. 1</w:t>
            </w:r>
            <w:r>
              <w:rPr>
                <w:sz w:val="24"/>
                <w:szCs w:val="24"/>
                <w:lang w:val="ro-RO"/>
              </w:rPr>
              <w:t>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>”, aprobat prin 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Unitățile economice, create în anul 2023, care a</w:t>
            </w:r>
            <w:r>
              <w:rPr>
                <w:sz w:val="24"/>
                <w:szCs w:val="24"/>
                <w:lang w:val="ro-RO"/>
              </w:rPr>
              <w:t>ctivează în domeniul industriei și procesării, corespund, conform Clasificatorului Activităților din Republica Moldova (CAEM-2), activităților expuse în secțiunile B „Industria extractivă”, C „Industria prelucrătoare” și D „Producția și furnizarea de energ</w:t>
            </w:r>
            <w:r>
              <w:rPr>
                <w:sz w:val="24"/>
                <w:szCs w:val="24"/>
                <w:lang w:val="ro-RO"/>
              </w:rPr>
              <w:t>ie electrică și termică, gaze, apă caldă și aer condiționat”, cu numărul minim de 5 angajați.</w:t>
            </w:r>
          </w:p>
        </w:tc>
      </w:tr>
      <w:tr w:rsidR="00FC565A" w:rsidRPr="00971AD3">
        <w:trPr>
          <w:trHeight w:val="311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- 970 lei anual pentru fiecare metru pătrat, pentru piețele de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flori amplasate în perimetrul parcurilor de cultură și odihnă, cu regim de activitate </w:t>
            </w:r>
            <w:r>
              <w:rPr>
                <w:sz w:val="24"/>
                <w:szCs w:val="24"/>
                <w:lang w:val="ro-RO"/>
              </w:rPr>
              <w:t>non-stop;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- 82 lei anual pentru fiecare metru pătrat, pentru celelalte piețe de flori cu regim de activitate non-stop;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- 21 lei anual pentru fiecare metru pătrat, pentru piețele de tip „</w:t>
            </w:r>
            <w:proofErr w:type="spellStart"/>
            <w:r>
              <w:rPr>
                <w:sz w:val="24"/>
                <w:szCs w:val="24"/>
                <w:lang w:val="ro-RO"/>
              </w:rPr>
              <w:t>second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hand”.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C565A">
        <w:trPr>
          <w:trHeight w:val="2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Baza impozabilă a </w:t>
            </w:r>
            <w:r>
              <w:rPr>
                <w:b/>
                <w:sz w:val="24"/>
                <w:szCs w:val="24"/>
                <w:lang w:val="ro-RO"/>
              </w:rPr>
              <w:t>obiectului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rPr>
          <w:trHeight w:val="496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</w:t>
            </w: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cazare</w:t>
            </w:r>
          </w:p>
          <w:p w:rsidR="00FC565A" w:rsidRDefault="00FC565A">
            <w:pPr>
              <w:widowControl w:val="0"/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 serviciilor de cazare prestate de structurile cu funcții de cazare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 w:rsidP="00971AD3">
            <w:pPr>
              <w:widowControl w:val="0"/>
              <w:jc w:val="center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5,3 %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1. Autoritățile publice și instituțiile </w:t>
            </w:r>
            <w:r>
              <w:rPr>
                <w:sz w:val="24"/>
                <w:szCs w:val="24"/>
                <w:lang w:val="ro-RO"/>
              </w:rPr>
              <w:t>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Misiunile</w:t>
            </w:r>
            <w:bookmarkStart w:id="0" w:name="_GoBack"/>
            <w:bookmarkEnd w:id="0"/>
            <w:r>
              <w:rPr>
                <w:sz w:val="24"/>
                <w:szCs w:val="24"/>
                <w:lang w:val="ro-RO"/>
              </w:rPr>
              <w:t xml:space="preserve"> diplomatice și oficiile consulare acreditate în Republica Moldova, precum și reprezentanțele organizațiilor internaționale acreditate în Republica Moldova, în baza principiului reciprocității, în c</w:t>
            </w:r>
            <w:r>
              <w:rPr>
                <w:sz w:val="24"/>
                <w:szCs w:val="24"/>
                <w:lang w:val="ro-RO"/>
              </w:rPr>
              <w:t>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Națională a Moldovei.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deținătorii bunurilor rechiziționate în interes public, pe perioada rechiziției, conform legislației.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Subiecții care desfășo</w:t>
            </w:r>
            <w:r>
              <w:rPr>
                <w:sz w:val="24"/>
                <w:szCs w:val="24"/>
                <w:lang w:val="ro-RO"/>
              </w:rPr>
              <w:t>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>”, aprobat prin 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Unitățile economice</w:t>
            </w:r>
            <w:r>
              <w:rPr>
                <w:sz w:val="24"/>
                <w:szCs w:val="24"/>
                <w:lang w:val="ro-RO"/>
              </w:rPr>
              <w:t>, create în anul 2023, care activează în domeniul industriei și procesării, corespund, conform Clasificatorului Activităților din Republica Moldova (CAEM-2), activităților expuse în secțiunile B „Industria extractivă”, C „Industria prelucrătoare” și D „Pro</w:t>
            </w:r>
            <w:r>
              <w:rPr>
                <w:sz w:val="24"/>
                <w:szCs w:val="24"/>
                <w:lang w:val="ro-RO"/>
              </w:rPr>
              <w:t>ducția și furnizarea de energie electrică și termică, gaze, apă caldă și aer condiționat”, cu numărul minim de 5 angajați.</w:t>
            </w:r>
          </w:p>
        </w:tc>
      </w:tr>
      <w:tr w:rsidR="00FC565A" w:rsidRPr="00971AD3">
        <w:trPr>
          <w:trHeight w:val="4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parcare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Suprafața parcării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35 lei anual pentru fiecare metru pătrat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1. Persoanele cu afecțiuni ale aparatului </w:t>
            </w:r>
            <w:r>
              <w:rPr>
                <w:sz w:val="23"/>
                <w:szCs w:val="23"/>
                <w:lang w:val="ro-RO"/>
              </w:rPr>
              <w:t>locomotor care folosesc autoturisme cu dirijare manuală.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2.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3. Misiunile diplomatice și oficiile consulare acreditate în Republica Moldova, precum și reprezentanțele organiz</w:t>
            </w:r>
            <w:r>
              <w:rPr>
                <w:sz w:val="23"/>
                <w:szCs w:val="23"/>
                <w:lang w:val="ro-RO"/>
              </w:rPr>
              <w:t>ațiilor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4. Banca Națională a Moldovei.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5. Proprietarii sau deținătorii bunurilor rechiziț</w:t>
            </w:r>
            <w:r>
              <w:rPr>
                <w:sz w:val="23"/>
                <w:szCs w:val="23"/>
                <w:lang w:val="ro-RO"/>
              </w:rPr>
              <w:t>ionate în interes public, pe perioada rechiziției, conform legislației.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6. Subiecții care desfășoară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7. Beneficiarii programului municipal pilot „Start-</w:t>
            </w:r>
            <w:proofErr w:type="spellStart"/>
            <w:r>
              <w:rPr>
                <w:sz w:val="23"/>
                <w:szCs w:val="23"/>
                <w:lang w:val="ro-RO"/>
              </w:rPr>
              <w:t>up</w:t>
            </w:r>
            <w:proofErr w:type="spellEnd"/>
            <w:r>
              <w:rPr>
                <w:sz w:val="23"/>
                <w:szCs w:val="23"/>
                <w:lang w:val="ro-RO"/>
              </w:rPr>
              <w:t xml:space="preserve"> pentru tineri și </w:t>
            </w:r>
            <w:proofErr w:type="spellStart"/>
            <w:r>
              <w:rPr>
                <w:sz w:val="23"/>
                <w:szCs w:val="23"/>
                <w:lang w:val="ro-RO"/>
              </w:rPr>
              <w:t>migranți</w:t>
            </w:r>
            <w:proofErr w:type="spellEnd"/>
            <w:r>
              <w:rPr>
                <w:sz w:val="23"/>
                <w:szCs w:val="23"/>
                <w:lang w:val="ro-RO"/>
              </w:rPr>
              <w:t>”, aprobat prin</w:t>
            </w:r>
            <w:r>
              <w:rPr>
                <w:sz w:val="23"/>
                <w:szCs w:val="23"/>
                <w:lang w:val="ro-RO"/>
              </w:rPr>
              <w:t xml:space="preserve"> 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8. Unitățile economice, create în anul 2023, care activează în domeniul industriei și procesării, corespund, conform Clasificatorului Activităților din Republica Moldova (CAEM-2), </w:t>
            </w:r>
            <w:r>
              <w:rPr>
                <w:sz w:val="23"/>
                <w:szCs w:val="23"/>
                <w:lang w:val="ro-RO"/>
              </w:rPr>
              <w:t>activităților expuse în secțiunile B „Industria extractivă”, C „Industria prelucrătoare” și D „Producția și furnizarea de energie electrică și termică, gaze, apă caldă și aer condiționat”, cu numărul minim de 5 angajați.</w:t>
            </w:r>
          </w:p>
        </w:tc>
      </w:tr>
      <w:tr w:rsidR="00FC565A">
        <w:trPr>
          <w:trHeight w:val="42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Baza </w:t>
            </w:r>
            <w:r>
              <w:rPr>
                <w:b/>
                <w:sz w:val="24"/>
                <w:szCs w:val="24"/>
                <w:lang w:val="ro-RO"/>
              </w:rPr>
              <w:t>impozabilă a obiectului impunerii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Cota taxei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center"/>
              <w:rPr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FC565A" w:rsidRPr="00971AD3">
        <w:trPr>
          <w:trHeight w:val="41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la posesorii de câini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Numărul de câini aflați în posesiune pe parcursul unui 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120 lei anual pentru fiecare câine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 Persoanele nevăzătoare.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2. Persoanele, posesori de câini, </w:t>
            </w:r>
            <w:r>
              <w:rPr>
                <w:sz w:val="24"/>
                <w:szCs w:val="24"/>
                <w:lang w:val="ro-RO"/>
              </w:rPr>
              <w:t>care au înregistrat câinele în Registrul  Electronic al Animalelor de Companie (în continuare REAC) în anul 2021-2023.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Persoanele, posesori de câini, care au înregistrat câinele în REAC pe parcursul anului fiscal, de la data înregistrării.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Persoanele</w:t>
            </w:r>
            <w:r>
              <w:rPr>
                <w:sz w:val="24"/>
                <w:szCs w:val="24"/>
                <w:lang w:val="ro-RO"/>
              </w:rPr>
              <w:t>, posesori de câini, care au înregistrat câinele în REAC, adoptat dintr-un azil din municipiul Chișinău, CEST – Centrul de capturare și sterilizare a câinilor fără stăpân Chișinău  sau orice alt azil care are acord de colaborare cu Secția control și protec</w:t>
            </w:r>
            <w:r>
              <w:rPr>
                <w:sz w:val="24"/>
                <w:szCs w:val="24"/>
                <w:lang w:val="ro-RO"/>
              </w:rPr>
              <w:t>ția animalelor din cadrul DGLCA (în continuare SCPA), ori adoptat de la curatorii care au contract cu SCPA, de la data înregistrării.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Pensionarii, care întrețin până la 3 câini sterilizați, în caz de semnare a acordului de responsabilitate cu SCPA.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 C</w:t>
            </w:r>
            <w:r>
              <w:rPr>
                <w:sz w:val="24"/>
                <w:szCs w:val="24"/>
                <w:lang w:val="ro-RO"/>
              </w:rPr>
              <w:t>uratorii și voluntarii care au semnat un acord privind deținerea responsabilă cu SCPA.</w:t>
            </w:r>
          </w:p>
          <w:p w:rsidR="00FC565A" w:rsidRDefault="00971AD3">
            <w:pPr>
              <w:pStyle w:val="Index"/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 Deținătorii ai căror animale de companie au succes în competițiile sportive (primele 3 locuri) sau o carieră de succes la expoziții (titluri) – în cazul în care clubu</w:t>
            </w:r>
            <w:r>
              <w:rPr>
                <w:sz w:val="24"/>
                <w:szCs w:val="24"/>
                <w:lang w:val="ro-RO"/>
              </w:rPr>
              <w:t>l emitent de titluri are contract de responsabilitate cu SCPA din cadrul DGLCA.</w:t>
            </w:r>
          </w:p>
        </w:tc>
      </w:tr>
      <w:tr w:rsidR="00FC565A" w:rsidRPr="00971AD3">
        <w:trPr>
          <w:trHeight w:val="98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dispozitivele publicitare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Suprafața feței (fețelor) dispozitivului publicitar pentru promovarea propriilor produse și servicii, inclusiv a mărcii comerciale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865</w:t>
            </w:r>
            <w:r>
              <w:rPr>
                <w:sz w:val="24"/>
                <w:szCs w:val="24"/>
                <w:lang w:val="ro-RO"/>
              </w:rPr>
              <w:t xml:space="preserve"> lei anual pentru fiecare metru pătrat</w:t>
            </w:r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400 de lei anual pentru fiecare metru pătrat </w:t>
            </w:r>
            <w:r>
              <w:rPr>
                <w:sz w:val="24"/>
                <w:szCs w:val="24"/>
                <w:lang w:val="en-US"/>
              </w:rPr>
              <w:t>al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imaginii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publicitare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afișate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vehicule</w:t>
            </w:r>
            <w:proofErr w:type="spellEnd"/>
          </w:p>
          <w:p w:rsidR="00FC565A" w:rsidRDefault="00FC565A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3"/>
                <w:szCs w:val="23"/>
                <w:lang w:val="ro-RO"/>
              </w:rPr>
              <w:t>1. Autoritățile publice și instituțiile finanțate de la bugetele de toate nivelurile.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 2. Misiunile diplomatice și oficiil</w:t>
            </w:r>
            <w:r>
              <w:rPr>
                <w:sz w:val="23"/>
                <w:szCs w:val="23"/>
                <w:lang w:val="ro-RO"/>
              </w:rPr>
              <w:t>e consulare acreditate în Republica Moldova, precum și reprezentanțele organizațiilor internaționale acreditate în Republica Moldova, în baza principiului reciprocității, în conformitate cu tratatele internaționale la care Republica Moldova este parte.</w:t>
            </w:r>
          </w:p>
          <w:p w:rsidR="00FC565A" w:rsidRDefault="00971AD3">
            <w:pPr>
              <w:widowControl w:val="0"/>
              <w:ind w:left="-123" w:firstLine="141"/>
              <w:jc w:val="both"/>
              <w:rPr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 3.</w:t>
            </w:r>
            <w:r>
              <w:rPr>
                <w:sz w:val="23"/>
                <w:szCs w:val="23"/>
                <w:lang w:val="ro-RO"/>
              </w:rPr>
              <w:t xml:space="preserve"> Banca Națională a Moldovei.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 4.  Proprietarii sau deținătorii bunurilor rechiziționate în interes public, pe perioada rechiziției, conform legislației.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5. Subiecții care desfășoară activități conform cap. 10³ din Titlul II al Codului Fiscal.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6.  Subiecții</w:t>
            </w:r>
            <w:r>
              <w:rPr>
                <w:sz w:val="23"/>
                <w:szCs w:val="23"/>
                <w:lang w:val="ro-RO"/>
              </w:rPr>
              <w:t xml:space="preserve"> impunerii pentru suprafața dispozitivului publicitar pe care au fost amplasate imagini cu campania socială de prevenire COVID-19, coordonate cu Primăria Municipiului Chișinău și Ministerul Sănătății.</w:t>
            </w:r>
          </w:p>
          <w:p w:rsidR="00FC565A" w:rsidRDefault="00971AD3">
            <w:pPr>
              <w:widowControl w:val="0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7. Persoanele juridice care dețin în posesie/folosință </w:t>
            </w:r>
            <w:r>
              <w:rPr>
                <w:sz w:val="23"/>
                <w:szCs w:val="23"/>
                <w:lang w:val="ro-RO"/>
              </w:rPr>
              <w:t>sau sunt proprietari ai dispozitivelor publicitare, producătorii și difuzorii de mesaje de interes public, pentru perioada afișării mesajului de interes public.</w:t>
            </w:r>
          </w:p>
          <w:p w:rsidR="00FC565A" w:rsidRDefault="00971AD3">
            <w:pPr>
              <w:widowControl w:val="0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 Beneficiarii programului municipal pilot „Start-</w:t>
            </w:r>
            <w:proofErr w:type="spellStart"/>
            <w:r>
              <w:rPr>
                <w:sz w:val="24"/>
                <w:szCs w:val="24"/>
                <w:lang w:val="ro-RO"/>
              </w:rPr>
              <w:t>up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pentru tineri și </w:t>
            </w:r>
            <w:proofErr w:type="spellStart"/>
            <w:r>
              <w:rPr>
                <w:sz w:val="24"/>
                <w:szCs w:val="24"/>
                <w:lang w:val="ro-RO"/>
              </w:rPr>
              <w:t>migranți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”, aprobat prin </w:t>
            </w:r>
            <w:r>
              <w:rPr>
                <w:sz w:val="24"/>
                <w:szCs w:val="24"/>
                <w:lang w:val="ro-RO"/>
              </w:rPr>
              <w:t>decizia nr. 9/14 din 21.07.2022,  semnatari ai contractului de finanțare.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9. Unitățile economice, create în anul 2023, care activează în domeniul industriei și procesării, corespund, conform Clasificatorului Activităților din Republica Moldova (CAEM-2), </w:t>
            </w:r>
            <w:r>
              <w:rPr>
                <w:sz w:val="24"/>
                <w:szCs w:val="24"/>
                <w:lang w:val="ro-RO"/>
              </w:rPr>
              <w:t>activităților expuse în secțiunile B „Industria extractivă”, C „Industria prelucrătoare” și D „Producția și furnizarea de energie electrică și termică, gaze, apă caldă și aer condiționat”, cu numărul minim de 5 angajați.</w:t>
            </w:r>
          </w:p>
        </w:tc>
      </w:tr>
      <w:tr w:rsidR="00FC565A" w:rsidRPr="00971AD3">
        <w:trPr>
          <w:trHeight w:val="266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salubrizare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pStyle w:val="Listparagraf"/>
              <w:widowControl w:val="0"/>
              <w:tabs>
                <w:tab w:val="left" w:pos="0"/>
              </w:tabs>
              <w:spacing w:before="60"/>
              <w:ind w:left="0"/>
              <w:jc w:val="both"/>
              <w:rPr>
                <w:lang w:val="ro-RO"/>
              </w:rPr>
            </w:pPr>
            <w:r>
              <w:rPr>
                <w:lang w:val="ro-RO" w:eastAsia="ro-RO"/>
              </w:rPr>
              <w:t>Număru</w:t>
            </w:r>
            <w:r>
              <w:rPr>
                <w:lang w:val="ro-RO" w:eastAsia="ro-RO"/>
              </w:rPr>
              <w:t>l de persoane fizice înscrise la adresa declarată ca domiciliu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pStyle w:val="Listparagraf"/>
              <w:widowControl w:val="0"/>
              <w:tabs>
                <w:tab w:val="left" w:pos="0"/>
              </w:tabs>
              <w:spacing w:before="60"/>
              <w:ind w:left="0"/>
              <w:jc w:val="both"/>
              <w:rPr>
                <w:lang w:val="ro-RO"/>
              </w:rPr>
            </w:pPr>
            <w:r>
              <w:rPr>
                <w:lang w:val="ro-RO" w:eastAsia="ro-RO"/>
              </w:rPr>
              <w:t>10 lei lunar pentru fiecare persoană fizică înscrisă la adresa declarată ca domiciliu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Persoanele de vârstă pensionară.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Persoanele cu dizabilități severe și accentuate.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3. Persoanele cu </w:t>
            </w:r>
            <w:r>
              <w:rPr>
                <w:sz w:val="24"/>
                <w:szCs w:val="24"/>
                <w:lang w:val="ro-RO"/>
              </w:rPr>
              <w:t>dizabilități din copilărie.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Persoanele cu dizabilități medii (participanți la acțiunile de luptă pentru apărarea integrității teritoriale și independenței Republicii Moldova, participanți la acțiunile de luptă din Afganistan, participanți la lichidarea </w:t>
            </w:r>
            <w:r>
              <w:rPr>
                <w:sz w:val="24"/>
                <w:szCs w:val="24"/>
                <w:lang w:val="ro-RO"/>
              </w:rPr>
              <w:t>consecințelor avariei de la C.A.E. Cernobîl).</w:t>
            </w:r>
          </w:p>
          <w:p w:rsidR="00FC565A" w:rsidRDefault="00971AD3">
            <w:pPr>
              <w:widowControl w:val="0"/>
              <w:jc w:val="both"/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Copiii cu vârsta de până la 18 ani.</w:t>
            </w:r>
          </w:p>
        </w:tc>
      </w:tr>
    </w:tbl>
    <w:p w:rsidR="00FC565A" w:rsidRDefault="00FC565A">
      <w:pPr>
        <w:jc w:val="both"/>
        <w:rPr>
          <w:sz w:val="28"/>
          <w:szCs w:val="28"/>
          <w:lang w:val="ro-RO"/>
        </w:rPr>
      </w:pPr>
    </w:p>
    <w:p w:rsidR="00FC565A" w:rsidRDefault="00FC565A">
      <w:pPr>
        <w:jc w:val="both"/>
        <w:rPr>
          <w:sz w:val="28"/>
          <w:szCs w:val="28"/>
          <w:lang w:val="ro-RO"/>
        </w:rPr>
      </w:pPr>
    </w:p>
    <w:p w:rsidR="00FC565A" w:rsidRDefault="00FC565A">
      <w:pPr>
        <w:jc w:val="both"/>
        <w:rPr>
          <w:sz w:val="28"/>
          <w:szCs w:val="28"/>
          <w:lang w:val="ro-RO"/>
        </w:rPr>
      </w:pPr>
    </w:p>
    <w:p w:rsidR="00FC565A" w:rsidRDefault="00FC565A">
      <w:pPr>
        <w:jc w:val="both"/>
        <w:rPr>
          <w:sz w:val="28"/>
          <w:szCs w:val="28"/>
          <w:lang w:val="ro-RO"/>
        </w:rPr>
      </w:pPr>
    </w:p>
    <w:p w:rsidR="00FC565A" w:rsidRDefault="00971AD3">
      <w:pPr>
        <w:rPr>
          <w:lang w:val="ro-RO"/>
        </w:rPr>
      </w:pPr>
      <w:r>
        <w:rPr>
          <w:sz w:val="28"/>
          <w:szCs w:val="28"/>
          <w:lang w:val="ro-RO"/>
        </w:rPr>
        <w:t>SECRETAR INTERIMAR AL CONSILIULUI                                                                                             Adrian TALMACI</w:t>
      </w:r>
    </w:p>
    <w:sectPr w:rsidR="00FC565A">
      <w:pgSz w:w="16838" w:h="11906" w:orient="landscape"/>
      <w:pgMar w:top="568" w:right="1105" w:bottom="851" w:left="1134" w:header="0" w:footer="0" w:gutter="0"/>
      <w:cols w:space="720"/>
      <w:formProt w:val="0"/>
      <w:docGrid w:linePitch="1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C565A"/>
    <w:rsid w:val="00971AD3"/>
    <w:rsid w:val="00FC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C5FA"/>
  <w15:docId w15:val="{AFFAF1EA-E7AF-42AC-A5DB-EF4FD003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475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uiPriority w:val="9"/>
    <w:qFormat/>
    <w:rsid w:val="006C6B63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Заголовок 3 Знак"/>
    <w:basedOn w:val="a0"/>
    <w:uiPriority w:val="9"/>
    <w:semiHidden/>
    <w:qFormat/>
    <w:rsid w:val="006C6B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Знак"/>
    <w:basedOn w:val="a0"/>
    <w:uiPriority w:val="99"/>
    <w:semiHidden/>
    <w:qFormat/>
    <w:rsid w:val="006C6B63"/>
    <w:rPr>
      <w:sz w:val="20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C6B63"/>
    <w:rPr>
      <w:sz w:val="0"/>
      <w:szCs w:val="0"/>
    </w:rPr>
  </w:style>
  <w:style w:type="character" w:customStyle="1" w:styleId="LegturInternet">
    <w:name w:val="Legătură Internet"/>
    <w:basedOn w:val="a0"/>
    <w:uiPriority w:val="99"/>
    <w:rsid w:val="005B25BC"/>
    <w:rPr>
      <w:rFonts w:cs="Times New Roman"/>
      <w:color w:val="0000FF"/>
      <w:u w:val="single"/>
    </w:rPr>
  </w:style>
  <w:style w:type="paragraph" w:customStyle="1" w:styleId="Titlu">
    <w:name w:val="Titlu"/>
    <w:basedOn w:val="a"/>
    <w:next w:val="a5"/>
    <w:qFormat/>
    <w:rsid w:val="00436F38"/>
    <w:pPr>
      <w:keepNext/>
      <w:spacing w:before="240" w:after="120"/>
    </w:pPr>
    <w:rPr>
      <w:rFonts w:ascii="Liberation Sans" w:eastAsia="Noto Sans" w:hAnsi="Liberation Sans" w:cs="Noto Sans"/>
      <w:sz w:val="28"/>
      <w:szCs w:val="28"/>
    </w:rPr>
  </w:style>
  <w:style w:type="paragraph" w:styleId="a5">
    <w:name w:val="Body Text"/>
    <w:basedOn w:val="a"/>
    <w:uiPriority w:val="99"/>
    <w:rsid w:val="00315475"/>
    <w:rPr>
      <w:sz w:val="28"/>
      <w:lang w:val="ro-RO"/>
    </w:rPr>
  </w:style>
  <w:style w:type="paragraph" w:styleId="a6">
    <w:name w:val="List"/>
    <w:basedOn w:val="a5"/>
    <w:rsid w:val="00D51692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a"/>
    <w:qFormat/>
    <w:rsid w:val="00D51692"/>
    <w:pPr>
      <w:suppressLineNumbers/>
    </w:pPr>
    <w:rPr>
      <w:rFonts w:cs="FreeSans"/>
    </w:rPr>
  </w:style>
  <w:style w:type="paragraph" w:customStyle="1" w:styleId="11">
    <w:name w:val="Заголовок 11"/>
    <w:basedOn w:val="a"/>
    <w:uiPriority w:val="99"/>
    <w:qFormat/>
    <w:rsid w:val="006A0921"/>
    <w:pPr>
      <w:keepNext/>
      <w:outlineLvl w:val="0"/>
    </w:pPr>
    <w:rPr>
      <w:sz w:val="32"/>
      <w:lang w:val="en-US"/>
    </w:rPr>
  </w:style>
  <w:style w:type="paragraph" w:customStyle="1" w:styleId="31">
    <w:name w:val="Заголовок 31"/>
    <w:basedOn w:val="a"/>
    <w:uiPriority w:val="99"/>
    <w:qFormat/>
    <w:rsid w:val="006A0921"/>
    <w:pPr>
      <w:keepNext/>
      <w:jc w:val="both"/>
      <w:outlineLvl w:val="2"/>
    </w:pPr>
    <w:rPr>
      <w:sz w:val="28"/>
      <w:lang w:val="ro-RO"/>
    </w:rPr>
  </w:style>
  <w:style w:type="paragraph" w:customStyle="1" w:styleId="10">
    <w:name w:val="Название объекта1"/>
    <w:basedOn w:val="a"/>
    <w:qFormat/>
    <w:rsid w:val="00D5169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Stiltitlu">
    <w:name w:val="Stil titlu"/>
    <w:basedOn w:val="a"/>
    <w:next w:val="a5"/>
    <w:qFormat/>
    <w:rsid w:val="00D51692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8">
    <w:name w:val="Balloon Text"/>
    <w:basedOn w:val="a"/>
    <w:uiPriority w:val="99"/>
    <w:semiHidden/>
    <w:qFormat/>
    <w:rsid w:val="0064162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qFormat/>
    <w:rsid w:val="00A376BF"/>
    <w:pPr>
      <w:ind w:firstLine="567"/>
      <w:jc w:val="both"/>
    </w:pPr>
    <w:rPr>
      <w:sz w:val="24"/>
      <w:szCs w:val="24"/>
    </w:rPr>
  </w:style>
  <w:style w:type="paragraph" w:customStyle="1" w:styleId="cb">
    <w:name w:val="cb"/>
    <w:basedOn w:val="a"/>
    <w:uiPriority w:val="99"/>
    <w:qFormat/>
    <w:rsid w:val="00A376BF"/>
    <w:pPr>
      <w:jc w:val="center"/>
    </w:pPr>
    <w:rPr>
      <w:b/>
      <w:bCs/>
      <w:sz w:val="24"/>
      <w:szCs w:val="24"/>
    </w:rPr>
  </w:style>
  <w:style w:type="paragraph" w:customStyle="1" w:styleId="lf">
    <w:name w:val="lf"/>
    <w:basedOn w:val="a"/>
    <w:qFormat/>
    <w:rsid w:val="0025722E"/>
    <w:rPr>
      <w:sz w:val="24"/>
      <w:szCs w:val="24"/>
      <w:lang w:val="ro-RO" w:eastAsia="ro-RO"/>
    </w:rPr>
  </w:style>
  <w:style w:type="paragraph" w:styleId="aa">
    <w:name w:val="List Paragraph"/>
    <w:basedOn w:val="a"/>
    <w:uiPriority w:val="34"/>
    <w:qFormat/>
    <w:rsid w:val="005E3985"/>
    <w:pPr>
      <w:ind w:left="720"/>
      <w:contextualSpacing/>
    </w:pPr>
  </w:style>
  <w:style w:type="paragraph" w:customStyle="1" w:styleId="Listparagraf">
    <w:name w:val="Listă paragraf"/>
    <w:basedOn w:val="a"/>
    <w:qFormat/>
    <w:rsid w:val="00027AE0"/>
    <w:pPr>
      <w:ind w:left="720"/>
      <w:contextualSpacing/>
    </w:pPr>
    <w:rPr>
      <w:sz w:val="24"/>
      <w:szCs w:val="24"/>
      <w:lang w:eastAsia="zh-CN"/>
    </w:rPr>
  </w:style>
  <w:style w:type="paragraph" w:customStyle="1" w:styleId="Coninuttabel">
    <w:name w:val="Conținut tabel"/>
    <w:basedOn w:val="a"/>
    <w:qFormat/>
    <w:pPr>
      <w:widowControl w:val="0"/>
      <w:suppressLineNumbers/>
    </w:pPr>
  </w:style>
  <w:style w:type="paragraph" w:customStyle="1" w:styleId="Titludetabel">
    <w:name w:val="Titlu de tabel"/>
    <w:basedOn w:val="Coninuttabel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9F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173B1-CA19-4C04-83EE-62280D0F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7</Pages>
  <Words>2466</Words>
  <Characters>14058</Characters>
  <Application>Microsoft Office Word</Application>
  <DocSecurity>0</DocSecurity>
  <Lines>117</Lines>
  <Paragraphs>32</Paragraphs>
  <ScaleCrop>false</ScaleCrop>
  <Company>DERRP</Company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INFORMAŢIA</dc:title>
  <dc:subject/>
  <dc:creator>DERRP</dc:creator>
  <dc:description/>
  <cp:lastModifiedBy>marina andreeva</cp:lastModifiedBy>
  <cp:revision>49</cp:revision>
  <cp:lastPrinted>2021-11-02T07:10:00Z</cp:lastPrinted>
  <dcterms:created xsi:type="dcterms:W3CDTF">2020-11-11T12:40:00Z</dcterms:created>
  <dcterms:modified xsi:type="dcterms:W3CDTF">2023-11-24T07:54:00Z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