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2AEA6" w14:textId="77777777" w:rsidR="005A15BA" w:rsidRPr="008C342A" w:rsidRDefault="00F12E90" w:rsidP="008C342A">
      <w:pPr>
        <w:spacing w:after="0"/>
        <w:jc w:val="center"/>
        <w:rPr>
          <w:rFonts w:asciiTheme="majorBidi" w:hAnsiTheme="majorBidi" w:cstheme="majorBidi"/>
          <w:b/>
          <w:sz w:val="24"/>
          <w:szCs w:val="24"/>
          <w:lang w:val="ro-MD"/>
        </w:rPr>
      </w:pPr>
      <w:r w:rsidRPr="008C342A">
        <w:rPr>
          <w:rFonts w:asciiTheme="majorBidi" w:hAnsiTheme="majorBidi" w:cstheme="majorBidi"/>
          <w:b/>
          <w:sz w:val="24"/>
          <w:szCs w:val="24"/>
          <w:lang w:val="ro-MD"/>
        </w:rPr>
        <w:t>Notă inform</w:t>
      </w:r>
      <w:r w:rsidR="00570E50" w:rsidRPr="008C342A">
        <w:rPr>
          <w:rFonts w:asciiTheme="majorBidi" w:hAnsiTheme="majorBidi" w:cstheme="majorBidi"/>
          <w:b/>
          <w:sz w:val="24"/>
          <w:szCs w:val="24"/>
          <w:lang w:val="ro-MD"/>
        </w:rPr>
        <w:t xml:space="preserve">ativă </w:t>
      </w:r>
    </w:p>
    <w:p w14:paraId="1610149D" w14:textId="036A343D" w:rsidR="00625908" w:rsidRPr="008C342A" w:rsidRDefault="00570E50" w:rsidP="008C342A">
      <w:pPr>
        <w:spacing w:after="0"/>
        <w:jc w:val="center"/>
        <w:rPr>
          <w:rFonts w:asciiTheme="majorBidi" w:hAnsiTheme="majorBidi" w:cstheme="majorBidi"/>
          <w:b/>
          <w:sz w:val="24"/>
          <w:szCs w:val="24"/>
          <w:lang w:val="ro-MD"/>
        </w:rPr>
      </w:pPr>
      <w:r w:rsidRPr="008C342A">
        <w:rPr>
          <w:rFonts w:asciiTheme="majorBidi" w:hAnsiTheme="majorBidi" w:cstheme="majorBidi"/>
          <w:b/>
          <w:sz w:val="24"/>
          <w:szCs w:val="24"/>
          <w:lang w:val="ro-MD"/>
        </w:rPr>
        <w:t>la proiectul</w:t>
      </w:r>
      <w:r w:rsidR="005A15BA" w:rsidRPr="008C342A">
        <w:rPr>
          <w:rFonts w:asciiTheme="majorBidi" w:hAnsiTheme="majorBidi" w:cstheme="majorBidi"/>
          <w:b/>
          <w:sz w:val="24"/>
          <w:szCs w:val="24"/>
          <w:lang w:val="ro-MD"/>
        </w:rPr>
        <w:t xml:space="preserve"> </w:t>
      </w:r>
      <w:r w:rsidRPr="008C342A">
        <w:rPr>
          <w:rFonts w:asciiTheme="majorBidi" w:hAnsiTheme="majorBidi" w:cstheme="majorBidi"/>
          <w:b/>
          <w:sz w:val="24"/>
          <w:szCs w:val="24"/>
          <w:lang w:val="ro-MD"/>
        </w:rPr>
        <w:t>Hotărârii</w:t>
      </w:r>
      <w:r w:rsidR="00F12E90" w:rsidRPr="008C342A">
        <w:rPr>
          <w:rFonts w:asciiTheme="majorBidi" w:hAnsiTheme="majorBidi" w:cstheme="majorBidi"/>
          <w:b/>
          <w:sz w:val="24"/>
          <w:szCs w:val="24"/>
          <w:lang w:val="ro-MD"/>
        </w:rPr>
        <w:t xml:space="preserve"> Guvernului </w:t>
      </w:r>
      <w:r w:rsidR="00AA210D" w:rsidRPr="008C342A">
        <w:rPr>
          <w:rFonts w:asciiTheme="majorBidi" w:hAnsiTheme="majorBidi" w:cstheme="majorBidi"/>
          <w:b/>
          <w:sz w:val="24"/>
          <w:szCs w:val="24"/>
          <w:lang w:val="ro-MD"/>
        </w:rPr>
        <w:t xml:space="preserve"> cu privire la sistemul de alertă precoce și răspuns rapid și procedurile de notificare a alertelor instituit în legătură cu amenințările transfrontaliere grave pentru sănătate și a procedurilor de schimb de informații, consultare și coordonare a răspunsurilor la astfel de amenințări</w:t>
      </w:r>
      <w:r w:rsidR="00415CF8">
        <w:rPr>
          <w:rFonts w:asciiTheme="majorBidi" w:hAnsiTheme="majorBidi" w:cstheme="majorBidi"/>
          <w:b/>
          <w:sz w:val="24"/>
          <w:szCs w:val="24"/>
          <w:lang w:val="ro-MD"/>
        </w:rPr>
        <w:t xml:space="preserve"> </w:t>
      </w:r>
    </w:p>
    <w:p w14:paraId="7AEAE91B" w14:textId="77777777" w:rsidR="00207B1B" w:rsidRPr="008C342A" w:rsidRDefault="00207B1B" w:rsidP="008C342A">
      <w:pPr>
        <w:spacing w:after="0"/>
        <w:jc w:val="center"/>
        <w:rPr>
          <w:rFonts w:asciiTheme="majorBidi" w:hAnsiTheme="majorBidi" w:cstheme="majorBidi"/>
          <w:b/>
          <w:sz w:val="24"/>
          <w:szCs w:val="24"/>
          <w:lang w:val="ro-MD"/>
        </w:rPr>
      </w:pPr>
    </w:p>
    <w:tbl>
      <w:tblPr>
        <w:tblStyle w:val="Tabelgril"/>
        <w:tblW w:w="0" w:type="auto"/>
        <w:tblInd w:w="-743" w:type="dxa"/>
        <w:tblLook w:val="04A0" w:firstRow="1" w:lastRow="0" w:firstColumn="1" w:lastColumn="0" w:noHBand="0" w:noVBand="1"/>
      </w:tblPr>
      <w:tblGrid>
        <w:gridCol w:w="10088"/>
      </w:tblGrid>
      <w:tr w:rsidR="00207B1B" w:rsidRPr="002F1633" w14:paraId="3E741DBC" w14:textId="77777777" w:rsidTr="001C7719">
        <w:tc>
          <w:tcPr>
            <w:tcW w:w="10088" w:type="dxa"/>
          </w:tcPr>
          <w:p w14:paraId="20FDAA1F" w14:textId="77777777" w:rsidR="00207B1B" w:rsidRPr="008C342A" w:rsidRDefault="00207B1B" w:rsidP="008C342A">
            <w:pPr>
              <w:pStyle w:val="Listparagraf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ro-MD"/>
              </w:rPr>
            </w:pPr>
            <w:r w:rsidRPr="008C342A">
              <w:rPr>
                <w:rFonts w:asciiTheme="majorBidi" w:hAnsiTheme="majorBidi" w:cstheme="majorBidi"/>
                <w:b/>
                <w:sz w:val="24"/>
                <w:szCs w:val="24"/>
                <w:lang w:val="ro-MD"/>
              </w:rPr>
              <w:t>Denumirea autorului și, după caz, a participanților la elaborarea proiectului</w:t>
            </w:r>
          </w:p>
        </w:tc>
      </w:tr>
      <w:tr w:rsidR="00207B1B" w:rsidRPr="002F1633" w14:paraId="75BE9FE4" w14:textId="77777777" w:rsidTr="001C7719">
        <w:tc>
          <w:tcPr>
            <w:tcW w:w="10088" w:type="dxa"/>
          </w:tcPr>
          <w:p w14:paraId="07A5912A" w14:textId="02EF9EAB" w:rsidR="00F158F4" w:rsidRPr="008C342A" w:rsidRDefault="00415CF8" w:rsidP="008C342A">
            <w:pPr>
              <w:spacing w:line="276" w:lineRule="auto"/>
              <w:ind w:firstLine="375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MD"/>
              </w:rPr>
              <w:t xml:space="preserve">Proiectul hotărârii Guvernului a fost elaborat de către </w:t>
            </w:r>
            <w:r w:rsidR="00725578" w:rsidRPr="008C342A">
              <w:rPr>
                <w:rFonts w:asciiTheme="majorBidi" w:hAnsiTheme="majorBidi" w:cstheme="majorBidi"/>
                <w:sz w:val="24"/>
                <w:szCs w:val="24"/>
                <w:lang w:val="ro-MD"/>
              </w:rPr>
              <w:t>Ministerul Sănătății de comun cu Agenția Națională pentru Sănătate Publică</w:t>
            </w:r>
            <w:r w:rsidR="00A50778">
              <w:rPr>
                <w:rFonts w:asciiTheme="majorBidi" w:hAnsiTheme="majorBidi" w:cstheme="majorBidi"/>
                <w:sz w:val="24"/>
                <w:szCs w:val="24"/>
                <w:lang w:val="ro-MD"/>
              </w:rPr>
              <w:t>.</w:t>
            </w:r>
          </w:p>
        </w:tc>
      </w:tr>
      <w:tr w:rsidR="00CF696D" w:rsidRPr="002F1633" w14:paraId="7CFCFAF1" w14:textId="77777777" w:rsidTr="001C7719">
        <w:tc>
          <w:tcPr>
            <w:tcW w:w="10088" w:type="dxa"/>
          </w:tcPr>
          <w:p w14:paraId="60F047BD" w14:textId="1994875D" w:rsidR="004647B9" w:rsidRPr="008C342A" w:rsidRDefault="00CF696D" w:rsidP="008C342A">
            <w:pPr>
              <w:pStyle w:val="Listparagraf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ro-MD"/>
              </w:rPr>
            </w:pPr>
            <w:r w:rsidRPr="008C342A">
              <w:rPr>
                <w:rFonts w:asciiTheme="majorBidi" w:hAnsiTheme="majorBidi" w:cstheme="majorBidi"/>
                <w:b/>
                <w:sz w:val="24"/>
                <w:szCs w:val="24"/>
                <w:lang w:val="ro-MD"/>
              </w:rPr>
              <w:t>Condițiile care au impus elaborarea proiectului actului normativ și finalitățile urmărite</w:t>
            </w:r>
          </w:p>
        </w:tc>
      </w:tr>
      <w:tr w:rsidR="004647B9" w:rsidRPr="002F1633" w14:paraId="61B27E38" w14:textId="77777777" w:rsidTr="001C7719">
        <w:tc>
          <w:tcPr>
            <w:tcW w:w="10088" w:type="dxa"/>
          </w:tcPr>
          <w:p w14:paraId="637D1BFF" w14:textId="4DC19A5D" w:rsidR="00F20A08" w:rsidRDefault="00A50778" w:rsidP="001273FB">
            <w:pPr>
              <w:pStyle w:val="Listparagraf"/>
              <w:spacing w:line="276" w:lineRule="auto"/>
              <w:ind w:left="62"/>
              <w:jc w:val="both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    P</w:t>
            </w:r>
            <w:r w:rsidR="00E419D6" w:rsidRPr="00822404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roiect</w:t>
            </w:r>
            <w: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ul</w:t>
            </w:r>
            <w:r w:rsidR="00E419D6" w:rsidRPr="00822404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Hotărârii Guvernului  </w:t>
            </w:r>
            <w:r w:rsidR="00E419D6" w:rsidRPr="00E16F11">
              <w:rPr>
                <w:rFonts w:asciiTheme="majorBidi" w:hAnsiTheme="majorBidi" w:cstheme="majorBidi"/>
                <w:i/>
                <w:iCs/>
                <w:sz w:val="24"/>
                <w:szCs w:val="24"/>
                <w:shd w:val="clear" w:color="auto" w:fill="FFFFFF"/>
              </w:rPr>
              <w:t>cu privire la sistemul de alertă precoce și răspuns rapid și procedurile de notificare a alertelor instituit în legătură cu amenințările transfrontaliere grave pentru sănătate și a procedurilor de schimb de informații, consultare și coordonare a răspunsurilor la astfel de amenințări</w:t>
            </w:r>
            <w:r w:rsidR="00E419D6" w:rsidRPr="00822404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="00CC0AC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a fost elaborat în contextul necesitații actualizării cadrului normativ </w:t>
            </w:r>
            <w:r w:rsidR="0080321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privind criteriile care definesc amenințările transfrontaliere, procedurile de notificare la nivel național, inclusiv către Uniunea Europeană, măsurile de sănătate publică și coordonarea răspunsurilor la astfel de amenințări. Proiectul </w:t>
            </w:r>
            <w:r w:rsidR="00415CF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hotărârii Guvernului prevede </w:t>
            </w:r>
            <w:r w:rsidR="00415CF8" w:rsidRPr="00822404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abrog</w:t>
            </w:r>
            <w:r w:rsidR="00415CF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area </w:t>
            </w:r>
            <w:r w:rsidR="005000F3" w:rsidRPr="00822404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HG </w:t>
            </w:r>
            <w:r w:rsidR="00415CF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nr.</w:t>
            </w:r>
            <w:r w:rsidR="005000F3" w:rsidRPr="00822404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1431/2016 </w:t>
            </w:r>
            <w:r w:rsidR="005000F3" w:rsidRPr="00E16F11">
              <w:rPr>
                <w:rFonts w:asciiTheme="majorBidi" w:hAnsiTheme="majorBidi" w:cstheme="majorBidi"/>
                <w:i/>
                <w:iCs/>
                <w:sz w:val="24"/>
                <w:szCs w:val="24"/>
                <w:shd w:val="clear" w:color="auto" w:fill="FFFFFF"/>
              </w:rPr>
              <w:t xml:space="preserve">pentru aprobarea Regulamentului privind sistemul de alertă precoce </w:t>
            </w:r>
            <w:r w:rsidR="00E52F95" w:rsidRPr="00E16F11">
              <w:rPr>
                <w:rFonts w:asciiTheme="majorBidi" w:hAnsiTheme="majorBidi" w:cstheme="majorBidi"/>
                <w:i/>
                <w:iCs/>
                <w:sz w:val="24"/>
                <w:szCs w:val="24"/>
                <w:shd w:val="clear" w:color="auto" w:fill="FFFFFF"/>
              </w:rPr>
              <w:t>și</w:t>
            </w:r>
            <w:r w:rsidR="005000F3" w:rsidRPr="00E16F11">
              <w:rPr>
                <w:rFonts w:asciiTheme="majorBidi" w:hAnsiTheme="majorBidi" w:cstheme="majorBidi"/>
                <w:i/>
                <w:iCs/>
                <w:sz w:val="24"/>
                <w:szCs w:val="24"/>
                <w:shd w:val="clear" w:color="auto" w:fill="FFFFFF"/>
              </w:rPr>
              <w:t xml:space="preserve"> răspuns rapid pentru prevenirea, controlul bolilor transmisibile </w:t>
            </w:r>
            <w:proofErr w:type="spellStart"/>
            <w:r w:rsidR="005000F3" w:rsidRPr="00E16F11">
              <w:rPr>
                <w:rFonts w:asciiTheme="majorBidi" w:hAnsiTheme="majorBidi" w:cstheme="majorBidi"/>
                <w:i/>
                <w:iCs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="005000F3" w:rsidRPr="00E16F11">
              <w:rPr>
                <w:rFonts w:asciiTheme="majorBidi" w:hAnsiTheme="majorBidi" w:cstheme="majorBidi"/>
                <w:i/>
                <w:iCs/>
                <w:sz w:val="24"/>
                <w:szCs w:val="24"/>
                <w:shd w:val="clear" w:color="auto" w:fill="FFFFFF"/>
              </w:rPr>
              <w:t xml:space="preserve"> evenimentelor de sănătate publică</w:t>
            </w:r>
            <w:r w:rsidR="001A2A85" w:rsidRPr="00E16F11">
              <w:rPr>
                <w:rFonts w:asciiTheme="majorBidi" w:hAnsiTheme="majorBidi" w:cstheme="majorBidi"/>
                <w:i/>
                <w:iCs/>
                <w:sz w:val="24"/>
                <w:szCs w:val="24"/>
                <w:shd w:val="clear" w:color="auto" w:fill="FFFFFF"/>
              </w:rPr>
              <w:t>,</w:t>
            </w:r>
            <w:r w:rsidR="00E419D6" w:rsidRPr="00E16F11">
              <w:rPr>
                <w:rFonts w:asciiTheme="majorBidi" w:hAnsiTheme="majorBidi" w:cstheme="majorBidi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80321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care a fost elaborată în conformitate cu </w:t>
            </w:r>
            <w:r w:rsidR="00803210" w:rsidRPr="0080321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Decizia Comisiei 2000/57/CE din 22 decembrie 1999 privind sistemul de alertă precoce </w:t>
            </w:r>
            <w:r w:rsidR="00E52F95" w:rsidRPr="0080321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și</w:t>
            </w:r>
            <w:r w:rsidR="00803210" w:rsidRPr="0080321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de </w:t>
            </w:r>
            <w:r w:rsidR="00E52F95" w:rsidRPr="0080321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reacție</w:t>
            </w:r>
            <w:r w:rsidR="00803210" w:rsidRPr="0080321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pentru prevenirea </w:t>
            </w:r>
            <w:proofErr w:type="spellStart"/>
            <w:r w:rsidR="00803210" w:rsidRPr="0080321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="00803210" w:rsidRPr="0080321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controlul bolilor transmisibile în temeiul Deciziei nr.2119/98/CE a Parlamentului European </w:t>
            </w:r>
            <w:proofErr w:type="spellStart"/>
            <w:r w:rsidR="00803210" w:rsidRPr="0080321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="00803210" w:rsidRPr="0080321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a Consiliului, publicată în Jurnalul Oficial al Uniunii Europene L 21 din 26 ianuarie 2000</w:t>
            </w:r>
            <w:r w:rsidR="001A2A85" w:rsidRPr="0080321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prin Decizia nr. 1082/2013/UE</w:t>
            </w:r>
            <w:r w:rsidR="001A2A85" w:rsidRPr="00822404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, care actualmente </w:t>
            </w:r>
            <w:r w:rsidR="0080321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sunt </w:t>
            </w:r>
            <w:r w:rsidR="001A2A85" w:rsidRPr="00822404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abrogat</w:t>
            </w:r>
            <w:r w:rsidR="0080321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</w:t>
            </w:r>
            <w:r w:rsidR="001A2A85" w:rsidRPr="00822404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și </w:t>
            </w:r>
            <w:r w:rsidR="00E16F11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substituit</w:t>
            </w:r>
            <w:r w:rsidR="0080321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</w:t>
            </w:r>
            <w:r w:rsidR="00E16F11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cu</w:t>
            </w:r>
            <w:r w:rsidR="001A2A85" w:rsidRPr="00822404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Decizia de punere în aplicare (UE) 2017/253 a comisiei din 13 februarie 2017</w:t>
            </w:r>
            <w:r w:rsidR="005000F3" w:rsidRPr="00822404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="005000F3" w:rsidRPr="00E16F11">
              <w:rPr>
                <w:rFonts w:asciiTheme="majorBidi" w:hAnsiTheme="majorBidi" w:cstheme="majorBidi"/>
                <w:i/>
                <w:iCs/>
                <w:sz w:val="24"/>
                <w:szCs w:val="24"/>
                <w:shd w:val="clear" w:color="auto" w:fill="FFFFFF"/>
              </w:rPr>
              <w:t>de stabilire a procedurilor de notificare a alertelor în cadrul sistemului de alertă precoce și răspuns rapid instituit în legătură cu amenințările transfrontaliere grave pentru sănătate și a procedurilor de schimb de informații, consultare și coordonare a răspunsurilor la astfel de amenințări în temeiul Deciziei nr. 1082/2013/UE a Parlamentului European și a Consiliulu</w:t>
            </w:r>
            <w:r w:rsidR="00E16F11">
              <w:rPr>
                <w:rFonts w:asciiTheme="majorBidi" w:hAnsiTheme="majorBidi" w:cstheme="majorBidi"/>
                <w:i/>
                <w:iCs/>
                <w:sz w:val="24"/>
                <w:szCs w:val="24"/>
                <w:shd w:val="clear" w:color="auto" w:fill="FFFFFF"/>
              </w:rPr>
              <w:t xml:space="preserve">i și </w:t>
            </w:r>
            <w:r w:rsidR="00E16F11" w:rsidRPr="00E16F11">
              <w:rPr>
                <w:rFonts w:asciiTheme="majorBidi" w:hAnsiTheme="majorBidi" w:cstheme="majorBidi"/>
                <w:i/>
                <w:iCs/>
                <w:sz w:val="24"/>
                <w:szCs w:val="24"/>
                <w:shd w:val="clear" w:color="auto" w:fill="FFFFFF"/>
              </w:rPr>
              <w:t>Regulamentul (UE) 2022/2371 privind amenințările transfrontaliere grave pentru sănătate și de abrogare a Deciziei nr. 1082/2013UE</w:t>
            </w:r>
            <w:r w:rsidR="001A2A85" w:rsidRPr="00822404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.</w:t>
            </w:r>
            <w:r w:rsidR="00F20A0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7C1D975" w14:textId="1C179718" w:rsidR="005000F3" w:rsidRPr="00822404" w:rsidRDefault="00A50778" w:rsidP="001273FB">
            <w:pPr>
              <w:pStyle w:val="Listparagraf"/>
              <w:spacing w:line="276" w:lineRule="auto"/>
              <w:ind w:left="62"/>
              <w:jc w:val="both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       </w:t>
            </w:r>
            <w:r w:rsidR="00E16F11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Amenințările transfrontaliere</w:t>
            </w:r>
            <w:r w:rsidR="00CC0AC9" w:rsidRPr="00822404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pot crește riscul de răspândire a maladiilor transmisibile și perturbare a sistemului de supraveghere la nivel național, </w:t>
            </w:r>
            <w:r w:rsidR="00CC0AC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ca</w:t>
            </w:r>
            <w:r w:rsidR="00E16F11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re la rândul său poate d</w:t>
            </w:r>
            <w:r w:rsidR="00CC0AC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uce la</w:t>
            </w:r>
            <w:r w:rsidR="00CC0AC9" w:rsidRPr="00822404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dereglarea activității </w:t>
            </w:r>
            <w:r w:rsidR="00CC0AC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întregului </w:t>
            </w:r>
            <w:r w:rsidR="00CC0AC9" w:rsidRPr="00822404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sistem de sănătate.</w:t>
            </w:r>
            <w:r w:rsidR="00E16F11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="001A2A85" w:rsidRPr="00822404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În acest context, prezentul proiect </w:t>
            </w:r>
            <w:r w:rsidR="00403B6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vine cu</w:t>
            </w:r>
            <w:r w:rsidR="00F87B06" w:rsidRPr="00822404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actualiz</w:t>
            </w:r>
            <w:r w:rsidR="00403B6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area mecanismului de înregistrare și notificare a amenințărilor transfrontaliere care ar permite o coordonare eficientă, clară și coerentă care va asigura calitatea și aplicabilitatea acestuia </w:t>
            </w:r>
            <w:r w:rsidR="00E16F11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la nivel național în raport cu eventualele amenințări transfrontaliere</w:t>
            </w:r>
            <w:r w:rsidR="00822404" w:rsidRPr="00822404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.</w:t>
            </w:r>
          </w:p>
          <w:p w14:paraId="615AAF91" w14:textId="21AFCC46" w:rsidR="0050578F" w:rsidRDefault="00403B63" w:rsidP="00A50778">
            <w:pPr>
              <w:pStyle w:val="Listparagraf"/>
              <w:spacing w:line="276" w:lineRule="auto"/>
              <w:ind w:left="0" w:firstLine="54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Astfel, în scopul facilitării </w:t>
            </w:r>
            <w:r w:rsidR="0050578F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notificării amenințărilor transfrontaliere, Uniunea Europeană a implementat </w:t>
            </w:r>
            <w:r w:rsidR="00234662" w:rsidRPr="00822404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</w:t>
            </w:r>
            <w:r w:rsidR="00884DBE" w:rsidRPr="00822404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istemul de </w:t>
            </w:r>
            <w:r w:rsidR="00822404" w:rsidRPr="00822404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alertă precoce și răspuns</w:t>
            </w:r>
            <w:r w:rsidR="00884DBE" w:rsidRPr="00822404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(</w:t>
            </w:r>
            <w:r w:rsidR="00AA210D" w:rsidRPr="00822404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SAPR</w:t>
            </w:r>
            <w:r w:rsidR="00884DBE" w:rsidRPr="008C342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="005057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884DBE" w:rsidRPr="008C342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5057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care </w:t>
            </w:r>
            <w:r w:rsidR="00884DBE" w:rsidRPr="008C342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reprezintă un sistem </w:t>
            </w:r>
            <w:r w:rsidR="008224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informațional </w:t>
            </w:r>
            <w:r w:rsidR="005057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de</w:t>
            </w:r>
            <w:r w:rsidR="00884DBE" w:rsidRPr="008C342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notificare</w:t>
            </w:r>
            <w:r w:rsidR="005057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884DBE" w:rsidRPr="008C342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a </w:t>
            </w:r>
            <w:r w:rsidR="00822404" w:rsidRPr="008C342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alertelor legate de amenințările transfrontaliere grave pentru sănătate </w:t>
            </w:r>
            <w:r w:rsidR="008224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către</w:t>
            </w:r>
            <w:r w:rsidR="00884DBE" w:rsidRPr="008C342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Uniun</w:t>
            </w:r>
            <w:r w:rsidR="008224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ea</w:t>
            </w:r>
            <w:r w:rsidR="00884DBE" w:rsidRPr="008C342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0E74E7" w:rsidRPr="008C342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Europe</w:t>
            </w:r>
            <w:r w:rsidR="0017394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r w:rsidR="000E74E7" w:rsidRPr="008C342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n</w:t>
            </w:r>
            <w:r w:rsidR="008224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ă</w:t>
            </w:r>
            <w:r w:rsidR="005057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. Acest mecanism </w:t>
            </w:r>
            <w:r w:rsidR="00884DBE" w:rsidRPr="008C342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garant</w:t>
            </w:r>
            <w:r w:rsidR="005057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ează,</w:t>
            </w:r>
            <w:r w:rsidR="00884DBE" w:rsidRPr="008C342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că autoritățile competente din domeniul sănătății publice</w:t>
            </w:r>
            <w:r w:rsidR="0017394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884DBE" w:rsidRPr="008C342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sunt informate în mod corespunzător și la timp</w:t>
            </w:r>
            <w:r w:rsidR="008224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, inclusiv coordonează măsurile de sănătate publică de răspuns la nivelul statelor membr</w:t>
            </w:r>
            <w:r w:rsidR="00415CF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e</w:t>
            </w:r>
            <w:r w:rsidR="00884DBE" w:rsidRPr="008C342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. Funcționarea </w:t>
            </w:r>
            <w:r w:rsidR="00AA210D" w:rsidRPr="008C342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SAPR</w:t>
            </w:r>
            <w:r w:rsidR="000E74E7" w:rsidRPr="008C342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E2250E" w:rsidRPr="008C342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este atribuit</w:t>
            </w:r>
            <w:r w:rsidR="008224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ă</w:t>
            </w:r>
            <w:r w:rsidR="00884DBE" w:rsidRPr="008C342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în sfera de competență a Centrului European de Prevenire și Control al Bolilor (ECDC) la nivelul UE și respectiv </w:t>
            </w:r>
            <w:r w:rsidR="008224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autoritățile competente sunt obligate să notifice pericolele ce se includ în criteriile de alertă de sănătate publică, menționate în prezentul proiect al HG</w:t>
            </w:r>
            <w:r w:rsidR="0017394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8224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A50778" w:rsidRPr="008C342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Agenți</w:t>
            </w:r>
            <w:r w:rsidR="00A5077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r w:rsidR="00A50778" w:rsidRPr="008C342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Național</w:t>
            </w:r>
            <w:r w:rsidR="00A5077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ă</w:t>
            </w:r>
            <w:r w:rsidR="00A50778" w:rsidRPr="008C342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884DBE" w:rsidRPr="008C342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pentru Sănătate Publică </w:t>
            </w:r>
            <w:r w:rsidR="0017394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este autoritatea competentă pentru înregistrarea și notificarea amenințărilor transfrontaliere </w:t>
            </w:r>
            <w:r w:rsidR="00884DBE" w:rsidRPr="008C342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la nivel național</w:t>
            </w:r>
            <w:r w:rsidR="0017394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și </w:t>
            </w:r>
            <w:r w:rsidR="00F239C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transmiterea informației prin </w:t>
            </w:r>
            <w:r w:rsidR="00F239C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intermediul portalurilor internaționale </w:t>
            </w:r>
            <w:r w:rsidR="0017394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către OMS</w:t>
            </w:r>
            <w:r w:rsidR="00884DBE" w:rsidRPr="008C342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="0017394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În contextul aderării la UE, este necesar a conecta sistemul informațional național de notificare a </w:t>
            </w:r>
            <w:r w:rsidR="00F239C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evenimentelor</w:t>
            </w:r>
            <w:r w:rsidR="0017394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de sănătate publică către </w:t>
            </w:r>
            <w:r w:rsidR="00F239C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sistemul UE de notificare </w:t>
            </w:r>
            <w:r w:rsidR="0017394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SAPR, care ar permite </w:t>
            </w:r>
            <w:r w:rsidR="00F239C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informarea</w:t>
            </w:r>
            <w:r w:rsidR="0017394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ECDC despre amenințările transfrontaliere</w:t>
            </w:r>
            <w:r w:rsidR="00F239C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și coordonarea ulterioară a măsurilor de sănătate publică</w:t>
            </w:r>
            <w:r w:rsidR="001A59C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la nivel național și </w:t>
            </w:r>
            <w:r w:rsidR="005057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statele membre ale UE.</w:t>
            </w:r>
          </w:p>
          <w:p w14:paraId="7F1848EC" w14:textId="55C3A1EA" w:rsidR="00884DBE" w:rsidRPr="008C342A" w:rsidRDefault="0050578F">
            <w:pPr>
              <w:pStyle w:val="Listparagraf"/>
              <w:spacing w:line="276" w:lineRule="auto"/>
              <w:ind w:left="0" w:firstLine="54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În contextul celor expuse, </w:t>
            </w:r>
            <w:r w:rsidR="00A5077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prezentul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proiect </w:t>
            </w:r>
            <w:r w:rsidR="00415CF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de hotărâre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urmărește alinierea</w:t>
            </w:r>
            <w:r w:rsidR="00D83E1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procedurilor de înregistrare și notificare a amenințărilor transfrontaliere și coordonarea măsurilor de răspuns la nivel național și Uniunea Europeană.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17394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5624D" w:rsidRPr="002F1633" w14:paraId="17A6BD55" w14:textId="77777777" w:rsidTr="001C7719">
        <w:tc>
          <w:tcPr>
            <w:tcW w:w="10088" w:type="dxa"/>
          </w:tcPr>
          <w:p w14:paraId="173642A0" w14:textId="77777777" w:rsidR="00A5624D" w:rsidRPr="008C342A" w:rsidRDefault="00395790" w:rsidP="008C342A">
            <w:pPr>
              <w:pStyle w:val="Listparagraf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ro-MD"/>
              </w:rPr>
            </w:pPr>
            <w:r w:rsidRPr="008C342A">
              <w:rPr>
                <w:rFonts w:asciiTheme="majorBidi" w:hAnsiTheme="majorBidi" w:cstheme="majorBidi"/>
                <w:b/>
                <w:sz w:val="24"/>
                <w:szCs w:val="24"/>
                <w:lang w:val="ro-MD"/>
              </w:rPr>
              <w:lastRenderedPageBreak/>
              <w:t>Descrierea gradului de compatibilitate pentru proiectele care au ca scop armonizarea legislației naționale cu legislația UE.</w:t>
            </w:r>
          </w:p>
        </w:tc>
      </w:tr>
      <w:tr w:rsidR="00395790" w:rsidRPr="002F1633" w14:paraId="6B14CB14" w14:textId="77777777" w:rsidTr="001C7719">
        <w:tc>
          <w:tcPr>
            <w:tcW w:w="10088" w:type="dxa"/>
          </w:tcPr>
          <w:p w14:paraId="72BA2B1C" w14:textId="67F595A4" w:rsidR="00884DBE" w:rsidRPr="00274A69" w:rsidRDefault="00274A69" w:rsidP="001273FB">
            <w:pPr>
              <w:spacing w:line="276" w:lineRule="auto"/>
              <w:ind w:firstLine="567"/>
              <w:jc w:val="both"/>
            </w:pPr>
            <w:r w:rsidRPr="00274A6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Prezent</w:t>
            </w:r>
            <w:r w:rsidR="00F239C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ul proiect al HG </w:t>
            </w:r>
            <w:r w:rsidR="00F239C2" w:rsidRPr="00F239C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cu privire la sistemul de alertă precoce și răspuns rapid și procedurile de notificare a alertelor instituit în legătură cu amenințările transfrontaliere grave pentru sănătate și a procedurilor de schimb de informații, consultare și coordonare a răspunsurilor la astfel de amenințări</w:t>
            </w:r>
            <w:r w:rsidRPr="00274A6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transpune Decizia de punere în aplicare (UE) 2017/253 a comisiei din 13 februarie 2017, și articolele 17-22 din Regulamentul (UE) 2022/2371 al parlamentului european și al consiliului din 23 noiembrie 2022 privind amenințările transfrontaliere grave pentru sănătate și de abrogare a Deciziei nr. 1082/2013/UE, și prevederile Regulamentului Sanitar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I</w:t>
            </w:r>
            <w:r w:rsidRPr="00274A6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nternațional (2005), aprobat la 23 mai 2005 în cadrul </w:t>
            </w:r>
            <w:proofErr w:type="spellStart"/>
            <w:r w:rsidRPr="00274A6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Asambleei</w:t>
            </w:r>
            <w:proofErr w:type="spellEnd"/>
            <w:r w:rsidRPr="00274A6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58 a Organizației Mondiale a Sănătății (Rezoluția WHA58.3 Revizuirea Regulamentului Sanitar Internațional)</w:t>
            </w:r>
            <w:r w:rsidR="00D122D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A51A7A" w:rsidRPr="002F1633" w14:paraId="2F48F261" w14:textId="77777777" w:rsidTr="001C7719">
        <w:tc>
          <w:tcPr>
            <w:tcW w:w="10088" w:type="dxa"/>
          </w:tcPr>
          <w:p w14:paraId="17BFAC7D" w14:textId="77777777" w:rsidR="00A51A7A" w:rsidRPr="008C342A" w:rsidRDefault="00A51A7A" w:rsidP="008C342A">
            <w:pPr>
              <w:pStyle w:val="Listparagraf"/>
              <w:numPr>
                <w:ilvl w:val="0"/>
                <w:numId w:val="1"/>
              </w:numPr>
              <w:spacing w:line="276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ro-MD"/>
              </w:rPr>
            </w:pPr>
            <w:r w:rsidRPr="008C342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ro-MD"/>
              </w:rPr>
              <w:t>Principalele prevederi ale proiectului și evidențierea elementelor noi</w:t>
            </w:r>
          </w:p>
        </w:tc>
      </w:tr>
      <w:tr w:rsidR="00A51A7A" w:rsidRPr="002F1633" w14:paraId="08D477DD" w14:textId="77777777" w:rsidTr="001C7719">
        <w:tc>
          <w:tcPr>
            <w:tcW w:w="10088" w:type="dxa"/>
          </w:tcPr>
          <w:p w14:paraId="11A00BDB" w14:textId="537A90AA" w:rsidR="001E10CB" w:rsidRPr="008C342A" w:rsidRDefault="00A51A7A" w:rsidP="008C342A">
            <w:pPr>
              <w:spacing w:line="276" w:lineRule="auto"/>
              <w:ind w:firstLine="56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C342A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ro-MD"/>
              </w:rPr>
              <w:t xml:space="preserve">Proiectul de </w:t>
            </w:r>
            <w:r w:rsidR="00D0676F" w:rsidRPr="008C342A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ro-MD"/>
              </w:rPr>
              <w:t>Hotărâre</w:t>
            </w:r>
            <w:r w:rsidRPr="008C342A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ro-MD"/>
              </w:rPr>
              <w:t xml:space="preserve"> prevede aprobarea </w:t>
            </w:r>
            <w:r w:rsidR="004647B9" w:rsidRPr="001273FB">
              <w:rPr>
                <w:rFonts w:asciiTheme="majorBidi" w:eastAsia="Times New Roman" w:hAnsiTheme="majorBidi" w:cstheme="majorBidi"/>
                <w:bCs/>
                <w:i/>
                <w:sz w:val="24"/>
                <w:szCs w:val="24"/>
                <w:lang w:val="ro-MD"/>
              </w:rPr>
              <w:t>Regulamentului privind stabilirea și aprobarea procedurilor de notificare a alertelor în cadrul SAPR instituit în legătură cu amenințările transfrontaliere grave pentru sănătate și a procedurilor de schimb de informații, consultare și coordonare a răspunsurilor la astfel de amenințări</w:t>
            </w:r>
            <w:r w:rsidR="004647B9" w:rsidRPr="008C342A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ro-MD"/>
              </w:rPr>
              <w:t xml:space="preserve"> </w:t>
            </w:r>
            <w:r w:rsidR="00393EB1" w:rsidRPr="008C342A">
              <w:rPr>
                <w:rFonts w:asciiTheme="majorBidi" w:hAnsiTheme="majorBidi" w:cstheme="majorBidi"/>
                <w:sz w:val="24"/>
                <w:szCs w:val="24"/>
              </w:rPr>
              <w:t xml:space="preserve">și are drept scop </w:t>
            </w:r>
            <w:r w:rsidR="004647B9" w:rsidRPr="008C342A">
              <w:rPr>
                <w:rFonts w:asciiTheme="majorBidi" w:hAnsiTheme="majorBidi" w:cstheme="majorBidi"/>
                <w:sz w:val="24"/>
                <w:szCs w:val="24"/>
              </w:rPr>
              <w:t xml:space="preserve">stabilirea </w:t>
            </w:r>
            <w:r w:rsidR="001A59C2">
              <w:rPr>
                <w:rFonts w:asciiTheme="majorBidi" w:hAnsiTheme="majorBidi" w:cstheme="majorBidi"/>
                <w:sz w:val="24"/>
                <w:szCs w:val="24"/>
              </w:rPr>
              <w:t xml:space="preserve">criteriilor care se includ în amenințări transfrontaliere, </w:t>
            </w:r>
            <w:r w:rsidR="004647B9" w:rsidRPr="008C342A">
              <w:rPr>
                <w:rFonts w:asciiTheme="majorBidi" w:hAnsiTheme="majorBidi" w:cstheme="majorBidi"/>
                <w:sz w:val="24"/>
                <w:szCs w:val="24"/>
              </w:rPr>
              <w:t>procedurilor de notificare a alertelor în cadrul SAPR instituit în legătură cu amenințările transfrontaliere grave pentru sănătate și a procedurilor de schimb de informații, consultare și coordonare a răspunsurilor la astfel de amenințări</w:t>
            </w:r>
            <w:r w:rsidR="006E4266">
              <w:rPr>
                <w:rFonts w:asciiTheme="majorBidi" w:hAnsiTheme="majorBidi" w:cstheme="majorBidi"/>
                <w:sz w:val="24"/>
                <w:szCs w:val="24"/>
              </w:rPr>
              <w:t xml:space="preserve"> și </w:t>
            </w:r>
            <w:r w:rsidR="006E4266" w:rsidRPr="006E4266">
              <w:rPr>
                <w:rFonts w:asciiTheme="majorBidi" w:hAnsiTheme="majorBidi" w:cstheme="majorBidi"/>
                <w:sz w:val="24"/>
                <w:szCs w:val="24"/>
              </w:rPr>
              <w:t xml:space="preserve">asigurarea continuității și durabilității în implementarea Regulamentului Sanitar </w:t>
            </w:r>
            <w:r w:rsidR="006E4266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6E4266" w:rsidRPr="006E4266">
              <w:rPr>
                <w:rFonts w:asciiTheme="majorBidi" w:hAnsiTheme="majorBidi" w:cstheme="majorBidi"/>
                <w:sz w:val="24"/>
                <w:szCs w:val="24"/>
              </w:rPr>
              <w:t>nternațional RSI (2005), definirea activităților de planificare, pregătire, supraveghere epidemiologică, monitorizare, alertă precoce, evaluare a riscurilor și răspuns coordonat în cazul pericolelor pentru sănătate, de prevenire și combatere a transmiterii transfrontaliere a acestora</w:t>
            </w:r>
            <w:r w:rsidR="00992932" w:rsidRPr="008C342A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5496162F" w14:textId="6980EA0E" w:rsidR="00393EB1" w:rsidRPr="008C342A" w:rsidRDefault="00393EB1" w:rsidP="008C342A">
            <w:pPr>
              <w:spacing w:line="276" w:lineRule="auto"/>
              <w:ind w:firstLine="56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C342A">
              <w:rPr>
                <w:rFonts w:asciiTheme="majorBidi" w:hAnsiTheme="majorBidi" w:cstheme="majorBidi"/>
                <w:sz w:val="24"/>
                <w:szCs w:val="24"/>
              </w:rPr>
              <w:t>Principalele prevederi ale proiectului se referă la:</w:t>
            </w:r>
          </w:p>
          <w:p w14:paraId="454D9965" w14:textId="213D74EB" w:rsidR="001A59C2" w:rsidRDefault="001A59C2" w:rsidP="008C342A">
            <w:pPr>
              <w:pStyle w:val="Listparagraf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ro-MD"/>
              </w:rPr>
            </w:pPr>
            <w:r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ro-MD"/>
              </w:rPr>
              <w:t>criteriile care definesc o amenințare transfrontalieră;</w:t>
            </w:r>
          </w:p>
          <w:p w14:paraId="5043CF0B" w14:textId="6BF4098D" w:rsidR="004647B9" w:rsidRPr="008C342A" w:rsidRDefault="004647B9" w:rsidP="008C342A">
            <w:pPr>
              <w:pStyle w:val="Listparagraf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ro-MD"/>
              </w:rPr>
            </w:pPr>
            <w:r w:rsidRPr="008C342A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ro-MD"/>
              </w:rPr>
              <w:t xml:space="preserve">comunicarea rapidă și schimbul de informații relevante privind apariția sau </w:t>
            </w:r>
            <w:r w:rsidR="001A59C2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ro-MD"/>
              </w:rPr>
              <w:t>extinderea</w:t>
            </w:r>
            <w:r w:rsidRPr="008C342A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ro-MD"/>
              </w:rPr>
              <w:t xml:space="preserve"> unor amenințări transfrontaliere grave pentru sănătatea publică;</w:t>
            </w:r>
          </w:p>
          <w:p w14:paraId="546AA93E" w14:textId="77777777" w:rsidR="004647B9" w:rsidRPr="008C342A" w:rsidRDefault="004647B9" w:rsidP="008C342A">
            <w:pPr>
              <w:pStyle w:val="Listparagraf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ro-MD"/>
              </w:rPr>
            </w:pPr>
            <w:r w:rsidRPr="008C342A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ro-MD"/>
              </w:rPr>
              <w:t xml:space="preserve">asigurarea unei gestionări eficiente și rapide a alertelor transfrontaliere grave pentru sănătate. </w:t>
            </w:r>
          </w:p>
          <w:p w14:paraId="1AEB9DF8" w14:textId="0C1F69F3" w:rsidR="004647B9" w:rsidRPr="008C342A" w:rsidRDefault="004647B9" w:rsidP="008C342A">
            <w:pPr>
              <w:pStyle w:val="Listparagraf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ro-MD"/>
              </w:rPr>
            </w:pPr>
            <w:r w:rsidRPr="008C342A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ro-MD"/>
              </w:rPr>
              <w:t xml:space="preserve">instituirea procedurilor de notificare și schimb de informații între autoritățile naționale și structura europeană responsabilă pentru gestionarea sistemului </w:t>
            </w:r>
            <w:r w:rsidR="00274A69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ro-MD"/>
              </w:rPr>
              <w:t xml:space="preserve"> SAPR</w:t>
            </w:r>
            <w:r w:rsidRPr="008C342A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ro-MD"/>
              </w:rPr>
              <w:t xml:space="preserve">; </w:t>
            </w:r>
          </w:p>
          <w:p w14:paraId="50085E32" w14:textId="5894722B" w:rsidR="00234662" w:rsidRPr="008C342A" w:rsidRDefault="004647B9" w:rsidP="008C342A">
            <w:pPr>
              <w:pStyle w:val="Listparagraf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ro-MD"/>
              </w:rPr>
            </w:pPr>
            <w:r w:rsidRPr="008C342A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ro-MD"/>
              </w:rPr>
              <w:t xml:space="preserve">definirea rolului și responsabilităților Punctului focal </w:t>
            </w:r>
            <w:r w:rsidR="005212CC" w:rsidRPr="008C342A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ro-MD"/>
              </w:rPr>
              <w:t>național</w:t>
            </w:r>
            <w:r w:rsidRPr="008C342A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ro-MD"/>
              </w:rPr>
              <w:t xml:space="preserve"> SAPR.</w:t>
            </w:r>
          </w:p>
          <w:p w14:paraId="41983FCD" w14:textId="72A9770A" w:rsidR="004647B9" w:rsidRPr="008C342A" w:rsidRDefault="004647B9" w:rsidP="008C342A">
            <w:pPr>
              <w:pStyle w:val="Listparagraf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ro-MD"/>
              </w:rPr>
            </w:pPr>
            <w:r w:rsidRPr="008C342A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ro-MD"/>
              </w:rPr>
              <w:t>coordonarea măsuril</w:t>
            </w:r>
            <w:r w:rsidR="005212CC" w:rsidRPr="008C342A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ro-MD"/>
              </w:rPr>
              <w:t>or</w:t>
            </w:r>
            <w:r w:rsidRPr="008C342A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ro-MD"/>
              </w:rPr>
              <w:t xml:space="preserve"> naționale de răspuns și asigurarea comunicării în situații de risc și de criză</w:t>
            </w:r>
            <w:r w:rsidR="001A59C2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ro-MD"/>
              </w:rPr>
              <w:t xml:space="preserve"> cu UE.</w:t>
            </w:r>
          </w:p>
        </w:tc>
      </w:tr>
      <w:tr w:rsidR="004B732F" w:rsidRPr="002F1633" w14:paraId="5B4AC8F8" w14:textId="77777777" w:rsidTr="001C7719">
        <w:tc>
          <w:tcPr>
            <w:tcW w:w="10088" w:type="dxa"/>
          </w:tcPr>
          <w:p w14:paraId="5A070B56" w14:textId="77777777" w:rsidR="004B732F" w:rsidRPr="008C342A" w:rsidRDefault="004B732F" w:rsidP="008C342A">
            <w:pPr>
              <w:pStyle w:val="Listparagraf"/>
              <w:numPr>
                <w:ilvl w:val="0"/>
                <w:numId w:val="1"/>
              </w:numPr>
              <w:spacing w:line="276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ro-MD"/>
              </w:rPr>
            </w:pPr>
            <w:r w:rsidRPr="008C342A">
              <w:rPr>
                <w:rFonts w:asciiTheme="majorBidi" w:hAnsiTheme="majorBidi" w:cstheme="majorBidi"/>
                <w:b/>
                <w:sz w:val="24"/>
                <w:szCs w:val="24"/>
                <w:lang w:val="ro-MD"/>
              </w:rPr>
              <w:t xml:space="preserve">Fundamentarea </w:t>
            </w:r>
            <w:proofErr w:type="spellStart"/>
            <w:r w:rsidRPr="008C342A">
              <w:rPr>
                <w:rFonts w:asciiTheme="majorBidi" w:hAnsiTheme="majorBidi" w:cstheme="majorBidi"/>
                <w:b/>
                <w:sz w:val="24"/>
                <w:szCs w:val="24"/>
                <w:lang w:val="ro-MD"/>
              </w:rPr>
              <w:t>economico</w:t>
            </w:r>
            <w:proofErr w:type="spellEnd"/>
            <w:r w:rsidRPr="008C342A">
              <w:rPr>
                <w:rFonts w:asciiTheme="majorBidi" w:hAnsiTheme="majorBidi" w:cstheme="majorBidi"/>
                <w:b/>
                <w:sz w:val="24"/>
                <w:szCs w:val="24"/>
                <w:lang w:val="ro-MD"/>
              </w:rPr>
              <w:t>-financiară</w:t>
            </w:r>
          </w:p>
        </w:tc>
      </w:tr>
      <w:tr w:rsidR="004B732F" w:rsidRPr="002F1633" w14:paraId="0457DF8F" w14:textId="77777777" w:rsidTr="001C7719">
        <w:tc>
          <w:tcPr>
            <w:tcW w:w="10088" w:type="dxa"/>
          </w:tcPr>
          <w:p w14:paraId="30C9A5EA" w14:textId="77777777" w:rsidR="00BF184C" w:rsidRPr="008C342A" w:rsidRDefault="00F26846" w:rsidP="001273FB">
            <w:pPr>
              <w:spacing w:line="276" w:lineRule="auto"/>
              <w:ind w:left="70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C342A">
              <w:rPr>
                <w:rFonts w:asciiTheme="majorBidi" w:hAnsiTheme="majorBidi" w:cstheme="majorBidi"/>
                <w:sz w:val="24"/>
                <w:szCs w:val="24"/>
                <w:lang w:val="ro-MD"/>
              </w:rPr>
              <w:t xml:space="preserve">Implementarea prevederilor </w:t>
            </w:r>
            <w:r w:rsidR="00DA7837" w:rsidRPr="008C342A">
              <w:rPr>
                <w:rFonts w:asciiTheme="majorBidi" w:hAnsiTheme="majorBidi" w:cstheme="majorBidi"/>
                <w:sz w:val="24"/>
                <w:szCs w:val="24"/>
                <w:lang w:val="ro-MD"/>
              </w:rPr>
              <w:t xml:space="preserve">proiectului </w:t>
            </w:r>
            <w:r w:rsidR="006076E9" w:rsidRPr="008C342A">
              <w:rPr>
                <w:rFonts w:asciiTheme="majorBidi" w:hAnsiTheme="majorBidi" w:cstheme="majorBidi"/>
                <w:sz w:val="24"/>
                <w:szCs w:val="24"/>
              </w:rPr>
              <w:t>nu va presupune cheltuieli financiare suplimentare din</w:t>
            </w:r>
          </w:p>
          <w:p w14:paraId="5F0CAD0E" w14:textId="1FE5DEA6" w:rsidR="00CA4211" w:rsidRPr="008C342A" w:rsidRDefault="006076E9" w:rsidP="001273FB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C342A">
              <w:rPr>
                <w:rFonts w:asciiTheme="majorBidi" w:hAnsiTheme="majorBidi" w:cstheme="majorBidi"/>
                <w:sz w:val="24"/>
                <w:szCs w:val="24"/>
              </w:rPr>
              <w:t xml:space="preserve">bugetul de stat. Costurile aferente asigurării </w:t>
            </w:r>
            <w:r w:rsidR="00A66D60" w:rsidRPr="008C342A">
              <w:rPr>
                <w:rFonts w:asciiTheme="majorBidi" w:hAnsiTheme="majorBidi" w:cstheme="majorBidi"/>
                <w:sz w:val="24"/>
                <w:szCs w:val="24"/>
              </w:rPr>
              <w:t xml:space="preserve">implementării prezentei hotărâri </w:t>
            </w:r>
            <w:r w:rsidRPr="008C342A">
              <w:rPr>
                <w:rFonts w:asciiTheme="majorBidi" w:hAnsiTheme="majorBidi" w:cstheme="majorBidi"/>
                <w:sz w:val="24"/>
                <w:szCs w:val="24"/>
              </w:rPr>
              <w:t xml:space="preserve"> vor fi în limita alocațiilor aprobate pentru instituțiile responsabile.</w:t>
            </w:r>
          </w:p>
        </w:tc>
      </w:tr>
      <w:tr w:rsidR="001C7719" w:rsidRPr="002F1633" w14:paraId="33350250" w14:textId="77777777" w:rsidTr="001C7719">
        <w:tc>
          <w:tcPr>
            <w:tcW w:w="10088" w:type="dxa"/>
          </w:tcPr>
          <w:p w14:paraId="3A2832E3" w14:textId="77777777" w:rsidR="001C7719" w:rsidRPr="008C342A" w:rsidRDefault="001C7719" w:rsidP="008C342A">
            <w:pPr>
              <w:pStyle w:val="Listparagraf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ro-MD"/>
              </w:rPr>
            </w:pPr>
            <w:r w:rsidRPr="008C342A">
              <w:rPr>
                <w:rFonts w:asciiTheme="majorBidi" w:hAnsiTheme="majorBidi" w:cstheme="majorBidi"/>
                <w:b/>
                <w:sz w:val="24"/>
                <w:szCs w:val="24"/>
                <w:lang w:val="ro-MD"/>
              </w:rPr>
              <w:t>Modul de încorporare a actului în cadrul normativ în vigoare</w:t>
            </w:r>
          </w:p>
        </w:tc>
      </w:tr>
      <w:tr w:rsidR="001C7719" w:rsidRPr="002F1633" w14:paraId="3D2444E7" w14:textId="77777777" w:rsidTr="001C7719">
        <w:tc>
          <w:tcPr>
            <w:tcW w:w="10088" w:type="dxa"/>
          </w:tcPr>
          <w:p w14:paraId="73CA90DC" w14:textId="7FF801C5" w:rsidR="00DE0306" w:rsidRPr="008C342A" w:rsidRDefault="006404CB">
            <w:pPr>
              <w:pStyle w:val="TableParagraph"/>
              <w:spacing w:after="0" w:line="276" w:lineRule="auto"/>
              <w:ind w:firstLine="720"/>
              <w:jc w:val="both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6404CB">
              <w:rPr>
                <w:rFonts w:asciiTheme="majorBidi" w:hAnsiTheme="majorBidi" w:cstheme="majorBidi"/>
                <w:sz w:val="24"/>
                <w:szCs w:val="24"/>
                <w:lang w:val="pt-BR"/>
              </w:rPr>
              <w:lastRenderedPageBreak/>
              <w:t>Proiectul hotărârii Guvernului elaborat se încadrează în sistemul actelor normative</w:t>
            </w:r>
            <w:r>
              <w:rPr>
                <w:rFonts w:asciiTheme="majorBidi" w:hAnsiTheme="majorBidi" w:cstheme="majorBidi"/>
                <w:sz w:val="24"/>
                <w:szCs w:val="24"/>
                <w:lang w:val="pt-BR"/>
              </w:rPr>
              <w:t xml:space="preserve"> </w:t>
            </w:r>
            <w:r w:rsidRPr="006404CB">
              <w:rPr>
                <w:rFonts w:asciiTheme="majorBidi" w:hAnsiTheme="majorBidi" w:cstheme="majorBidi"/>
                <w:sz w:val="24"/>
                <w:szCs w:val="24"/>
                <w:lang w:val="pt-BR"/>
              </w:rPr>
              <w:t>naționale și denotă abrogarea</w:t>
            </w:r>
            <w:r>
              <w:rPr>
                <w:rFonts w:asciiTheme="majorBidi" w:hAnsiTheme="majorBidi" w:cstheme="majorBidi"/>
                <w:sz w:val="24"/>
                <w:szCs w:val="24"/>
                <w:lang w:val="pt-BR"/>
              </w:rPr>
              <w:t xml:space="preserve"> </w:t>
            </w:r>
            <w:r w:rsidR="00A50778" w:rsidRPr="006404CB">
              <w:rPr>
                <w:rFonts w:asciiTheme="majorBidi" w:hAnsiTheme="majorBidi" w:cstheme="majorBidi"/>
                <w:sz w:val="24"/>
                <w:szCs w:val="24"/>
                <w:lang w:val="pt-BR"/>
              </w:rPr>
              <w:t>Hotărâr</w:t>
            </w:r>
            <w:r w:rsidR="00A50778">
              <w:rPr>
                <w:rFonts w:asciiTheme="majorBidi" w:hAnsiTheme="majorBidi" w:cstheme="majorBidi"/>
                <w:sz w:val="24"/>
                <w:szCs w:val="24"/>
                <w:lang w:val="pt-BR"/>
              </w:rPr>
              <w:t>ii</w:t>
            </w:r>
            <w:r w:rsidR="00A50778" w:rsidRPr="006404CB">
              <w:rPr>
                <w:rFonts w:asciiTheme="majorBidi" w:hAnsiTheme="majorBidi" w:cstheme="majorBidi"/>
                <w:sz w:val="24"/>
                <w:szCs w:val="24"/>
                <w:lang w:val="pt-BR"/>
              </w:rPr>
              <w:t xml:space="preserve"> </w:t>
            </w:r>
            <w:r w:rsidRPr="006404CB">
              <w:rPr>
                <w:rFonts w:asciiTheme="majorBidi" w:hAnsiTheme="majorBidi" w:cstheme="majorBidi"/>
                <w:sz w:val="24"/>
                <w:szCs w:val="24"/>
                <w:lang w:val="pt-BR"/>
              </w:rPr>
              <w:t>Guvernului nr. 1431/2016 pentru aprobarea Regulamentului privind sistemul de alertă precoce şi răspuns rapid pentru prevenirea, controlul bolilor transmisibile şi evenimentelor de sănătate</w:t>
            </w:r>
            <w:r w:rsidRPr="006404CB" w:rsidDel="005A76E0">
              <w:rPr>
                <w:rFonts w:asciiTheme="majorBidi" w:hAnsiTheme="majorBidi" w:cstheme="majorBidi"/>
                <w:sz w:val="24"/>
                <w:szCs w:val="24"/>
                <w:lang w:val="pt-BR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pt-BR"/>
              </w:rPr>
              <w:t xml:space="preserve"> și </w:t>
            </w:r>
            <w:r w:rsidR="00A50778">
              <w:rPr>
                <w:rFonts w:asciiTheme="majorBidi" w:hAnsiTheme="majorBidi" w:cstheme="majorBidi"/>
                <w:sz w:val="24"/>
                <w:szCs w:val="24"/>
                <w:lang w:val="pt-BR"/>
              </w:rPr>
              <w:t xml:space="preserve">a </w:t>
            </w:r>
            <w:r w:rsidR="00A50778" w:rsidRPr="006404CB">
              <w:rPr>
                <w:rFonts w:asciiTheme="majorBidi" w:hAnsiTheme="majorBidi" w:cstheme="majorBidi"/>
                <w:sz w:val="24"/>
                <w:szCs w:val="24"/>
                <w:lang w:val="pt-BR"/>
              </w:rPr>
              <w:t>Hotărâr</w:t>
            </w:r>
            <w:r w:rsidR="00A50778">
              <w:rPr>
                <w:rFonts w:asciiTheme="majorBidi" w:hAnsiTheme="majorBidi" w:cstheme="majorBidi"/>
                <w:sz w:val="24"/>
                <w:szCs w:val="24"/>
                <w:lang w:val="pt-BR"/>
              </w:rPr>
              <w:t>ii</w:t>
            </w:r>
            <w:r w:rsidR="00A50778" w:rsidRPr="006404CB">
              <w:rPr>
                <w:rFonts w:asciiTheme="majorBidi" w:hAnsiTheme="majorBidi" w:cstheme="majorBidi"/>
                <w:sz w:val="24"/>
                <w:szCs w:val="24"/>
                <w:lang w:val="pt-BR"/>
              </w:rPr>
              <w:t xml:space="preserve"> </w:t>
            </w:r>
            <w:r w:rsidRPr="006404CB">
              <w:rPr>
                <w:rFonts w:asciiTheme="majorBidi" w:hAnsiTheme="majorBidi" w:cstheme="majorBidi"/>
                <w:sz w:val="24"/>
                <w:szCs w:val="24"/>
                <w:lang w:val="pt-BR"/>
              </w:rPr>
              <w:t>Guvernului nr. 531/2014 cu privire la acţiunile de implementare a Regulamentului Sanitar Internaţional în prevenirea transmiterii transfrontaliere a pericolelor pentru sănătatea publică</w:t>
            </w:r>
            <w:r w:rsidR="00DE0306">
              <w:rPr>
                <w:rFonts w:asciiTheme="majorBidi" w:hAnsiTheme="majorBidi" w:cstheme="majorBidi"/>
                <w:sz w:val="24"/>
                <w:szCs w:val="24"/>
                <w:lang w:val="pt-BR"/>
              </w:rPr>
              <w:t xml:space="preserve">. </w:t>
            </w:r>
          </w:p>
        </w:tc>
      </w:tr>
      <w:tr w:rsidR="001C7719" w:rsidRPr="002F1633" w14:paraId="0A9D04B4" w14:textId="77777777" w:rsidTr="001C7719">
        <w:tc>
          <w:tcPr>
            <w:tcW w:w="10088" w:type="dxa"/>
          </w:tcPr>
          <w:p w14:paraId="33742ADC" w14:textId="1832D437" w:rsidR="001C7719" w:rsidRPr="008C342A" w:rsidRDefault="00427D69" w:rsidP="008C342A">
            <w:pPr>
              <w:pStyle w:val="Listparagraf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  <w:r w:rsidRPr="008C342A">
              <w:rPr>
                <w:rFonts w:asciiTheme="majorBidi" w:hAnsiTheme="majorBidi" w:cstheme="majorBidi"/>
                <w:b/>
                <w:sz w:val="24"/>
                <w:szCs w:val="24"/>
                <w:lang w:val="ro-MD"/>
              </w:rPr>
              <w:t>Avizarea și consultarea publică a proiectului</w:t>
            </w:r>
          </w:p>
        </w:tc>
      </w:tr>
      <w:tr w:rsidR="00427D69" w:rsidRPr="002F1633" w14:paraId="7D530F3D" w14:textId="77777777" w:rsidTr="001C7719">
        <w:tc>
          <w:tcPr>
            <w:tcW w:w="10088" w:type="dxa"/>
          </w:tcPr>
          <w:p w14:paraId="0D62718D" w14:textId="77777777" w:rsidR="00BF184C" w:rsidRPr="008C342A" w:rsidRDefault="00427D69" w:rsidP="008C342A">
            <w:pPr>
              <w:spacing w:line="276" w:lineRule="auto"/>
              <w:ind w:left="70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C342A">
              <w:rPr>
                <w:rFonts w:asciiTheme="majorBidi" w:hAnsiTheme="majorBidi" w:cstheme="majorBidi"/>
                <w:sz w:val="24"/>
                <w:szCs w:val="24"/>
              </w:rPr>
              <w:t xml:space="preserve">În vederea respectării Legii nr. 239 din 13.11.2008 </w:t>
            </w:r>
            <w:r w:rsidRPr="008C34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privind transparența în procesul decizional</w:t>
            </w:r>
            <w:r w:rsidRPr="008C342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2A65671D" w14:textId="58D8B9F3" w:rsidR="00427D69" w:rsidRDefault="00427D69" w:rsidP="008C342A">
            <w:pPr>
              <w:spacing w:line="276" w:lineRule="auto"/>
              <w:jc w:val="both"/>
              <w:rPr>
                <w:rStyle w:val="Hyperlink"/>
                <w:rFonts w:asciiTheme="majorBidi" w:hAnsiTheme="majorBidi" w:cstheme="majorBidi"/>
                <w:sz w:val="24"/>
                <w:szCs w:val="24"/>
              </w:rPr>
            </w:pPr>
            <w:r w:rsidRPr="008C342A">
              <w:rPr>
                <w:rFonts w:asciiTheme="majorBidi" w:hAnsiTheme="majorBidi" w:cstheme="majorBidi"/>
                <w:sz w:val="24"/>
                <w:szCs w:val="24"/>
              </w:rPr>
              <w:t xml:space="preserve">Proiectul este plasat pe pagina web oficială a Ministerului Sănătății, compartimentul „Transparență. Proiecte supuse consultărilor publice” și pe portalul guvernamental </w:t>
            </w:r>
            <w:hyperlink r:id="rId5" w:history="1">
              <w:r w:rsidRPr="008C342A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www.particip.gov.md</w:t>
              </w:r>
            </w:hyperlink>
          </w:p>
          <w:p w14:paraId="60A5DF4A" w14:textId="2828F2C0" w:rsidR="00A50778" w:rsidRPr="008C342A" w:rsidRDefault="00000000" w:rsidP="008C342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hyperlink r:id="rId6" w:history="1">
              <w:r w:rsidR="00A50778" w:rsidRPr="008754CC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https://particip.gov.md/ro/search?title=r%C4%83spuns&amp;from_date=2020-11-17&amp;to_date=2023-11-17&amp;typeFilter=1&amp;authoritie_ids=1286&amp;caem=&amp;keyword_ids=&amp;rta=&amp;rtb</w:t>
              </w:r>
            </w:hyperlink>
            <w:r w:rsidR="00A50778" w:rsidRPr="00A50778">
              <w:rPr>
                <w:rFonts w:asciiTheme="majorBidi" w:hAnsiTheme="majorBidi" w:cstheme="majorBidi"/>
                <w:sz w:val="24"/>
                <w:szCs w:val="24"/>
              </w:rPr>
              <w:t>=</w:t>
            </w:r>
            <w:r w:rsidR="00A5077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65764B4" w14:textId="77777777" w:rsidR="00BF184C" w:rsidRPr="008C342A" w:rsidRDefault="00362F8C" w:rsidP="008C342A">
            <w:pPr>
              <w:spacing w:line="276" w:lineRule="auto"/>
              <w:ind w:left="70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C342A">
              <w:rPr>
                <w:rFonts w:asciiTheme="majorBidi" w:hAnsiTheme="majorBidi" w:cstheme="majorBidi"/>
                <w:sz w:val="24"/>
                <w:szCs w:val="24"/>
              </w:rPr>
              <w:t>Proiectul urmează a fi consultat și avizat în conformitate cu prevederile Legii nr. 100/2017 cu</w:t>
            </w:r>
          </w:p>
          <w:p w14:paraId="17218E0C" w14:textId="7D2B0478" w:rsidR="00427D69" w:rsidRPr="008C342A" w:rsidRDefault="00362F8C" w:rsidP="008C342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C342A">
              <w:rPr>
                <w:rFonts w:asciiTheme="majorBidi" w:hAnsiTheme="majorBidi" w:cstheme="majorBidi"/>
                <w:sz w:val="24"/>
                <w:szCs w:val="24"/>
              </w:rPr>
              <w:t>privire la actele normative.</w:t>
            </w:r>
          </w:p>
        </w:tc>
      </w:tr>
      <w:tr w:rsidR="00427D69" w:rsidRPr="002F1633" w14:paraId="1AF3E3F5" w14:textId="77777777" w:rsidTr="001C7719">
        <w:tc>
          <w:tcPr>
            <w:tcW w:w="10088" w:type="dxa"/>
          </w:tcPr>
          <w:p w14:paraId="44CA2B82" w14:textId="3A1ED2FB" w:rsidR="00427D69" w:rsidRPr="008C342A" w:rsidRDefault="00427D69" w:rsidP="008C342A">
            <w:pPr>
              <w:pStyle w:val="Listparagraf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ro-MD"/>
              </w:rPr>
            </w:pPr>
            <w:r w:rsidRPr="008C342A">
              <w:rPr>
                <w:rFonts w:asciiTheme="majorBidi" w:hAnsiTheme="majorBidi" w:cstheme="majorBidi"/>
                <w:b/>
                <w:sz w:val="24"/>
                <w:szCs w:val="24"/>
                <w:lang w:val="ro-MD"/>
              </w:rPr>
              <w:t>Constatările expertizei anticorupție.</w:t>
            </w:r>
          </w:p>
        </w:tc>
      </w:tr>
      <w:tr w:rsidR="00427D69" w:rsidRPr="002F1633" w14:paraId="5F2013BA" w14:textId="77777777" w:rsidTr="001C7719">
        <w:tc>
          <w:tcPr>
            <w:tcW w:w="10088" w:type="dxa"/>
          </w:tcPr>
          <w:p w14:paraId="5A3C8751" w14:textId="148A4534" w:rsidR="00427D69" w:rsidRPr="008C342A" w:rsidRDefault="00725578">
            <w:pPr>
              <w:spacing w:line="276" w:lineRule="auto"/>
              <w:ind w:left="70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C342A">
              <w:rPr>
                <w:rFonts w:asciiTheme="majorBidi" w:hAnsiTheme="majorBidi" w:cstheme="majorBidi"/>
                <w:sz w:val="24"/>
                <w:szCs w:val="24"/>
              </w:rPr>
              <w:t xml:space="preserve">Proiectul </w:t>
            </w:r>
            <w:r w:rsidR="00A50778">
              <w:rPr>
                <w:rFonts w:asciiTheme="majorBidi" w:hAnsiTheme="majorBidi" w:cstheme="majorBidi"/>
                <w:sz w:val="24"/>
                <w:szCs w:val="24"/>
              </w:rPr>
              <w:t>urmează</w:t>
            </w:r>
            <w:r w:rsidRPr="008C342A">
              <w:rPr>
                <w:rFonts w:asciiTheme="majorBidi" w:hAnsiTheme="majorBidi" w:cstheme="majorBidi"/>
                <w:sz w:val="24"/>
                <w:szCs w:val="24"/>
              </w:rPr>
              <w:t xml:space="preserve"> a fi supus expertizei anticorupție.</w:t>
            </w:r>
          </w:p>
        </w:tc>
      </w:tr>
      <w:tr w:rsidR="00427D69" w:rsidRPr="002F1633" w14:paraId="35A27C7F" w14:textId="77777777" w:rsidTr="001C7719">
        <w:tc>
          <w:tcPr>
            <w:tcW w:w="10088" w:type="dxa"/>
          </w:tcPr>
          <w:p w14:paraId="56AC9379" w14:textId="1EFF8B1E" w:rsidR="00427D69" w:rsidRPr="008C342A" w:rsidRDefault="00427D69" w:rsidP="008C342A">
            <w:pPr>
              <w:pStyle w:val="Listparagraf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C34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Constatările expertizei de compatibilitate</w:t>
            </w:r>
          </w:p>
        </w:tc>
      </w:tr>
      <w:tr w:rsidR="00427D69" w:rsidRPr="002F1633" w14:paraId="18635A53" w14:textId="77777777" w:rsidTr="001C7719">
        <w:tc>
          <w:tcPr>
            <w:tcW w:w="10088" w:type="dxa"/>
          </w:tcPr>
          <w:p w14:paraId="3088B656" w14:textId="77777777" w:rsidR="00BF184C" w:rsidRPr="008C342A" w:rsidRDefault="00427D69" w:rsidP="001273FB">
            <w:pPr>
              <w:spacing w:line="276" w:lineRule="auto"/>
              <w:ind w:left="708"/>
              <w:rPr>
                <w:rFonts w:asciiTheme="majorBidi" w:hAnsiTheme="majorBidi" w:cstheme="majorBidi"/>
                <w:sz w:val="24"/>
                <w:szCs w:val="24"/>
              </w:rPr>
            </w:pPr>
            <w:r w:rsidRPr="008C342A">
              <w:rPr>
                <w:rFonts w:asciiTheme="majorBidi" w:hAnsiTheme="majorBidi" w:cstheme="majorBidi"/>
                <w:sz w:val="24"/>
                <w:szCs w:val="24"/>
              </w:rPr>
              <w:t>Proiectul de hotărâre conține norme privind armonizarea legislației naționale cu legislația</w:t>
            </w:r>
          </w:p>
          <w:p w14:paraId="0DCD4F2E" w14:textId="7286982C" w:rsidR="00427D69" w:rsidRPr="008C342A" w:rsidRDefault="00427D69" w:rsidP="001273F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C342A">
              <w:rPr>
                <w:rFonts w:asciiTheme="majorBidi" w:hAnsiTheme="majorBidi" w:cstheme="majorBidi"/>
                <w:sz w:val="24"/>
                <w:szCs w:val="24"/>
              </w:rPr>
              <w:t xml:space="preserve">Uniunii Europene și  urmează a fi supus expertizei de compatibilitate.  </w:t>
            </w:r>
          </w:p>
        </w:tc>
      </w:tr>
      <w:tr w:rsidR="00427D69" w:rsidRPr="002F1633" w14:paraId="61591847" w14:textId="77777777" w:rsidTr="001C7719">
        <w:tc>
          <w:tcPr>
            <w:tcW w:w="10088" w:type="dxa"/>
          </w:tcPr>
          <w:p w14:paraId="78F16FC0" w14:textId="3039B63B" w:rsidR="00427D69" w:rsidRPr="008C342A" w:rsidRDefault="00427D69" w:rsidP="008C342A">
            <w:pPr>
              <w:pStyle w:val="Listparagraf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C34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Constatările expertizei juridice</w:t>
            </w:r>
          </w:p>
        </w:tc>
      </w:tr>
      <w:tr w:rsidR="00A50778" w:rsidRPr="002F1633" w14:paraId="570488AC" w14:textId="77777777" w:rsidTr="001C7719">
        <w:tc>
          <w:tcPr>
            <w:tcW w:w="10088" w:type="dxa"/>
          </w:tcPr>
          <w:p w14:paraId="34C725DE" w14:textId="6B5572DA" w:rsidR="00A50778" w:rsidRPr="008C342A" w:rsidRDefault="00A50778" w:rsidP="001273FB">
            <w:pPr>
              <w:pStyle w:val="Listparagraf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C342A">
              <w:rPr>
                <w:rFonts w:asciiTheme="majorBidi" w:hAnsiTheme="majorBidi" w:cstheme="majorBidi"/>
                <w:sz w:val="24"/>
                <w:szCs w:val="24"/>
              </w:rPr>
              <w:t xml:space="preserve">Proiectul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urmează a</w:t>
            </w:r>
            <w:r w:rsidRPr="008C342A">
              <w:rPr>
                <w:rFonts w:asciiTheme="majorBidi" w:hAnsiTheme="majorBidi" w:cstheme="majorBidi"/>
                <w:sz w:val="24"/>
                <w:szCs w:val="24"/>
              </w:rPr>
              <w:t xml:space="preserve"> fi supus expertizei juridice.</w:t>
            </w:r>
          </w:p>
        </w:tc>
      </w:tr>
      <w:tr w:rsidR="00A50778" w:rsidRPr="002F1633" w14:paraId="7739E4AD" w14:textId="77777777" w:rsidTr="001C7719">
        <w:tc>
          <w:tcPr>
            <w:tcW w:w="10088" w:type="dxa"/>
          </w:tcPr>
          <w:p w14:paraId="7F8D9FD7" w14:textId="2B75FE27" w:rsidR="00A50778" w:rsidRPr="008C342A" w:rsidRDefault="00A50778" w:rsidP="008C342A">
            <w:pPr>
              <w:pStyle w:val="Listparagraf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Constatărilor altor expertize</w:t>
            </w:r>
          </w:p>
        </w:tc>
      </w:tr>
      <w:tr w:rsidR="009E5ADB" w:rsidRPr="002F1633" w14:paraId="497F01D1" w14:textId="77777777" w:rsidTr="001C7719">
        <w:tc>
          <w:tcPr>
            <w:tcW w:w="10088" w:type="dxa"/>
          </w:tcPr>
          <w:p w14:paraId="45758BBF" w14:textId="31C1348E" w:rsidR="009E5ADB" w:rsidRPr="008C342A" w:rsidRDefault="00A50778" w:rsidP="008C342A">
            <w:pPr>
              <w:spacing w:line="276" w:lineRule="auto"/>
              <w:ind w:firstLine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Proiectul nu necesită a fi supus altor expertize.</w:t>
            </w:r>
          </w:p>
        </w:tc>
      </w:tr>
    </w:tbl>
    <w:p w14:paraId="2BA677E1" w14:textId="77777777" w:rsidR="007E20F8" w:rsidRPr="008C342A" w:rsidRDefault="007E20F8" w:rsidP="002F1633">
      <w:pPr>
        <w:jc w:val="both"/>
        <w:rPr>
          <w:rFonts w:asciiTheme="majorBidi" w:hAnsiTheme="majorBidi" w:cstheme="majorBidi"/>
          <w:b/>
          <w:sz w:val="24"/>
          <w:szCs w:val="24"/>
          <w:lang w:val="ro-MD"/>
        </w:rPr>
      </w:pPr>
    </w:p>
    <w:p w14:paraId="0FF09A52" w14:textId="77777777" w:rsidR="00321697" w:rsidRPr="008C342A" w:rsidRDefault="00321697" w:rsidP="002F1633">
      <w:pPr>
        <w:jc w:val="both"/>
        <w:rPr>
          <w:rFonts w:asciiTheme="majorBidi" w:hAnsiTheme="majorBidi" w:cstheme="majorBidi"/>
          <w:b/>
          <w:sz w:val="24"/>
          <w:szCs w:val="24"/>
          <w:lang w:val="ro-MD"/>
        </w:rPr>
      </w:pPr>
    </w:p>
    <w:p w14:paraId="304F83A2" w14:textId="57CC2FCD" w:rsidR="007E20F8" w:rsidRPr="008C342A" w:rsidRDefault="00BF184C" w:rsidP="002F1633">
      <w:pPr>
        <w:jc w:val="center"/>
        <w:rPr>
          <w:rFonts w:asciiTheme="majorBidi" w:hAnsiTheme="majorBidi" w:cstheme="majorBidi"/>
          <w:b/>
          <w:sz w:val="24"/>
          <w:szCs w:val="24"/>
          <w:lang w:val="ro-MD"/>
        </w:rPr>
      </w:pPr>
      <w:r w:rsidRPr="008C342A">
        <w:rPr>
          <w:rFonts w:asciiTheme="majorBidi" w:hAnsiTheme="majorBidi" w:cstheme="majorBidi"/>
          <w:b/>
          <w:sz w:val="24"/>
          <w:szCs w:val="24"/>
          <w:lang w:val="ro-MD"/>
        </w:rPr>
        <w:t xml:space="preserve">Secretar </w:t>
      </w:r>
      <w:r w:rsidR="000A3D5B">
        <w:rPr>
          <w:rFonts w:asciiTheme="majorBidi" w:hAnsiTheme="majorBidi" w:cstheme="majorBidi"/>
          <w:b/>
          <w:sz w:val="24"/>
          <w:szCs w:val="24"/>
          <w:lang w:val="ro-MD"/>
        </w:rPr>
        <w:t>de stat</w:t>
      </w:r>
      <w:r w:rsidR="007E20F8" w:rsidRPr="008C342A">
        <w:rPr>
          <w:rFonts w:asciiTheme="majorBidi" w:hAnsiTheme="majorBidi" w:cstheme="majorBidi"/>
          <w:b/>
          <w:sz w:val="24"/>
          <w:szCs w:val="24"/>
          <w:lang w:val="ro-MD"/>
        </w:rPr>
        <w:t xml:space="preserve">                                                                  </w:t>
      </w:r>
      <w:r w:rsidR="000A3D5B">
        <w:rPr>
          <w:rFonts w:asciiTheme="majorBidi" w:hAnsiTheme="majorBidi" w:cstheme="majorBidi"/>
          <w:b/>
          <w:sz w:val="24"/>
          <w:szCs w:val="24"/>
          <w:lang w:val="ro-MD"/>
        </w:rPr>
        <w:t>Angela PARASCHIV</w:t>
      </w:r>
    </w:p>
    <w:sectPr w:rsidR="007E20F8" w:rsidRPr="008C3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itlu1"/>
      <w:lvlText w:val="%1"/>
      <w:lvlJc w:val="left"/>
      <w:pPr>
        <w:ind w:left="432" w:hanging="432"/>
      </w:pPr>
    </w:lvl>
    <w:lvl w:ilvl="1">
      <w:start w:val="1"/>
      <w:numFmt w:val="decimal"/>
      <w:pStyle w:val="Titlu2"/>
      <w:lvlText w:val="%1.%2"/>
      <w:lvlJc w:val="left"/>
      <w:pPr>
        <w:ind w:left="576" w:hanging="576"/>
      </w:pPr>
    </w:lvl>
    <w:lvl w:ilvl="2">
      <w:start w:val="1"/>
      <w:numFmt w:val="decimal"/>
      <w:pStyle w:val="Titlu3"/>
      <w:lvlText w:val="%1.%2.%3"/>
      <w:lvlJc w:val="left"/>
      <w:pPr>
        <w:ind w:left="720" w:hanging="720"/>
      </w:pPr>
    </w:lvl>
    <w:lvl w:ilvl="3">
      <w:start w:val="1"/>
      <w:numFmt w:val="decimal"/>
      <w:pStyle w:val="Titlu4"/>
      <w:lvlText w:val="%1.%2.%3.%4"/>
      <w:lvlJc w:val="left"/>
      <w:pPr>
        <w:ind w:left="864" w:hanging="864"/>
      </w:pPr>
    </w:lvl>
    <w:lvl w:ilvl="4">
      <w:start w:val="1"/>
      <w:numFmt w:val="decimal"/>
      <w:pStyle w:val="Titlu5"/>
      <w:lvlText w:val="%1.%2.%3.%4.%5"/>
      <w:lvlJc w:val="left"/>
      <w:pPr>
        <w:ind w:left="1008" w:hanging="1008"/>
      </w:pPr>
    </w:lvl>
    <w:lvl w:ilvl="5">
      <w:start w:val="1"/>
      <w:numFmt w:val="decimal"/>
      <w:pStyle w:val="Titlu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lu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lu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lu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A52659C"/>
    <w:multiLevelType w:val="multilevel"/>
    <w:tmpl w:val="DBD0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11DBC"/>
    <w:multiLevelType w:val="multilevel"/>
    <w:tmpl w:val="FD20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D02032"/>
    <w:multiLevelType w:val="hybridMultilevel"/>
    <w:tmpl w:val="458A10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47C8A"/>
    <w:multiLevelType w:val="hybridMultilevel"/>
    <w:tmpl w:val="499C7B48"/>
    <w:lvl w:ilvl="0" w:tplc="80DE3A7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E044E"/>
    <w:multiLevelType w:val="hybridMultilevel"/>
    <w:tmpl w:val="458A1018"/>
    <w:lvl w:ilvl="0" w:tplc="A53A2E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E1F1E"/>
    <w:multiLevelType w:val="hybridMultilevel"/>
    <w:tmpl w:val="4FBEAF70"/>
    <w:lvl w:ilvl="0" w:tplc="80DE3A70">
      <w:start w:val="2"/>
      <w:numFmt w:val="bullet"/>
      <w:lvlText w:val="-"/>
      <w:lvlJc w:val="left"/>
      <w:pPr>
        <w:ind w:left="73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" w15:restartNumberingAfterBreak="0">
    <w:nsid w:val="5D792B5F"/>
    <w:multiLevelType w:val="hybridMultilevel"/>
    <w:tmpl w:val="89F28892"/>
    <w:lvl w:ilvl="0" w:tplc="3B70BFC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95F24"/>
    <w:multiLevelType w:val="hybridMultilevel"/>
    <w:tmpl w:val="B03C815E"/>
    <w:lvl w:ilvl="0" w:tplc="C310D0A2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7A31C0"/>
    <w:multiLevelType w:val="hybridMultilevel"/>
    <w:tmpl w:val="0966E4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210730">
    <w:abstractNumId w:val="5"/>
  </w:num>
  <w:num w:numId="2" w16cid:durableId="659964113">
    <w:abstractNumId w:val="1"/>
  </w:num>
  <w:num w:numId="3" w16cid:durableId="188758215">
    <w:abstractNumId w:val="2"/>
  </w:num>
  <w:num w:numId="4" w16cid:durableId="1149710388">
    <w:abstractNumId w:val="8"/>
  </w:num>
  <w:num w:numId="5" w16cid:durableId="1240754533">
    <w:abstractNumId w:val="3"/>
  </w:num>
  <w:num w:numId="6" w16cid:durableId="259724092">
    <w:abstractNumId w:val="6"/>
  </w:num>
  <w:num w:numId="7" w16cid:durableId="503009319">
    <w:abstractNumId w:val="7"/>
  </w:num>
  <w:num w:numId="8" w16cid:durableId="456335153">
    <w:abstractNumId w:val="0"/>
  </w:num>
  <w:num w:numId="9" w16cid:durableId="1351292877">
    <w:abstractNumId w:val="9"/>
  </w:num>
  <w:num w:numId="10" w16cid:durableId="1917324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FB2"/>
    <w:rsid w:val="0000089C"/>
    <w:rsid w:val="000136FE"/>
    <w:rsid w:val="000161B2"/>
    <w:rsid w:val="00022BE4"/>
    <w:rsid w:val="00024C61"/>
    <w:rsid w:val="00032052"/>
    <w:rsid w:val="00036EEB"/>
    <w:rsid w:val="000376AE"/>
    <w:rsid w:val="0005703B"/>
    <w:rsid w:val="000619BD"/>
    <w:rsid w:val="00064E45"/>
    <w:rsid w:val="000657BA"/>
    <w:rsid w:val="000749B4"/>
    <w:rsid w:val="000839C5"/>
    <w:rsid w:val="0008428D"/>
    <w:rsid w:val="00092461"/>
    <w:rsid w:val="00093A7C"/>
    <w:rsid w:val="000A1F48"/>
    <w:rsid w:val="000A3D5B"/>
    <w:rsid w:val="000A5663"/>
    <w:rsid w:val="000A7352"/>
    <w:rsid w:val="000B155A"/>
    <w:rsid w:val="000C0CFE"/>
    <w:rsid w:val="000C492E"/>
    <w:rsid w:val="000D13D6"/>
    <w:rsid w:val="000D3317"/>
    <w:rsid w:val="000E000F"/>
    <w:rsid w:val="000E74E7"/>
    <w:rsid w:val="000F05A7"/>
    <w:rsid w:val="000F4418"/>
    <w:rsid w:val="00116589"/>
    <w:rsid w:val="00122E9A"/>
    <w:rsid w:val="001273FB"/>
    <w:rsid w:val="0014404A"/>
    <w:rsid w:val="001473ED"/>
    <w:rsid w:val="001632F6"/>
    <w:rsid w:val="00167C64"/>
    <w:rsid w:val="00170A89"/>
    <w:rsid w:val="00173941"/>
    <w:rsid w:val="00182923"/>
    <w:rsid w:val="00185155"/>
    <w:rsid w:val="001A130E"/>
    <w:rsid w:val="001A2A85"/>
    <w:rsid w:val="001A4D77"/>
    <w:rsid w:val="001A4EC0"/>
    <w:rsid w:val="001A59C2"/>
    <w:rsid w:val="001C1E91"/>
    <w:rsid w:val="001C3448"/>
    <w:rsid w:val="001C7719"/>
    <w:rsid w:val="001D241F"/>
    <w:rsid w:val="001E0FB6"/>
    <w:rsid w:val="001E10CB"/>
    <w:rsid w:val="001E22A2"/>
    <w:rsid w:val="001E3974"/>
    <w:rsid w:val="001E404B"/>
    <w:rsid w:val="00207B1B"/>
    <w:rsid w:val="0021658E"/>
    <w:rsid w:val="002177DB"/>
    <w:rsid w:val="00221D55"/>
    <w:rsid w:val="00225411"/>
    <w:rsid w:val="002265BC"/>
    <w:rsid w:val="00234662"/>
    <w:rsid w:val="00234B3D"/>
    <w:rsid w:val="00245D0D"/>
    <w:rsid w:val="002559AD"/>
    <w:rsid w:val="00267081"/>
    <w:rsid w:val="00274A69"/>
    <w:rsid w:val="002A5D0E"/>
    <w:rsid w:val="002A637D"/>
    <w:rsid w:val="002A69DA"/>
    <w:rsid w:val="002C435C"/>
    <w:rsid w:val="002D5F97"/>
    <w:rsid w:val="002E2E99"/>
    <w:rsid w:val="002E729B"/>
    <w:rsid w:val="002E7F2C"/>
    <w:rsid w:val="002F0507"/>
    <w:rsid w:val="002F1633"/>
    <w:rsid w:val="00311861"/>
    <w:rsid w:val="00321697"/>
    <w:rsid w:val="0032506E"/>
    <w:rsid w:val="00362F8C"/>
    <w:rsid w:val="003738C9"/>
    <w:rsid w:val="00377E76"/>
    <w:rsid w:val="00383CAF"/>
    <w:rsid w:val="00392126"/>
    <w:rsid w:val="00393EB1"/>
    <w:rsid w:val="0039507E"/>
    <w:rsid w:val="00395790"/>
    <w:rsid w:val="00396A64"/>
    <w:rsid w:val="003A1132"/>
    <w:rsid w:val="003A2F33"/>
    <w:rsid w:val="003B189C"/>
    <w:rsid w:val="003B26B2"/>
    <w:rsid w:val="003C6911"/>
    <w:rsid w:val="003E15A8"/>
    <w:rsid w:val="003E63CC"/>
    <w:rsid w:val="00401ABD"/>
    <w:rsid w:val="004027E9"/>
    <w:rsid w:val="00403B63"/>
    <w:rsid w:val="00404EF8"/>
    <w:rsid w:val="00415CF8"/>
    <w:rsid w:val="00416FC1"/>
    <w:rsid w:val="00417CC9"/>
    <w:rsid w:val="00423B51"/>
    <w:rsid w:val="00426DE6"/>
    <w:rsid w:val="00427D69"/>
    <w:rsid w:val="00431D09"/>
    <w:rsid w:val="00434669"/>
    <w:rsid w:val="00434D1C"/>
    <w:rsid w:val="00452C0E"/>
    <w:rsid w:val="0045621C"/>
    <w:rsid w:val="004630DB"/>
    <w:rsid w:val="004647B9"/>
    <w:rsid w:val="004709DE"/>
    <w:rsid w:val="00492884"/>
    <w:rsid w:val="004A2EDF"/>
    <w:rsid w:val="004A332D"/>
    <w:rsid w:val="004A4537"/>
    <w:rsid w:val="004B4B04"/>
    <w:rsid w:val="004B732F"/>
    <w:rsid w:val="004E49E2"/>
    <w:rsid w:val="004F7B5E"/>
    <w:rsid w:val="005000F3"/>
    <w:rsid w:val="00502B59"/>
    <w:rsid w:val="0050578F"/>
    <w:rsid w:val="00517146"/>
    <w:rsid w:val="005212CC"/>
    <w:rsid w:val="00521597"/>
    <w:rsid w:val="0052364C"/>
    <w:rsid w:val="00525E12"/>
    <w:rsid w:val="00527A50"/>
    <w:rsid w:val="0053585F"/>
    <w:rsid w:val="00570E50"/>
    <w:rsid w:val="005755DC"/>
    <w:rsid w:val="0058079A"/>
    <w:rsid w:val="0058514E"/>
    <w:rsid w:val="005A15BA"/>
    <w:rsid w:val="005A76E0"/>
    <w:rsid w:val="005C0AAA"/>
    <w:rsid w:val="005C180F"/>
    <w:rsid w:val="005C397B"/>
    <w:rsid w:val="006076E9"/>
    <w:rsid w:val="0061141E"/>
    <w:rsid w:val="00625908"/>
    <w:rsid w:val="006404CB"/>
    <w:rsid w:val="0064073E"/>
    <w:rsid w:val="00651340"/>
    <w:rsid w:val="006521EF"/>
    <w:rsid w:val="0065714B"/>
    <w:rsid w:val="00673450"/>
    <w:rsid w:val="006C1514"/>
    <w:rsid w:val="006C2395"/>
    <w:rsid w:val="006C25FA"/>
    <w:rsid w:val="006C2BE0"/>
    <w:rsid w:val="006C47B3"/>
    <w:rsid w:val="006D4B4F"/>
    <w:rsid w:val="006D68C4"/>
    <w:rsid w:val="006E4266"/>
    <w:rsid w:val="006F672B"/>
    <w:rsid w:val="00700C4A"/>
    <w:rsid w:val="0070103E"/>
    <w:rsid w:val="0070462E"/>
    <w:rsid w:val="007135BB"/>
    <w:rsid w:val="00715914"/>
    <w:rsid w:val="00725578"/>
    <w:rsid w:val="007259DA"/>
    <w:rsid w:val="00746CE2"/>
    <w:rsid w:val="00753C9B"/>
    <w:rsid w:val="0075447F"/>
    <w:rsid w:val="00760E02"/>
    <w:rsid w:val="0077122E"/>
    <w:rsid w:val="00776D9B"/>
    <w:rsid w:val="007823A9"/>
    <w:rsid w:val="00787031"/>
    <w:rsid w:val="007919FA"/>
    <w:rsid w:val="007A7627"/>
    <w:rsid w:val="007B5481"/>
    <w:rsid w:val="007C1E42"/>
    <w:rsid w:val="007D1FBE"/>
    <w:rsid w:val="007E15FA"/>
    <w:rsid w:val="007E20F8"/>
    <w:rsid w:val="007F6A56"/>
    <w:rsid w:val="00803210"/>
    <w:rsid w:val="0080797C"/>
    <w:rsid w:val="00814C7D"/>
    <w:rsid w:val="00822404"/>
    <w:rsid w:val="00824019"/>
    <w:rsid w:val="0082479F"/>
    <w:rsid w:val="0083588C"/>
    <w:rsid w:val="00845903"/>
    <w:rsid w:val="008472CA"/>
    <w:rsid w:val="008559AD"/>
    <w:rsid w:val="00855BAF"/>
    <w:rsid w:val="00863BB2"/>
    <w:rsid w:val="0087241A"/>
    <w:rsid w:val="008761D6"/>
    <w:rsid w:val="008823F8"/>
    <w:rsid w:val="00884DBE"/>
    <w:rsid w:val="00885DFE"/>
    <w:rsid w:val="008A0FDB"/>
    <w:rsid w:val="008A3794"/>
    <w:rsid w:val="008A4944"/>
    <w:rsid w:val="008A60A0"/>
    <w:rsid w:val="008A60BC"/>
    <w:rsid w:val="008B384B"/>
    <w:rsid w:val="008C044B"/>
    <w:rsid w:val="008C3244"/>
    <w:rsid w:val="008C342A"/>
    <w:rsid w:val="008D3CC0"/>
    <w:rsid w:val="008E00B2"/>
    <w:rsid w:val="00900B1F"/>
    <w:rsid w:val="00925F9F"/>
    <w:rsid w:val="00930FB2"/>
    <w:rsid w:val="009718CC"/>
    <w:rsid w:val="0097371E"/>
    <w:rsid w:val="00992932"/>
    <w:rsid w:val="0099504E"/>
    <w:rsid w:val="009A400E"/>
    <w:rsid w:val="009B3C75"/>
    <w:rsid w:val="009B5445"/>
    <w:rsid w:val="009B6AAC"/>
    <w:rsid w:val="009E0C53"/>
    <w:rsid w:val="009E0ED7"/>
    <w:rsid w:val="009E5ADB"/>
    <w:rsid w:val="009F011C"/>
    <w:rsid w:val="00A00769"/>
    <w:rsid w:val="00A03331"/>
    <w:rsid w:val="00A16CB4"/>
    <w:rsid w:val="00A3019E"/>
    <w:rsid w:val="00A4275A"/>
    <w:rsid w:val="00A50778"/>
    <w:rsid w:val="00A514F1"/>
    <w:rsid w:val="00A51A7A"/>
    <w:rsid w:val="00A5624D"/>
    <w:rsid w:val="00A66D60"/>
    <w:rsid w:val="00A74622"/>
    <w:rsid w:val="00A902F5"/>
    <w:rsid w:val="00A94645"/>
    <w:rsid w:val="00AA210D"/>
    <w:rsid w:val="00AA6FF7"/>
    <w:rsid w:val="00AB14F3"/>
    <w:rsid w:val="00AC2170"/>
    <w:rsid w:val="00AE37D1"/>
    <w:rsid w:val="00AE547A"/>
    <w:rsid w:val="00AF4AB4"/>
    <w:rsid w:val="00AF51E7"/>
    <w:rsid w:val="00AF6A0D"/>
    <w:rsid w:val="00AF7F11"/>
    <w:rsid w:val="00B06F60"/>
    <w:rsid w:val="00B364CC"/>
    <w:rsid w:val="00B55923"/>
    <w:rsid w:val="00B56171"/>
    <w:rsid w:val="00B57F54"/>
    <w:rsid w:val="00B605D0"/>
    <w:rsid w:val="00B62DF2"/>
    <w:rsid w:val="00B63F4F"/>
    <w:rsid w:val="00B65098"/>
    <w:rsid w:val="00B664B1"/>
    <w:rsid w:val="00B71961"/>
    <w:rsid w:val="00B74F4A"/>
    <w:rsid w:val="00B82FEC"/>
    <w:rsid w:val="00BA51E3"/>
    <w:rsid w:val="00BB6380"/>
    <w:rsid w:val="00BC3E93"/>
    <w:rsid w:val="00BC509D"/>
    <w:rsid w:val="00BC6FC0"/>
    <w:rsid w:val="00BD10C9"/>
    <w:rsid w:val="00BD3BBA"/>
    <w:rsid w:val="00BE2EF8"/>
    <w:rsid w:val="00BF184C"/>
    <w:rsid w:val="00BF1DF7"/>
    <w:rsid w:val="00BF3625"/>
    <w:rsid w:val="00BF735F"/>
    <w:rsid w:val="00C11F4F"/>
    <w:rsid w:val="00C1309C"/>
    <w:rsid w:val="00C159BC"/>
    <w:rsid w:val="00C22874"/>
    <w:rsid w:val="00C2299B"/>
    <w:rsid w:val="00C23111"/>
    <w:rsid w:val="00C260AA"/>
    <w:rsid w:val="00C2788B"/>
    <w:rsid w:val="00C32F82"/>
    <w:rsid w:val="00C36BD8"/>
    <w:rsid w:val="00C476F5"/>
    <w:rsid w:val="00C611B8"/>
    <w:rsid w:val="00C76C48"/>
    <w:rsid w:val="00C77752"/>
    <w:rsid w:val="00C77D68"/>
    <w:rsid w:val="00C82B32"/>
    <w:rsid w:val="00C87394"/>
    <w:rsid w:val="00C93E42"/>
    <w:rsid w:val="00C96F96"/>
    <w:rsid w:val="00C979B4"/>
    <w:rsid w:val="00CA2484"/>
    <w:rsid w:val="00CA4211"/>
    <w:rsid w:val="00CA5A83"/>
    <w:rsid w:val="00CC0AC9"/>
    <w:rsid w:val="00CC7660"/>
    <w:rsid w:val="00CC7DC8"/>
    <w:rsid w:val="00CD03F6"/>
    <w:rsid w:val="00CD4FB8"/>
    <w:rsid w:val="00CD6CFB"/>
    <w:rsid w:val="00CE259D"/>
    <w:rsid w:val="00CE5554"/>
    <w:rsid w:val="00CE588D"/>
    <w:rsid w:val="00CF36D1"/>
    <w:rsid w:val="00CF696D"/>
    <w:rsid w:val="00D03509"/>
    <w:rsid w:val="00D0676F"/>
    <w:rsid w:val="00D10C35"/>
    <w:rsid w:val="00D122D5"/>
    <w:rsid w:val="00D129A2"/>
    <w:rsid w:val="00D36FFF"/>
    <w:rsid w:val="00D464CA"/>
    <w:rsid w:val="00D53306"/>
    <w:rsid w:val="00D56D28"/>
    <w:rsid w:val="00D57E6E"/>
    <w:rsid w:val="00D606FC"/>
    <w:rsid w:val="00D66A5A"/>
    <w:rsid w:val="00D74654"/>
    <w:rsid w:val="00D77712"/>
    <w:rsid w:val="00D83E19"/>
    <w:rsid w:val="00DA046B"/>
    <w:rsid w:val="00DA18F0"/>
    <w:rsid w:val="00DA2A0E"/>
    <w:rsid w:val="00DA7837"/>
    <w:rsid w:val="00DB3978"/>
    <w:rsid w:val="00DB4082"/>
    <w:rsid w:val="00DC7363"/>
    <w:rsid w:val="00DE0306"/>
    <w:rsid w:val="00E00BA3"/>
    <w:rsid w:val="00E0357D"/>
    <w:rsid w:val="00E16F11"/>
    <w:rsid w:val="00E2250E"/>
    <w:rsid w:val="00E26EE6"/>
    <w:rsid w:val="00E40D52"/>
    <w:rsid w:val="00E419D6"/>
    <w:rsid w:val="00E43857"/>
    <w:rsid w:val="00E44E89"/>
    <w:rsid w:val="00E4606E"/>
    <w:rsid w:val="00E52F95"/>
    <w:rsid w:val="00E54B59"/>
    <w:rsid w:val="00E57E98"/>
    <w:rsid w:val="00E737E6"/>
    <w:rsid w:val="00E74061"/>
    <w:rsid w:val="00E8534D"/>
    <w:rsid w:val="00E855F5"/>
    <w:rsid w:val="00EA6C1E"/>
    <w:rsid w:val="00EB2B76"/>
    <w:rsid w:val="00EB4D5B"/>
    <w:rsid w:val="00EB7399"/>
    <w:rsid w:val="00EC1145"/>
    <w:rsid w:val="00F118F3"/>
    <w:rsid w:val="00F12E90"/>
    <w:rsid w:val="00F158F4"/>
    <w:rsid w:val="00F20A08"/>
    <w:rsid w:val="00F239C2"/>
    <w:rsid w:val="00F2536C"/>
    <w:rsid w:val="00F26846"/>
    <w:rsid w:val="00F34570"/>
    <w:rsid w:val="00F3508B"/>
    <w:rsid w:val="00F44564"/>
    <w:rsid w:val="00F475C5"/>
    <w:rsid w:val="00F535A6"/>
    <w:rsid w:val="00F61995"/>
    <w:rsid w:val="00F62D76"/>
    <w:rsid w:val="00F72942"/>
    <w:rsid w:val="00F87B06"/>
    <w:rsid w:val="00F94D32"/>
    <w:rsid w:val="00FB7E63"/>
    <w:rsid w:val="00FD39DB"/>
    <w:rsid w:val="00FD4466"/>
    <w:rsid w:val="00FE220F"/>
    <w:rsid w:val="00FE34B9"/>
    <w:rsid w:val="00FF5521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E8EED"/>
  <w15:docId w15:val="{4A381870-666C-4DCC-9D0E-4ABA08AF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1E404B"/>
    <w:pPr>
      <w:keepNext/>
      <w:keepLines/>
      <w:numPr>
        <w:numId w:val="8"/>
      </w:numPr>
      <w:pBdr>
        <w:bottom w:val="single" w:sz="4" w:space="1" w:color="595959" w:themeColor="text1" w:themeTint="A6"/>
      </w:pBdr>
      <w:spacing w:before="360" w:after="160" w:line="259" w:lineRule="auto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en-GB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E404B"/>
    <w:pPr>
      <w:keepNext/>
      <w:keepLines/>
      <w:numPr>
        <w:ilvl w:val="1"/>
        <w:numId w:val="8"/>
      </w:numPr>
      <w:spacing w:before="360" w:after="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GB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E404B"/>
    <w:pPr>
      <w:keepNext/>
      <w:keepLines/>
      <w:numPr>
        <w:ilvl w:val="2"/>
        <w:numId w:val="8"/>
      </w:numPr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en-GB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1E404B"/>
    <w:pPr>
      <w:keepNext/>
      <w:keepLines/>
      <w:numPr>
        <w:ilvl w:val="3"/>
        <w:numId w:val="8"/>
      </w:numPr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val="en-GB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E404B"/>
    <w:pPr>
      <w:keepNext/>
      <w:keepLines/>
      <w:numPr>
        <w:ilvl w:val="4"/>
        <w:numId w:val="8"/>
      </w:numPr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17365D" w:themeColor="text2" w:themeShade="BF"/>
      <w:lang w:val="en-GB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E404B"/>
    <w:pPr>
      <w:keepNext/>
      <w:keepLines/>
      <w:numPr>
        <w:ilvl w:val="5"/>
        <w:numId w:val="8"/>
      </w:numPr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lang w:val="en-GB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E404B"/>
    <w:pPr>
      <w:keepNext/>
      <w:keepLines/>
      <w:numPr>
        <w:ilvl w:val="6"/>
        <w:numId w:val="8"/>
      </w:numPr>
      <w:spacing w:before="200" w:after="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E404B"/>
    <w:pPr>
      <w:keepNext/>
      <w:keepLines/>
      <w:numPr>
        <w:ilvl w:val="7"/>
        <w:numId w:val="8"/>
      </w:numPr>
      <w:spacing w:before="200" w:after="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E404B"/>
    <w:pPr>
      <w:keepNext/>
      <w:keepLines/>
      <w:numPr>
        <w:ilvl w:val="8"/>
        <w:numId w:val="8"/>
      </w:numPr>
      <w:spacing w:before="200" w:after="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207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99"/>
    <w:qFormat/>
    <w:rsid w:val="00207B1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4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0C492E"/>
    <w:rPr>
      <w:b/>
      <w:bCs/>
    </w:rPr>
  </w:style>
  <w:style w:type="paragraph" w:customStyle="1" w:styleId="has-text-color">
    <w:name w:val="has-text-color"/>
    <w:basedOn w:val="Normal"/>
    <w:rsid w:val="000C4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Accentuat">
    <w:name w:val="Emphasis"/>
    <w:basedOn w:val="Fontdeparagrafimplicit"/>
    <w:uiPriority w:val="20"/>
    <w:qFormat/>
    <w:rsid w:val="000C492E"/>
    <w:rPr>
      <w:i/>
      <w:iCs/>
    </w:rPr>
  </w:style>
  <w:style w:type="character" w:styleId="Hyperlink">
    <w:name w:val="Hyperlink"/>
    <w:basedOn w:val="Fontdeparagrafimplicit"/>
    <w:uiPriority w:val="99"/>
    <w:unhideWhenUsed/>
    <w:rsid w:val="000C492E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C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C492E"/>
    <w:rPr>
      <w:rFonts w:ascii="Tahoma" w:hAnsi="Tahoma" w:cs="Tahoma"/>
      <w:sz w:val="16"/>
      <w:szCs w:val="16"/>
      <w:lang w:val="ro-RO"/>
    </w:rPr>
  </w:style>
  <w:style w:type="paragraph" w:styleId="Frspaiere">
    <w:name w:val="No Spacing"/>
    <w:uiPriority w:val="1"/>
    <w:qFormat/>
    <w:rsid w:val="00A7462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efault">
    <w:name w:val="Default"/>
    <w:rsid w:val="006D4B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80797C"/>
    <w:rPr>
      <w:color w:val="605E5C"/>
      <w:shd w:val="clear" w:color="auto" w:fill="E1DFDD"/>
    </w:rPr>
  </w:style>
  <w:style w:type="paragraph" w:styleId="Revizuire">
    <w:name w:val="Revision"/>
    <w:hidden/>
    <w:uiPriority w:val="99"/>
    <w:semiHidden/>
    <w:rsid w:val="00700C4A"/>
    <w:pPr>
      <w:spacing w:after="0" w:line="240" w:lineRule="auto"/>
    </w:pPr>
    <w:rPr>
      <w:lang w:val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1E404B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en-GB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E404B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GB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E404B"/>
    <w:rPr>
      <w:rFonts w:asciiTheme="majorHAnsi" w:eastAsiaTheme="majorEastAsia" w:hAnsiTheme="majorHAnsi" w:cstheme="majorBidi"/>
      <w:b/>
      <w:bCs/>
      <w:color w:val="000000" w:themeColor="text1"/>
      <w:lang w:val="en-GB"/>
    </w:rPr>
  </w:style>
  <w:style w:type="character" w:customStyle="1" w:styleId="Titlu4Caracter">
    <w:name w:val="Titlu 4 Caracter"/>
    <w:basedOn w:val="Fontdeparagrafimplicit"/>
    <w:link w:val="Titlu4"/>
    <w:uiPriority w:val="9"/>
    <w:rsid w:val="001E404B"/>
    <w:rPr>
      <w:rFonts w:asciiTheme="majorHAnsi" w:eastAsiaTheme="majorEastAsia" w:hAnsiTheme="majorHAnsi" w:cstheme="majorBidi"/>
      <w:b/>
      <w:bCs/>
      <w:i/>
      <w:iCs/>
      <w:color w:val="000000" w:themeColor="text1"/>
      <w:lang w:val="en-GB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E404B"/>
    <w:rPr>
      <w:rFonts w:asciiTheme="majorHAnsi" w:eastAsiaTheme="majorEastAsia" w:hAnsiTheme="majorHAnsi" w:cstheme="majorBidi"/>
      <w:color w:val="17365D" w:themeColor="text2" w:themeShade="BF"/>
      <w:lang w:val="en-GB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E404B"/>
    <w:rPr>
      <w:rFonts w:asciiTheme="majorHAnsi" w:eastAsiaTheme="majorEastAsia" w:hAnsiTheme="majorHAnsi" w:cstheme="majorBidi"/>
      <w:i/>
      <w:iCs/>
      <w:color w:val="17365D" w:themeColor="text2" w:themeShade="BF"/>
      <w:lang w:val="en-GB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E404B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E404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E40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TableParagraph">
    <w:name w:val="Table Paragraph"/>
    <w:basedOn w:val="Normal"/>
    <w:uiPriority w:val="1"/>
    <w:qFormat/>
    <w:rsid w:val="001E404B"/>
    <w:pPr>
      <w:widowControl w:val="0"/>
      <w:autoSpaceDE w:val="0"/>
      <w:autoSpaceDN w:val="0"/>
      <w:spacing w:before="13" w:after="160" w:line="271" w:lineRule="exact"/>
      <w:ind w:left="107"/>
      <w:jc w:val="center"/>
    </w:pPr>
    <w:rPr>
      <w:rFonts w:eastAsiaTheme="minorEastAsia"/>
      <w:lang w:val="en-GB" w:eastAsia="ro-RO" w:bidi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4647B9"/>
    <w:rPr>
      <w:sz w:val="16"/>
      <w:szCs w:val="16"/>
    </w:rPr>
  </w:style>
  <w:style w:type="paragraph" w:customStyle="1" w:styleId="doc-ti">
    <w:name w:val="doc-ti"/>
    <w:basedOn w:val="Normal"/>
    <w:rsid w:val="00E46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extcomentariu">
    <w:name w:val="annotation text"/>
    <w:basedOn w:val="Normal"/>
    <w:link w:val="TextcomentariuCaracter"/>
    <w:uiPriority w:val="99"/>
    <w:unhideWhenUsed/>
    <w:rsid w:val="00753C9B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753C9B"/>
    <w:rPr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53C9B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53C9B"/>
    <w:rPr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9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6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13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430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868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7785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ticip.gov.md/ro/search?title=r%C4%83spuns&amp;from_date=2020-11-17&amp;to_date=2023-11-17&amp;typeFilter=1&amp;authoritie_ids=1286&amp;caem=&amp;keyword_ids=&amp;rta=&amp;rtb" TargetMode="External"/><Relationship Id="rId5" Type="http://schemas.openxmlformats.org/officeDocument/2006/relationships/hyperlink" Target="http://www.particip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1454</Words>
  <Characters>8292</Characters>
  <Application>Microsoft Office Word</Application>
  <DocSecurity>0</DocSecurity>
  <Lines>69</Lines>
  <Paragraphs>19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PwerUser™</dc:creator>
  <cp:keywords/>
  <dc:description/>
  <cp:lastModifiedBy>Serviciul Programe Nationale</cp:lastModifiedBy>
  <cp:revision>5</cp:revision>
  <cp:lastPrinted>2023-11-17T12:52:00Z</cp:lastPrinted>
  <dcterms:created xsi:type="dcterms:W3CDTF">2023-11-17T12:47:00Z</dcterms:created>
  <dcterms:modified xsi:type="dcterms:W3CDTF">2023-11-17T13:11:00Z</dcterms:modified>
</cp:coreProperties>
</file>